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5" w:type="pct"/>
        <w:tblCellSpacing w:w="0" w:type="dxa"/>
        <w:tblLayout w:type="fixed"/>
        <w:tblCellMar>
          <w:left w:w="0" w:type="dxa"/>
          <w:right w:w="0" w:type="dxa"/>
        </w:tblCellMar>
        <w:tblLook w:val="00A0" w:firstRow="1" w:lastRow="0" w:firstColumn="1" w:lastColumn="0" w:noHBand="0" w:noVBand="0"/>
      </w:tblPr>
      <w:tblGrid>
        <w:gridCol w:w="9362"/>
        <w:gridCol w:w="22"/>
        <w:gridCol w:w="444"/>
      </w:tblGrid>
      <w:tr w:rsidRPr="008618B9" w:rsidR="003F6B9D" w:rsidTr="00EC191B" w14:paraId="680B0C1E" w14:textId="77777777">
        <w:trPr>
          <w:trHeight w:val="935"/>
          <w:tblCellSpacing w:w="0" w:type="dxa"/>
        </w:trPr>
        <w:tc>
          <w:tcPr>
            <w:tcW w:w="4763" w:type="pct"/>
            <w:tcBorders>
              <w:bottom w:val="single" w:color="auto" w:sz="4" w:space="0"/>
            </w:tcBorders>
          </w:tcPr>
          <w:p w:rsidR="00753955" w:rsidP="008406D8" w:rsidRDefault="00960BB5" w14:paraId="173E6B98" w14:textId="77777777">
            <w:pPr>
              <w:jc w:val="center"/>
              <w:rPr>
                <w:b/>
                <w:bCs/>
              </w:rPr>
            </w:pPr>
            <w:r>
              <w:rPr>
                <w:b/>
                <w:bCs/>
              </w:rPr>
              <w:t xml:space="preserve">Ministru kabineta rīkojuma projekta </w:t>
            </w:r>
          </w:p>
          <w:p w:rsidR="00753955" w:rsidP="008406D8" w:rsidRDefault="00960BB5" w14:paraId="2AA2E83E" w14:textId="77777777">
            <w:pPr>
              <w:jc w:val="center"/>
              <w:rPr>
                <w:b/>
                <w:bCs/>
              </w:rPr>
            </w:pPr>
            <w:r>
              <w:rPr>
                <w:b/>
                <w:bCs/>
              </w:rPr>
              <w:t xml:space="preserve">“Par finanšu līdzekļu piešķiršanu no valsts budžeta programmas </w:t>
            </w:r>
          </w:p>
          <w:p w:rsidR="00753955" w:rsidP="008406D8" w:rsidRDefault="00960BB5" w14:paraId="6624C7F4" w14:textId="50F0780F">
            <w:pPr>
              <w:jc w:val="center"/>
              <w:rPr>
                <w:b/>
                <w:bCs/>
              </w:rPr>
            </w:pPr>
            <w:r>
              <w:rPr>
                <w:b/>
                <w:bCs/>
              </w:rPr>
              <w:t xml:space="preserve">“Līdzekļi neparedzētiem gadījumiem”” </w:t>
            </w:r>
            <w:r w:rsidRPr="00CA296A" w:rsidR="003F6B9D">
              <w:rPr>
                <w:b/>
                <w:bCs/>
              </w:rPr>
              <w:t xml:space="preserve">sākotnējās ietekmes novērtējuma </w:t>
            </w:r>
          </w:p>
          <w:p w:rsidR="003F6B9D" w:rsidP="008406D8" w:rsidRDefault="00753955" w14:paraId="68AAEF38" w14:textId="343AA91F">
            <w:pPr>
              <w:jc w:val="center"/>
              <w:rPr>
                <w:b/>
                <w:bCs/>
              </w:rPr>
            </w:pPr>
            <w:r>
              <w:rPr>
                <w:b/>
                <w:bCs/>
              </w:rPr>
              <w:t>z</w:t>
            </w:r>
            <w:r w:rsidRPr="00CA296A" w:rsidR="003F6B9D">
              <w:rPr>
                <w:b/>
                <w:bCs/>
              </w:rPr>
              <w:t>iņojums</w:t>
            </w:r>
            <w:r>
              <w:rPr>
                <w:b/>
                <w:bCs/>
              </w:rPr>
              <w:t xml:space="preserve"> </w:t>
            </w:r>
            <w:r w:rsidRPr="00CA296A" w:rsidR="003F6B9D">
              <w:rPr>
                <w:b/>
                <w:bCs/>
              </w:rPr>
              <w:t>(anotācija)</w:t>
            </w:r>
          </w:p>
          <w:p w:rsidRPr="008406D8" w:rsidR="00753955" w:rsidP="008406D8" w:rsidRDefault="00753955" w14:paraId="0A703FBB" w14:textId="77777777">
            <w:pPr>
              <w:jc w:val="center"/>
              <w:rPr>
                <w:b/>
                <w:bCs/>
              </w:rPr>
            </w:pPr>
          </w:p>
          <w:tbl>
            <w:tblPr>
              <w:tblW w:w="9206" w:type="dxa"/>
              <w:tblInd w:w="3"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3682"/>
              <w:gridCol w:w="5524"/>
            </w:tblGrid>
            <w:tr w:rsidRPr="00CA296A" w:rsidR="003F6B9D" w:rsidTr="07C88AD7" w14:paraId="4C62B5D4" w14:textId="77777777">
              <w:tc>
                <w:tcPr>
                  <w:tcW w:w="9206" w:type="dxa"/>
                  <w:gridSpan w:val="2"/>
                  <w:tcBorders>
                    <w:top w:val="outset" w:color="414142" w:sz="6" w:space="0"/>
                    <w:left w:val="single" w:color="auto" w:sz="4" w:space="0"/>
                    <w:bottom w:val="outset" w:color="414142" w:sz="6" w:space="0"/>
                    <w:right w:val="outset" w:color="414142" w:sz="6" w:space="0"/>
                  </w:tcBorders>
                  <w:vAlign w:val="center"/>
                </w:tcPr>
                <w:p w:rsidRPr="00CA296A" w:rsidR="003F6B9D" w:rsidP="00440633" w:rsidRDefault="003F6B9D" w14:paraId="00A81CBA" w14:textId="77777777">
                  <w:pPr>
                    <w:jc w:val="center"/>
                    <w:rPr>
                      <w:b/>
                      <w:bCs/>
                    </w:rPr>
                  </w:pPr>
                  <w:r w:rsidRPr="00CA296A">
                    <w:rPr>
                      <w:b/>
                      <w:bCs/>
                    </w:rPr>
                    <w:t>Tiesību akta projekta anotācijas kopsavilkums</w:t>
                  </w:r>
                </w:p>
              </w:tc>
            </w:tr>
            <w:tr w:rsidRPr="00CA296A" w:rsidR="003F6B9D" w:rsidTr="00440633" w14:paraId="27FCB287" w14:textId="77777777">
              <w:trPr>
                <w:trHeight w:val="923"/>
              </w:trPr>
              <w:tc>
                <w:tcPr>
                  <w:tcW w:w="3682" w:type="dxa"/>
                  <w:tcBorders>
                    <w:top w:val="outset" w:color="414142" w:sz="6" w:space="0"/>
                    <w:left w:val="single" w:color="auto" w:sz="8" w:space="0"/>
                    <w:bottom w:val="outset" w:color="414142" w:sz="6" w:space="0"/>
                    <w:right w:val="single" w:color="auto" w:sz="4" w:space="0"/>
                  </w:tcBorders>
                </w:tcPr>
                <w:p w:rsidRPr="00066BBF" w:rsidR="003F6B9D" w:rsidP="00440633" w:rsidRDefault="003F6B9D" w14:paraId="6C4D9A1B" w14:textId="71084BE4">
                  <w:pPr>
                    <w:pStyle w:val="Pamatteksts3"/>
                    <w:tabs>
                      <w:tab w:val="left" w:pos="426"/>
                      <w:tab w:val="left" w:pos="7088"/>
                    </w:tabs>
                    <w:spacing w:after="0"/>
                    <w:jc w:val="both"/>
                    <w:rPr>
                      <w:sz w:val="24"/>
                      <w:szCs w:val="24"/>
                      <w:lang w:val="lv-LV"/>
                    </w:rPr>
                  </w:pPr>
                  <w:r w:rsidRPr="00066BBF">
                    <w:rPr>
                      <w:sz w:val="24"/>
                      <w:szCs w:val="24"/>
                    </w:rPr>
                    <w:t>Mērķis, risinājums un projekta spēkā stāšanās laiks (500 zīmes bez atstarpēm)</w:t>
                  </w:r>
                </w:p>
              </w:tc>
              <w:tc>
                <w:tcPr>
                  <w:tcW w:w="5524" w:type="dxa"/>
                  <w:tcBorders>
                    <w:top w:val="single" w:color="auto" w:sz="4" w:space="0"/>
                    <w:left w:val="single" w:color="auto" w:sz="4" w:space="0"/>
                    <w:bottom w:val="single" w:color="auto" w:sz="4" w:space="0"/>
                    <w:right w:val="single" w:color="auto" w:sz="4" w:space="0"/>
                  </w:tcBorders>
                </w:tcPr>
                <w:p w:rsidRPr="00440633" w:rsidR="003F6B9D" w:rsidP="00440633" w:rsidRDefault="00753955" w14:paraId="68B5F81F" w14:textId="06DAB146">
                  <w:pPr>
                    <w:pStyle w:val="Paraststmeklis"/>
                    <w:spacing w:before="0" w:beforeAutospacing="0" w:after="0" w:afterAutospacing="0"/>
                    <w:jc w:val="both"/>
                    <w:rPr>
                      <w:color w:val="000000"/>
                    </w:rPr>
                  </w:pPr>
                  <w:bookmarkStart w:name="_Hlk46929115" w:id="0"/>
                  <w:r w:rsidRPr="00440633">
                    <w:rPr>
                      <w:color w:val="000000" w:themeColor="text1"/>
                    </w:rPr>
                    <w:t>Ministru kabineta rīkojuma projekts “Par finanšu līdzekļu piešķiršanu no valsts budžeta</w:t>
                  </w:r>
                  <w:bookmarkStart w:name="_GoBack" w:id="1"/>
                  <w:bookmarkEnd w:id="1"/>
                  <w:r w:rsidRPr="00440633">
                    <w:rPr>
                      <w:color w:val="000000" w:themeColor="text1"/>
                    </w:rPr>
                    <w:t xml:space="preserve"> programmas “Līdzekļi neparedzētiem gadījumiem”” (turpmāk – Projekts) </w:t>
                  </w:r>
                  <w:r w:rsidRPr="00440633">
                    <w:t>šo jomu neskar.</w:t>
                  </w:r>
                  <w:bookmarkEnd w:id="0"/>
                </w:p>
              </w:tc>
            </w:tr>
          </w:tbl>
          <w:p w:rsidRPr="00CA296A" w:rsidR="003F6B9D" w:rsidP="006511AB" w:rsidRDefault="003F6B9D" w14:paraId="2459A2C9" w14:textId="77777777">
            <w:pPr>
              <w:jc w:val="both"/>
            </w:pPr>
            <w:r w:rsidRPr="00CA296A">
              <w:t> </w:t>
            </w: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145"/>
              <w:gridCol w:w="5528"/>
            </w:tblGrid>
            <w:tr w:rsidRPr="00CA296A" w:rsidR="003F6B9D" w:rsidTr="07C88AD7" w14:paraId="6DB12951" w14:textId="77777777">
              <w:tc>
                <w:tcPr>
                  <w:tcW w:w="9206" w:type="dxa"/>
                  <w:gridSpan w:val="3"/>
                  <w:tcBorders>
                    <w:top w:val="outset" w:color="414142" w:sz="6" w:space="0"/>
                    <w:left w:val="outset" w:color="414142" w:sz="6" w:space="0"/>
                    <w:bottom w:val="outset" w:color="414142" w:sz="6" w:space="0"/>
                    <w:right w:val="single" w:color="auto" w:sz="8" w:space="0"/>
                  </w:tcBorders>
                  <w:vAlign w:val="center"/>
                </w:tcPr>
                <w:p w:rsidRPr="00CA296A" w:rsidR="003F6B9D" w:rsidP="006511AB" w:rsidRDefault="003F6B9D" w14:paraId="1DC6C646" w14:textId="77777777">
                  <w:pPr>
                    <w:spacing w:before="100" w:beforeAutospacing="1" w:after="100" w:afterAutospacing="1" w:line="228" w:lineRule="atLeast"/>
                    <w:jc w:val="center"/>
                    <w:rPr>
                      <w:b/>
                      <w:bCs/>
                    </w:rPr>
                  </w:pPr>
                  <w:r w:rsidRPr="00CA296A">
                    <w:rPr>
                      <w:b/>
                      <w:bCs/>
                    </w:rPr>
                    <w:t>I. Tiesību akta projekta izstrādes nepieciešamība</w:t>
                  </w:r>
                </w:p>
              </w:tc>
            </w:tr>
            <w:tr w:rsidRPr="00CA296A" w:rsidR="003F6B9D" w:rsidTr="07C88AD7" w14:paraId="09F93C4A"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408B09FA" w14:textId="77777777">
                  <w:pPr>
                    <w:spacing w:before="100" w:beforeAutospacing="1" w:after="100" w:afterAutospacing="1" w:line="228" w:lineRule="atLeast"/>
                    <w:jc w:val="both"/>
                  </w:pPr>
                  <w:r w:rsidRPr="00CA296A">
                    <w:t>1.</w:t>
                  </w:r>
                </w:p>
              </w:tc>
              <w:tc>
                <w:tcPr>
                  <w:tcW w:w="3145"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310A97E9" w14:textId="77777777">
                  <w:pPr>
                    <w:jc w:val="both"/>
                  </w:pPr>
                  <w:r w:rsidRPr="00CA296A">
                    <w:t>Pamatojums</w:t>
                  </w:r>
                </w:p>
              </w:tc>
              <w:tc>
                <w:tcPr>
                  <w:tcW w:w="5528" w:type="dxa"/>
                  <w:tcBorders>
                    <w:top w:val="outset" w:color="414142" w:sz="6" w:space="0"/>
                    <w:left w:val="outset" w:color="414142" w:sz="6" w:space="0"/>
                    <w:bottom w:val="outset" w:color="414142" w:sz="6" w:space="0"/>
                    <w:right w:val="single" w:color="auto" w:sz="8" w:space="0"/>
                  </w:tcBorders>
                </w:tcPr>
                <w:p w:rsidRPr="00CA296A" w:rsidR="003F6B9D" w:rsidP="006511AB" w:rsidRDefault="003F6B9D" w14:paraId="7E72822F" w14:textId="0D4F5423">
                  <w:pPr>
                    <w:jc w:val="both"/>
                    <w:rPr>
                      <w:color w:val="000000" w:themeColor="text1"/>
                    </w:rPr>
                  </w:pPr>
                  <w:r w:rsidRPr="1E354788">
                    <w:rPr>
                      <w:color w:val="000000" w:themeColor="text1"/>
                    </w:rPr>
                    <w:t xml:space="preserve">Projekts sagatavots saskaņā ar Ministru kabineta </w:t>
                  </w:r>
                  <w:proofErr w:type="gramStart"/>
                  <w:r w:rsidRPr="1E354788">
                    <w:rPr>
                      <w:color w:val="000000" w:themeColor="text1"/>
                    </w:rPr>
                    <w:t>2018.gada</w:t>
                  </w:r>
                  <w:proofErr w:type="gramEnd"/>
                  <w:r w:rsidRPr="1E354788">
                    <w:rPr>
                      <w:color w:val="000000" w:themeColor="text1"/>
                    </w:rPr>
                    <w:t xml:space="preserve"> 17.jūlija noteikumu Nr.421 “Kārtība, kādā veic gadskārtējā valsts budžeta likumā noteiktās apropriācijas izmaiņas” 4</w:t>
                  </w:r>
                  <w:r w:rsidR="00753955">
                    <w:rPr>
                      <w:color w:val="000000" w:themeColor="text1"/>
                    </w:rPr>
                    <w:t>3</w:t>
                  </w:r>
                  <w:r w:rsidRPr="1E354788">
                    <w:rPr>
                      <w:color w:val="000000" w:themeColor="text1"/>
                    </w:rPr>
                    <w:t>.punktu.</w:t>
                  </w:r>
                  <w:r w:rsidRPr="1E354788" w:rsidR="00F05FCF">
                    <w:rPr>
                      <w:color w:val="000000" w:themeColor="text1"/>
                    </w:rPr>
                    <w:t xml:space="preserve"> </w:t>
                  </w:r>
                </w:p>
              </w:tc>
            </w:tr>
            <w:tr w:rsidRPr="00CA296A" w:rsidR="003F6B9D" w:rsidTr="07C88AD7" w14:paraId="0DA1CFC6"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1222F1" w:rsidRDefault="003F6B9D" w14:paraId="398A960F" w14:textId="77777777">
                  <w:pPr>
                    <w:spacing w:before="100" w:beforeAutospacing="1" w:after="100" w:afterAutospacing="1" w:line="228" w:lineRule="atLeast"/>
                    <w:jc w:val="both"/>
                  </w:pPr>
                  <w:r w:rsidRPr="00CA296A">
                    <w:t>2.</w:t>
                  </w:r>
                </w:p>
              </w:tc>
              <w:tc>
                <w:tcPr>
                  <w:tcW w:w="3145" w:type="dxa"/>
                  <w:tcBorders>
                    <w:top w:val="outset" w:color="414142" w:sz="6" w:space="0"/>
                    <w:left w:val="outset" w:color="414142" w:sz="6" w:space="0"/>
                    <w:bottom w:val="outset" w:color="414142" w:sz="6" w:space="0"/>
                    <w:right w:val="outset" w:color="414142" w:sz="6" w:space="0"/>
                  </w:tcBorders>
                </w:tcPr>
                <w:p w:rsidRPr="00CA296A" w:rsidR="003F6B9D" w:rsidP="00AF21D6" w:rsidRDefault="003F6B9D" w14:paraId="14AB999D" w14:textId="77777777">
                  <w:pPr>
                    <w:jc w:val="both"/>
                  </w:pPr>
                  <w:r w:rsidRPr="00CA296A">
                    <w:t>Pašreizējā situācija un problēmas, kuru risināšanai tiesību akta projekts izstrādāts, tiesiskā regulējuma mērķis un būtība</w:t>
                  </w:r>
                </w:p>
                <w:p w:rsidRPr="00CA296A" w:rsidR="003F6B9D" w:rsidP="001222F1" w:rsidRDefault="003F6B9D" w14:paraId="1630DF8C" w14:textId="77777777">
                  <w:pPr>
                    <w:jc w:val="both"/>
                  </w:pPr>
                </w:p>
              </w:tc>
              <w:tc>
                <w:tcPr>
                  <w:tcW w:w="5528" w:type="dxa"/>
                  <w:tcBorders>
                    <w:top w:val="outset" w:color="414142" w:sz="6" w:space="0"/>
                    <w:left w:val="outset" w:color="414142" w:sz="6" w:space="0"/>
                    <w:bottom w:val="outset" w:color="414142" w:sz="6" w:space="0"/>
                    <w:right w:val="single" w:color="auto" w:sz="8" w:space="0"/>
                  </w:tcBorders>
                </w:tcPr>
                <w:p w:rsidR="003F6B9D" w:rsidP="07C88AD7" w:rsidRDefault="00753955" w14:paraId="6BFCCA95" w14:textId="4D55EA81">
                  <w:pPr>
                    <w:pStyle w:val="Paraststmeklis"/>
                    <w:spacing w:before="0" w:beforeAutospacing="0" w:after="0" w:afterAutospacing="0"/>
                    <w:ind w:right="109"/>
                    <w:jc w:val="both"/>
                    <w:rPr>
                      <w:color w:val="000000"/>
                    </w:rPr>
                  </w:pPr>
                  <w:r>
                    <w:t xml:space="preserve">Ministru kabinets </w:t>
                  </w:r>
                  <w:proofErr w:type="gramStart"/>
                  <w:r w:rsidRPr="07C88AD7" w:rsidR="46285B9D">
                    <w:rPr>
                      <w:color w:val="000000" w:themeColor="text1"/>
                    </w:rPr>
                    <w:t>2020.gada</w:t>
                  </w:r>
                  <w:proofErr w:type="gramEnd"/>
                  <w:r w:rsidRPr="07C88AD7" w:rsidR="46285B9D">
                    <w:rPr>
                      <w:color w:val="000000" w:themeColor="text1"/>
                    </w:rPr>
                    <w:t xml:space="preserve"> 12.martā, ņemot vērā Pasaules veselības organizācijas 2020.gada 11.marta paziņojumu, ka vīrusa </w:t>
                  </w:r>
                  <w:proofErr w:type="spellStart"/>
                  <w:r w:rsidRPr="07C88AD7" w:rsidR="46285B9D">
                    <w:rPr>
                      <w:color w:val="000000" w:themeColor="text1"/>
                    </w:rPr>
                    <w:t>Covid-19</w:t>
                  </w:r>
                  <w:proofErr w:type="spellEnd"/>
                  <w:r w:rsidRPr="07C88AD7" w:rsidR="46285B9D">
                    <w:rPr>
                      <w:color w:val="000000" w:themeColor="text1"/>
                    </w:rPr>
                    <w:t xml:space="preserve"> izplatība ir sasniegusi pandēmijas apmērus, lai noteiktu epidemioloģiskās drošības un citus pasākumus un ierobežotu </w:t>
                  </w:r>
                  <w:proofErr w:type="spellStart"/>
                  <w:r w:rsidRPr="07C88AD7" w:rsidR="46285B9D">
                    <w:rPr>
                      <w:color w:val="000000" w:themeColor="text1"/>
                    </w:rPr>
                    <w:t>Covid-19</w:t>
                  </w:r>
                  <w:proofErr w:type="spellEnd"/>
                  <w:r w:rsidRPr="07C88AD7" w:rsidR="46285B9D">
                    <w:rPr>
                      <w:color w:val="000000" w:themeColor="text1"/>
                    </w:rPr>
                    <w:t xml:space="preserve"> izplatību Latvijā, ar rīkojumu Nr.103 “Par ārkārtējās situācijas izsludināšanu” izsludināja visā valsts teritorijā ārkārtējo situāciju no lēmuma pieņemšanas brīža līdz š.g. 14.aprīlim. Ārkārtējās situācijas sākotnēji noteiktais termiņš tika pagarināts līdz š.g. 12.maijam un tad</w:t>
                  </w:r>
                  <w:r w:rsidRPr="07C88AD7" w:rsidR="4A6E6A6A">
                    <w:rPr>
                      <w:color w:val="000000" w:themeColor="text1"/>
                    </w:rPr>
                    <w:t xml:space="preserve"> –</w:t>
                  </w:r>
                  <w:r w:rsidRPr="07C88AD7" w:rsidR="46285B9D">
                    <w:rPr>
                      <w:color w:val="000000" w:themeColor="text1"/>
                    </w:rPr>
                    <w:t xml:space="preserve"> līdz š.g. 9.jūnijam.</w:t>
                  </w:r>
                </w:p>
                <w:p w:rsidR="003F6B9D" w:rsidP="001222F1" w:rsidRDefault="003F6B9D" w14:paraId="5BF4B654" w14:textId="77777777">
                  <w:pPr>
                    <w:pStyle w:val="Paraststmeklis"/>
                    <w:spacing w:before="0" w:beforeAutospacing="0" w:after="0" w:afterAutospacing="0"/>
                    <w:ind w:right="109"/>
                    <w:jc w:val="both"/>
                    <w:rPr>
                      <w:color w:val="000000"/>
                    </w:rPr>
                  </w:pPr>
                </w:p>
                <w:p w:rsidRPr="0048604B" w:rsidR="003F6B9D" w:rsidP="0048604B" w:rsidRDefault="003F6B9D" w14:paraId="5603ACA0" w14:textId="74122DDA">
                  <w:pPr>
                    <w:pStyle w:val="Paraststmeklis"/>
                    <w:spacing w:before="0" w:beforeAutospacing="0" w:after="0" w:afterAutospacing="0"/>
                    <w:ind w:right="109"/>
                    <w:jc w:val="both"/>
                    <w:rPr>
                      <w:color w:val="000000"/>
                    </w:rPr>
                  </w:pPr>
                  <w:r w:rsidRPr="7EA5408B">
                    <w:t>Lai nodrošinātu efektīvu rīcību pēc iespējas īsākā laika periodā ārkārtējās situācijas laikā, Nacionālā elektronisko plašsaziņas līdzekļu padome</w:t>
                  </w:r>
                  <w:r>
                    <w:t xml:space="preserve"> (</w:t>
                  </w:r>
                  <w:proofErr w:type="gramStart"/>
                  <w:r w:rsidR="00753955">
                    <w:t>turpmāk –</w:t>
                  </w:r>
                  <w:r>
                    <w:t>NE</w:t>
                  </w:r>
                  <w:proofErr w:type="gramEnd"/>
                  <w:r>
                    <w:t>PLP)</w:t>
                  </w:r>
                  <w:r w:rsidRPr="7EA5408B">
                    <w:t xml:space="preserve"> ierosin</w:t>
                  </w:r>
                  <w:r>
                    <w:t>āja</w:t>
                  </w:r>
                  <w:r w:rsidRPr="7EA5408B">
                    <w:t xml:space="preserve"> veikt grozījumus </w:t>
                  </w:r>
                  <w:r w:rsidR="00753955">
                    <w:t>Ministru kabineta</w:t>
                  </w:r>
                  <w:r w:rsidRPr="7EA5408B">
                    <w:t xml:space="preserve"> 2020</w:t>
                  </w:r>
                  <w:r>
                    <w:t>.gada 10.marta rīkojumā Nr.100 „</w:t>
                  </w:r>
                  <w:r w:rsidRPr="7EA5408B">
                    <w:t>Par finanšu līdzekļu piešķiršan</w:t>
                  </w:r>
                  <w:r>
                    <w:t>u no valsts budžeta programmas „</w:t>
                  </w:r>
                  <w:r w:rsidRPr="7EA5408B">
                    <w:t xml:space="preserve">Līdzekļi neparedzētiem gadījumiem””, ņemot vērā, ka Rīgas domes ārkārtas vēlēšanas </w:t>
                  </w:r>
                  <w:r>
                    <w:t>tika</w:t>
                  </w:r>
                  <w:r w:rsidRPr="7EA5408B">
                    <w:t xml:space="preserve"> pārceltas, bet ārkārtējās situācijas laikā jārīkojas nekavējoties</w:t>
                  </w:r>
                  <w:r>
                    <w:t>. N</w:t>
                  </w:r>
                  <w:r w:rsidRPr="7EA5408B">
                    <w:t>odrošinot Ministru kabineta 2020.gada 12.marta rīko</w:t>
                  </w:r>
                  <w:r>
                    <w:t>juma Nr.103 „</w:t>
                  </w:r>
                  <w:r w:rsidRPr="7EA5408B">
                    <w:t>Par ārkārtējās situācijas izslu</w:t>
                  </w:r>
                  <w:r>
                    <w:t>dināšanu” ievērošanu un izpildi, īpaši svarīgi bija veikt</w:t>
                  </w:r>
                  <w:r w:rsidRPr="7EA5408B">
                    <w:t xml:space="preserve"> iespējami plašu Latvijas iedzīvotāju informatīvo apziņošanu, </w:t>
                  </w:r>
                  <w:r>
                    <w:t xml:space="preserve">sadarbībā ar Slimību profilakses un kontroles centru </w:t>
                  </w:r>
                  <w:r w:rsidRPr="7EA5408B">
                    <w:t>nodrošinot efektīvu sabiedrības informēšanu par aktualitā</w:t>
                  </w:r>
                  <w:r>
                    <w:t xml:space="preserve">tēm saistībā ar </w:t>
                  </w:r>
                  <w:proofErr w:type="spellStart"/>
                  <w:r>
                    <w:t>C</w:t>
                  </w:r>
                  <w:r w:rsidR="00781881">
                    <w:t>ovid</w:t>
                  </w:r>
                  <w:r>
                    <w:t>-19</w:t>
                  </w:r>
                  <w:proofErr w:type="spellEnd"/>
                  <w:r>
                    <w:t xml:space="preserve"> vīrusu.</w:t>
                  </w:r>
                  <w:r w:rsidRPr="7EA5408B">
                    <w:t xml:space="preserve"> </w:t>
                  </w:r>
                </w:p>
                <w:p w:rsidRPr="00966D72" w:rsidR="003F6B9D" w:rsidP="00440633" w:rsidRDefault="46285B9D" w14:paraId="02BC9D28" w14:textId="03049A66">
                  <w:pPr>
                    <w:pStyle w:val="Paraststmeklis"/>
                    <w:spacing w:before="0" w:beforeAutospacing="0" w:after="0" w:afterAutospacing="0"/>
                    <w:ind w:right="108"/>
                    <w:jc w:val="both"/>
                    <w:rPr>
                      <w:color w:val="000000"/>
                    </w:rPr>
                  </w:pPr>
                  <w:r>
                    <w:lastRenderedPageBreak/>
                    <w:t xml:space="preserve">Latvijas Radio ir veikti aprēķini par laika periodu no š.g. </w:t>
                  </w:r>
                  <w:proofErr w:type="gramStart"/>
                  <w:r>
                    <w:t>12.marta</w:t>
                  </w:r>
                  <w:proofErr w:type="gramEnd"/>
                  <w:r>
                    <w:t xml:space="preserve"> līdz 9.jūnijam </w:t>
                  </w:r>
                  <w:bookmarkStart w:name="_Hlk51582904" w:id="2"/>
                  <w:r>
                    <w:t>finanšu pieprasījumam par Latvijas Radio papildu (iepriekš neplānotajiem) izdevumiem darba procesa piemērošanai valstī noteiktajām epidemioloģiskajām prasībām, nodrošinot pamatdarbību, kā arī ražojot papildus saturu, kas Latvijas Radio kopā ir 42 7</w:t>
                  </w:r>
                  <w:r w:rsidR="7950DAD4">
                    <w:t>72</w:t>
                  </w:r>
                  <w:r>
                    <w:t xml:space="preserve"> </w:t>
                  </w:r>
                  <w:proofErr w:type="spellStart"/>
                  <w:r w:rsidRPr="006F431E" w:rsidR="006F431E">
                    <w:rPr>
                      <w:i/>
                      <w:iCs/>
                    </w:rPr>
                    <w:t>euro</w:t>
                  </w:r>
                  <w:bookmarkEnd w:id="2"/>
                  <w:proofErr w:type="spellEnd"/>
                  <w:r>
                    <w:t xml:space="preserve">, </w:t>
                  </w:r>
                  <w:r w:rsidR="00781881">
                    <w:t>no kuriem š.g. 19.martā ar Ministru kabineta rīkojumu Nr.116 Latvijas Radio jau ir piešķirti</w:t>
                  </w:r>
                  <w:r>
                    <w:t xml:space="preserve"> 25 674 </w:t>
                  </w:r>
                  <w:proofErr w:type="spellStart"/>
                  <w:r w:rsidRPr="006F431E" w:rsidR="006F431E">
                    <w:rPr>
                      <w:i/>
                      <w:iCs/>
                    </w:rPr>
                    <w:t>euro</w:t>
                  </w:r>
                  <w:proofErr w:type="spellEnd"/>
                  <w:r>
                    <w:t>.</w:t>
                  </w:r>
                </w:p>
                <w:p w:rsidR="007548BE" w:rsidP="007548BE" w:rsidRDefault="007548BE" w14:paraId="446BEC97" w14:textId="77777777">
                  <w:pPr>
                    <w:ind w:right="108"/>
                    <w:jc w:val="both"/>
                    <w:rPr>
                      <w:color w:val="000000"/>
                    </w:rPr>
                  </w:pPr>
                </w:p>
                <w:p w:rsidRPr="00966D72" w:rsidR="003F6B9D" w:rsidP="00440633" w:rsidRDefault="003F6B9D" w14:paraId="18E5AD4C" w14:textId="3E6BB0D7">
                  <w:pPr>
                    <w:ind w:right="108"/>
                    <w:jc w:val="both"/>
                    <w:rPr>
                      <w:color w:val="000000"/>
                    </w:rPr>
                  </w:pPr>
                  <w:r w:rsidRPr="00966D72">
                    <w:rPr>
                      <w:color w:val="000000"/>
                    </w:rPr>
                    <w:t>Latvijas Radio kā sabiedriskā medija uzdevums</w:t>
                  </w:r>
                  <w:r>
                    <w:rPr>
                      <w:color w:val="000000"/>
                    </w:rPr>
                    <w:t xml:space="preserve">, jo īpaši </w:t>
                  </w:r>
                  <w:r w:rsidRPr="00966D72">
                    <w:rPr>
                      <w:color w:val="000000"/>
                    </w:rPr>
                    <w:t>krīzes brīžos</w:t>
                  </w:r>
                  <w:r>
                    <w:rPr>
                      <w:color w:val="000000"/>
                    </w:rPr>
                    <w:t>,</w:t>
                  </w:r>
                  <w:r w:rsidRPr="00966D72">
                    <w:rPr>
                      <w:color w:val="000000"/>
                    </w:rPr>
                    <w:t xml:space="preserve"> ir spēt nodrošināt ilgtspējīgu sabiedrības diskusiju platformu. Ārkārtējās situācijas laikā bija būtisk</w:t>
                  </w:r>
                  <w:r>
                    <w:rPr>
                      <w:color w:val="000000"/>
                    </w:rPr>
                    <w:t>a</w:t>
                  </w:r>
                  <w:r w:rsidRPr="00966D72">
                    <w:rPr>
                      <w:color w:val="000000"/>
                    </w:rPr>
                    <w:t xml:space="preserve"> kvalitatīvas žurnālistikas pastāvēšan</w:t>
                  </w:r>
                  <w:r>
                    <w:rPr>
                      <w:color w:val="000000"/>
                    </w:rPr>
                    <w:t>a</w:t>
                  </w:r>
                  <w:r w:rsidRPr="00966D72">
                    <w:rPr>
                      <w:color w:val="000000"/>
                    </w:rPr>
                    <w:t xml:space="preserve"> un tās pieejamīb</w:t>
                  </w:r>
                  <w:r>
                    <w:rPr>
                      <w:color w:val="000000"/>
                    </w:rPr>
                    <w:t>a</w:t>
                  </w:r>
                  <w:r w:rsidRPr="00966D72">
                    <w:rPr>
                      <w:color w:val="000000"/>
                    </w:rPr>
                    <w:t xml:space="preserve"> visplašākajai sabiedrības daļai, saglabājot satura, t.sk. oriģinālās informācijas, apjomu.  </w:t>
                  </w:r>
                </w:p>
                <w:p w:rsidR="007548BE" w:rsidP="007548BE" w:rsidRDefault="007548BE" w14:paraId="7093ECEE" w14:textId="77777777">
                  <w:pPr>
                    <w:ind w:right="109"/>
                    <w:jc w:val="both"/>
                    <w:rPr>
                      <w:color w:val="000000"/>
                    </w:rPr>
                  </w:pPr>
                </w:p>
                <w:p w:rsidRPr="00966D72" w:rsidR="003F6B9D" w:rsidP="00440633" w:rsidRDefault="003F6B9D" w14:paraId="3E360511" w14:textId="316AFDB6">
                  <w:pPr>
                    <w:ind w:right="109"/>
                    <w:jc w:val="both"/>
                    <w:rPr>
                      <w:color w:val="000000"/>
                    </w:rPr>
                  </w:pPr>
                  <w:r w:rsidRPr="00966D72">
                    <w:rPr>
                      <w:color w:val="000000"/>
                    </w:rPr>
                    <w:t xml:space="preserve">Latvijas Radio darbinieki, neraugoties uz darba apstākļu sarežģītību un riska faktoriem, ik dienu radīja kvalitatīvu saturu un nodrošināja atbalsta funkcijas. Latvijas Radio operatīvi un objektīvi atspoguļoja ar </w:t>
                  </w:r>
                  <w:proofErr w:type="spellStart"/>
                  <w:r w:rsidRPr="00966D72">
                    <w:rPr>
                      <w:color w:val="000000"/>
                    </w:rPr>
                    <w:t>Covid-19</w:t>
                  </w:r>
                  <w:proofErr w:type="spellEnd"/>
                  <w:r w:rsidRPr="00966D72">
                    <w:rPr>
                      <w:color w:val="000000"/>
                    </w:rPr>
                    <w:t xml:space="preserve"> izplatību saistītos procesus</w:t>
                  </w:r>
                  <w:r>
                    <w:rPr>
                      <w:color w:val="000000"/>
                    </w:rPr>
                    <w:t>, izveidoja un izplatīja sabiedrības uzmanību saistošus informatīvus un izglītojošus paziņojumus</w:t>
                  </w:r>
                  <w:proofErr w:type="gramStart"/>
                  <w:r>
                    <w:rPr>
                      <w:color w:val="000000"/>
                    </w:rPr>
                    <w:t xml:space="preserve"> </w:t>
                  </w:r>
                  <w:r w:rsidRPr="00966D72">
                    <w:rPr>
                      <w:color w:val="000000"/>
                    </w:rPr>
                    <w:t xml:space="preserve"> </w:t>
                  </w:r>
                  <w:proofErr w:type="gramEnd"/>
                  <w:r w:rsidRPr="00966D72">
                    <w:rPr>
                      <w:color w:val="000000"/>
                    </w:rPr>
                    <w:t xml:space="preserve">un vienlaikus turpināja īstenot sabiedrisko pasūtījumu, radīt ievērojama apjoma saturu sociālajiem tīkliem, attīstīt multimediālus projektus, rast inovatīvus risinājumus un piesaistīt jaunu auditoriju. </w:t>
                  </w:r>
                </w:p>
                <w:p w:rsidR="007548BE" w:rsidP="001222F1" w:rsidRDefault="007548BE" w14:paraId="576C3ED3" w14:textId="77777777">
                  <w:pPr>
                    <w:ind w:right="109"/>
                    <w:jc w:val="both"/>
                    <w:rPr>
                      <w:color w:val="000000"/>
                    </w:rPr>
                  </w:pPr>
                </w:p>
                <w:p w:rsidRPr="00966D72" w:rsidR="003F6B9D" w:rsidP="001222F1" w:rsidRDefault="00781881" w14:paraId="396D4075" w14:textId="74F789BE">
                  <w:pPr>
                    <w:ind w:right="109"/>
                    <w:jc w:val="both"/>
                    <w:rPr>
                      <w:color w:val="000000"/>
                    </w:rPr>
                  </w:pPr>
                  <w:proofErr w:type="spellStart"/>
                  <w:r>
                    <w:rPr>
                      <w:color w:val="000000"/>
                    </w:rPr>
                    <w:t>Covid</w:t>
                  </w:r>
                  <w:r w:rsidRPr="00966D72" w:rsidR="003F6B9D">
                    <w:rPr>
                      <w:color w:val="000000"/>
                    </w:rPr>
                    <w:t>-19</w:t>
                  </w:r>
                  <w:proofErr w:type="spellEnd"/>
                  <w:r w:rsidRPr="00966D72" w:rsidR="003F6B9D">
                    <w:rPr>
                      <w:color w:val="000000"/>
                    </w:rPr>
                    <w:t xml:space="preserve"> izplatības apstākļos Latvijas Radio personāls bija un joprojām ir īpašā - paaugstinātā riska grupā. </w:t>
                  </w:r>
                  <w:r w:rsidR="003F6B9D">
                    <w:rPr>
                      <w:color w:val="000000"/>
                    </w:rPr>
                    <w:t xml:space="preserve">Kā redzams no Eiropas Raidorganizāciju apvienības (EBU) dalībvalstu pieredzes, sabiedriskie mediji, apzinoties savu misiju, joprojām strādā, pilnībā vai daļēji ievērojot epidemioloģiskos drošības pasākumus un izvērtējot </w:t>
                  </w:r>
                  <w:proofErr w:type="spellStart"/>
                  <w:r w:rsidR="003F6B9D">
                    <w:rPr>
                      <w:color w:val="000000"/>
                    </w:rPr>
                    <w:t>C</w:t>
                  </w:r>
                  <w:r>
                    <w:rPr>
                      <w:color w:val="000000"/>
                    </w:rPr>
                    <w:t>ovid</w:t>
                  </w:r>
                  <w:r w:rsidR="003F6B9D">
                    <w:rPr>
                      <w:color w:val="000000"/>
                    </w:rPr>
                    <w:t>-19</w:t>
                  </w:r>
                  <w:proofErr w:type="spellEnd"/>
                  <w:r w:rsidR="003F6B9D">
                    <w:rPr>
                      <w:color w:val="000000"/>
                    </w:rPr>
                    <w:t xml:space="preserve"> izplatības nākotnes riskus. </w:t>
                  </w:r>
                </w:p>
                <w:p w:rsidRPr="00966D72" w:rsidR="003F6B9D" w:rsidP="001222F1" w:rsidRDefault="003F6B9D" w14:paraId="2F4E95D5" w14:textId="77777777">
                  <w:pPr>
                    <w:ind w:right="109"/>
                    <w:jc w:val="both"/>
                    <w:rPr>
                      <w:color w:val="000000"/>
                    </w:rPr>
                  </w:pPr>
                </w:p>
                <w:p w:rsidRPr="00966D72" w:rsidR="003F6B9D" w:rsidP="001222F1" w:rsidRDefault="003F6B9D" w14:paraId="74D6D13C" w14:textId="77777777">
                  <w:pPr>
                    <w:ind w:right="109"/>
                    <w:jc w:val="both"/>
                    <w:rPr>
                      <w:color w:val="000000"/>
                    </w:rPr>
                  </w:pPr>
                  <w:r w:rsidRPr="00966D72">
                    <w:rPr>
                      <w:color w:val="000000"/>
                    </w:rPr>
                    <w:t xml:space="preserve">Latvijas Radio vadības uzdevums bija nodrošināt tādu darba vidi un apstākļus, lai maksimāli veicinātu Latvijas Radio personāla spēju veikt savus tiešos pienākumus un nepakļautu </w:t>
                  </w:r>
                  <w:r>
                    <w:rPr>
                      <w:color w:val="000000"/>
                    </w:rPr>
                    <w:t xml:space="preserve">kā </w:t>
                  </w:r>
                  <w:r w:rsidRPr="00966D72">
                    <w:rPr>
                      <w:color w:val="000000"/>
                    </w:rPr>
                    <w:t>darbiniekus</w:t>
                  </w:r>
                  <w:r>
                    <w:rPr>
                      <w:color w:val="000000"/>
                    </w:rPr>
                    <w:t>, tā arī Latvijas Radio intervējamās personas</w:t>
                  </w:r>
                  <w:r w:rsidRPr="00966D72">
                    <w:rPr>
                      <w:color w:val="000000"/>
                    </w:rPr>
                    <w:t xml:space="preserve"> inficēšanās riskam.</w:t>
                  </w:r>
                </w:p>
                <w:p w:rsidRPr="00966D72" w:rsidR="003F6B9D" w:rsidP="001222F1" w:rsidRDefault="003F6B9D" w14:paraId="7025E839" w14:textId="77777777">
                  <w:pPr>
                    <w:pStyle w:val="Paraststmeklis"/>
                    <w:spacing w:before="0" w:beforeAutospacing="0" w:after="0" w:afterAutospacing="0"/>
                    <w:jc w:val="both"/>
                    <w:rPr>
                      <w:color w:val="000000"/>
                    </w:rPr>
                  </w:pPr>
                </w:p>
                <w:p w:rsidR="003F6B9D" w:rsidP="001222F1" w:rsidRDefault="003F6B9D" w14:paraId="794AD59B" w14:textId="11F6F086">
                  <w:pPr>
                    <w:pStyle w:val="Paraststmeklis"/>
                    <w:spacing w:before="0" w:beforeAutospacing="0" w:after="0" w:afterAutospacing="0"/>
                    <w:ind w:right="109"/>
                    <w:jc w:val="both"/>
                    <w:rPr>
                      <w:color w:val="000000"/>
                    </w:rPr>
                  </w:pPr>
                  <w:r w:rsidRPr="00966D72">
                    <w:rPr>
                      <w:color w:val="000000"/>
                    </w:rPr>
                    <w:t xml:space="preserve">Operatīvo izmaiņu </w:t>
                  </w:r>
                  <w:r w:rsidR="0055634A">
                    <w:rPr>
                      <w:color w:val="000000"/>
                    </w:rPr>
                    <w:t>–</w:t>
                  </w:r>
                  <w:r w:rsidRPr="00966D72">
                    <w:rPr>
                      <w:color w:val="000000"/>
                    </w:rPr>
                    <w:t xml:space="preserve"> personāla</w:t>
                  </w:r>
                  <w:r w:rsidR="0055634A">
                    <w:rPr>
                      <w:color w:val="000000"/>
                    </w:rPr>
                    <w:t xml:space="preserve"> </w:t>
                  </w:r>
                  <w:r w:rsidRPr="00966D72">
                    <w:rPr>
                      <w:color w:val="000000"/>
                    </w:rPr>
                    <w:t xml:space="preserve">attālināta un droša darba organizācija, sabiedriskajā pasūtījumā apstiprinātā un jauna satura plānošana un nodrošināšana, nepieciešamā papildu aprīkojuma iegāde, atbalsta funkciju </w:t>
                  </w:r>
                  <w:r w:rsidR="0055634A">
                    <w:rPr>
                      <w:color w:val="000000"/>
                    </w:rPr>
                    <w:t>(</w:t>
                  </w:r>
                  <w:r w:rsidRPr="00966D72">
                    <w:rPr>
                      <w:color w:val="000000"/>
                    </w:rPr>
                    <w:t>t.sk. tehnoloģisko, autotransporta</w:t>
                  </w:r>
                  <w:r w:rsidR="0055634A">
                    <w:rPr>
                      <w:color w:val="000000"/>
                    </w:rPr>
                    <w:t xml:space="preserve"> u.c.)</w:t>
                  </w:r>
                  <w:r w:rsidRPr="00966D72">
                    <w:rPr>
                      <w:color w:val="000000"/>
                    </w:rPr>
                    <w:t xml:space="preserve"> nodrošināšana, </w:t>
                  </w:r>
                  <w:r w:rsidRPr="00966D72">
                    <w:rPr>
                      <w:color w:val="000000"/>
                    </w:rPr>
                    <w:lastRenderedPageBreak/>
                    <w:t>papildus dezinfekcijas un aizsarglīdzekļu iegāde u.</w:t>
                  </w:r>
                  <w:r w:rsidR="0055634A">
                    <w:rPr>
                      <w:color w:val="000000"/>
                    </w:rPr>
                    <w:t>c</w:t>
                  </w:r>
                  <w:r w:rsidRPr="00966D72">
                    <w:rPr>
                      <w:color w:val="000000"/>
                    </w:rPr>
                    <w:t xml:space="preserve">. – īstenošanai tika novirzīti līdzekļi, kas citos apstākļos tiktu tērēti ikdienas satura radīšanai. </w:t>
                  </w:r>
                </w:p>
                <w:p w:rsidR="003F6B9D" w:rsidP="001222F1" w:rsidRDefault="003F6B9D" w14:paraId="46F181BC" w14:textId="77777777">
                  <w:pPr>
                    <w:pStyle w:val="Paraststmeklis"/>
                    <w:spacing w:before="0" w:beforeAutospacing="0" w:after="0" w:afterAutospacing="0"/>
                    <w:ind w:right="109"/>
                    <w:jc w:val="both"/>
                    <w:rPr>
                      <w:color w:val="000000"/>
                    </w:rPr>
                  </w:pPr>
                </w:p>
                <w:p w:rsidR="003F6B9D" w:rsidP="001222F1" w:rsidRDefault="003F6B9D" w14:paraId="3A0AEED3" w14:textId="77777777">
                  <w:pPr>
                    <w:pStyle w:val="Paraststmeklis"/>
                    <w:spacing w:before="0" w:beforeAutospacing="0" w:after="0" w:afterAutospacing="0"/>
                    <w:ind w:right="109"/>
                    <w:jc w:val="both"/>
                    <w:rPr>
                      <w:color w:val="000000"/>
                    </w:rPr>
                  </w:pPr>
                  <w:r>
                    <w:rPr>
                      <w:color w:val="000000"/>
                    </w:rPr>
                    <w:t xml:space="preserve">Operatīvi pielāgojot saturu aktualitātēm un apzinoties Latvijas Radio lomu katra indivīda un sabiedrības kopumā emocionālā līdzsvara noturēšanā, Latvijas Radio visā ārkārtējās situācijas laikā nodrošināja savu piecu programmu </w:t>
                  </w:r>
                  <w:proofErr w:type="gramStart"/>
                  <w:r>
                    <w:rPr>
                      <w:color w:val="000000"/>
                    </w:rPr>
                    <w:t>(</w:t>
                  </w:r>
                  <w:proofErr w:type="gramEnd"/>
                  <w:r>
                    <w:rPr>
                      <w:color w:val="000000"/>
                    </w:rPr>
                    <w:t xml:space="preserve">Latvijas Radio 1, Latvijas Radio 2, Latvijas Radio 3 – Klasika, Latvijas Radio 4 – Doma laukums, Latvijas Radio 5 – </w:t>
                  </w:r>
                  <w:proofErr w:type="spellStart"/>
                  <w:r>
                    <w:rPr>
                      <w:color w:val="000000"/>
                    </w:rPr>
                    <w:t>Pieci.lv</w:t>
                  </w:r>
                  <w:proofErr w:type="spellEnd"/>
                  <w:r>
                    <w:rPr>
                      <w:color w:val="000000"/>
                    </w:rPr>
                    <w:t>) satura ražošanu un izplatīšanu atbilstoši sabiedriskā pasūtījuma 2020.gada programmu plānam un piešķirtajam valsts budžetam. Līdz ar to Latvijas Radio neveidojās izmaksu samazinājums.</w:t>
                  </w:r>
                </w:p>
                <w:p w:rsidR="003F6B9D" w:rsidP="001222F1" w:rsidRDefault="003F6B9D" w14:paraId="5078F336" w14:textId="77777777">
                  <w:pPr>
                    <w:pStyle w:val="Paraststmeklis"/>
                    <w:spacing w:before="0" w:beforeAutospacing="0" w:after="0" w:afterAutospacing="0"/>
                    <w:ind w:right="109"/>
                    <w:jc w:val="both"/>
                    <w:rPr>
                      <w:color w:val="000000"/>
                    </w:rPr>
                  </w:pPr>
                </w:p>
                <w:p w:rsidRPr="00966D72" w:rsidR="003F6B9D" w:rsidP="00B632BB" w:rsidRDefault="003F6B9D" w14:paraId="4B17414C" w14:textId="3E8901B7">
                  <w:pPr>
                    <w:spacing w:before="60"/>
                    <w:ind w:right="109"/>
                    <w:jc w:val="both"/>
                    <w:rPr>
                      <w:color w:val="000000"/>
                    </w:rPr>
                  </w:pPr>
                  <w:r>
                    <w:rPr>
                      <w:color w:val="000000"/>
                    </w:rPr>
                    <w:t xml:space="preserve">Laikā no </w:t>
                  </w:r>
                  <w:r w:rsidR="00781881">
                    <w:rPr>
                      <w:color w:val="000000"/>
                    </w:rPr>
                    <w:t xml:space="preserve">š.g. </w:t>
                  </w:r>
                  <w:proofErr w:type="gramStart"/>
                  <w:r>
                    <w:rPr>
                      <w:color w:val="000000"/>
                    </w:rPr>
                    <w:t>12.</w:t>
                  </w:r>
                  <w:r w:rsidR="00781881">
                    <w:rPr>
                      <w:color w:val="000000"/>
                    </w:rPr>
                    <w:t>marta</w:t>
                  </w:r>
                  <w:proofErr w:type="gramEnd"/>
                  <w:r>
                    <w:rPr>
                      <w:color w:val="000000"/>
                    </w:rPr>
                    <w:t xml:space="preserve"> līdz 14.</w:t>
                  </w:r>
                  <w:r w:rsidR="00781881">
                    <w:rPr>
                      <w:color w:val="000000"/>
                    </w:rPr>
                    <w:t>aprīlim</w:t>
                  </w:r>
                  <w:r>
                    <w:rPr>
                      <w:color w:val="000000"/>
                    </w:rPr>
                    <w:t xml:space="preserve"> attiecībā uz saturu, bet līdz 17.</w:t>
                  </w:r>
                  <w:r w:rsidR="00781881">
                    <w:rPr>
                      <w:color w:val="000000"/>
                    </w:rPr>
                    <w:t>maijam</w:t>
                  </w:r>
                  <w:r>
                    <w:rPr>
                      <w:color w:val="000000"/>
                    </w:rPr>
                    <w:t xml:space="preserve"> </w:t>
                  </w:r>
                  <w:r w:rsidR="00781881">
                    <w:rPr>
                      <w:color w:val="000000"/>
                    </w:rPr>
                    <w:t>attiecībā uz</w:t>
                  </w:r>
                  <w:r>
                    <w:rPr>
                      <w:color w:val="000000"/>
                    </w:rPr>
                    <w:t xml:space="preserve"> sociālajiem paziņojumiem, Latvijas Radio no </w:t>
                  </w:r>
                  <w:r w:rsidR="00781881">
                    <w:rPr>
                      <w:color w:val="000000"/>
                    </w:rPr>
                    <w:t xml:space="preserve">jau </w:t>
                  </w:r>
                  <w:r>
                    <w:rPr>
                      <w:color w:val="000000"/>
                    </w:rPr>
                    <w:t xml:space="preserve">piešķirtajiem līdzekļiem </w:t>
                  </w:r>
                  <w:r w:rsidR="00781881">
                    <w:rPr>
                      <w:color w:val="000000"/>
                    </w:rPr>
                    <w:t xml:space="preserve">neparedzētiem gadījumiem </w:t>
                  </w:r>
                  <w:r>
                    <w:rPr>
                      <w:color w:val="000000"/>
                    </w:rPr>
                    <w:t xml:space="preserve">(25 674 </w:t>
                  </w:r>
                  <w:proofErr w:type="spellStart"/>
                  <w:r w:rsidRPr="006F431E" w:rsidR="006F431E">
                    <w:rPr>
                      <w:i/>
                      <w:iCs/>
                      <w:color w:val="000000"/>
                    </w:rPr>
                    <w:t>euro</w:t>
                  </w:r>
                  <w:proofErr w:type="spellEnd"/>
                  <w:r w:rsidRPr="00182B6B">
                    <w:rPr>
                      <w:color w:val="000000"/>
                    </w:rPr>
                    <w:t xml:space="preserve">) nodrošināja Pūpolu svētdienas un Lieldienu nakts dievkalpojumu tiešraides (gan luterāņu, gan pareizticīgo dievkalpojumu), Ekumēniskā krusta ceļa un tradicionālo konfesiju mācītāju Lieldienu apsveikumu fiksēšanu un pārraidīšanu, producēja un pārraidīja īpaši </w:t>
                  </w:r>
                  <w:proofErr w:type="spellStart"/>
                  <w:r w:rsidRPr="00182B6B">
                    <w:rPr>
                      <w:color w:val="000000"/>
                    </w:rPr>
                    <w:t>C</w:t>
                  </w:r>
                  <w:r w:rsidR="00781881">
                    <w:rPr>
                      <w:color w:val="000000"/>
                    </w:rPr>
                    <w:t>ovid</w:t>
                  </w:r>
                  <w:r w:rsidRPr="00182B6B">
                    <w:rPr>
                      <w:color w:val="000000"/>
                    </w:rPr>
                    <w:t>-19</w:t>
                  </w:r>
                  <w:proofErr w:type="spellEnd"/>
                  <w:r w:rsidRPr="00182B6B">
                    <w:rPr>
                      <w:color w:val="000000"/>
                    </w:rPr>
                    <w:t xml:space="preserve"> pielāgotu jauniešu auditorijai mērķētu rubriku, ziņu sižetus, raidījumus saistībā ar </w:t>
                  </w:r>
                  <w:proofErr w:type="spellStart"/>
                  <w:r w:rsidRPr="00182B6B">
                    <w:rPr>
                      <w:color w:val="000000"/>
                    </w:rPr>
                    <w:t>C</w:t>
                  </w:r>
                  <w:r w:rsidR="00781881">
                    <w:rPr>
                      <w:color w:val="000000"/>
                    </w:rPr>
                    <w:t>ovid</w:t>
                  </w:r>
                  <w:r w:rsidRPr="00182B6B">
                    <w:rPr>
                      <w:color w:val="000000"/>
                    </w:rPr>
                    <w:t>-19</w:t>
                  </w:r>
                  <w:proofErr w:type="spellEnd"/>
                  <w:r w:rsidRPr="00182B6B">
                    <w:rPr>
                      <w:color w:val="000000"/>
                    </w:rPr>
                    <w:t xml:space="preserve">  ietekmi, saturu sociālajiem tīkliem un sociālos paziņojumus latviešu un krievu valodā. Sociālie paziņojumi tika izplatīti visās piecās Latvijas Radio programmās (kopā 1779 reizes). </w:t>
                  </w:r>
                  <w:bookmarkStart w:name="_Hlk51584532" w:id="3"/>
                  <w:r w:rsidRPr="00182B6B">
                    <w:rPr>
                      <w:color w:val="000000"/>
                    </w:rPr>
                    <w:t xml:space="preserve">Atbalstot vietējos mūziķus, „Latvijas Radio 3 </w:t>
                  </w:r>
                  <w:r w:rsidR="00781881">
                    <w:rPr>
                      <w:color w:val="000000"/>
                    </w:rPr>
                    <w:t>–</w:t>
                  </w:r>
                  <w:r w:rsidRPr="00182B6B">
                    <w:rPr>
                      <w:color w:val="000000"/>
                    </w:rPr>
                    <w:t xml:space="preserve"> Klasika” programma gatavoja 1.studijas koncertu ciklu “Viens pats studijā”, nodrošinot tiešraidi lineārajā ēterā un </w:t>
                  </w:r>
                  <w:proofErr w:type="spellStart"/>
                  <w:r w:rsidRPr="00182B6B">
                    <w:rPr>
                      <w:color w:val="000000"/>
                    </w:rPr>
                    <w:t>Facebook</w:t>
                  </w:r>
                  <w:proofErr w:type="spellEnd"/>
                  <w:r w:rsidRPr="00182B6B">
                    <w:rPr>
                      <w:color w:val="000000"/>
                    </w:rPr>
                    <w:t xml:space="preserve"> tīklā.</w:t>
                  </w:r>
                  <w:r>
                    <w:rPr>
                      <w:color w:val="000000"/>
                    </w:rPr>
                    <w:t xml:space="preserve"> </w:t>
                  </w:r>
                  <w:bookmarkEnd w:id="3"/>
                </w:p>
                <w:p w:rsidRPr="00966D72" w:rsidR="003F6B9D" w:rsidP="001222F1" w:rsidRDefault="003F6B9D" w14:paraId="7B58B5CF" w14:textId="77777777">
                  <w:pPr>
                    <w:ind w:right="109"/>
                    <w:jc w:val="both"/>
                  </w:pPr>
                </w:p>
                <w:p w:rsidRPr="00966D72" w:rsidR="003F6B9D" w:rsidP="001222F1" w:rsidRDefault="003F6B9D" w14:paraId="1543BEC3" w14:textId="2188C9CE">
                  <w:pPr>
                    <w:ind w:right="109"/>
                    <w:jc w:val="both"/>
                  </w:pPr>
                  <w:r w:rsidRPr="00966D72">
                    <w:rPr>
                      <w:color w:val="000000"/>
                      <w:shd w:val="clear" w:color="auto" w:fill="FFFFFF"/>
                    </w:rPr>
                    <w:t xml:space="preserve">Latvijas Radio nebūs iespējas nodrošināt apstiprinātā </w:t>
                  </w:r>
                  <w:r w:rsidRPr="00966D72">
                    <w:t>sabiedriskā pasūtījuma ražošanas apjomu, j</w:t>
                  </w:r>
                  <w:r w:rsidRPr="00966D72">
                    <w:rPr>
                      <w:color w:val="000000"/>
                      <w:shd w:val="clear" w:color="auto" w:fill="FFFFFF"/>
                    </w:rPr>
                    <w:t>a netiks piešķirts</w:t>
                  </w:r>
                  <w:r>
                    <w:rPr>
                      <w:color w:val="000000"/>
                      <w:shd w:val="clear" w:color="auto" w:fill="FFFFFF"/>
                    </w:rPr>
                    <w:t xml:space="preserve"> papildu finansējums izdevumiem, </w:t>
                  </w:r>
                  <w:r w:rsidRPr="00182B6B">
                    <w:rPr>
                      <w:color w:val="000000"/>
                      <w:shd w:val="clear" w:color="auto" w:fill="FFFFFF"/>
                    </w:rPr>
                    <w:t xml:space="preserve">kas tieši radušies saistībā ar </w:t>
                  </w:r>
                  <w:proofErr w:type="spellStart"/>
                  <w:r w:rsidRPr="00182B6B">
                    <w:rPr>
                      <w:color w:val="000000"/>
                      <w:shd w:val="clear" w:color="auto" w:fill="FFFFFF"/>
                    </w:rPr>
                    <w:t>C</w:t>
                  </w:r>
                  <w:r w:rsidR="00781881">
                    <w:rPr>
                      <w:color w:val="000000"/>
                      <w:shd w:val="clear" w:color="auto" w:fill="FFFFFF"/>
                    </w:rPr>
                    <w:t>ovid</w:t>
                  </w:r>
                  <w:r w:rsidRPr="00182B6B">
                    <w:rPr>
                      <w:color w:val="000000"/>
                      <w:shd w:val="clear" w:color="auto" w:fill="FFFFFF"/>
                    </w:rPr>
                    <w:t>-19</w:t>
                  </w:r>
                  <w:proofErr w:type="spellEnd"/>
                  <w:r w:rsidRPr="00182B6B">
                    <w:rPr>
                      <w:color w:val="000000"/>
                      <w:shd w:val="clear" w:color="auto" w:fill="FFFFFF"/>
                    </w:rPr>
                    <w:t xml:space="preserve"> izplatību</w:t>
                  </w:r>
                  <w:r w:rsidRPr="00182B6B">
                    <w:t>.</w:t>
                  </w:r>
                </w:p>
                <w:p w:rsidRPr="00966D72" w:rsidR="003F6B9D" w:rsidP="001222F1" w:rsidRDefault="003F6B9D" w14:paraId="62F9FC5B" w14:textId="77777777">
                  <w:pPr>
                    <w:ind w:right="109"/>
                    <w:jc w:val="both"/>
                    <w:rPr>
                      <w:color w:val="000000"/>
                    </w:rPr>
                  </w:pPr>
                </w:p>
                <w:p w:rsidR="003F6B9D" w:rsidP="001222F1" w:rsidRDefault="003F6B9D" w14:paraId="2B530DC5" w14:textId="531FCCFF">
                  <w:pPr>
                    <w:spacing w:before="60"/>
                    <w:ind w:right="109"/>
                    <w:jc w:val="both"/>
                    <w:rPr>
                      <w:color w:val="000000"/>
                    </w:rPr>
                  </w:pPr>
                  <w:r w:rsidRPr="00966D72">
                    <w:rPr>
                      <w:color w:val="000000"/>
                    </w:rPr>
                    <w:t>Atbilstoši Elektronisko plašsaziņas līdzekļu likuma (</w:t>
                  </w:r>
                  <w:r w:rsidR="007548BE">
                    <w:rPr>
                      <w:color w:val="000000"/>
                    </w:rPr>
                    <w:t xml:space="preserve">turpmāk – </w:t>
                  </w:r>
                  <w:r w:rsidRPr="00966D72">
                    <w:rPr>
                      <w:color w:val="000000"/>
                    </w:rPr>
                    <w:t xml:space="preserve">EPLL) </w:t>
                  </w:r>
                  <w:proofErr w:type="gramStart"/>
                  <w:r w:rsidRPr="00966D72">
                    <w:rPr>
                      <w:color w:val="000000"/>
                    </w:rPr>
                    <w:t>2.panta</w:t>
                  </w:r>
                  <w:proofErr w:type="gramEnd"/>
                  <w:r w:rsidRPr="00966D72">
                    <w:rPr>
                      <w:color w:val="000000"/>
                    </w:rPr>
                    <w:t xml:space="preserve"> otrās daļas 2.punktam sabiedriskajiem medijiem  cita starpā ir jānodrošina sociāli nozīmīgas informācijas vispārēju pieejamību un netraucētu brīvas, demokrātiskas diskusijas uzturēšanu un attīstību, paverot katram Latvijas iedzīvotājam </w:t>
                  </w:r>
                  <w:r w:rsidRPr="00966D72">
                    <w:rPr>
                      <w:color w:val="000000"/>
                    </w:rPr>
                    <w:lastRenderedPageBreak/>
                    <w:t>iespēju patstāvīgi veidot viedokli par valstī notiekošajiem procesiem un tādējādi sekmējot viņa kā demokrātiskas sabiedrības locekļa līdzdalību.</w:t>
                  </w:r>
                </w:p>
                <w:p w:rsidR="007548BE" w:rsidP="001222F1" w:rsidRDefault="007548BE" w14:paraId="02FB11DC" w14:textId="77777777">
                  <w:pPr>
                    <w:ind w:right="109"/>
                    <w:jc w:val="both"/>
                    <w:rPr>
                      <w:color w:val="000000"/>
                    </w:rPr>
                  </w:pPr>
                </w:p>
                <w:p w:rsidRPr="00966D72" w:rsidR="003F6B9D" w:rsidP="001222F1" w:rsidRDefault="003F6B9D" w14:paraId="2C4408D2" w14:textId="06082EE1">
                  <w:pPr>
                    <w:ind w:right="109"/>
                    <w:jc w:val="both"/>
                    <w:rPr>
                      <w:color w:val="000000"/>
                    </w:rPr>
                  </w:pPr>
                  <w:r w:rsidRPr="00966D72">
                    <w:rPr>
                      <w:color w:val="000000"/>
                    </w:rPr>
                    <w:t xml:space="preserve">Saskaņā EPLL </w:t>
                  </w:r>
                  <w:proofErr w:type="gramStart"/>
                  <w:r w:rsidRPr="00966D72">
                    <w:rPr>
                      <w:color w:val="000000"/>
                    </w:rPr>
                    <w:t>66.panta</w:t>
                  </w:r>
                  <w:proofErr w:type="gramEnd"/>
                  <w:r w:rsidRPr="00966D72">
                    <w:rPr>
                      <w:color w:val="000000"/>
                    </w:rPr>
                    <w:t xml:space="preserve"> pirmo daļu sabiedriskajiem medijiem ir jānodrošina informācija, kas nepieciešama, lai katrs sabiedrības loceklis varētu veidot pamatotu un brīvu viedokli, bet šī panta trešā daļa nosaka, ka sabiedrisko elektronisko plašsaziņas līdzekļu programmu veidošanā tiek ievērota Latvijas sabiedrības dažādība sociālajā, ekonomiskajā, reģionālajā, izglītības, kultūras un reliģijas ziņā, respektējot cilvēka tiesības un pamatbrīvības, visu cilvēku vienlīdzību likuma priekšā, uzskatu un izteiksmes brīvību, tiesības brīvi saņemt un izplatīt informāciju.</w:t>
                  </w:r>
                </w:p>
                <w:p w:rsidRPr="00966D72" w:rsidR="003F6B9D" w:rsidP="001222F1" w:rsidRDefault="003F6B9D" w14:paraId="49133A5A" w14:textId="77777777">
                  <w:pPr>
                    <w:ind w:right="109"/>
                    <w:jc w:val="both"/>
                    <w:rPr>
                      <w:color w:val="000000"/>
                    </w:rPr>
                  </w:pPr>
                </w:p>
                <w:p w:rsidRPr="00966D72" w:rsidR="003F6B9D" w:rsidP="001222F1" w:rsidRDefault="003F6B9D" w14:paraId="01B27547" w14:textId="77777777">
                  <w:pPr>
                    <w:spacing w:before="60"/>
                    <w:ind w:right="109"/>
                    <w:jc w:val="both"/>
                    <w:rPr>
                      <w:color w:val="000000"/>
                    </w:rPr>
                  </w:pPr>
                  <w:r w:rsidRPr="00966D72">
                    <w:rPr>
                      <w:color w:val="000000"/>
                    </w:rPr>
                    <w:t xml:space="preserve">Atbildīga žurnālistika spēlē vitāli svarīgu lomu valsts kritiskos brīžos. Īstenojot EPLL </w:t>
                  </w:r>
                  <w:proofErr w:type="gramStart"/>
                  <w:r w:rsidRPr="00966D72">
                    <w:rPr>
                      <w:color w:val="000000"/>
                    </w:rPr>
                    <w:t>71.pantā</w:t>
                  </w:r>
                  <w:proofErr w:type="gramEnd"/>
                  <w:r w:rsidRPr="00966D72">
                    <w:rPr>
                      <w:color w:val="000000"/>
                    </w:rPr>
                    <w:t xml:space="preserve"> noteikto, Latvijas Radio un Latvijas Televīzijas uzdevums ir gādāt ne tikai, lai sabiedrība saņem vispusīgu un objektīvu informāciju par procesiem un notikumiem, bet arī, līdz šim nepieredzētā situācijā, izglītot sabiedrību un palīdzēt savai auditorijai pieņemt informētus lēmumus.</w:t>
                  </w:r>
                </w:p>
                <w:p w:rsidRPr="00966D72" w:rsidR="003F6B9D" w:rsidP="001222F1" w:rsidRDefault="003F6B9D" w14:paraId="3649CB75" w14:textId="77777777">
                  <w:pPr>
                    <w:spacing w:before="60"/>
                    <w:ind w:right="109"/>
                    <w:jc w:val="both"/>
                    <w:rPr>
                      <w:color w:val="000000"/>
                    </w:rPr>
                  </w:pPr>
                  <w:bookmarkStart w:name="_Toc450547089" w:id="4"/>
                  <w:bookmarkStart w:name="_Toc450566385" w:id="5"/>
                  <w:bookmarkStart w:name="_Toc450547091" w:id="6"/>
                  <w:bookmarkStart w:name="_Toc450566387" w:id="7"/>
                </w:p>
                <w:p w:rsidRPr="00966D72" w:rsidR="003F6B9D" w:rsidP="001222F1" w:rsidRDefault="003F6B9D" w14:paraId="480F16DB" w14:textId="5E8165D1">
                  <w:pPr>
                    <w:spacing w:before="60"/>
                    <w:ind w:right="109"/>
                    <w:jc w:val="both"/>
                    <w:rPr>
                      <w:color w:val="000000"/>
                    </w:rPr>
                  </w:pPr>
                  <w:r w:rsidRPr="00966D72">
                    <w:rPr>
                      <w:color w:val="000000"/>
                    </w:rPr>
                    <w:t>Eiropas Cilvēktiesību un pamatbrīvību aizsardzības konvencijas (</w:t>
                  </w:r>
                  <w:r w:rsidR="007548BE">
                    <w:rPr>
                      <w:color w:val="000000"/>
                    </w:rPr>
                    <w:t xml:space="preserve">turpmāk – </w:t>
                  </w:r>
                  <w:r w:rsidRPr="00966D72">
                    <w:rPr>
                      <w:color w:val="000000"/>
                    </w:rPr>
                    <w:t>Konvencija)</w:t>
                  </w:r>
                  <w:bookmarkEnd w:id="4"/>
                  <w:bookmarkEnd w:id="5"/>
                  <w:r w:rsidRPr="00966D72">
                    <w:rPr>
                      <w:color w:val="000000"/>
                    </w:rPr>
                    <w:t xml:space="preserve"> </w:t>
                  </w:r>
                  <w:proofErr w:type="gramStart"/>
                  <w:r w:rsidRPr="00966D72">
                    <w:rPr>
                      <w:color w:val="000000"/>
                    </w:rPr>
                    <w:t>10.pantā</w:t>
                  </w:r>
                  <w:proofErr w:type="gramEnd"/>
                  <w:r w:rsidRPr="00966D72">
                    <w:rPr>
                      <w:color w:val="000000"/>
                    </w:rPr>
                    <w:t xml:space="preserve"> noteikts</w:t>
                  </w:r>
                  <w:bookmarkEnd w:id="6"/>
                  <w:bookmarkEnd w:id="7"/>
                  <w:r w:rsidRPr="00966D72">
                    <w:rPr>
                      <w:color w:val="000000"/>
                    </w:rPr>
                    <w:t>, ka ikvienam ir tiesības brīvi paust savus uzskatus. Šīs tiesības ietver uzskatu brīvību un tiesības netraucēti saņemt un izplatīt informāciju un idejas bez iejaukšanās no sabiedrisko institūciju puses un neatkarīgi no valstu robežām.</w:t>
                  </w:r>
                </w:p>
                <w:p w:rsidRPr="00966D72" w:rsidR="003F6B9D" w:rsidP="001222F1" w:rsidRDefault="003F6B9D" w14:paraId="05ECA7C1" w14:textId="77777777">
                  <w:pPr>
                    <w:spacing w:before="60"/>
                    <w:ind w:right="109"/>
                    <w:jc w:val="both"/>
                    <w:rPr>
                      <w:color w:val="000000"/>
                    </w:rPr>
                  </w:pPr>
                </w:p>
                <w:p w:rsidRPr="00966D72" w:rsidR="003F6B9D" w:rsidP="001222F1" w:rsidRDefault="003F6B9D" w14:paraId="62EC4292" w14:textId="2B67B718">
                  <w:pPr>
                    <w:spacing w:before="60"/>
                    <w:ind w:right="109"/>
                    <w:jc w:val="both"/>
                    <w:rPr>
                      <w:color w:val="000000"/>
                    </w:rPr>
                  </w:pPr>
                  <w:r w:rsidRPr="00966D72">
                    <w:rPr>
                      <w:color w:val="000000"/>
                    </w:rPr>
                    <w:t xml:space="preserve">Saskaņā ar vispārējiem principiem, kas izriet no Eiropas Cilvēktiesību tiesas prakses attiecībā uz Konvencijas </w:t>
                  </w:r>
                  <w:proofErr w:type="gramStart"/>
                  <w:r w:rsidRPr="00966D72">
                    <w:rPr>
                      <w:color w:val="000000"/>
                    </w:rPr>
                    <w:t>10.pantu</w:t>
                  </w:r>
                  <w:proofErr w:type="gramEnd"/>
                  <w:r w:rsidRPr="00966D72">
                    <w:rPr>
                      <w:color w:val="000000"/>
                    </w:rPr>
                    <w:t>, tiesības brīvi paust savus uzskatus ir viens no būtiskākajiem demokrātiskas sabiedrības pamatiem un viens no svarīgākajiem nosacījumiem tās progresam un katra indivīda uzplauksmei. Plašsaziņas līdzekļu uzdevums, īstenojot savu „sargsuņa” lomu, ir darīt zināmu informāciju un idejas par politiskiem jautājumiem, kā arī citām visu sabiedrību interesējošām tēmām. Informācijas izplatīšanas funkcijai pievienojas sabiedrības tiesības to saņemt.</w:t>
                  </w:r>
                </w:p>
                <w:p w:rsidRPr="00966D72" w:rsidR="003F6B9D" w:rsidP="2EC0DF3C" w:rsidRDefault="003F6B9D" w14:paraId="1CC2C25E" w14:textId="77777777">
                  <w:pPr>
                    <w:spacing w:before="60"/>
                    <w:ind w:right="109"/>
                    <w:jc w:val="both"/>
                    <w:rPr>
                      <w:color w:val="000000"/>
                    </w:rPr>
                  </w:pPr>
                </w:p>
                <w:p w:rsidRPr="00966D72" w:rsidR="003F6B9D" w:rsidP="001222F1" w:rsidRDefault="003F6B9D" w14:paraId="76A75621" w14:textId="44E7D428">
                  <w:pPr>
                    <w:ind w:right="109"/>
                    <w:jc w:val="both"/>
                  </w:pPr>
                  <w:r w:rsidRPr="00966D72">
                    <w:lastRenderedPageBreak/>
                    <w:t xml:space="preserve">Lai sniegtu atbalstu </w:t>
                  </w:r>
                  <w:proofErr w:type="spellStart"/>
                  <w:r w:rsidRPr="00966D72">
                    <w:t>Covid-19</w:t>
                  </w:r>
                  <w:proofErr w:type="spellEnd"/>
                  <w:r w:rsidRPr="00966D72">
                    <w:t xml:space="preserve"> krīzes radīto negatīvo seku mazināšanai mediju nozarei, Kultūras ministrijai sadarbībā ar </w:t>
                  </w:r>
                  <w:r w:rsidR="007548BE">
                    <w:t>NEPLP</w:t>
                  </w:r>
                  <w:r w:rsidRPr="00966D72">
                    <w:t xml:space="preserve"> bija jāveic aprēķini</w:t>
                  </w:r>
                  <w:proofErr w:type="gramStart"/>
                  <w:r w:rsidRPr="00966D72">
                    <w:t xml:space="preserve"> un</w:t>
                  </w:r>
                  <w:proofErr w:type="gramEnd"/>
                  <w:r w:rsidRPr="00966D72">
                    <w:t xml:space="preserve"> mēneša laikā pēc ārkārtējās situācijas beigām jāiesniedz noteiktā kārtībā izskatīšanai Ministru kabineta sēdē informatīvo ziņojumu par </w:t>
                  </w:r>
                  <w:proofErr w:type="spellStart"/>
                  <w:r w:rsidRPr="00966D72">
                    <w:t>Covid-19</w:t>
                  </w:r>
                  <w:proofErr w:type="spellEnd"/>
                  <w:r w:rsidRPr="00966D72">
                    <w:t xml:space="preserve"> ārkārtējās situācijas ietekmi uz sabiedrisko mediju finansiālo spēju nodrošināt sabiedriskā pasūtījuma izpildi.</w:t>
                  </w:r>
                </w:p>
                <w:p w:rsidRPr="00966D72" w:rsidR="003F6B9D" w:rsidP="001222F1" w:rsidRDefault="003F6B9D" w14:paraId="0CA022DB" w14:textId="77777777">
                  <w:pPr>
                    <w:pStyle w:val="Paraststmeklis"/>
                    <w:spacing w:before="0" w:beforeAutospacing="0" w:after="0" w:afterAutospacing="0"/>
                    <w:jc w:val="both"/>
                    <w:rPr>
                      <w:color w:val="000000"/>
                    </w:rPr>
                  </w:pPr>
                </w:p>
                <w:p w:rsidR="003F6B9D" w:rsidP="001222F1" w:rsidRDefault="007548BE" w14:paraId="7665F091" w14:textId="2BC36C38">
                  <w:pPr>
                    <w:ind w:right="109"/>
                    <w:jc w:val="both"/>
                    <w:rPr>
                      <w:color w:val="000000"/>
                    </w:rPr>
                  </w:pPr>
                  <w:r>
                    <w:rPr>
                      <w:color w:val="000000"/>
                    </w:rPr>
                    <w:t>I</w:t>
                  </w:r>
                  <w:r w:rsidRPr="00966D72" w:rsidR="003F6B9D">
                    <w:rPr>
                      <w:color w:val="000000"/>
                    </w:rPr>
                    <w:t>evērojot likuma "</w:t>
                  </w:r>
                  <w:hyperlink w:tgtFrame="_blank" w:history="1" r:id="rId10">
                    <w:r w:rsidRPr="00966D72" w:rsidR="003F6B9D">
                      <w:rPr>
                        <w:color w:val="000000"/>
                      </w:rPr>
                      <w:t>Par ārkārtējo situāciju un izņēmuma stāvokli</w:t>
                    </w:r>
                  </w:hyperlink>
                  <w:r w:rsidRPr="00966D72" w:rsidR="003F6B9D">
                    <w:rPr>
                      <w:color w:val="000000"/>
                    </w:rPr>
                    <w:t>" </w:t>
                  </w:r>
                  <w:hyperlink w:tgtFrame="_blank" w:history="1" w:anchor="p9" r:id="rId11">
                    <w:r w:rsidRPr="00966D72" w:rsidR="003F6B9D">
                      <w:rPr>
                        <w:color w:val="000000"/>
                      </w:rPr>
                      <w:t>9.</w:t>
                    </w:r>
                  </w:hyperlink>
                  <w:r w:rsidRPr="00966D72" w:rsidR="003F6B9D">
                    <w:rPr>
                      <w:color w:val="000000"/>
                    </w:rPr>
                    <w:t xml:space="preserve"> panta ceturtajā daļā noteikto, ka sabiedriskie elektroniskie plašsaziņas līdzekļi bez maksas izziņo lēmumu par ārkārtējo situāciju, kā arī sniedz citu informāciju par ārkārtējo situāciju un ieteikumus iedzīvotāju rīcībai, ievērojot Ministru kabineta un atbildīgās institūcijas nosacījumus par informācijas sniegšanas kārtību un steidzamību, 2020.gadā piešķirtais finansējums ārkārtējās situācijas risināšanai un vienlaikus plānotā un papildu satura ražošanai sabiedriskajiem medijiem nebija pietiekams. </w:t>
                  </w:r>
                </w:p>
                <w:p w:rsidR="00A3132D" w:rsidP="001222F1" w:rsidRDefault="00A3132D" w14:paraId="2610B9F7" w14:textId="77777777">
                  <w:pPr>
                    <w:ind w:right="109"/>
                    <w:jc w:val="both"/>
                    <w:rPr>
                      <w:color w:val="000000"/>
                    </w:rPr>
                  </w:pPr>
                </w:p>
                <w:p w:rsidRPr="00966D72" w:rsidR="00A3132D" w:rsidP="00A3132D" w:rsidRDefault="009D383A" w14:paraId="2B8CAF02" w14:textId="4CA4975B">
                  <w:pPr>
                    <w:ind w:right="109"/>
                    <w:jc w:val="both"/>
                  </w:pPr>
                  <w:r>
                    <w:rPr>
                      <w:color w:val="000000"/>
                    </w:rPr>
                    <w:t>Saskaņā ar</w:t>
                  </w:r>
                  <w:r w:rsidRPr="2EC0DF3C" w:rsidR="11E0060D">
                    <w:rPr>
                      <w:color w:val="000000"/>
                    </w:rPr>
                    <w:t xml:space="preserve"> </w:t>
                  </w:r>
                  <w:proofErr w:type="spellStart"/>
                  <w:r w:rsidR="11E0060D">
                    <w:t>Covid-19</w:t>
                  </w:r>
                  <w:proofErr w:type="spellEnd"/>
                  <w:r w:rsidR="11E0060D">
                    <w:t xml:space="preserve"> infekcijas izplatības seku pārvarēšanas likuma </w:t>
                  </w:r>
                  <w:proofErr w:type="gramStart"/>
                  <w:r w:rsidR="11E0060D">
                    <w:t xml:space="preserve">24. pantu </w:t>
                  </w:r>
                  <w:r>
                    <w:t>p</w:t>
                  </w:r>
                  <w:r w:rsidR="11E0060D">
                    <w:t xml:space="preserve">asākumus ar </w:t>
                  </w:r>
                  <w:proofErr w:type="spellStart"/>
                  <w:r w:rsidR="11E0060D">
                    <w:t>Covid</w:t>
                  </w:r>
                  <w:proofErr w:type="gramEnd"/>
                  <w:r w:rsidR="11E0060D">
                    <w:t>-19</w:t>
                  </w:r>
                  <w:proofErr w:type="spellEnd"/>
                  <w:r w:rsidR="11E0060D">
                    <w:t xml:space="preserve">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 </w:t>
                  </w:r>
                  <w:proofErr w:type="gramStart"/>
                  <w:r w:rsidR="11E0060D">
                    <w:t>un</w:t>
                  </w:r>
                  <w:proofErr w:type="gramEnd"/>
                  <w:r w:rsidR="11E0060D">
                    <w:t xml:space="preserve"> ņemot vērā jau saņemto finansējumu, </w:t>
                  </w:r>
                  <w:r w:rsidRPr="2EC0DF3C" w:rsidR="11E0060D">
                    <w:rPr>
                      <w:color w:val="000000"/>
                    </w:rPr>
                    <w:t xml:space="preserve">Latvijas Radio papildus ir nepieciešami </w:t>
                  </w:r>
                  <w:r w:rsidRPr="07C88AD7" w:rsidR="11E0060D">
                    <w:t>17 09</w:t>
                  </w:r>
                  <w:r w:rsidRPr="07C88AD7" w:rsidR="69DCCC4B">
                    <w:t>8</w:t>
                  </w:r>
                  <w:r w:rsidRPr="07C88AD7" w:rsidR="11E0060D">
                    <w:t xml:space="preserve"> </w:t>
                  </w:r>
                  <w:proofErr w:type="spellStart"/>
                  <w:r w:rsidRPr="006F431E" w:rsidR="006F431E">
                    <w:rPr>
                      <w:i/>
                      <w:iCs/>
                    </w:rPr>
                    <w:t>euro</w:t>
                  </w:r>
                  <w:proofErr w:type="spellEnd"/>
                  <w:r w:rsidRPr="07C88AD7" w:rsidR="11E0060D">
                    <w:t>.</w:t>
                  </w:r>
                </w:p>
                <w:p w:rsidR="00A3132D" w:rsidP="07C88AD7" w:rsidRDefault="00A3132D" w14:paraId="256840DA" w14:textId="77777777">
                  <w:pPr>
                    <w:ind w:right="109"/>
                    <w:jc w:val="both"/>
                  </w:pPr>
                </w:p>
                <w:p w:rsidR="00000BE0" w:rsidP="00440633" w:rsidRDefault="43A9B21B" w14:paraId="5A6AC5CC" w14:textId="77777777">
                  <w:pPr>
                    <w:jc w:val="both"/>
                  </w:pPr>
                  <w:r w:rsidRPr="07C88AD7">
                    <w:t xml:space="preserve">Ārkārtējās situācijas laikā no valsts budžeta programmas “Līdzekļi neparedzētiem gadījumiem”” NEPLP tika piešķirti līdzekļi 1) 75 000 </w:t>
                  </w:r>
                  <w:proofErr w:type="spellStart"/>
                  <w:r w:rsidRPr="07C88AD7">
                    <w:rPr>
                      <w:i/>
                      <w:iCs/>
                    </w:rPr>
                    <w:t>euro</w:t>
                  </w:r>
                  <w:proofErr w:type="spellEnd"/>
                  <w:r w:rsidRPr="07C88AD7">
                    <w:rPr>
                      <w:i/>
                      <w:iCs/>
                    </w:rPr>
                    <w:t xml:space="preserve"> – </w:t>
                  </w:r>
                  <w:r w:rsidRPr="07C88AD7">
                    <w:t xml:space="preserve">iespējami plašai Latvijas iedzīvotāju informatīvai apziņošanai, nodrošinot efektīvu sabiedrības informēšanu par aktualitātēm saistībā ar </w:t>
                  </w:r>
                  <w:proofErr w:type="spellStart"/>
                  <w:r w:rsidRPr="07C88AD7">
                    <w:t>Covid-19</w:t>
                  </w:r>
                  <w:proofErr w:type="spellEnd"/>
                  <w:r w:rsidRPr="07C88AD7">
                    <w:t xml:space="preserve"> vīrusu komerciālajos elektroniskajos plašsaziņas līdzekļos un 2) 1 000 000 </w:t>
                  </w:r>
                  <w:proofErr w:type="spellStart"/>
                  <w:r w:rsidRPr="07C88AD7">
                    <w:rPr>
                      <w:i/>
                      <w:iCs/>
                    </w:rPr>
                    <w:t>euro</w:t>
                  </w:r>
                  <w:proofErr w:type="spellEnd"/>
                  <w:r w:rsidRPr="07C88AD7">
                    <w:rPr>
                      <w:i/>
                      <w:iCs/>
                    </w:rPr>
                    <w:t xml:space="preserve">, </w:t>
                  </w:r>
                  <w:r w:rsidRPr="07C88AD7">
                    <w:t xml:space="preserve">lai nodrošinātu sabiedrībai iespēju saņemt daudzpusīgu informāciju un viedokļus </w:t>
                  </w:r>
                  <w:proofErr w:type="spellStart"/>
                  <w:r w:rsidRPr="07C88AD7">
                    <w:t>Covid-19</w:t>
                  </w:r>
                  <w:proofErr w:type="spellEnd"/>
                  <w:r w:rsidRPr="07C88AD7">
                    <w:t xml:space="preserve"> krīzes pārvarēšanā un valsts informatīvās telpas drošības nodrošināšanai komerciālajos elektroniskajos plašsaziņas līdzekļos. </w:t>
                  </w:r>
                </w:p>
                <w:p w:rsidR="00000BE0" w:rsidP="07C88AD7" w:rsidRDefault="00000BE0" w14:paraId="3B85C0C4" w14:textId="77777777">
                  <w:pPr>
                    <w:spacing w:line="259" w:lineRule="auto"/>
                    <w:jc w:val="both"/>
                  </w:pPr>
                </w:p>
                <w:p w:rsidRPr="00EA3FC0" w:rsidR="003F6B9D" w:rsidP="00440633" w:rsidRDefault="43A9B21B" w14:paraId="580D3472" w14:textId="7BA387C3">
                  <w:pPr>
                    <w:jc w:val="both"/>
                  </w:pPr>
                  <w:r w:rsidRPr="07C88AD7">
                    <w:lastRenderedPageBreak/>
                    <w:t>Līdz ar to</w:t>
                  </w:r>
                  <w:r w:rsidRPr="07C88AD7" w:rsidR="18CF615B">
                    <w:t xml:space="preserve"> </w:t>
                  </w:r>
                  <w:r w:rsidRPr="07C88AD7" w:rsidR="2BA30D0F">
                    <w:t>NEPLP nepiecieša</w:t>
                  </w:r>
                  <w:r w:rsidRPr="07C88AD7" w:rsidR="679ACC2E">
                    <w:t>mi papi</w:t>
                  </w:r>
                  <w:r w:rsidRPr="07C88AD7" w:rsidR="5C2D2B5E">
                    <w:t>ldu līdzekļi</w:t>
                  </w:r>
                  <w:r w:rsidRPr="07C88AD7" w:rsidR="2BA30D0F">
                    <w:t xml:space="preserve">, lai kompensētu </w:t>
                  </w:r>
                  <w:r w:rsidRPr="07C88AD7" w:rsidR="5000D5FC">
                    <w:t>neplānotus un iepriekš neparedzamus</w:t>
                  </w:r>
                  <w:r w:rsidRPr="07C88AD7" w:rsidR="2BA30D0F">
                    <w:t xml:space="preserve"> izdevumus, kas ir saistīti ar sabiedriskā pasūtījuma komerciālajos elektroniskajos plašsaziņas līdzekļos izvērtējuma veikšanu. Lai nodrošinātu kvalitatīvu sabiedriskā pasūtījuma komerciālajos elektroniskajos plašsaziņas līdzekļos izvērtēšanu, nepieciešami papildu līdzekļi 13 </w:t>
                  </w:r>
                  <w:r w:rsidRPr="07C88AD7" w:rsidR="1BE92AFF">
                    <w:t>832</w:t>
                  </w:r>
                  <w:r w:rsidRPr="07C88AD7" w:rsidR="2BA30D0F">
                    <w:t xml:space="preserve"> </w:t>
                  </w:r>
                  <w:proofErr w:type="spellStart"/>
                  <w:r w:rsidRPr="07C88AD7" w:rsidR="2BA30D0F">
                    <w:rPr>
                      <w:i/>
                      <w:iCs/>
                    </w:rPr>
                    <w:t>euro</w:t>
                  </w:r>
                  <w:proofErr w:type="spellEnd"/>
                  <w:r w:rsidRPr="07C88AD7" w:rsidR="2BA30D0F">
                    <w:t xml:space="preserve"> apmērā, nodrošinot recenzentu darbu </w:t>
                  </w:r>
                  <w:r w:rsidRPr="07C88AD7" w:rsidR="5BAC6B7C">
                    <w:t>67</w:t>
                  </w:r>
                  <w:r w:rsidRPr="07C88AD7" w:rsidR="2BA30D0F">
                    <w:t xml:space="preserve"> ārkārtas situācijas laikā apstiprinātajiem satura projektiem</w:t>
                  </w:r>
                  <w:r w:rsidRPr="07C88AD7" w:rsidR="5BAC6B7C">
                    <w:t xml:space="preserve"> (raidījumiem)</w:t>
                  </w:r>
                  <w:r w:rsidRPr="07C88AD7" w:rsidR="2BA30D0F">
                    <w:t>, kuru recenzēšanai NEPLP budžetā līdzekļi nav paredzēti. Summa veidojas</w:t>
                  </w:r>
                  <w:r w:rsidRPr="07C88AD7" w:rsidR="0A9375E8">
                    <w:t>,</w:t>
                  </w:r>
                  <w:r w:rsidRPr="07C88AD7" w:rsidR="2BA30D0F">
                    <w:t xml:space="preserve"> ņemot vērā NEPLP aplēses, ka </w:t>
                  </w:r>
                  <w:r w:rsidRPr="07C88AD7" w:rsidR="5BAC6B7C">
                    <w:t>67</w:t>
                  </w:r>
                  <w:r w:rsidRPr="07C88AD7" w:rsidR="2BA30D0F">
                    <w:t xml:space="preserve"> </w:t>
                  </w:r>
                  <w:r w:rsidRPr="07C88AD7" w:rsidR="5BAC6B7C">
                    <w:t>raidījumu</w:t>
                  </w:r>
                  <w:r w:rsidRPr="07C88AD7" w:rsidR="2BA30D0F">
                    <w:t xml:space="preserve"> recenzēšanai </w:t>
                  </w:r>
                  <w:r w:rsidRPr="07C88AD7" w:rsidR="0BDAE64B">
                    <w:t>ir</w:t>
                  </w:r>
                  <w:r w:rsidRPr="07C88AD7" w:rsidR="7F1C05F0">
                    <w:t xml:space="preserve"> </w:t>
                  </w:r>
                  <w:r w:rsidRPr="07C88AD7" w:rsidR="2BA30D0F">
                    <w:t>nepieciešami</w:t>
                  </w:r>
                  <w:r w:rsidRPr="07C88AD7" w:rsidR="5A21787F">
                    <w:t xml:space="preserve"> no</w:t>
                  </w:r>
                  <w:r w:rsidRPr="07C88AD7" w:rsidR="2BA30D0F">
                    <w:t xml:space="preserve"> </w:t>
                  </w:r>
                  <w:r w:rsidRPr="07C88AD7" w:rsidR="7F1C05F0">
                    <w:t>1</w:t>
                  </w:r>
                  <w:r w:rsidRPr="07C88AD7" w:rsidR="01D3EAE7">
                    <w:t>9</w:t>
                  </w:r>
                  <w:r w:rsidRPr="07C88AD7" w:rsidR="2BA30D0F">
                    <w:t xml:space="preserve"> </w:t>
                  </w:r>
                  <w:r w:rsidRPr="07C88AD7" w:rsidR="5A21787F">
                    <w:t>līdz 2</w:t>
                  </w:r>
                  <w:r w:rsidRPr="07C88AD7" w:rsidR="18425720">
                    <w:t>5</w:t>
                  </w:r>
                  <w:r w:rsidRPr="07C88AD7" w:rsidR="5A21787F">
                    <w:t xml:space="preserve"> </w:t>
                  </w:r>
                  <w:r w:rsidRPr="07C88AD7" w:rsidR="2BA30D0F">
                    <w:t>recenzenti</w:t>
                  </w:r>
                  <w:r w:rsidRPr="07C88AD7" w:rsidR="5A21787F">
                    <w:t>em</w:t>
                  </w:r>
                  <w:r w:rsidRPr="07C88AD7" w:rsidR="2BA30D0F">
                    <w:t xml:space="preserve">. Līdzšinējā pieredze liecina, </w:t>
                  </w:r>
                  <w:proofErr w:type="gramStart"/>
                  <w:r w:rsidRPr="07C88AD7" w:rsidR="2BA30D0F">
                    <w:t xml:space="preserve">ka viena recenzenta izmaksas </w:t>
                  </w:r>
                  <w:r w:rsidRPr="07C88AD7" w:rsidR="050B6A1B">
                    <w:t>svārstās</w:t>
                  </w:r>
                  <w:r w:rsidRPr="07C88AD7" w:rsidR="5A21787F">
                    <w:t xml:space="preserve"> robežās</w:t>
                  </w:r>
                  <w:proofErr w:type="gramEnd"/>
                  <w:r w:rsidRPr="07C88AD7" w:rsidR="5A21787F">
                    <w:t xml:space="preserve"> </w:t>
                  </w:r>
                  <w:r w:rsidRPr="07C88AD7" w:rsidR="4D014C61">
                    <w:t xml:space="preserve">līdz 728 </w:t>
                  </w:r>
                  <w:proofErr w:type="spellStart"/>
                  <w:r w:rsidRPr="00EE3B45" w:rsidR="4D014C61">
                    <w:rPr>
                      <w:i/>
                      <w:iCs/>
                    </w:rPr>
                    <w:t>e</w:t>
                  </w:r>
                  <w:r w:rsidRPr="00EE3B45" w:rsidR="009D383A">
                    <w:rPr>
                      <w:i/>
                      <w:iCs/>
                    </w:rPr>
                    <w:t>u</w:t>
                  </w:r>
                  <w:r w:rsidRPr="00EE3B45" w:rsidR="4D014C61">
                    <w:rPr>
                      <w:i/>
                      <w:iCs/>
                    </w:rPr>
                    <w:t>ro</w:t>
                  </w:r>
                  <w:proofErr w:type="spellEnd"/>
                  <w:r w:rsidRPr="07C88AD7" w:rsidR="1C2450DE">
                    <w:t xml:space="preserve"> </w:t>
                  </w:r>
                  <w:r w:rsidRPr="07C88AD7" w:rsidR="0C4DC452">
                    <w:t>atkarīb</w:t>
                  </w:r>
                  <w:r w:rsidRPr="07C88AD7" w:rsidR="010C871C">
                    <w:t>ā</w:t>
                  </w:r>
                  <w:r w:rsidRPr="07C88AD7" w:rsidR="1C2450DE">
                    <w:t xml:space="preserve"> no darba pienākuma apjoma.</w:t>
                  </w:r>
                  <w:r w:rsidRPr="07C88AD7" w:rsidR="4D014C61">
                    <w:t xml:space="preserve"> </w:t>
                  </w:r>
                  <w:r w:rsidR="00CC7840">
                    <w:t>NEPLP</w:t>
                  </w:r>
                  <w:r w:rsidRPr="07C88AD7" w:rsidR="00CC7840">
                    <w:t xml:space="preserve"> </w:t>
                  </w:r>
                  <w:r w:rsidRPr="07C88AD7" w:rsidR="73C431E8">
                    <w:t>p</w:t>
                  </w:r>
                  <w:r w:rsidRPr="07C88AD7" w:rsidR="45DC4F9D">
                    <w:t>rognozē</w:t>
                  </w:r>
                  <w:r w:rsidRPr="07C88AD7" w:rsidR="4D014C61">
                    <w:t xml:space="preserve">, </w:t>
                  </w:r>
                  <w:r w:rsidRPr="07C88AD7" w:rsidR="6CA14FF4">
                    <w:t>ka</w:t>
                  </w:r>
                  <w:r w:rsidRPr="07C88AD7" w:rsidR="436CACD3">
                    <w:t xml:space="preserve"> </w:t>
                  </w:r>
                  <w:proofErr w:type="spellStart"/>
                  <w:r w:rsidRPr="07C88AD7" w:rsidR="1C2450DE">
                    <w:t>Covid</w:t>
                  </w:r>
                  <w:r w:rsidRPr="07C88AD7" w:rsidR="4ED3A17C">
                    <w:t>-19</w:t>
                  </w:r>
                  <w:proofErr w:type="spellEnd"/>
                  <w:r w:rsidRPr="07C88AD7" w:rsidR="1C2450DE">
                    <w:t xml:space="preserve"> </w:t>
                  </w:r>
                  <w:r w:rsidRPr="07C88AD7" w:rsidR="6500C60E">
                    <w:t xml:space="preserve">laikā </w:t>
                  </w:r>
                  <w:r w:rsidRPr="07C88AD7" w:rsidR="1C2450DE">
                    <w:t>radītā satura izvērtēšanai būs</w:t>
                  </w:r>
                  <w:r w:rsidRPr="07C88AD7" w:rsidR="5F8D766F">
                    <w:t xml:space="preserve"> nepieciešams </w:t>
                  </w:r>
                  <w:r w:rsidRPr="07C88AD7" w:rsidR="6500C60E">
                    <w:t>ievērojams</w:t>
                  </w:r>
                  <w:r w:rsidRPr="07C88AD7" w:rsidR="09C4CF16">
                    <w:t xml:space="preserve"> </w:t>
                  </w:r>
                  <w:r w:rsidRPr="07C88AD7" w:rsidR="6A24FE0D">
                    <w:t xml:space="preserve">darba apjoms, </w:t>
                  </w:r>
                  <w:r w:rsidRPr="07C88AD7" w:rsidR="0D807B2A">
                    <w:t>k</w:t>
                  </w:r>
                  <w:r w:rsidRPr="07C88AD7" w:rsidR="0835C55B">
                    <w:t>ura izpildei</w:t>
                  </w:r>
                  <w:r w:rsidRPr="07C88AD7" w:rsidR="009D383A">
                    <w:t xml:space="preserve"> </w:t>
                  </w:r>
                  <w:r w:rsidRPr="07C88AD7" w:rsidR="52363610">
                    <w:t xml:space="preserve">tiks </w:t>
                  </w:r>
                  <w:r w:rsidRPr="07C88AD7" w:rsidR="50FF3A5F">
                    <w:t>piesa</w:t>
                  </w:r>
                  <w:r w:rsidRPr="07C88AD7" w:rsidR="6F09F717">
                    <w:t>istīt</w:t>
                  </w:r>
                  <w:r w:rsidRPr="07C88AD7" w:rsidR="6BDCA2EE">
                    <w:t>i</w:t>
                  </w:r>
                  <w:r w:rsidRPr="07C88AD7" w:rsidR="436CACD3">
                    <w:t xml:space="preserve"> </w:t>
                  </w:r>
                  <w:r w:rsidRPr="07C88AD7" w:rsidR="2201CFD3">
                    <w:t>vismaz</w:t>
                  </w:r>
                  <w:r w:rsidRPr="07C88AD7" w:rsidR="436CACD3">
                    <w:t xml:space="preserve"> 1</w:t>
                  </w:r>
                  <w:r w:rsidRPr="07C88AD7" w:rsidR="01D3EAE7">
                    <w:t>9</w:t>
                  </w:r>
                  <w:r w:rsidRPr="07C88AD7" w:rsidR="436CACD3">
                    <w:t xml:space="preserve"> recenzenti,</w:t>
                  </w:r>
                  <w:r w:rsidRPr="07C88AD7" w:rsidR="2BA30D0F">
                    <w:t xml:space="preserve"> </w:t>
                  </w:r>
                  <w:r w:rsidRPr="07C88AD7" w:rsidR="3044D09F">
                    <w:t xml:space="preserve">tāpēc </w:t>
                  </w:r>
                  <w:r w:rsidRPr="07C88AD7" w:rsidR="783AF5E9">
                    <w:t xml:space="preserve">NEPLP </w:t>
                  </w:r>
                  <w:r w:rsidRPr="07C88AD7" w:rsidR="1B572222">
                    <w:t xml:space="preserve">lūdz piešķirt </w:t>
                  </w:r>
                  <w:r w:rsidRPr="07C88AD7" w:rsidR="73BDE91B">
                    <w:t>13</w:t>
                  </w:r>
                  <w:r w:rsidRPr="07C88AD7" w:rsidR="3FA79512">
                    <w:t> </w:t>
                  </w:r>
                  <w:r w:rsidRPr="07C88AD7" w:rsidR="14BEB67E">
                    <w:t>832</w:t>
                  </w:r>
                  <w:r w:rsidRPr="07C88AD7" w:rsidR="3FA79512">
                    <w:t xml:space="preserve"> </w:t>
                  </w:r>
                  <w:proofErr w:type="spellStart"/>
                  <w:r w:rsidRPr="00EE3B45" w:rsidR="3FA79512">
                    <w:rPr>
                      <w:i/>
                      <w:iCs/>
                    </w:rPr>
                    <w:t>e</w:t>
                  </w:r>
                  <w:r w:rsidRPr="00EE3B45" w:rsidR="009D383A">
                    <w:rPr>
                      <w:i/>
                      <w:iCs/>
                    </w:rPr>
                    <w:t>u</w:t>
                  </w:r>
                  <w:r w:rsidRPr="00EE3B45" w:rsidR="3FA79512">
                    <w:rPr>
                      <w:i/>
                      <w:iCs/>
                    </w:rPr>
                    <w:t>ro</w:t>
                  </w:r>
                  <w:proofErr w:type="spellEnd"/>
                  <w:r w:rsidRPr="07C88AD7" w:rsidR="73F241C1">
                    <w:t xml:space="preserve">. </w:t>
                  </w:r>
                  <w:r w:rsidRPr="07C88AD7" w:rsidR="17A86680">
                    <w:t>V</w:t>
                  </w:r>
                  <w:r w:rsidRPr="07C88AD7" w:rsidR="4ECFC26B">
                    <w:t>i</w:t>
                  </w:r>
                  <w:r w:rsidRPr="07C88AD7" w:rsidR="17A86680">
                    <w:t>enlaikus</w:t>
                  </w:r>
                  <w:r w:rsidRPr="07C88AD7" w:rsidR="73F241C1">
                    <w:t xml:space="preserve"> </w:t>
                  </w:r>
                  <w:r w:rsidRPr="07C88AD7" w:rsidR="4ECFC26B">
                    <w:t>NEPLP</w:t>
                  </w:r>
                  <w:r w:rsidRPr="07C88AD7" w:rsidR="73F241C1">
                    <w:t xml:space="preserve"> uzsver, ka </w:t>
                  </w:r>
                  <w:r w:rsidRPr="07C88AD7" w:rsidR="35D22902">
                    <w:t xml:space="preserve">tās ir </w:t>
                  </w:r>
                  <w:r w:rsidRPr="07C88AD7" w:rsidR="2BA30D0F">
                    <w:t>aplēs</w:t>
                  </w:r>
                  <w:r w:rsidRPr="07C88AD7" w:rsidR="35D22902">
                    <w:t xml:space="preserve">es, </w:t>
                  </w:r>
                  <w:r w:rsidRPr="07C88AD7" w:rsidR="1E309FD1">
                    <w:t xml:space="preserve">un </w:t>
                  </w:r>
                  <w:r w:rsidR="00CC7840">
                    <w:t xml:space="preserve">piešķirtā finansējuma izdevumu struktūra </w:t>
                  </w:r>
                  <w:r w:rsidRPr="07C88AD7" w:rsidR="1E309FD1">
                    <w:t xml:space="preserve">varētu tikt precizētas </w:t>
                  </w:r>
                  <w:r w:rsidRPr="07C88AD7" w:rsidR="4ECFC26B">
                    <w:t>atkarībā no vienošanās ar</w:t>
                  </w:r>
                  <w:r w:rsidRPr="07C88AD7" w:rsidR="1E309FD1">
                    <w:t xml:space="preserve"> </w:t>
                  </w:r>
                  <w:r w:rsidRPr="07C88AD7" w:rsidR="5BF2CDDC">
                    <w:t>recenzent</w:t>
                  </w:r>
                  <w:r w:rsidRPr="07C88AD7" w:rsidR="2F546C02">
                    <w:t>iem</w:t>
                  </w:r>
                  <w:r w:rsidRPr="07C88AD7" w:rsidR="5BF2CDDC">
                    <w:t xml:space="preserve">. </w:t>
                  </w:r>
                </w:p>
              </w:tc>
            </w:tr>
            <w:tr w:rsidRPr="00CA296A" w:rsidR="003F6B9D" w:rsidTr="07C88AD7" w14:paraId="0B7FF736"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440633" w:rsidRDefault="003F6B9D" w14:paraId="13AC8C57" w14:textId="77777777">
                  <w:pPr>
                    <w:jc w:val="both"/>
                  </w:pPr>
                  <w:r w:rsidRPr="00CA296A">
                    <w:lastRenderedPageBreak/>
                    <w:t>3.</w:t>
                  </w:r>
                </w:p>
              </w:tc>
              <w:tc>
                <w:tcPr>
                  <w:tcW w:w="3145" w:type="dxa"/>
                  <w:tcBorders>
                    <w:top w:val="outset" w:color="414142" w:sz="6" w:space="0"/>
                    <w:left w:val="outset" w:color="414142" w:sz="6" w:space="0"/>
                    <w:bottom w:val="outset" w:color="414142" w:sz="6" w:space="0"/>
                    <w:right w:val="outset" w:color="414142" w:sz="6" w:space="0"/>
                  </w:tcBorders>
                </w:tcPr>
                <w:p w:rsidRPr="00CA296A" w:rsidR="003F6B9D" w:rsidP="00440633" w:rsidRDefault="003F6B9D" w14:paraId="5D909BED" w14:textId="77777777">
                  <w:pPr>
                    <w:jc w:val="both"/>
                  </w:pPr>
                  <w:r w:rsidRPr="00CA296A">
                    <w:t>Projekta izstrādē iesaistītās institūcijas un publiskas personas kapitālsabiedrības</w:t>
                  </w:r>
                </w:p>
              </w:tc>
              <w:tc>
                <w:tcPr>
                  <w:tcW w:w="5528" w:type="dxa"/>
                  <w:tcBorders>
                    <w:top w:val="outset" w:color="414142" w:sz="6" w:space="0"/>
                    <w:left w:val="outset" w:color="414142" w:sz="6" w:space="0"/>
                    <w:bottom w:val="outset" w:color="414142" w:sz="6" w:space="0"/>
                    <w:right w:val="outset" w:color="414142" w:sz="6" w:space="0"/>
                  </w:tcBorders>
                </w:tcPr>
                <w:p w:rsidRPr="00CA296A" w:rsidR="003F6B9D" w:rsidP="00440633" w:rsidRDefault="009D383A" w14:paraId="0FBAC764" w14:textId="24E78EFB">
                  <w:pPr>
                    <w:jc w:val="both"/>
                  </w:pPr>
                  <w:r>
                    <w:t>NEPLP</w:t>
                  </w:r>
                  <w:r w:rsidRPr="00CA296A" w:rsidR="003F6B9D">
                    <w:t>, Kultūras ministrija, Latvijas Radio</w:t>
                  </w:r>
                  <w:r>
                    <w:t>.</w:t>
                  </w:r>
                </w:p>
              </w:tc>
            </w:tr>
            <w:tr w:rsidRPr="00CA296A" w:rsidR="003F6B9D" w:rsidTr="07C88AD7" w14:paraId="5450912A"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440633" w:rsidRDefault="003F6B9D" w14:paraId="473B88B7" w14:textId="77777777">
                  <w:pPr>
                    <w:jc w:val="both"/>
                  </w:pPr>
                  <w:r w:rsidRPr="00CA296A">
                    <w:t>4.</w:t>
                  </w:r>
                </w:p>
              </w:tc>
              <w:tc>
                <w:tcPr>
                  <w:tcW w:w="3145" w:type="dxa"/>
                  <w:tcBorders>
                    <w:top w:val="outset" w:color="414142" w:sz="6" w:space="0"/>
                    <w:left w:val="outset" w:color="414142" w:sz="6" w:space="0"/>
                    <w:bottom w:val="outset" w:color="414142" w:sz="6" w:space="0"/>
                    <w:right w:val="outset" w:color="414142" w:sz="6" w:space="0"/>
                  </w:tcBorders>
                </w:tcPr>
                <w:p w:rsidRPr="00CA296A" w:rsidR="003F6B9D" w:rsidP="00440633" w:rsidRDefault="003F6B9D" w14:paraId="51F8B3DD" w14:textId="77777777">
                  <w:pPr>
                    <w:jc w:val="both"/>
                  </w:pPr>
                  <w:r w:rsidRPr="00CA296A">
                    <w:t>Cita informācija</w:t>
                  </w:r>
                </w:p>
              </w:tc>
              <w:tc>
                <w:tcPr>
                  <w:tcW w:w="5528" w:type="dxa"/>
                  <w:tcBorders>
                    <w:top w:val="outset" w:color="414142" w:sz="6" w:space="0"/>
                    <w:left w:val="outset" w:color="414142" w:sz="6" w:space="0"/>
                    <w:bottom w:val="outset" w:color="414142" w:sz="6" w:space="0"/>
                    <w:right w:val="outset" w:color="414142" w:sz="6" w:space="0"/>
                  </w:tcBorders>
                </w:tcPr>
                <w:p w:rsidRPr="00CA296A" w:rsidR="003F6B9D" w:rsidP="00440633" w:rsidRDefault="003F6B9D" w14:paraId="4D1907E4" w14:textId="77777777">
                  <w:pPr>
                    <w:jc w:val="both"/>
                  </w:pPr>
                  <w:r w:rsidRPr="00CA296A">
                    <w:t>Nav</w:t>
                  </w:r>
                </w:p>
              </w:tc>
            </w:tr>
          </w:tbl>
          <w:p w:rsidRPr="00CA296A" w:rsidR="003F6B9D" w:rsidP="006511AB" w:rsidRDefault="003F6B9D" w14:paraId="31DDE235" w14:textId="77777777">
            <w:pPr>
              <w:jc w:val="both"/>
            </w:pPr>
            <w:r w:rsidRPr="00CA296A">
              <w:t> </w:t>
            </w: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206"/>
            </w:tblGrid>
            <w:tr w:rsidRPr="00CA296A" w:rsidR="003F6B9D" w:rsidTr="00DE651C" w14:paraId="1BE4E5FF" w14:textId="77777777">
              <w:tc>
                <w:tcPr>
                  <w:tcW w:w="920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83BDEF3" w14:textId="77777777">
                  <w:pPr>
                    <w:spacing w:before="100" w:beforeAutospacing="1" w:after="100" w:afterAutospacing="1" w:line="228" w:lineRule="atLeast"/>
                    <w:jc w:val="center"/>
                    <w:rPr>
                      <w:b/>
                      <w:bCs/>
                    </w:rPr>
                  </w:pPr>
                  <w:r w:rsidRPr="00CA296A">
                    <w:rPr>
                      <w:b/>
                      <w:bCs/>
                    </w:rPr>
                    <w:t>II. Tiesību akta projekta ietekme uz sabiedrību, tautsaimniecības attīstību un administratīvo slogu</w:t>
                  </w:r>
                </w:p>
              </w:tc>
            </w:tr>
            <w:tr w:rsidRPr="00CA296A" w:rsidR="007548BE" w:rsidTr="00DE651C" w14:paraId="4087001D" w14:textId="77777777">
              <w:tc>
                <w:tcPr>
                  <w:tcW w:w="9206" w:type="dxa"/>
                  <w:tcBorders>
                    <w:top w:val="outset" w:color="414142" w:sz="6" w:space="0"/>
                    <w:left w:val="outset" w:color="414142" w:sz="6" w:space="0"/>
                    <w:bottom w:val="outset" w:color="414142" w:sz="6" w:space="0"/>
                    <w:right w:val="outset" w:color="414142" w:sz="6" w:space="0"/>
                  </w:tcBorders>
                  <w:vAlign w:val="center"/>
                </w:tcPr>
                <w:p w:rsidRPr="00CA296A" w:rsidR="007548BE" w:rsidP="006511AB" w:rsidRDefault="007548BE" w14:paraId="7ACDB433" w14:textId="522FE545">
                  <w:pPr>
                    <w:spacing w:before="100" w:beforeAutospacing="1" w:after="100" w:afterAutospacing="1" w:line="228" w:lineRule="atLeast"/>
                    <w:jc w:val="center"/>
                    <w:rPr>
                      <w:b/>
                      <w:bCs/>
                    </w:rPr>
                  </w:pPr>
                  <w:r w:rsidRPr="00CA296A">
                    <w:t>Projekts šo jomu neskar.</w:t>
                  </w:r>
                </w:p>
              </w:tc>
            </w:tr>
          </w:tbl>
          <w:p w:rsidRPr="00CA296A" w:rsidR="003F6B9D" w:rsidP="006511AB" w:rsidRDefault="003F6B9D" w14:paraId="469F705E" w14:textId="77777777">
            <w:pPr>
              <w:jc w:val="both"/>
            </w:pPr>
            <w:r w:rsidRPr="00CA296A">
              <w:t> </w:t>
            </w: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1681"/>
              <w:gridCol w:w="969"/>
              <w:gridCol w:w="1485"/>
              <w:gridCol w:w="951"/>
              <w:gridCol w:w="1002"/>
              <w:gridCol w:w="901"/>
              <w:gridCol w:w="941"/>
              <w:gridCol w:w="1276"/>
            </w:tblGrid>
            <w:tr w:rsidRPr="00CA296A" w:rsidR="003F6B9D" w:rsidTr="07C88AD7" w14:paraId="2AF8AE3B" w14:textId="77777777">
              <w:tc>
                <w:tcPr>
                  <w:tcW w:w="9206" w:type="dxa"/>
                  <w:gridSpan w:val="8"/>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6DA696EB" w14:textId="77777777">
                  <w:pPr>
                    <w:spacing w:before="100" w:beforeAutospacing="1" w:after="100" w:afterAutospacing="1" w:line="228" w:lineRule="atLeast"/>
                    <w:jc w:val="center"/>
                    <w:rPr>
                      <w:b/>
                      <w:bCs/>
                    </w:rPr>
                  </w:pPr>
                  <w:r w:rsidRPr="00CA296A">
                    <w:rPr>
                      <w:b/>
                      <w:bCs/>
                    </w:rPr>
                    <w:t>III. Tiesību akta projekta ietekme uz valsts budžetu un pašvaldību budžetiem</w:t>
                  </w:r>
                </w:p>
              </w:tc>
            </w:tr>
            <w:tr w:rsidRPr="00CA296A" w:rsidR="003F6B9D" w:rsidTr="07C88AD7" w14:paraId="04088EC1" w14:textId="77777777">
              <w:tc>
                <w:tcPr>
                  <w:tcW w:w="1681" w:type="dxa"/>
                  <w:vMerge w:val="restart"/>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140E6D3" w14:textId="77777777">
                  <w:pPr>
                    <w:spacing w:before="100" w:beforeAutospacing="1" w:after="100" w:afterAutospacing="1" w:line="228" w:lineRule="atLeast"/>
                    <w:jc w:val="both"/>
                  </w:pPr>
                  <w:r w:rsidRPr="00CA296A">
                    <w:t>Rādītāji</w:t>
                  </w:r>
                </w:p>
              </w:tc>
              <w:tc>
                <w:tcPr>
                  <w:tcW w:w="2454" w:type="dxa"/>
                  <w:gridSpan w:val="2"/>
                  <w:vMerge w:val="restart"/>
                  <w:tcBorders>
                    <w:top w:val="outset" w:color="414142" w:sz="6" w:space="0"/>
                    <w:left w:val="outset" w:color="414142" w:sz="6" w:space="0"/>
                    <w:bottom w:val="outset" w:color="414142" w:sz="6" w:space="0"/>
                    <w:right w:val="outset" w:color="414142" w:sz="6" w:space="0"/>
                  </w:tcBorders>
                  <w:vAlign w:val="center"/>
                </w:tcPr>
                <w:p w:rsidRPr="00CA296A" w:rsidR="003F6B9D" w:rsidP="00EE3B45" w:rsidRDefault="009D383A" w14:paraId="51E3FAE0" w14:textId="62650C92">
                  <w:pPr>
                    <w:spacing w:before="100" w:beforeAutospacing="1" w:after="100" w:afterAutospacing="1" w:line="228" w:lineRule="atLeast"/>
                    <w:jc w:val="center"/>
                  </w:pPr>
                  <w:proofErr w:type="gramStart"/>
                  <w:r>
                    <w:t>2020.</w:t>
                  </w:r>
                  <w:r w:rsidRPr="00CA296A" w:rsidR="003F6B9D">
                    <w:t>gads</w:t>
                  </w:r>
                  <w:proofErr w:type="gramEnd"/>
                </w:p>
              </w:tc>
              <w:tc>
                <w:tcPr>
                  <w:tcW w:w="5071" w:type="dxa"/>
                  <w:gridSpan w:val="5"/>
                  <w:tcBorders>
                    <w:top w:val="outset" w:color="414142" w:sz="6" w:space="0"/>
                    <w:left w:val="outset" w:color="414142" w:sz="6" w:space="0"/>
                    <w:bottom w:val="outset" w:color="414142" w:sz="6" w:space="0"/>
                    <w:right w:val="outset" w:color="414142" w:sz="6" w:space="0"/>
                  </w:tcBorders>
                  <w:vAlign w:val="center"/>
                </w:tcPr>
                <w:p w:rsidRPr="00CA296A" w:rsidR="003F6B9D" w:rsidP="00EE3B45" w:rsidRDefault="003F6B9D" w14:paraId="321C557E" w14:textId="77777777">
                  <w:pPr>
                    <w:spacing w:before="100" w:beforeAutospacing="1" w:after="100" w:afterAutospacing="1" w:line="228" w:lineRule="atLeast"/>
                    <w:jc w:val="center"/>
                  </w:pPr>
                  <w:r w:rsidRPr="00CA296A">
                    <w:t>Turpmākie trīs gadi (</w:t>
                  </w:r>
                  <w:proofErr w:type="spellStart"/>
                  <w:r w:rsidRPr="00CA296A">
                    <w:rPr>
                      <w:i/>
                      <w:iCs/>
                    </w:rPr>
                    <w:t>euro</w:t>
                  </w:r>
                  <w:proofErr w:type="spellEnd"/>
                  <w:r w:rsidRPr="00CA296A">
                    <w:t>)</w:t>
                  </w:r>
                </w:p>
              </w:tc>
            </w:tr>
            <w:tr w:rsidRPr="00CA296A" w:rsidR="003F6B9D" w:rsidTr="00EE3B45" w14:paraId="177C0701" w14:textId="77777777">
              <w:tc>
                <w:tcPr>
                  <w:tcW w:w="1681" w:type="dxa"/>
                  <w:vMerge/>
                  <w:vAlign w:val="center"/>
                </w:tcPr>
                <w:p w:rsidRPr="00CA296A" w:rsidR="003F6B9D" w:rsidP="006511AB" w:rsidRDefault="003F6B9D" w14:paraId="57593CA2" w14:textId="77777777">
                  <w:pPr>
                    <w:jc w:val="both"/>
                  </w:pPr>
                </w:p>
              </w:tc>
              <w:tc>
                <w:tcPr>
                  <w:tcW w:w="2454" w:type="dxa"/>
                  <w:gridSpan w:val="2"/>
                  <w:vMerge/>
                  <w:vAlign w:val="center"/>
                </w:tcPr>
                <w:p w:rsidRPr="00CA296A" w:rsidR="003F6B9D" w:rsidP="00EE3B45" w:rsidRDefault="003F6B9D" w14:paraId="1577E760" w14:textId="77777777">
                  <w:pPr>
                    <w:jc w:val="center"/>
                  </w:pPr>
                </w:p>
              </w:tc>
              <w:tc>
                <w:tcPr>
                  <w:tcW w:w="1953" w:type="dxa"/>
                  <w:gridSpan w:val="2"/>
                  <w:tcBorders>
                    <w:top w:val="outset" w:color="414142" w:sz="6" w:space="0"/>
                    <w:left w:val="outset" w:color="414142" w:sz="6" w:space="0"/>
                    <w:bottom w:val="outset" w:color="414142" w:sz="6" w:space="0"/>
                    <w:right w:val="outset" w:color="414142" w:sz="6" w:space="0"/>
                  </w:tcBorders>
                  <w:vAlign w:val="center"/>
                </w:tcPr>
                <w:p w:rsidRPr="00CA296A" w:rsidR="003F6B9D" w:rsidP="00EE3B45" w:rsidRDefault="009D383A" w14:paraId="33F3FD28" w14:textId="59A031A0">
                  <w:pPr>
                    <w:spacing w:before="100" w:beforeAutospacing="1" w:after="100" w:afterAutospacing="1" w:line="228" w:lineRule="atLeast"/>
                    <w:jc w:val="center"/>
                  </w:pPr>
                  <w:proofErr w:type="gramStart"/>
                  <w:r>
                    <w:t>2021</w:t>
                  </w:r>
                  <w:r w:rsidR="004A213A">
                    <w:t>.gads</w:t>
                  </w:r>
                  <w:proofErr w:type="gramEnd"/>
                </w:p>
              </w:tc>
              <w:tc>
                <w:tcPr>
                  <w:tcW w:w="1842" w:type="dxa"/>
                  <w:gridSpan w:val="2"/>
                  <w:tcBorders>
                    <w:top w:val="outset" w:color="414142" w:sz="6" w:space="0"/>
                    <w:left w:val="outset" w:color="414142" w:sz="6" w:space="0"/>
                    <w:bottom w:val="outset" w:color="414142" w:sz="6" w:space="0"/>
                    <w:right w:val="outset" w:color="414142" w:sz="6" w:space="0"/>
                  </w:tcBorders>
                  <w:vAlign w:val="center"/>
                </w:tcPr>
                <w:p w:rsidRPr="00CA296A" w:rsidR="003F6B9D" w:rsidP="00EE3B45" w:rsidRDefault="009D383A" w14:paraId="3243B29C" w14:textId="719CB93D">
                  <w:pPr>
                    <w:spacing w:before="100" w:beforeAutospacing="1" w:after="100" w:afterAutospacing="1" w:line="228" w:lineRule="atLeast"/>
                    <w:jc w:val="center"/>
                  </w:pPr>
                  <w:proofErr w:type="gramStart"/>
                  <w:r>
                    <w:t>2022</w:t>
                  </w:r>
                  <w:r w:rsidR="004A213A">
                    <w:t>.gads</w:t>
                  </w:r>
                  <w:proofErr w:type="gramEnd"/>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EE3B45" w:rsidRDefault="009D383A" w14:paraId="6A27E4A9" w14:textId="247B4B81">
                  <w:pPr>
                    <w:spacing w:before="100" w:beforeAutospacing="1" w:after="100" w:afterAutospacing="1" w:line="228" w:lineRule="atLeast"/>
                    <w:jc w:val="center"/>
                  </w:pPr>
                  <w:proofErr w:type="gramStart"/>
                  <w:r>
                    <w:t>2023</w:t>
                  </w:r>
                  <w:r w:rsidR="004A213A">
                    <w:t>.gads</w:t>
                  </w:r>
                  <w:proofErr w:type="gramEnd"/>
                </w:p>
              </w:tc>
            </w:tr>
            <w:tr w:rsidRPr="00CA296A" w:rsidR="003F6B9D" w:rsidTr="00EE3B45" w14:paraId="66170F94" w14:textId="77777777">
              <w:tc>
                <w:tcPr>
                  <w:tcW w:w="1681" w:type="dxa"/>
                  <w:vMerge/>
                  <w:vAlign w:val="center"/>
                </w:tcPr>
                <w:p w:rsidRPr="00CA296A" w:rsidR="003F6B9D" w:rsidP="006511AB" w:rsidRDefault="003F6B9D" w14:paraId="0C258284" w14:textId="77777777">
                  <w:pPr>
                    <w:jc w:val="both"/>
                  </w:pPr>
                </w:p>
              </w:tc>
              <w:tc>
                <w:tcPr>
                  <w:tcW w:w="969"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60CAA91" w14:textId="77777777">
                  <w:pPr>
                    <w:spacing w:before="100" w:beforeAutospacing="1" w:after="100" w:afterAutospacing="1" w:line="228" w:lineRule="atLeast"/>
                  </w:pPr>
                  <w:r w:rsidRPr="00CA296A">
                    <w:t>saskaņā ar valsts budžetu kārtējam gadam</w:t>
                  </w:r>
                </w:p>
              </w:tc>
              <w:tc>
                <w:tcPr>
                  <w:tcW w:w="1485"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7EF84162" w14:textId="77777777">
                  <w:pPr>
                    <w:spacing w:before="100" w:beforeAutospacing="1" w:after="100" w:afterAutospacing="1" w:line="228" w:lineRule="atLeast"/>
                  </w:pPr>
                  <w:r w:rsidRPr="00CA296A">
                    <w:t>izmaiņas kārtējā gadā, salīdzinot ar valsts budžetu kārtējam gadam</w:t>
                  </w:r>
                </w:p>
              </w:tc>
              <w:tc>
                <w:tcPr>
                  <w:tcW w:w="95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4F13C19" w14:textId="77777777">
                  <w:pPr>
                    <w:spacing w:before="100" w:beforeAutospacing="1" w:after="100" w:afterAutospacing="1" w:line="228" w:lineRule="atLeast"/>
                  </w:pPr>
                  <w:r w:rsidRPr="00CA296A">
                    <w:t>saskaņā ar vidēja termiņa budžeta ietvaru</w:t>
                  </w:r>
                </w:p>
              </w:tc>
              <w:tc>
                <w:tcPr>
                  <w:tcW w:w="1002"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059B495A" w14:textId="290C4E89">
                  <w:pPr>
                    <w:spacing w:before="100" w:beforeAutospacing="1" w:after="100" w:afterAutospacing="1" w:line="228" w:lineRule="atLeast"/>
                  </w:pPr>
                  <w:r w:rsidRPr="00CA296A">
                    <w:t xml:space="preserve">izmaiņas, salīdzinot ar vidēja termiņa budžeta ietvaru </w:t>
                  </w:r>
                  <w:r w:rsidR="009D383A">
                    <w:t>2021.</w:t>
                  </w:r>
                  <w:r w:rsidRPr="00CA296A">
                    <w:t xml:space="preserve"> gadam</w:t>
                  </w:r>
                </w:p>
              </w:tc>
              <w:tc>
                <w:tcPr>
                  <w:tcW w:w="90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3159B300" w14:textId="77777777">
                  <w:pPr>
                    <w:spacing w:before="100" w:beforeAutospacing="1" w:after="100" w:afterAutospacing="1" w:line="228" w:lineRule="atLeast"/>
                  </w:pPr>
                  <w:r w:rsidRPr="00CA296A">
                    <w:t>saskaņā ar vidēja termiņa budžeta ietvaru</w:t>
                  </w:r>
                </w:p>
              </w:tc>
              <w:tc>
                <w:tcPr>
                  <w:tcW w:w="94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5934CE68" w14:textId="582D99DC">
                  <w:pPr>
                    <w:spacing w:before="100" w:beforeAutospacing="1" w:after="100" w:afterAutospacing="1" w:line="228" w:lineRule="atLeast"/>
                  </w:pPr>
                  <w:r w:rsidRPr="00CA296A">
                    <w:t xml:space="preserve">izmaiņas, salīdzinot ar vidēja termiņa budžeta ietvaru </w:t>
                  </w:r>
                  <w:r w:rsidR="009D383A">
                    <w:t>2022.</w:t>
                  </w:r>
                  <w:r w:rsidRPr="00CA296A">
                    <w:t xml:space="preserve"> gadam</w:t>
                  </w:r>
                </w:p>
              </w:tc>
              <w:tc>
                <w:tcPr>
                  <w:tcW w:w="1276"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59DF4997" w14:textId="687480AF">
                  <w:pPr>
                    <w:spacing w:before="100" w:beforeAutospacing="1" w:after="100" w:afterAutospacing="1" w:line="228" w:lineRule="atLeast"/>
                  </w:pPr>
                  <w:r w:rsidRPr="00CA296A">
                    <w:t xml:space="preserve">izmaiņas, salīdzinot ar vidēja termiņa budžeta ietvaru </w:t>
                  </w:r>
                  <w:r w:rsidR="009D383A">
                    <w:t>2022.</w:t>
                  </w:r>
                  <w:r w:rsidRPr="00CA296A">
                    <w:t xml:space="preserve"> gadam</w:t>
                  </w:r>
                </w:p>
              </w:tc>
            </w:tr>
            <w:tr w:rsidRPr="00CA296A" w:rsidR="003F6B9D" w:rsidTr="00EE3B45" w14:paraId="45563360" w14:textId="77777777">
              <w:tc>
                <w:tcPr>
                  <w:tcW w:w="168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DBD85EC" w14:textId="77777777">
                  <w:pPr>
                    <w:spacing w:before="100" w:beforeAutospacing="1" w:after="100" w:afterAutospacing="1" w:line="228" w:lineRule="atLeast"/>
                    <w:jc w:val="both"/>
                  </w:pPr>
                  <w:r w:rsidRPr="00CA296A">
                    <w:lastRenderedPageBreak/>
                    <w:t>1</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0AC76A75" w14:textId="77777777">
                  <w:pPr>
                    <w:spacing w:before="100" w:beforeAutospacing="1" w:after="100" w:afterAutospacing="1" w:line="228" w:lineRule="atLeast"/>
                    <w:jc w:val="both"/>
                  </w:pPr>
                  <w:r w:rsidRPr="00CA296A">
                    <w:t>2</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F4BB511" w14:textId="77777777">
                  <w:pPr>
                    <w:spacing w:before="100" w:beforeAutospacing="1" w:after="100" w:afterAutospacing="1" w:line="228" w:lineRule="atLeast"/>
                    <w:jc w:val="both"/>
                  </w:pPr>
                  <w:r w:rsidRPr="00CA296A">
                    <w:t>3</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366E073F" w14:textId="77777777">
                  <w:pPr>
                    <w:spacing w:before="100" w:beforeAutospacing="1" w:after="100" w:afterAutospacing="1" w:line="228" w:lineRule="atLeast"/>
                    <w:jc w:val="both"/>
                  </w:pPr>
                  <w:r w:rsidRPr="00CA296A">
                    <w:t>4</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3618CCF6" w14:textId="77777777">
                  <w:pPr>
                    <w:spacing w:before="100" w:beforeAutospacing="1" w:after="100" w:afterAutospacing="1" w:line="228" w:lineRule="atLeast"/>
                    <w:jc w:val="both"/>
                  </w:pPr>
                  <w:r w:rsidRPr="00CA296A">
                    <w:t>5</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707BC15F" w14:textId="77777777">
                  <w:pPr>
                    <w:spacing w:before="100" w:beforeAutospacing="1" w:after="100" w:afterAutospacing="1" w:line="228" w:lineRule="atLeast"/>
                    <w:jc w:val="both"/>
                  </w:pPr>
                  <w:r w:rsidRPr="00CA296A">
                    <w:t>6</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6B648B4" w14:textId="77777777">
                  <w:pPr>
                    <w:spacing w:before="100" w:beforeAutospacing="1" w:after="100" w:afterAutospacing="1" w:line="228" w:lineRule="atLeast"/>
                    <w:jc w:val="both"/>
                  </w:pPr>
                  <w:r w:rsidRPr="00CA296A">
                    <w:t>7</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A101083" w14:textId="77777777">
                  <w:pPr>
                    <w:spacing w:before="100" w:beforeAutospacing="1" w:after="100" w:afterAutospacing="1" w:line="228" w:lineRule="atLeast"/>
                    <w:jc w:val="both"/>
                  </w:pPr>
                  <w:r w:rsidRPr="00CA296A">
                    <w:t>8</w:t>
                  </w:r>
                </w:p>
              </w:tc>
            </w:tr>
            <w:tr w:rsidRPr="00CA296A" w:rsidR="003F6B9D" w:rsidTr="00EE3B45" w14:paraId="1DA914C8"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6FDD626" w14:textId="77777777">
                  <w:r w:rsidRPr="00CA296A">
                    <w:t>1. Budžeta ieņēmumi</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30D3557" w14:textId="77777777">
                  <w:pPr>
                    <w:jc w:val="both"/>
                  </w:pPr>
                  <w:r w:rsidRPr="00CA296A">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4CC413A9" w14:textId="77777777">
                  <w:pPr>
                    <w:jc w:val="both"/>
                  </w:pPr>
                  <w:r w:rsidRPr="00CA296A">
                    <w:t> </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933180F" w14:textId="77777777">
                  <w:pPr>
                    <w:jc w:val="both"/>
                  </w:pPr>
                  <w:r w:rsidRPr="00CA296A">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82EACDF"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1AAD469"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61A37B1D"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7B6DF80" w14:textId="77777777">
                  <w:pPr>
                    <w:jc w:val="both"/>
                  </w:pPr>
                  <w:r w:rsidRPr="00CA296A">
                    <w:t> </w:t>
                  </w:r>
                </w:p>
              </w:tc>
            </w:tr>
            <w:tr w:rsidRPr="00CA296A" w:rsidR="003F6B9D" w:rsidTr="00EE3B45" w14:paraId="06A4EA37"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7A8F09FB" w14:textId="77777777">
                  <w:r w:rsidRPr="00CA296A">
                    <w:t>1.1. valsts pamatbudžets, tai skaitā ieņēmumi no maksas pakalpojumiem un citi pašu ieņēmumi</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C7ECD68" w14:textId="77777777">
                  <w:pPr>
                    <w:jc w:val="both"/>
                  </w:pPr>
                  <w:r w:rsidRPr="00CA296A">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079AE5ED" w14:textId="77777777">
                  <w:pPr>
                    <w:jc w:val="both"/>
                  </w:pPr>
                  <w:r w:rsidRPr="00CA296A">
                    <w:t> </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C737216" w14:textId="77777777">
                  <w:pPr>
                    <w:jc w:val="both"/>
                  </w:pPr>
                  <w:r w:rsidRPr="00CA296A">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3ECB0A6"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3A41B768"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0625E83A"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774AAB92" w14:textId="77777777">
                  <w:pPr>
                    <w:jc w:val="both"/>
                  </w:pPr>
                  <w:r w:rsidRPr="00CA296A">
                    <w:t> </w:t>
                  </w:r>
                </w:p>
              </w:tc>
            </w:tr>
            <w:tr w:rsidRPr="00CA296A" w:rsidR="003F6B9D" w:rsidTr="00EE3B45" w14:paraId="4DEE54FA"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7FBA024A" w14:textId="77777777">
                  <w:r w:rsidRPr="00CA296A">
                    <w:t>1.2. valsts speciālais 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DF6C792" w14:textId="77777777">
                  <w:pPr>
                    <w:jc w:val="both"/>
                  </w:pPr>
                  <w:r w:rsidRPr="00CA296A">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F52FB17" w14:textId="77777777">
                  <w:pPr>
                    <w:jc w:val="both"/>
                  </w:pPr>
                  <w:r w:rsidRPr="00CA296A">
                    <w:t> </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4D776D08" w14:textId="77777777">
                  <w:pPr>
                    <w:jc w:val="both"/>
                  </w:pPr>
                  <w:r w:rsidRPr="00CA296A">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799EB746"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8EA03CC"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4A07D41"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3BF1FFC7" w14:textId="77777777">
                  <w:pPr>
                    <w:jc w:val="both"/>
                  </w:pPr>
                  <w:r w:rsidRPr="00CA296A">
                    <w:t> </w:t>
                  </w:r>
                </w:p>
              </w:tc>
            </w:tr>
            <w:tr w:rsidRPr="00CA296A" w:rsidR="003F6B9D" w:rsidTr="00EE3B45" w14:paraId="67ABDF3F"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4B3ED2F0" w14:textId="77777777">
                  <w:r w:rsidRPr="00CA296A">
                    <w:t>1.3. pašvaldību 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442F0C0A" w14:textId="77777777">
                  <w:pPr>
                    <w:jc w:val="both"/>
                  </w:pPr>
                  <w:r w:rsidRPr="00CA296A">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BEDC714" w14:textId="77777777">
                  <w:pPr>
                    <w:jc w:val="both"/>
                  </w:pPr>
                  <w:r w:rsidRPr="00CA296A">
                    <w:t> </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4BFB363D" w14:textId="77777777">
                  <w:pPr>
                    <w:jc w:val="both"/>
                  </w:pPr>
                  <w:r w:rsidRPr="00CA296A">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7F5C922E"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D60EE9E"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AAED946"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0D21CE9" w14:textId="77777777">
                  <w:pPr>
                    <w:jc w:val="both"/>
                  </w:pPr>
                  <w:r w:rsidRPr="00CA296A">
                    <w:t> </w:t>
                  </w:r>
                </w:p>
              </w:tc>
            </w:tr>
            <w:tr w:rsidRPr="00CA296A" w:rsidR="003F6B9D" w:rsidTr="00EE3B45" w14:paraId="0D3C6DD8"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47A07477" w14:textId="77777777">
                  <w:r w:rsidRPr="00CA296A">
                    <w:t>2. Budžeta izdevumi</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3F6B9D" w:rsidP="07C88AD7" w:rsidRDefault="46285B9D" w14:paraId="71A0C761"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3F6B9D" w:rsidP="07C88AD7" w:rsidRDefault="1EFDC339" w14:paraId="400DBF63" w14:textId="0E43C0E1">
                  <w:pPr>
                    <w:jc w:val="both"/>
                  </w:pPr>
                  <w:r w:rsidRPr="07C88AD7">
                    <w:t xml:space="preserve">30 </w:t>
                  </w:r>
                  <w:r w:rsidRPr="07C88AD7" w:rsidR="39E8599A">
                    <w:t>930</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3F6B9D" w:rsidP="07C88AD7" w:rsidRDefault="46285B9D" w14:paraId="6A740936"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00924B11"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0756749D"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1AC46FAC"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7CFCE725" w14:textId="77777777">
                  <w:pPr>
                    <w:jc w:val="both"/>
                  </w:pPr>
                  <w:r w:rsidRPr="00CA296A">
                    <w:t> </w:t>
                  </w:r>
                </w:p>
              </w:tc>
            </w:tr>
            <w:tr w:rsidRPr="00CA296A" w:rsidR="006A1874" w:rsidTr="00EE3B45" w14:paraId="7C1F972F"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6A1874" w:rsidP="006A1874" w:rsidRDefault="006A1874" w14:paraId="624EA8D8" w14:textId="77777777">
                  <w:r w:rsidRPr="00CA296A">
                    <w:t>2.1. valsts pamatbudžets</w:t>
                  </w:r>
                </w:p>
              </w:tc>
              <w:tc>
                <w:tcPr>
                  <w:tcW w:w="969" w:type="dxa"/>
                  <w:tcBorders>
                    <w:top w:val="outset" w:color="414142" w:sz="6" w:space="0"/>
                    <w:left w:val="outset" w:color="414142" w:sz="6" w:space="0"/>
                    <w:bottom w:val="outset" w:color="414142" w:sz="6" w:space="0"/>
                    <w:right w:val="outset" w:color="414142" w:sz="6" w:space="0"/>
                  </w:tcBorders>
                </w:tcPr>
                <w:p w:rsidRPr="00CA296A" w:rsidR="006A1874" w:rsidP="07C88AD7" w:rsidRDefault="006A1874" w14:paraId="7EB05B34" w14:textId="469915F8">
                  <w:pPr>
                    <w:jc w:val="both"/>
                  </w:pPr>
                </w:p>
              </w:tc>
              <w:tc>
                <w:tcPr>
                  <w:tcW w:w="1485" w:type="dxa"/>
                  <w:tcBorders>
                    <w:top w:val="outset" w:color="414142" w:sz="6" w:space="0"/>
                    <w:left w:val="outset" w:color="414142" w:sz="6" w:space="0"/>
                    <w:bottom w:val="outset" w:color="414142" w:sz="6" w:space="0"/>
                    <w:right w:val="outset" w:color="414142" w:sz="6" w:space="0"/>
                  </w:tcBorders>
                </w:tcPr>
                <w:p w:rsidRPr="00CA296A" w:rsidR="006A1874" w:rsidP="07C88AD7" w:rsidRDefault="39E8599A" w14:paraId="4EA7D9F1" w14:textId="64C0C726">
                  <w:pPr>
                    <w:jc w:val="both"/>
                  </w:pPr>
                  <w:r w:rsidRPr="07C88AD7">
                    <w:t>30 930</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6A1874" w:rsidP="07C88AD7" w:rsidRDefault="39E8599A" w14:paraId="1860DCBA"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6A1874" w:rsidP="006A1874" w:rsidRDefault="006A1874" w14:paraId="57008DCE"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6A1874" w:rsidP="006A1874" w:rsidRDefault="006A1874" w14:paraId="4B4D078E"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6A1874" w:rsidP="006A1874" w:rsidRDefault="006A1874" w14:paraId="6527A5C1"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6A1874" w:rsidP="006A1874" w:rsidRDefault="006A1874" w14:paraId="3D0ECEC8" w14:textId="77777777">
                  <w:pPr>
                    <w:jc w:val="both"/>
                  </w:pPr>
                  <w:r w:rsidRPr="00CA296A">
                    <w:t> </w:t>
                  </w:r>
                </w:p>
              </w:tc>
            </w:tr>
            <w:tr w:rsidRPr="00CA296A" w:rsidR="00433444" w:rsidTr="00EE3B45" w14:paraId="575497D5"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433444" w:rsidP="00433444" w:rsidRDefault="00433444" w14:paraId="62F7DFAE" w14:textId="77777777">
                  <w:r w:rsidRPr="00CA296A">
                    <w:t>2.2. valsts speciālais 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5A4D0EEB"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00433444" w14:paraId="59423F1C" w14:textId="77777777">
                  <w:pPr>
                    <w:jc w:val="both"/>
                    <w:rPr>
                      <w:highlight w:val="yellow"/>
                    </w:rPr>
                  </w:pP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5D7C0B08"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7AC02764"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38B42057"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71496A91"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288A2906" w14:textId="77777777">
                  <w:pPr>
                    <w:jc w:val="both"/>
                  </w:pPr>
                  <w:r w:rsidRPr="00CA296A">
                    <w:t> </w:t>
                  </w:r>
                </w:p>
              </w:tc>
            </w:tr>
            <w:tr w:rsidRPr="00CA296A" w:rsidR="00433444" w:rsidTr="00EE3B45" w14:paraId="65484C71"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433444" w:rsidP="00433444" w:rsidRDefault="00433444" w14:paraId="6351993F" w14:textId="77777777">
                  <w:r w:rsidRPr="00CA296A">
                    <w:t>2.3. pašvaldību 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4C71020B"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00433444" w14:paraId="26683903" w14:textId="77777777">
                  <w:pPr>
                    <w:jc w:val="both"/>
                    <w:rPr>
                      <w:highlight w:val="yellow"/>
                    </w:rPr>
                  </w:pP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075FF9D7"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0800671B"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12801A8D"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57875F59"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7F61C826" w14:textId="77777777">
                  <w:pPr>
                    <w:jc w:val="both"/>
                  </w:pPr>
                  <w:r w:rsidRPr="00CA296A">
                    <w:t> </w:t>
                  </w:r>
                </w:p>
              </w:tc>
            </w:tr>
            <w:tr w:rsidRPr="00CA296A" w:rsidR="00433444" w:rsidTr="00EE3B45" w14:paraId="0831F41C"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433444" w:rsidP="00433444" w:rsidRDefault="00433444" w14:paraId="21A987F5" w14:textId="77777777">
                  <w:r w:rsidRPr="00CA296A">
                    <w:t>3. Finansiālā ietekme</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7FD193F9"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2626ACB9" w14:textId="061E7AE6">
                  <w:pPr>
                    <w:jc w:val="both"/>
                  </w:pPr>
                  <w:r w:rsidRPr="07C88AD7">
                    <w:t>-</w:t>
                  </w:r>
                  <w:r w:rsidRPr="07C88AD7" w:rsidR="39E8599A">
                    <w:t>30 930</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433444" w:rsidP="07C88AD7" w:rsidRDefault="1EFDC339" w14:paraId="34BCF306"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4FC40166"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2D768630"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3706BB00"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433444" w:rsidP="00433444" w:rsidRDefault="00433444" w14:paraId="1840C77E" w14:textId="77777777">
                  <w:pPr>
                    <w:jc w:val="both"/>
                  </w:pPr>
                  <w:r w:rsidRPr="00CA296A">
                    <w:t> </w:t>
                  </w:r>
                </w:p>
              </w:tc>
            </w:tr>
            <w:tr w:rsidRPr="00CA296A" w:rsidR="005419D2" w:rsidTr="00EE3B45" w14:paraId="7311DE16"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7F6E86A6" w14:textId="77777777">
                  <w:r w:rsidRPr="00CA296A">
                    <w:t>3.1. valsts pamatbudžets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4E307C26"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3517A2BC" w14:textId="4D818560">
                  <w:pPr>
                    <w:jc w:val="both"/>
                  </w:pPr>
                  <w:r w:rsidRPr="07C88AD7">
                    <w:t>-</w:t>
                  </w:r>
                  <w:r w:rsidRPr="07C88AD7" w:rsidR="39E8599A">
                    <w:t>30 930</w:t>
                  </w: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66CAD379"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0E1FA63F"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6F3977D4"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0AB70205"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29D532FD" w14:textId="77777777">
                  <w:pPr>
                    <w:jc w:val="both"/>
                  </w:pPr>
                  <w:r w:rsidRPr="00CA296A">
                    <w:t> </w:t>
                  </w:r>
                </w:p>
              </w:tc>
            </w:tr>
            <w:tr w:rsidRPr="00CA296A" w:rsidR="005419D2" w:rsidTr="00EE3B45" w14:paraId="4EE72910"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0F81EB74" w14:textId="77777777">
                  <w:r w:rsidRPr="00CA296A">
                    <w:t>3.2. speciālais 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0632858E"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005419D2" w14:paraId="5B3A45D7" w14:textId="77777777">
                  <w:pPr>
                    <w:jc w:val="both"/>
                    <w:rPr>
                      <w:highlight w:val="yellow"/>
                    </w:rPr>
                  </w:pP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65963E37"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4FDDC083"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092F3716"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73610422"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6BE86E95" w14:textId="77777777">
                  <w:pPr>
                    <w:jc w:val="both"/>
                  </w:pPr>
                  <w:r w:rsidRPr="00CA296A">
                    <w:t> </w:t>
                  </w:r>
                </w:p>
              </w:tc>
            </w:tr>
            <w:tr w:rsidRPr="00CA296A" w:rsidR="005419D2" w:rsidTr="00EE3B45" w14:paraId="4EC03AC4"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151F2A0D" w14:textId="77777777">
                  <w:r w:rsidRPr="00CA296A">
                    <w:t>3.3. pašvaldību budžets</w:t>
                  </w:r>
                </w:p>
              </w:tc>
              <w:tc>
                <w:tcPr>
                  <w:tcW w:w="969"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679CE307" w14:textId="77777777">
                  <w:pPr>
                    <w:jc w:val="both"/>
                  </w:pPr>
                  <w:r w:rsidRPr="07C88AD7">
                    <w:t> </w:t>
                  </w:r>
                </w:p>
              </w:tc>
              <w:tc>
                <w:tcPr>
                  <w:tcW w:w="1485"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005419D2" w14:paraId="08BE6720" w14:textId="77777777">
                  <w:pPr>
                    <w:jc w:val="both"/>
                    <w:rPr>
                      <w:highlight w:val="yellow"/>
                    </w:rPr>
                  </w:pPr>
                </w:p>
              </w:tc>
              <w:tc>
                <w:tcPr>
                  <w:tcW w:w="951" w:type="dxa"/>
                  <w:tcBorders>
                    <w:top w:val="outset" w:color="414142" w:sz="6" w:space="0"/>
                    <w:left w:val="outset" w:color="414142" w:sz="6" w:space="0"/>
                    <w:bottom w:val="outset" w:color="414142" w:sz="6" w:space="0"/>
                    <w:right w:val="outset" w:color="414142" w:sz="6" w:space="0"/>
                  </w:tcBorders>
                  <w:vAlign w:val="center"/>
                </w:tcPr>
                <w:p w:rsidRPr="00CA296A" w:rsidR="005419D2" w:rsidP="07C88AD7" w:rsidRDefault="3F0E3A6A" w14:paraId="0B86F977" w14:textId="77777777">
                  <w:pPr>
                    <w:jc w:val="both"/>
                  </w:pPr>
                  <w:r w:rsidRPr="07C88AD7">
                    <w:t> </w:t>
                  </w:r>
                </w:p>
              </w:tc>
              <w:tc>
                <w:tcPr>
                  <w:tcW w:w="1002"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541CFE9B" w14:textId="77777777">
                  <w:pPr>
                    <w:jc w:val="both"/>
                  </w:pPr>
                  <w:r w:rsidRPr="00CA296A">
                    <w:t> </w:t>
                  </w:r>
                </w:p>
              </w:tc>
              <w:tc>
                <w:tcPr>
                  <w:tcW w:w="901"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776058DF" w14:textId="77777777">
                  <w:pPr>
                    <w:jc w:val="both"/>
                  </w:pPr>
                  <w:r w:rsidRPr="00CA296A">
                    <w:t> </w:t>
                  </w:r>
                </w:p>
              </w:tc>
              <w:tc>
                <w:tcPr>
                  <w:tcW w:w="941"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463E57AD" w14:textId="77777777">
                  <w:pPr>
                    <w:jc w:val="both"/>
                  </w:pPr>
                  <w:r w:rsidRPr="00CA296A">
                    <w:t> </w:t>
                  </w:r>
                </w:p>
              </w:tc>
              <w:tc>
                <w:tcPr>
                  <w:tcW w:w="1276" w:type="dxa"/>
                  <w:tcBorders>
                    <w:top w:val="outset" w:color="414142" w:sz="6" w:space="0"/>
                    <w:left w:val="outset" w:color="414142" w:sz="6" w:space="0"/>
                    <w:bottom w:val="outset" w:color="414142" w:sz="6" w:space="0"/>
                    <w:right w:val="outset" w:color="414142" w:sz="6" w:space="0"/>
                  </w:tcBorders>
                  <w:vAlign w:val="center"/>
                </w:tcPr>
                <w:p w:rsidRPr="00CA296A" w:rsidR="005419D2" w:rsidP="005419D2" w:rsidRDefault="005419D2" w14:paraId="60B65AA4" w14:textId="77777777">
                  <w:pPr>
                    <w:jc w:val="both"/>
                  </w:pPr>
                  <w:r w:rsidRPr="00CA296A">
                    <w:t> </w:t>
                  </w:r>
                </w:p>
              </w:tc>
            </w:tr>
            <w:tr w:rsidRPr="00CA296A" w:rsidR="005419D2" w:rsidTr="00EE3B45" w14:paraId="11D0BD73" w14:textId="77777777">
              <w:tc>
                <w:tcPr>
                  <w:tcW w:w="1681" w:type="dxa"/>
                  <w:tcBorders>
                    <w:top w:val="outset" w:color="414142" w:sz="6" w:space="0"/>
                    <w:left w:val="outset" w:color="414142" w:sz="6" w:space="0"/>
                    <w:bottom w:val="single" w:color="auto" w:sz="4" w:space="0"/>
                    <w:right w:val="outset" w:color="414142" w:sz="6" w:space="0"/>
                  </w:tcBorders>
                </w:tcPr>
                <w:p w:rsidRPr="00CA296A" w:rsidR="005419D2" w:rsidP="005419D2" w:rsidRDefault="005419D2" w14:paraId="3F9B4E57" w14:textId="77777777">
                  <w:r w:rsidRPr="00CA296A">
                    <w:t>4. Finanšu līdzekļi papildu izdevumu finansēšanai (kompensējošu izdevumu samazinājumu norāda ar "+" zīmi)</w:t>
                  </w:r>
                </w:p>
              </w:tc>
              <w:tc>
                <w:tcPr>
                  <w:tcW w:w="969" w:type="dxa"/>
                  <w:tcBorders>
                    <w:top w:val="outset" w:color="414142" w:sz="6" w:space="0"/>
                    <w:left w:val="outset" w:color="414142" w:sz="6" w:space="0"/>
                    <w:bottom w:val="single" w:color="auto" w:sz="4" w:space="0"/>
                    <w:right w:val="outset" w:color="414142" w:sz="6" w:space="0"/>
                  </w:tcBorders>
                  <w:vAlign w:val="center"/>
                </w:tcPr>
                <w:p w:rsidRPr="00CA296A" w:rsidR="005419D2" w:rsidP="07C88AD7" w:rsidRDefault="3F0E3A6A" w14:paraId="441930FA" w14:textId="77777777">
                  <w:pPr>
                    <w:jc w:val="both"/>
                  </w:pPr>
                  <w:r w:rsidRPr="07C88AD7">
                    <w:t> </w:t>
                  </w:r>
                </w:p>
              </w:tc>
              <w:tc>
                <w:tcPr>
                  <w:tcW w:w="1485" w:type="dxa"/>
                  <w:tcBorders>
                    <w:top w:val="outset" w:color="414142" w:sz="6" w:space="0"/>
                    <w:left w:val="outset" w:color="414142" w:sz="6" w:space="0"/>
                    <w:bottom w:val="single" w:color="auto" w:sz="4" w:space="0"/>
                    <w:right w:val="outset" w:color="414142" w:sz="6" w:space="0"/>
                  </w:tcBorders>
                  <w:vAlign w:val="center"/>
                </w:tcPr>
                <w:p w:rsidRPr="00CA296A" w:rsidR="005419D2" w:rsidP="07C88AD7" w:rsidRDefault="39E8599A" w14:paraId="1578CAB4" w14:textId="326D4773">
                  <w:pPr>
                    <w:jc w:val="both"/>
                  </w:pPr>
                  <w:r w:rsidRPr="07C88AD7">
                    <w:t>30 930</w:t>
                  </w:r>
                </w:p>
              </w:tc>
              <w:tc>
                <w:tcPr>
                  <w:tcW w:w="951" w:type="dxa"/>
                  <w:tcBorders>
                    <w:top w:val="outset" w:color="414142" w:sz="6" w:space="0"/>
                    <w:left w:val="outset" w:color="414142" w:sz="6" w:space="0"/>
                    <w:bottom w:val="single" w:color="auto" w:sz="4" w:space="0"/>
                    <w:right w:val="outset" w:color="414142" w:sz="6" w:space="0"/>
                  </w:tcBorders>
                  <w:vAlign w:val="center"/>
                </w:tcPr>
                <w:p w:rsidRPr="00CA296A" w:rsidR="005419D2" w:rsidP="07C88AD7" w:rsidRDefault="3F0E3A6A" w14:paraId="560513BC" w14:textId="77777777">
                  <w:pPr>
                    <w:jc w:val="both"/>
                  </w:pPr>
                  <w:r w:rsidRPr="07C88AD7">
                    <w:t> </w:t>
                  </w:r>
                </w:p>
              </w:tc>
              <w:tc>
                <w:tcPr>
                  <w:tcW w:w="1002" w:type="dxa"/>
                  <w:tcBorders>
                    <w:top w:val="outset" w:color="414142" w:sz="6" w:space="0"/>
                    <w:left w:val="outset" w:color="414142" w:sz="6" w:space="0"/>
                    <w:bottom w:val="single" w:color="auto" w:sz="4" w:space="0"/>
                    <w:right w:val="outset" w:color="414142" w:sz="6" w:space="0"/>
                  </w:tcBorders>
                  <w:vAlign w:val="center"/>
                </w:tcPr>
                <w:p w:rsidRPr="00CA296A" w:rsidR="005419D2" w:rsidP="005419D2" w:rsidRDefault="005419D2" w14:paraId="1BD303EB" w14:textId="77777777">
                  <w:pPr>
                    <w:jc w:val="both"/>
                  </w:pPr>
                  <w:r w:rsidRPr="00CA296A">
                    <w:t> </w:t>
                  </w:r>
                </w:p>
              </w:tc>
              <w:tc>
                <w:tcPr>
                  <w:tcW w:w="901" w:type="dxa"/>
                  <w:tcBorders>
                    <w:top w:val="outset" w:color="414142" w:sz="6" w:space="0"/>
                    <w:left w:val="outset" w:color="414142" w:sz="6" w:space="0"/>
                    <w:bottom w:val="single" w:color="auto" w:sz="4" w:space="0"/>
                    <w:right w:val="outset" w:color="414142" w:sz="6" w:space="0"/>
                  </w:tcBorders>
                  <w:vAlign w:val="center"/>
                </w:tcPr>
                <w:p w:rsidRPr="00CA296A" w:rsidR="005419D2" w:rsidP="005419D2" w:rsidRDefault="005419D2" w14:paraId="094A0213" w14:textId="77777777">
                  <w:pPr>
                    <w:jc w:val="both"/>
                  </w:pPr>
                  <w:r w:rsidRPr="00CA296A">
                    <w:t> </w:t>
                  </w:r>
                </w:p>
              </w:tc>
              <w:tc>
                <w:tcPr>
                  <w:tcW w:w="941" w:type="dxa"/>
                  <w:tcBorders>
                    <w:top w:val="outset" w:color="414142" w:sz="6" w:space="0"/>
                    <w:left w:val="outset" w:color="414142" w:sz="6" w:space="0"/>
                    <w:bottom w:val="single" w:color="auto" w:sz="4" w:space="0"/>
                    <w:right w:val="outset" w:color="414142" w:sz="6" w:space="0"/>
                  </w:tcBorders>
                  <w:vAlign w:val="center"/>
                </w:tcPr>
                <w:p w:rsidRPr="00CA296A" w:rsidR="005419D2" w:rsidP="005419D2" w:rsidRDefault="005419D2" w14:paraId="773E531D" w14:textId="77777777">
                  <w:pPr>
                    <w:jc w:val="both"/>
                  </w:pPr>
                  <w:r w:rsidRPr="00CA296A">
                    <w:t> </w:t>
                  </w:r>
                </w:p>
              </w:tc>
              <w:tc>
                <w:tcPr>
                  <w:tcW w:w="1276" w:type="dxa"/>
                  <w:tcBorders>
                    <w:top w:val="outset" w:color="414142" w:sz="6" w:space="0"/>
                    <w:left w:val="outset" w:color="414142" w:sz="6" w:space="0"/>
                    <w:bottom w:val="single" w:color="auto" w:sz="4" w:space="0"/>
                    <w:right w:val="outset" w:color="414142" w:sz="6" w:space="0"/>
                  </w:tcBorders>
                  <w:vAlign w:val="center"/>
                </w:tcPr>
                <w:p w:rsidRPr="00CA296A" w:rsidR="005419D2" w:rsidP="005419D2" w:rsidRDefault="005419D2" w14:paraId="2D0772ED" w14:textId="77777777">
                  <w:pPr>
                    <w:jc w:val="both"/>
                  </w:pPr>
                  <w:r w:rsidRPr="00CA296A">
                    <w:t> </w:t>
                  </w:r>
                </w:p>
              </w:tc>
            </w:tr>
            <w:tr w:rsidRPr="00CA296A" w:rsidR="005419D2" w:rsidTr="00EE3B45" w14:paraId="75539EBD" w14:textId="77777777">
              <w:tc>
                <w:tcPr>
                  <w:tcW w:w="1681" w:type="dxa"/>
                  <w:tcBorders>
                    <w:top w:val="single" w:color="auto" w:sz="4" w:space="0"/>
                    <w:left w:val="single" w:color="auto" w:sz="4" w:space="0"/>
                    <w:bottom w:val="single" w:color="auto" w:sz="4" w:space="0"/>
                    <w:right w:val="single" w:color="auto" w:sz="4" w:space="0"/>
                  </w:tcBorders>
                </w:tcPr>
                <w:p w:rsidRPr="00CA296A" w:rsidR="005419D2" w:rsidP="005419D2" w:rsidRDefault="005419D2" w14:paraId="1000A5F8" w14:textId="77777777">
                  <w:r w:rsidRPr="00CA296A">
                    <w:lastRenderedPageBreak/>
                    <w:t>5. Precizēta finansiālā ietekme</w:t>
                  </w:r>
                </w:p>
              </w:tc>
              <w:tc>
                <w:tcPr>
                  <w:tcW w:w="969"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3EBCF9F" w14:textId="77777777">
                  <w:pPr>
                    <w:jc w:val="both"/>
                  </w:pPr>
                  <w:r w:rsidRPr="00CA296A">
                    <w:t> </w:t>
                  </w:r>
                </w:p>
              </w:tc>
              <w:tc>
                <w:tcPr>
                  <w:tcW w:w="1485"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888C6E7" w14:textId="77777777">
                  <w:pPr>
                    <w:jc w:val="both"/>
                    <w:rPr>
                      <w:highlight w:val="yellow"/>
                    </w:rPr>
                  </w:pPr>
                </w:p>
              </w:tc>
              <w:tc>
                <w:tcPr>
                  <w:tcW w:w="95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24351FB" w14:textId="77777777">
                  <w:pPr>
                    <w:jc w:val="both"/>
                  </w:pPr>
                  <w:r w:rsidRPr="00CA296A">
                    <w:t> </w:t>
                  </w:r>
                </w:p>
              </w:tc>
              <w:tc>
                <w:tcPr>
                  <w:tcW w:w="1002"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6BACB74A" w14:textId="77777777">
                  <w:pPr>
                    <w:jc w:val="both"/>
                  </w:pPr>
                  <w:r w:rsidRPr="00CA296A">
                    <w:t> </w:t>
                  </w:r>
                </w:p>
              </w:tc>
              <w:tc>
                <w:tcPr>
                  <w:tcW w:w="90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5C00790F" w14:textId="77777777">
                  <w:pPr>
                    <w:jc w:val="both"/>
                  </w:pPr>
                  <w:r w:rsidRPr="00CA296A">
                    <w:t> </w:t>
                  </w:r>
                </w:p>
              </w:tc>
              <w:tc>
                <w:tcPr>
                  <w:tcW w:w="94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193129DD" w14:textId="77777777">
                  <w:pPr>
                    <w:jc w:val="both"/>
                  </w:pPr>
                  <w:r w:rsidRPr="00CA296A">
                    <w:t> </w:t>
                  </w:r>
                </w:p>
              </w:tc>
              <w:tc>
                <w:tcPr>
                  <w:tcW w:w="1276"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E1FCEF7" w14:textId="77777777">
                  <w:pPr>
                    <w:jc w:val="both"/>
                  </w:pPr>
                  <w:r w:rsidRPr="00CA296A">
                    <w:t> </w:t>
                  </w:r>
                </w:p>
              </w:tc>
            </w:tr>
            <w:tr w:rsidRPr="00CA296A" w:rsidR="005419D2" w:rsidTr="00EE3B45" w14:paraId="0EF810D8" w14:textId="77777777">
              <w:tc>
                <w:tcPr>
                  <w:tcW w:w="1681" w:type="dxa"/>
                  <w:tcBorders>
                    <w:top w:val="single" w:color="auto" w:sz="4" w:space="0"/>
                    <w:left w:val="single" w:color="auto" w:sz="4" w:space="0"/>
                    <w:bottom w:val="single" w:color="auto" w:sz="4" w:space="0"/>
                    <w:right w:val="single" w:color="auto" w:sz="4" w:space="0"/>
                  </w:tcBorders>
                </w:tcPr>
                <w:p w:rsidRPr="00CA296A" w:rsidR="005419D2" w:rsidP="005419D2" w:rsidRDefault="005419D2" w14:paraId="23FD9DAA" w14:textId="77777777">
                  <w:r w:rsidRPr="00CA296A">
                    <w:t>5.1. valsts pamatbudžets</w:t>
                  </w:r>
                </w:p>
              </w:tc>
              <w:tc>
                <w:tcPr>
                  <w:tcW w:w="969"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539656E7" w14:textId="77777777">
                  <w:pPr>
                    <w:jc w:val="both"/>
                  </w:pPr>
                </w:p>
              </w:tc>
              <w:tc>
                <w:tcPr>
                  <w:tcW w:w="1485"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4990B515" w14:textId="77777777">
                  <w:pPr>
                    <w:jc w:val="both"/>
                    <w:rPr>
                      <w:highlight w:val="yellow"/>
                    </w:rPr>
                  </w:pPr>
                </w:p>
              </w:tc>
              <w:tc>
                <w:tcPr>
                  <w:tcW w:w="95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4F7FC650" w14:textId="77777777">
                  <w:pPr>
                    <w:jc w:val="both"/>
                  </w:pPr>
                </w:p>
              </w:tc>
              <w:tc>
                <w:tcPr>
                  <w:tcW w:w="1002"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73E7C32D" w14:textId="77777777">
                  <w:pPr>
                    <w:jc w:val="both"/>
                  </w:pPr>
                  <w:r w:rsidRPr="00CA296A">
                    <w:t> </w:t>
                  </w:r>
                </w:p>
              </w:tc>
              <w:tc>
                <w:tcPr>
                  <w:tcW w:w="90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1D378691" w14:textId="77777777">
                  <w:pPr>
                    <w:jc w:val="both"/>
                  </w:pPr>
                </w:p>
              </w:tc>
              <w:tc>
                <w:tcPr>
                  <w:tcW w:w="94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76322DD5" w14:textId="77777777">
                  <w:pPr>
                    <w:jc w:val="both"/>
                  </w:pPr>
                  <w:r w:rsidRPr="00CA296A">
                    <w:t> </w:t>
                  </w:r>
                </w:p>
              </w:tc>
              <w:tc>
                <w:tcPr>
                  <w:tcW w:w="1276"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7E153751" w14:textId="77777777">
                  <w:pPr>
                    <w:jc w:val="both"/>
                  </w:pPr>
                  <w:r w:rsidRPr="00CA296A">
                    <w:t> </w:t>
                  </w:r>
                </w:p>
              </w:tc>
            </w:tr>
            <w:tr w:rsidRPr="00CA296A" w:rsidR="005419D2" w:rsidTr="00EE3B45" w14:paraId="376415E5" w14:textId="77777777">
              <w:tc>
                <w:tcPr>
                  <w:tcW w:w="1681" w:type="dxa"/>
                  <w:tcBorders>
                    <w:top w:val="single" w:color="auto" w:sz="4" w:space="0"/>
                    <w:left w:val="single" w:color="auto" w:sz="4" w:space="0"/>
                    <w:bottom w:val="single" w:color="auto" w:sz="4" w:space="0"/>
                    <w:right w:val="single" w:color="auto" w:sz="4" w:space="0"/>
                  </w:tcBorders>
                </w:tcPr>
                <w:p w:rsidRPr="00CA296A" w:rsidR="005419D2" w:rsidP="005419D2" w:rsidRDefault="005419D2" w14:paraId="5DAAF008" w14:textId="77777777">
                  <w:r w:rsidRPr="00CA296A">
                    <w:t>5.2. speciālais budžets</w:t>
                  </w:r>
                </w:p>
              </w:tc>
              <w:tc>
                <w:tcPr>
                  <w:tcW w:w="969"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1C73A47" w14:textId="77777777">
                  <w:pPr>
                    <w:jc w:val="both"/>
                  </w:pPr>
                </w:p>
              </w:tc>
              <w:tc>
                <w:tcPr>
                  <w:tcW w:w="1485"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53136153" w14:textId="77777777">
                  <w:pPr>
                    <w:jc w:val="both"/>
                    <w:rPr>
                      <w:highlight w:val="yellow"/>
                    </w:rPr>
                  </w:pPr>
                </w:p>
              </w:tc>
              <w:tc>
                <w:tcPr>
                  <w:tcW w:w="95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29899B73" w14:textId="77777777">
                  <w:pPr>
                    <w:jc w:val="both"/>
                  </w:pPr>
                </w:p>
              </w:tc>
              <w:tc>
                <w:tcPr>
                  <w:tcW w:w="1002"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1F1D63A5" w14:textId="77777777">
                  <w:pPr>
                    <w:jc w:val="both"/>
                  </w:pPr>
                  <w:r w:rsidRPr="00CA296A">
                    <w:t> </w:t>
                  </w:r>
                </w:p>
              </w:tc>
              <w:tc>
                <w:tcPr>
                  <w:tcW w:w="90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458474C0" w14:textId="77777777">
                  <w:pPr>
                    <w:jc w:val="both"/>
                  </w:pPr>
                </w:p>
              </w:tc>
              <w:tc>
                <w:tcPr>
                  <w:tcW w:w="94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57FD25B" w14:textId="77777777">
                  <w:pPr>
                    <w:jc w:val="both"/>
                  </w:pPr>
                  <w:r w:rsidRPr="00CA296A">
                    <w:t> </w:t>
                  </w:r>
                </w:p>
              </w:tc>
              <w:tc>
                <w:tcPr>
                  <w:tcW w:w="1276"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13B5900E" w14:textId="77777777">
                  <w:pPr>
                    <w:jc w:val="both"/>
                  </w:pPr>
                  <w:r w:rsidRPr="00CA296A">
                    <w:t> </w:t>
                  </w:r>
                </w:p>
              </w:tc>
            </w:tr>
            <w:tr w:rsidRPr="00CA296A" w:rsidR="005419D2" w:rsidTr="00EE3B45" w14:paraId="69BBB0AD" w14:textId="77777777">
              <w:tc>
                <w:tcPr>
                  <w:tcW w:w="1681" w:type="dxa"/>
                  <w:tcBorders>
                    <w:top w:val="single" w:color="auto" w:sz="4" w:space="0"/>
                    <w:left w:val="single" w:color="auto" w:sz="4" w:space="0"/>
                    <w:bottom w:val="single" w:color="auto" w:sz="4" w:space="0"/>
                    <w:right w:val="single" w:color="auto" w:sz="4" w:space="0"/>
                  </w:tcBorders>
                </w:tcPr>
                <w:p w:rsidRPr="00CA296A" w:rsidR="005419D2" w:rsidP="005419D2" w:rsidRDefault="005419D2" w14:paraId="15A8BD7F" w14:textId="77777777">
                  <w:r w:rsidRPr="00CA296A">
                    <w:t>5.3. pašvaldību budžets</w:t>
                  </w:r>
                </w:p>
              </w:tc>
              <w:tc>
                <w:tcPr>
                  <w:tcW w:w="969"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57A79AC" w14:textId="77777777">
                  <w:pPr>
                    <w:jc w:val="both"/>
                  </w:pPr>
                </w:p>
              </w:tc>
              <w:tc>
                <w:tcPr>
                  <w:tcW w:w="1485"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469A685E" w14:textId="77777777">
                  <w:pPr>
                    <w:jc w:val="both"/>
                    <w:rPr>
                      <w:highlight w:val="yellow"/>
                    </w:rPr>
                  </w:pPr>
                </w:p>
              </w:tc>
              <w:tc>
                <w:tcPr>
                  <w:tcW w:w="95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2CA2B06C" w14:textId="77777777">
                  <w:pPr>
                    <w:jc w:val="both"/>
                  </w:pPr>
                </w:p>
              </w:tc>
              <w:tc>
                <w:tcPr>
                  <w:tcW w:w="1002"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7856E3A4" w14:textId="77777777">
                  <w:pPr>
                    <w:jc w:val="both"/>
                  </w:pPr>
                  <w:r w:rsidRPr="00CA296A">
                    <w:t> </w:t>
                  </w:r>
                </w:p>
              </w:tc>
              <w:tc>
                <w:tcPr>
                  <w:tcW w:w="90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38680490" w14:textId="77777777">
                  <w:pPr>
                    <w:jc w:val="both"/>
                  </w:pPr>
                </w:p>
              </w:tc>
              <w:tc>
                <w:tcPr>
                  <w:tcW w:w="941"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0983D711" w14:textId="77777777">
                  <w:pPr>
                    <w:jc w:val="both"/>
                  </w:pPr>
                  <w:r w:rsidRPr="00CA296A">
                    <w:t> </w:t>
                  </w:r>
                </w:p>
              </w:tc>
              <w:tc>
                <w:tcPr>
                  <w:tcW w:w="1276" w:type="dxa"/>
                  <w:tcBorders>
                    <w:top w:val="single" w:color="auto" w:sz="4" w:space="0"/>
                    <w:left w:val="single" w:color="auto" w:sz="4" w:space="0"/>
                    <w:bottom w:val="single" w:color="auto" w:sz="4" w:space="0"/>
                    <w:right w:val="single" w:color="auto" w:sz="4" w:space="0"/>
                  </w:tcBorders>
                  <w:vAlign w:val="center"/>
                </w:tcPr>
                <w:p w:rsidRPr="00CA296A" w:rsidR="005419D2" w:rsidP="005419D2" w:rsidRDefault="005419D2" w14:paraId="21DE56FB" w14:textId="77777777">
                  <w:pPr>
                    <w:jc w:val="both"/>
                  </w:pPr>
                  <w:r w:rsidRPr="00CA296A">
                    <w:t> </w:t>
                  </w:r>
                </w:p>
              </w:tc>
            </w:tr>
            <w:tr w:rsidRPr="00CA296A" w:rsidR="005419D2" w:rsidTr="07C88AD7" w14:paraId="41FBCAFC" w14:textId="77777777">
              <w:trPr>
                <w:trHeight w:val="4373"/>
              </w:trPr>
              <w:tc>
                <w:tcPr>
                  <w:tcW w:w="1681" w:type="dxa"/>
                  <w:tcBorders>
                    <w:top w:val="single" w:color="auto" w:sz="4" w:space="0"/>
                    <w:left w:val="outset" w:color="414142" w:sz="6" w:space="0"/>
                    <w:bottom w:val="outset" w:color="414142" w:sz="6" w:space="0"/>
                    <w:right w:val="outset" w:color="414142" w:sz="6" w:space="0"/>
                  </w:tcBorders>
                </w:tcPr>
                <w:p w:rsidRPr="00CA296A" w:rsidR="005419D2" w:rsidP="005419D2" w:rsidRDefault="005419D2" w14:paraId="6075C05A" w14:textId="77777777">
                  <w:pPr>
                    <w:rPr>
                      <w:highlight w:val="yellow"/>
                    </w:rPr>
                  </w:pPr>
                  <w:r w:rsidRPr="00CA296A">
                    <w:t>6. Detalizēts ieņēmumu un izdevumu aprēķins (ja nepieciešams, detalizētu ieņēmumu un izdevumu aprēķinu var pievienot anotācijas pielikumā)</w:t>
                  </w:r>
                </w:p>
              </w:tc>
              <w:tc>
                <w:tcPr>
                  <w:tcW w:w="7525" w:type="dxa"/>
                  <w:gridSpan w:val="7"/>
                  <w:vMerge w:val="restart"/>
                  <w:tcBorders>
                    <w:top w:val="single" w:color="auto" w:sz="4" w:space="0"/>
                    <w:left w:val="outset" w:color="414142" w:sz="6" w:space="0"/>
                    <w:bottom w:val="outset" w:color="414142" w:sz="6" w:space="0"/>
                    <w:right w:val="outset" w:color="414142" w:sz="6" w:space="0"/>
                  </w:tcBorders>
                  <w:vAlign w:val="center"/>
                </w:tcPr>
                <w:p w:rsidR="005419D2" w:rsidP="005419D2" w:rsidRDefault="3F0E3A6A" w14:paraId="20611EEE" w14:textId="5879ABC4">
                  <w:pPr>
                    <w:jc w:val="both"/>
                    <w:rPr>
                      <w:color w:val="000000"/>
                    </w:rPr>
                  </w:pPr>
                  <w:r>
                    <w:t xml:space="preserve">Ievērojot, ka Latvijas Radio ir piešķirts finansējums 25 674 </w:t>
                  </w:r>
                  <w:proofErr w:type="spellStart"/>
                  <w:r w:rsidRPr="006F431E" w:rsidR="006F431E">
                    <w:rPr>
                      <w:i/>
                      <w:iCs/>
                    </w:rPr>
                    <w:t>euro</w:t>
                  </w:r>
                  <w:proofErr w:type="spellEnd"/>
                  <w:r>
                    <w:t xml:space="preserve"> apmērā, </w:t>
                  </w:r>
                  <w:r>
                    <w:rPr>
                      <w:shd w:val="clear" w:color="auto" w:fill="FFFFFF"/>
                    </w:rPr>
                    <w:t xml:space="preserve">lai Latvijas Radio varētu izpildīt </w:t>
                  </w:r>
                  <w:proofErr w:type="gramStart"/>
                  <w:r>
                    <w:rPr>
                      <w:shd w:val="clear" w:color="auto" w:fill="FFFFFF"/>
                    </w:rPr>
                    <w:t>2020.gada</w:t>
                  </w:r>
                  <w:proofErr w:type="gramEnd"/>
                  <w:r>
                    <w:rPr>
                      <w:shd w:val="clear" w:color="auto" w:fill="FFFFFF"/>
                    </w:rPr>
                    <w:t xml:space="preserve"> sabiedrisko pasūtījumu, kā kompensācija vēl nepieciešami </w:t>
                  </w:r>
                  <w:r w:rsidRPr="07C88AD7">
                    <w:rPr>
                      <w:shd w:val="clear" w:color="auto" w:fill="FFFFFF"/>
                    </w:rPr>
                    <w:t>17</w:t>
                  </w:r>
                  <w:r w:rsidRPr="07C88AD7" w:rsidR="086AE573">
                    <w:rPr>
                      <w:shd w:val="clear" w:color="auto" w:fill="FFFFFF"/>
                    </w:rPr>
                    <w:t xml:space="preserve"> </w:t>
                  </w:r>
                  <w:r w:rsidRPr="07C88AD7">
                    <w:rPr>
                      <w:shd w:val="clear" w:color="auto" w:fill="FFFFFF"/>
                    </w:rPr>
                    <w:t>09</w:t>
                  </w:r>
                  <w:r w:rsidR="7028ECE4">
                    <w:rPr>
                      <w:shd w:val="clear" w:color="auto" w:fill="FFFFFF"/>
                    </w:rPr>
                    <w:t xml:space="preserve">8 </w:t>
                  </w:r>
                  <w:proofErr w:type="spellStart"/>
                  <w:r w:rsidRPr="006F431E" w:rsidR="006F431E">
                    <w:rPr>
                      <w:i/>
                      <w:iCs/>
                      <w:shd w:val="clear" w:color="auto" w:fill="FFFFFF"/>
                    </w:rPr>
                    <w:t>euro</w:t>
                  </w:r>
                  <w:proofErr w:type="spellEnd"/>
                  <w:r>
                    <w:rPr>
                      <w:shd w:val="clear" w:color="auto" w:fill="FFFFFF"/>
                    </w:rPr>
                    <w:t xml:space="preserve"> </w:t>
                  </w:r>
                  <w:r w:rsidRPr="00562321">
                    <w:t xml:space="preserve">par Latvijas Radio papildu (iepriekš neplānotajiem) izdevumiem darba procesa piemērošanai valstī noteiktajām </w:t>
                  </w:r>
                  <w:r w:rsidRPr="00182B6B">
                    <w:t xml:space="preserve">epidemioloģiskajām prasībām, nodrošinot pamatdarbību, kā arī veidojot papildu </w:t>
                  </w:r>
                  <w:proofErr w:type="spellStart"/>
                  <w:r w:rsidRPr="00182B6B">
                    <w:t>oriģinālsaturu</w:t>
                  </w:r>
                  <w:proofErr w:type="spellEnd"/>
                  <w:r w:rsidRPr="00182B6B">
                    <w:t xml:space="preserve">, kas iepriekš netika plānots un </w:t>
                  </w:r>
                  <w:r w:rsidR="00781881">
                    <w:t xml:space="preserve">netika </w:t>
                  </w:r>
                  <w:r w:rsidRPr="00182B6B">
                    <w:t>iekļauts sabiedriskajā pasūtījumā.</w:t>
                  </w:r>
                </w:p>
                <w:p w:rsidRPr="00935951" w:rsidR="005419D2" w:rsidP="07C88AD7" w:rsidRDefault="005419D2" w14:paraId="16A89521" w14:textId="7AD06FC8">
                  <w:pPr>
                    <w:jc w:val="both"/>
                    <w:rPr>
                      <w:color w:val="000000" w:themeColor="text1"/>
                    </w:rPr>
                  </w:pPr>
                  <w:r>
                    <w:rPr>
                      <w:noProof/>
                      <w:lang w:eastAsia="lv-LV"/>
                    </w:rPr>
                    <w:drawing>
                      <wp:inline distT="0" distB="0" distL="0" distR="0" wp14:anchorId="2E74CD75" wp14:editId="39FB5AA0">
                        <wp:extent cx="4783455" cy="2582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3455" cy="2582545"/>
                                </a:xfrm>
                                <a:prstGeom prst="rect">
                                  <a:avLst/>
                                </a:prstGeom>
                                <a:noFill/>
                                <a:ln>
                                  <a:noFill/>
                                </a:ln>
                              </pic:spPr>
                            </pic:pic>
                          </a:graphicData>
                        </a:graphic>
                      </wp:inline>
                    </w:drawing>
                  </w:r>
                  <w:r w:rsidRPr="00B50F13" w:rsidR="3F0E3A6A">
                    <w:t xml:space="preserve"> </w:t>
                  </w:r>
                </w:p>
                <w:p w:rsidRPr="00CA296A" w:rsidR="005419D2" w:rsidP="00781881" w:rsidRDefault="3998405E" w14:paraId="2BB7B732" w14:textId="140A36BC">
                  <w:pPr>
                    <w:jc w:val="both"/>
                    <w:rPr>
                      <w:highlight w:val="yellow"/>
                    </w:rPr>
                  </w:pPr>
                  <w:r>
                    <w:t>NEPLP ir nepieciešami līdzekļi 13</w:t>
                  </w:r>
                  <w:r w:rsidR="21397247">
                    <w:t xml:space="preserve"> 832 </w:t>
                  </w:r>
                  <w:proofErr w:type="spellStart"/>
                  <w:r w:rsidRPr="07C88AD7">
                    <w:rPr>
                      <w:i/>
                      <w:iCs/>
                    </w:rPr>
                    <w:t>euro</w:t>
                  </w:r>
                  <w:proofErr w:type="spellEnd"/>
                  <w:r>
                    <w:t xml:space="preserve"> apmērā, lai kompensētu izdevumus, kas ir saistīti ar sabiedriskā pasūtījuma komerciālajos medijos izvērtējuma veikšanu.</w:t>
                  </w:r>
                  <w:r w:rsidR="009D383A">
                    <w:t xml:space="preserve"> </w:t>
                  </w:r>
                  <w:r w:rsidRPr="00CC7840" w:rsidR="00CC7840">
                    <w:t xml:space="preserve">NEPLP prognozē, ka </w:t>
                  </w:r>
                  <w:proofErr w:type="spellStart"/>
                  <w:r w:rsidRPr="00CC7840" w:rsidR="00CC7840">
                    <w:t>Covid-19</w:t>
                  </w:r>
                  <w:proofErr w:type="spellEnd"/>
                  <w:r w:rsidRPr="00CC7840" w:rsidR="00CC7840">
                    <w:t xml:space="preserve"> laikā radītā satura izvērtēšanai būs nepieciešams ievērojams darba apjoms, kura izpildei</w:t>
                  </w:r>
                  <w:r w:rsidRPr="00CC7840" w:rsidR="009D383A">
                    <w:t xml:space="preserve"> </w:t>
                  </w:r>
                  <w:r w:rsidRPr="00CC7840" w:rsidR="00CC7840">
                    <w:t>tiks p</w:t>
                  </w:r>
                  <w:r w:rsidR="00CC7840">
                    <w:t>iesaistīti vismaz 19 recenzenti.</w:t>
                  </w:r>
                  <w:r w:rsidRPr="00CC7840" w:rsidR="00CC7840">
                    <w:t xml:space="preserve"> Līdzšinējā pieredze liecina, </w:t>
                  </w:r>
                  <w:proofErr w:type="gramStart"/>
                  <w:r w:rsidRPr="00CC7840" w:rsidR="00CC7840">
                    <w:t>ka viena recenzenta izmaksas svārstās robežās</w:t>
                  </w:r>
                  <w:proofErr w:type="gramEnd"/>
                  <w:r w:rsidRPr="00CC7840" w:rsidR="009D383A">
                    <w:t xml:space="preserve"> </w:t>
                  </w:r>
                  <w:r w:rsidRPr="00CC7840" w:rsidR="00CC7840">
                    <w:t xml:space="preserve">līdz 728 </w:t>
                  </w:r>
                  <w:proofErr w:type="spellStart"/>
                  <w:r w:rsidRPr="00EE3B45" w:rsidR="00CC7840">
                    <w:rPr>
                      <w:i/>
                      <w:iCs/>
                    </w:rPr>
                    <w:t>e</w:t>
                  </w:r>
                  <w:r w:rsidRPr="00EE3B45" w:rsidR="009D383A">
                    <w:rPr>
                      <w:i/>
                      <w:iCs/>
                    </w:rPr>
                    <w:t>u</w:t>
                  </w:r>
                  <w:r w:rsidRPr="00EE3B45" w:rsidR="00CC7840">
                    <w:rPr>
                      <w:i/>
                      <w:iCs/>
                    </w:rPr>
                    <w:t>ro</w:t>
                  </w:r>
                  <w:proofErr w:type="spellEnd"/>
                  <w:r w:rsidRPr="00CC7840" w:rsidR="00CC7840">
                    <w:t xml:space="preserve"> atkarībā no darba pienākuma apjoma. </w:t>
                  </w:r>
                  <w:r w:rsidR="00CC7840">
                    <w:t>T</w:t>
                  </w:r>
                  <w:r w:rsidRPr="00CC7840" w:rsidR="00CC7840">
                    <w:t xml:space="preserve">āpēc NEPLP lūdz piešķirt 13 832 </w:t>
                  </w:r>
                  <w:proofErr w:type="spellStart"/>
                  <w:r w:rsidRPr="00EE3B45" w:rsidR="00CC7840">
                    <w:rPr>
                      <w:i/>
                      <w:iCs/>
                    </w:rPr>
                    <w:t>e</w:t>
                  </w:r>
                  <w:r w:rsidRPr="00EE3B45" w:rsidR="009D383A">
                    <w:rPr>
                      <w:i/>
                      <w:iCs/>
                    </w:rPr>
                    <w:t>u</w:t>
                  </w:r>
                  <w:r w:rsidRPr="00EE3B45" w:rsidR="00CC7840">
                    <w:rPr>
                      <w:i/>
                      <w:iCs/>
                    </w:rPr>
                    <w:t>ro</w:t>
                  </w:r>
                  <w:proofErr w:type="spellEnd"/>
                  <w:r w:rsidR="00CC7840">
                    <w:t xml:space="preserve"> (19x728=13 832)</w:t>
                  </w:r>
                  <w:r w:rsidRPr="00CC7840" w:rsidR="00CC7840">
                    <w:t>. Vienlaikus NEPLP uzsver, ka tās ir sākotnējās aplēses, un piešķirtā finansējuma izdevumu struktūra varētu tikt precizētas atkarībā no vienošanās ar recenzentiem.</w:t>
                  </w:r>
                </w:p>
              </w:tc>
            </w:tr>
            <w:tr w:rsidRPr="00CA296A" w:rsidR="005419D2" w:rsidTr="07C88AD7" w14:paraId="71DE9D12" w14:textId="77777777">
              <w:trPr>
                <w:trHeight w:val="1718"/>
              </w:trPr>
              <w:tc>
                <w:tcPr>
                  <w:tcW w:w="1681" w:type="dxa"/>
                  <w:tcBorders>
                    <w:top w:val="outset" w:color="414142" w:sz="6" w:space="0"/>
                    <w:left w:val="outset" w:color="414142" w:sz="6" w:space="0"/>
                    <w:right w:val="outset" w:color="414142" w:sz="6" w:space="0"/>
                  </w:tcBorders>
                </w:tcPr>
                <w:p w:rsidRPr="00CA296A" w:rsidR="005419D2" w:rsidP="005419D2" w:rsidRDefault="005419D2" w14:paraId="73A70CDF" w14:textId="77777777">
                  <w:r w:rsidRPr="00CA296A">
                    <w:t>6.1. detalizēts ieņēmumu aprēķins</w:t>
                  </w:r>
                </w:p>
              </w:tc>
              <w:tc>
                <w:tcPr>
                  <w:tcW w:w="7525" w:type="dxa"/>
                  <w:gridSpan w:val="7"/>
                  <w:vMerge/>
                  <w:vAlign w:val="center"/>
                </w:tcPr>
                <w:p w:rsidRPr="00CA296A" w:rsidR="005419D2" w:rsidP="005419D2" w:rsidRDefault="005419D2" w14:paraId="6AA5B35B" w14:textId="77777777">
                  <w:pPr>
                    <w:jc w:val="both"/>
                  </w:pPr>
                </w:p>
              </w:tc>
            </w:tr>
            <w:tr w:rsidRPr="00CA296A" w:rsidR="005419D2" w:rsidTr="07C88AD7" w14:paraId="395282F7"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043CB4C7" w14:textId="77777777">
                  <w:r w:rsidRPr="00CA296A">
                    <w:t>7. Amata vietu skaita izmaiņas</w:t>
                  </w:r>
                </w:p>
              </w:tc>
              <w:tc>
                <w:tcPr>
                  <w:tcW w:w="7525" w:type="dxa"/>
                  <w:gridSpan w:val="7"/>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27EFE5E0" w14:textId="77777777">
                  <w:pPr>
                    <w:jc w:val="both"/>
                  </w:pPr>
                  <w:r w:rsidRPr="00CA296A">
                    <w:t>Nav</w:t>
                  </w:r>
                </w:p>
              </w:tc>
            </w:tr>
            <w:tr w:rsidRPr="00CA296A" w:rsidR="005419D2" w:rsidTr="07C88AD7" w14:paraId="7CB4AC57" w14:textId="77777777">
              <w:tc>
                <w:tcPr>
                  <w:tcW w:w="1681" w:type="dxa"/>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2D77073D" w14:textId="77777777">
                  <w:r w:rsidRPr="00CA296A">
                    <w:t>8. Cita informācija</w:t>
                  </w:r>
                </w:p>
              </w:tc>
              <w:tc>
                <w:tcPr>
                  <w:tcW w:w="7525" w:type="dxa"/>
                  <w:gridSpan w:val="7"/>
                  <w:tcBorders>
                    <w:top w:val="outset" w:color="414142" w:sz="6" w:space="0"/>
                    <w:left w:val="outset" w:color="414142" w:sz="6" w:space="0"/>
                    <w:bottom w:val="outset" w:color="414142" w:sz="6" w:space="0"/>
                    <w:right w:val="outset" w:color="414142" w:sz="6" w:space="0"/>
                  </w:tcBorders>
                </w:tcPr>
                <w:p w:rsidRPr="00CA296A" w:rsidR="005419D2" w:rsidP="005419D2" w:rsidRDefault="005419D2" w14:paraId="4A5D69E7" w14:textId="77777777">
                  <w:pPr>
                    <w:jc w:val="both"/>
                  </w:pPr>
                  <w:r w:rsidRPr="00CA296A">
                    <w:rPr>
                      <w:color w:val="000000"/>
                    </w:rPr>
                    <w:t xml:space="preserve">Izdevumus sedz no valsts budžeta programmas 02.00.00 „Līdzekļi neparedzētiem gadījumiem” atbilstoši Ministru kabineta </w:t>
                  </w:r>
                  <w:r w:rsidRPr="00CA296A">
                    <w:t xml:space="preserve">2018. gada </w:t>
                  </w:r>
                  <w:proofErr w:type="gramStart"/>
                  <w:r w:rsidRPr="00CA296A">
                    <w:t>17.jūlija</w:t>
                  </w:r>
                  <w:proofErr w:type="gramEnd"/>
                  <w:r w:rsidRPr="00CA296A">
                    <w:t xml:space="preserve"> </w:t>
                  </w:r>
                  <w:r w:rsidRPr="00CA296A">
                    <w:lastRenderedPageBreak/>
                    <w:t>noteikumiem Nr.421 “Kārtība, kādā veic gadskārtējā valsts budžeta likumā noteiktās apropriācijas izmaiņas”.</w:t>
                  </w:r>
                </w:p>
              </w:tc>
            </w:tr>
          </w:tbl>
          <w:p w:rsidRPr="00CA296A" w:rsidR="003F6B9D" w:rsidP="006511AB" w:rsidRDefault="003F6B9D" w14:paraId="3A447540" w14:textId="77777777">
            <w:pPr>
              <w:jc w:val="both"/>
            </w:pPr>
            <w:r w:rsidRPr="00CA296A">
              <w:lastRenderedPageBreak/>
              <w:t> </w:t>
            </w: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023"/>
              <w:gridCol w:w="5650"/>
            </w:tblGrid>
            <w:tr w:rsidRPr="00CA296A" w:rsidR="003F6B9D" w:rsidTr="2EC0DF3C" w14:paraId="5A18C54E" w14:textId="77777777">
              <w:tc>
                <w:tcPr>
                  <w:tcW w:w="9206" w:type="dxa"/>
                  <w:gridSpan w:val="3"/>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6F52E499" w14:textId="77777777">
                  <w:pPr>
                    <w:spacing w:before="100" w:beforeAutospacing="1" w:after="100" w:afterAutospacing="1" w:line="228" w:lineRule="atLeast"/>
                    <w:jc w:val="center"/>
                    <w:rPr>
                      <w:b/>
                      <w:bCs/>
                    </w:rPr>
                  </w:pPr>
                  <w:bookmarkStart w:name="_Hlk51762671" w:id="8"/>
                  <w:r w:rsidRPr="00CA296A">
                    <w:rPr>
                      <w:b/>
                      <w:bCs/>
                    </w:rPr>
                    <w:t>IV. Tiesību akta projekta ietekme uz spēkā esošo tiesību normu sistēmu</w:t>
                  </w:r>
                </w:p>
              </w:tc>
            </w:tr>
            <w:tr w:rsidRPr="00CA296A" w:rsidR="003F6B9D" w:rsidTr="2EC0DF3C" w14:paraId="58428D8B"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035627C4" w14:textId="77777777">
                  <w:pPr>
                    <w:spacing w:before="100" w:beforeAutospacing="1" w:after="100" w:afterAutospacing="1" w:line="228" w:lineRule="atLeast"/>
                    <w:jc w:val="both"/>
                  </w:pPr>
                  <w:r w:rsidRPr="00CA296A">
                    <w:t>1.</w:t>
                  </w:r>
                </w:p>
              </w:tc>
              <w:tc>
                <w:tcPr>
                  <w:tcW w:w="302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B40494C" w14:textId="77777777">
                  <w:pPr>
                    <w:jc w:val="both"/>
                  </w:pPr>
                  <w:r w:rsidRPr="00CA296A">
                    <w:t>Saistītie tiesību aktu projekti</w:t>
                  </w:r>
                </w:p>
              </w:tc>
              <w:tc>
                <w:tcPr>
                  <w:tcW w:w="5650" w:type="dxa"/>
                  <w:tcBorders>
                    <w:top w:val="outset" w:color="414142" w:sz="6" w:space="0"/>
                    <w:left w:val="outset" w:color="414142" w:sz="6" w:space="0"/>
                    <w:bottom w:val="outset" w:color="414142" w:sz="6" w:space="0"/>
                    <w:right w:val="outset" w:color="414142" w:sz="6" w:space="0"/>
                  </w:tcBorders>
                </w:tcPr>
                <w:p w:rsidRPr="00CA296A" w:rsidR="003F6B9D" w:rsidP="006511AB" w:rsidRDefault="009D383A" w14:paraId="0C4899D7" w14:textId="66E27FCB">
                  <w:pPr>
                    <w:jc w:val="both"/>
                  </w:pPr>
                  <w:r>
                    <w:t xml:space="preserve">Projekts tiek virzīts vienlaikus ar </w:t>
                  </w:r>
                  <w:r w:rsidRPr="00013F4C">
                    <w:rPr>
                      <w:iCs/>
                      <w:szCs w:val="28"/>
                      <w:lang w:eastAsia="lv-LV"/>
                    </w:rPr>
                    <w:t>informatīvo ziņojumu „</w:t>
                  </w:r>
                  <w:r w:rsidRPr="00013F4C">
                    <w:rPr>
                      <w:szCs w:val="28"/>
                    </w:rPr>
                    <w:t xml:space="preserve">Par </w:t>
                  </w:r>
                  <w:proofErr w:type="spellStart"/>
                  <w:r w:rsidRPr="00013F4C">
                    <w:rPr>
                      <w:szCs w:val="28"/>
                      <w:shd w:val="clear" w:color="auto" w:fill="FFFFFF"/>
                    </w:rPr>
                    <w:t>Covid-19</w:t>
                  </w:r>
                  <w:proofErr w:type="spellEnd"/>
                  <w:r w:rsidRPr="00013F4C">
                    <w:rPr>
                      <w:szCs w:val="28"/>
                      <w:shd w:val="clear" w:color="auto" w:fill="FFFFFF"/>
                    </w:rPr>
                    <w:t xml:space="preserve"> ārkārtējās situācijas ietekmi uz sabiedrisko mediju finansiālo spēju nodrošināt sabiedriskā pasūtījuma izpildi</w:t>
                  </w:r>
                  <w:r w:rsidRPr="00013F4C">
                    <w:rPr>
                      <w:iCs/>
                      <w:szCs w:val="28"/>
                      <w:lang w:eastAsia="lv-LV"/>
                    </w:rPr>
                    <w:t xml:space="preserve">” </w:t>
                  </w:r>
                  <w:r>
                    <w:rPr>
                      <w:iCs/>
                      <w:szCs w:val="28"/>
                      <w:lang w:eastAsia="lv-LV"/>
                    </w:rPr>
                    <w:t xml:space="preserve">un </w:t>
                  </w:r>
                  <w:r>
                    <w:t>Ministru kabineta rīkojuma projektu “</w:t>
                  </w:r>
                  <w:r w:rsidRPr="00020E99">
                    <w:t>Par apropriācijas pārdali no budžeta resora 47.”Radio un televīzija” (Nacionālā elektronisko plašsaziņas līdzekļu padome) budžeta uz valsts budžeta programmu 02.00.00 „Līdzekļi neparedzētiem gadījumiem”</w:t>
                  </w:r>
                  <w:r>
                    <w:t>”.</w:t>
                  </w:r>
                </w:p>
              </w:tc>
            </w:tr>
            <w:tr w:rsidRPr="00CA296A" w:rsidR="003F6B9D" w:rsidTr="2EC0DF3C" w14:paraId="402CC62E"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0C3CEF6E" w14:textId="77777777">
                  <w:pPr>
                    <w:spacing w:before="100" w:beforeAutospacing="1" w:after="100" w:afterAutospacing="1" w:line="228" w:lineRule="atLeast"/>
                    <w:jc w:val="both"/>
                  </w:pPr>
                  <w:r w:rsidRPr="00CA296A">
                    <w:t>2.</w:t>
                  </w:r>
                </w:p>
              </w:tc>
              <w:tc>
                <w:tcPr>
                  <w:tcW w:w="302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8BA11F3" w14:textId="77777777">
                  <w:pPr>
                    <w:jc w:val="both"/>
                  </w:pPr>
                  <w:r w:rsidRPr="00CA296A">
                    <w:t>Atbildīgā institūcija</w:t>
                  </w:r>
                </w:p>
              </w:tc>
              <w:tc>
                <w:tcPr>
                  <w:tcW w:w="5650" w:type="dxa"/>
                  <w:tcBorders>
                    <w:top w:val="outset" w:color="414142" w:sz="6" w:space="0"/>
                    <w:left w:val="outset" w:color="414142" w:sz="6" w:space="0"/>
                    <w:bottom w:val="outset" w:color="414142" w:sz="6" w:space="0"/>
                    <w:right w:val="outset" w:color="414142" w:sz="6" w:space="0"/>
                  </w:tcBorders>
                </w:tcPr>
                <w:p w:rsidRPr="00CA296A" w:rsidR="003F6B9D" w:rsidP="006511AB" w:rsidRDefault="009D383A" w14:paraId="354F5997" w14:textId="1A4D831D">
                  <w:pPr>
                    <w:jc w:val="both"/>
                  </w:pPr>
                  <w:r>
                    <w:t>NEPLP</w:t>
                  </w:r>
                  <w:r w:rsidR="003F6B9D">
                    <w:t xml:space="preserve">, Kultūras ministrija, Latvijas </w:t>
                  </w:r>
                  <w:r w:rsidR="00CB2E76">
                    <w:t>Radio</w:t>
                  </w:r>
                  <w:r>
                    <w:t>.</w:t>
                  </w:r>
                </w:p>
              </w:tc>
            </w:tr>
            <w:tr w:rsidRPr="00CA296A" w:rsidR="003F6B9D" w:rsidTr="2EC0DF3C" w14:paraId="41EFA528"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0BBA1C3" w14:textId="77777777">
                  <w:pPr>
                    <w:spacing w:before="100" w:beforeAutospacing="1" w:after="100" w:afterAutospacing="1" w:line="228" w:lineRule="atLeast"/>
                    <w:jc w:val="both"/>
                  </w:pPr>
                  <w:r w:rsidRPr="00CA296A">
                    <w:t>3.</w:t>
                  </w:r>
                </w:p>
              </w:tc>
              <w:tc>
                <w:tcPr>
                  <w:tcW w:w="302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09398185" w14:textId="77777777">
                  <w:pPr>
                    <w:jc w:val="both"/>
                  </w:pPr>
                  <w:r w:rsidRPr="00CA296A">
                    <w:t>Cita informācija</w:t>
                  </w:r>
                </w:p>
              </w:tc>
              <w:tc>
                <w:tcPr>
                  <w:tcW w:w="5650"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7E2A9052" w14:textId="77777777">
                  <w:pPr>
                    <w:jc w:val="both"/>
                  </w:pPr>
                  <w:r w:rsidRPr="00CA296A">
                    <w:t>Nav</w:t>
                  </w:r>
                </w:p>
              </w:tc>
            </w:tr>
          </w:tbl>
          <w:bookmarkEnd w:id="8"/>
          <w:p w:rsidRPr="00CA296A" w:rsidR="003F6B9D" w:rsidP="006511AB" w:rsidRDefault="003F6B9D" w14:paraId="219FC3AE" w14:textId="77777777">
            <w:pPr>
              <w:jc w:val="both"/>
            </w:pPr>
            <w:r w:rsidRPr="00CA296A">
              <w:t> </w:t>
            </w: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206"/>
            </w:tblGrid>
            <w:tr w:rsidRPr="00CA296A" w:rsidR="003F6B9D" w:rsidTr="00DE651C" w14:paraId="0FEE5BC7" w14:textId="77777777">
              <w:tc>
                <w:tcPr>
                  <w:tcW w:w="920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09229D04" w14:textId="77777777">
                  <w:pPr>
                    <w:spacing w:before="100" w:beforeAutospacing="1" w:after="100" w:afterAutospacing="1" w:line="228" w:lineRule="atLeast"/>
                    <w:jc w:val="center"/>
                    <w:rPr>
                      <w:b/>
                    </w:rPr>
                  </w:pPr>
                  <w:r w:rsidRPr="00CA296A">
                    <w:rPr>
                      <w:b/>
                    </w:rPr>
                    <w:t>V. Tiesību akta projekta atbilstība Latvijas Republikas starptautiskajām saistībām</w:t>
                  </w:r>
                </w:p>
              </w:tc>
            </w:tr>
            <w:tr w:rsidRPr="00CA296A" w:rsidR="007548BE" w:rsidTr="00DE651C" w14:paraId="7FFC1ED5" w14:textId="77777777">
              <w:tc>
                <w:tcPr>
                  <w:tcW w:w="9206" w:type="dxa"/>
                  <w:tcBorders>
                    <w:top w:val="outset" w:color="414142" w:sz="6" w:space="0"/>
                    <w:left w:val="outset" w:color="414142" w:sz="6" w:space="0"/>
                    <w:bottom w:val="outset" w:color="414142" w:sz="6" w:space="0"/>
                    <w:right w:val="outset" w:color="414142" w:sz="6" w:space="0"/>
                  </w:tcBorders>
                  <w:vAlign w:val="center"/>
                </w:tcPr>
                <w:p w:rsidRPr="00CA296A" w:rsidR="007548BE" w:rsidP="006511AB" w:rsidRDefault="007548BE" w14:paraId="28953AC3" w14:textId="34EB732F">
                  <w:pPr>
                    <w:spacing w:before="100" w:beforeAutospacing="1" w:after="100" w:afterAutospacing="1" w:line="228" w:lineRule="atLeast"/>
                    <w:jc w:val="center"/>
                    <w:rPr>
                      <w:b/>
                    </w:rPr>
                  </w:pPr>
                  <w:r w:rsidRPr="00CA296A">
                    <w:t>Projekts šo jomu neskar.</w:t>
                  </w:r>
                </w:p>
              </w:tc>
            </w:tr>
          </w:tbl>
          <w:p w:rsidRPr="00EC191B" w:rsidR="00EE3B45" w:rsidP="006511AB" w:rsidRDefault="00EE3B45" w14:paraId="789A3BE7" w14:textId="56C4DBC8">
            <w:pPr>
              <w:jc w:val="both"/>
              <w:rPr>
                <w:b/>
                <w:bCs/>
              </w:rPr>
            </w:pP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206"/>
            </w:tblGrid>
            <w:tr w:rsidRPr="00CA296A" w:rsidR="003F6B9D" w:rsidTr="00DE651C" w14:paraId="5BEC157D" w14:textId="77777777">
              <w:tc>
                <w:tcPr>
                  <w:tcW w:w="9206" w:type="dxa"/>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55273369" w14:textId="77777777">
                  <w:pPr>
                    <w:spacing w:before="100" w:beforeAutospacing="1" w:after="100" w:afterAutospacing="1" w:line="228" w:lineRule="atLeast"/>
                    <w:jc w:val="center"/>
                    <w:rPr>
                      <w:b/>
                    </w:rPr>
                  </w:pPr>
                  <w:r w:rsidRPr="00CA296A">
                    <w:rPr>
                      <w:b/>
                    </w:rPr>
                    <w:t>VI. Sabiedrības līdzdalība un komunikācijas aktivitātes</w:t>
                  </w:r>
                </w:p>
              </w:tc>
            </w:tr>
            <w:tr w:rsidRPr="00CA296A" w:rsidR="007548BE" w:rsidTr="00DE651C" w14:paraId="12910DC1" w14:textId="77777777">
              <w:tc>
                <w:tcPr>
                  <w:tcW w:w="9206" w:type="dxa"/>
                  <w:tcBorders>
                    <w:top w:val="outset" w:color="414142" w:sz="6" w:space="0"/>
                    <w:left w:val="outset" w:color="414142" w:sz="6" w:space="0"/>
                    <w:bottom w:val="outset" w:color="414142" w:sz="6" w:space="0"/>
                    <w:right w:val="outset" w:color="414142" w:sz="6" w:space="0"/>
                  </w:tcBorders>
                  <w:vAlign w:val="center"/>
                </w:tcPr>
                <w:p w:rsidRPr="00CA296A" w:rsidR="007548BE" w:rsidP="006511AB" w:rsidRDefault="007548BE" w14:paraId="03FCC152" w14:textId="06F34C87">
                  <w:pPr>
                    <w:spacing w:before="100" w:beforeAutospacing="1" w:after="100" w:afterAutospacing="1" w:line="228" w:lineRule="atLeast"/>
                    <w:jc w:val="center"/>
                    <w:rPr>
                      <w:b/>
                    </w:rPr>
                  </w:pPr>
                  <w:r w:rsidRPr="00CA296A">
                    <w:t>Projekts šo jomu neskar.</w:t>
                  </w:r>
                </w:p>
              </w:tc>
            </w:tr>
          </w:tbl>
          <w:p w:rsidRPr="00CA296A" w:rsidR="003F6B9D" w:rsidP="006511AB" w:rsidRDefault="003F6B9D" w14:paraId="01D03648" w14:textId="593074C0">
            <w:pPr>
              <w:jc w:val="both"/>
            </w:pPr>
          </w:p>
          <w:tbl>
            <w:tblPr>
              <w:tblW w:w="920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023"/>
              <w:gridCol w:w="5650"/>
            </w:tblGrid>
            <w:tr w:rsidRPr="00CA296A" w:rsidR="003F6B9D" w:rsidTr="2EC0DF3C" w14:paraId="5C211835" w14:textId="77777777">
              <w:tc>
                <w:tcPr>
                  <w:tcW w:w="9206" w:type="dxa"/>
                  <w:gridSpan w:val="3"/>
                  <w:tcBorders>
                    <w:top w:val="outset" w:color="414142" w:sz="6" w:space="0"/>
                    <w:left w:val="outset" w:color="414142" w:sz="6" w:space="0"/>
                    <w:bottom w:val="outset" w:color="414142" w:sz="6" w:space="0"/>
                    <w:right w:val="outset" w:color="414142" w:sz="6" w:space="0"/>
                  </w:tcBorders>
                  <w:vAlign w:val="center"/>
                </w:tcPr>
                <w:p w:rsidRPr="00CA296A" w:rsidR="003F6B9D" w:rsidP="006511AB" w:rsidRDefault="003F6B9D" w14:paraId="2BBF11F8" w14:textId="77777777">
                  <w:pPr>
                    <w:spacing w:before="100" w:beforeAutospacing="1" w:after="100" w:afterAutospacing="1" w:line="228" w:lineRule="atLeast"/>
                    <w:jc w:val="center"/>
                    <w:rPr>
                      <w:b/>
                      <w:bCs/>
                    </w:rPr>
                  </w:pPr>
                  <w:r w:rsidRPr="00CA296A">
                    <w:rPr>
                      <w:b/>
                      <w:bCs/>
                    </w:rPr>
                    <w:t>VII. Tiesību akta projekta izpildes nodrošināšana un tās ietekme uz institūcijām</w:t>
                  </w:r>
                </w:p>
              </w:tc>
            </w:tr>
            <w:tr w:rsidRPr="00CA296A" w:rsidR="003F6B9D" w:rsidTr="2EC0DF3C" w14:paraId="18B1B90B"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7CAA942C" w14:textId="77777777">
                  <w:pPr>
                    <w:spacing w:before="100" w:beforeAutospacing="1" w:after="100" w:afterAutospacing="1" w:line="228" w:lineRule="atLeast"/>
                    <w:jc w:val="both"/>
                  </w:pPr>
                  <w:r w:rsidRPr="00CA296A">
                    <w:t>1.</w:t>
                  </w:r>
                </w:p>
              </w:tc>
              <w:tc>
                <w:tcPr>
                  <w:tcW w:w="302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370363E8" w14:textId="77777777">
                  <w:pPr>
                    <w:jc w:val="both"/>
                  </w:pPr>
                  <w:r w:rsidRPr="00CA296A">
                    <w:t>Projekta izpildē iesaistītās institūcijas</w:t>
                  </w:r>
                </w:p>
              </w:tc>
              <w:tc>
                <w:tcPr>
                  <w:tcW w:w="5650" w:type="dxa"/>
                  <w:tcBorders>
                    <w:top w:val="outset" w:color="414142" w:sz="6" w:space="0"/>
                    <w:left w:val="outset" w:color="414142" w:sz="6" w:space="0"/>
                    <w:bottom w:val="outset" w:color="414142" w:sz="6" w:space="0"/>
                    <w:right w:val="outset" w:color="414142" w:sz="6" w:space="0"/>
                  </w:tcBorders>
                </w:tcPr>
                <w:p w:rsidRPr="00CA296A" w:rsidR="003F6B9D" w:rsidP="006511AB" w:rsidRDefault="009D383A" w14:paraId="181C81F1" w14:textId="32FBD593">
                  <w:pPr>
                    <w:jc w:val="both"/>
                  </w:pPr>
                  <w:r>
                    <w:t>NEPLP</w:t>
                  </w:r>
                  <w:r w:rsidR="003F6B9D">
                    <w:t>, Kultūras ministrija, Latvijas Radio</w:t>
                  </w:r>
                  <w:r w:rsidR="000F2B82">
                    <w:t>.</w:t>
                  </w:r>
                  <w:r w:rsidR="003F6B9D">
                    <w:t xml:space="preserve"> </w:t>
                  </w:r>
                  <w:r w:rsidR="000F2B82">
                    <w:t xml:space="preserve"> </w:t>
                  </w:r>
                </w:p>
              </w:tc>
            </w:tr>
            <w:tr w:rsidRPr="00CA296A" w:rsidR="003F6B9D" w:rsidTr="2EC0DF3C" w14:paraId="0123DEA9"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7514A133" w14:textId="77777777">
                  <w:pPr>
                    <w:spacing w:before="100" w:beforeAutospacing="1" w:after="100" w:afterAutospacing="1" w:line="228" w:lineRule="atLeast"/>
                    <w:jc w:val="both"/>
                  </w:pPr>
                  <w:r w:rsidRPr="00CA296A">
                    <w:t>2.</w:t>
                  </w:r>
                </w:p>
              </w:tc>
              <w:tc>
                <w:tcPr>
                  <w:tcW w:w="302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3379294C" w14:textId="77777777">
                  <w:pPr>
                    <w:jc w:val="both"/>
                  </w:pPr>
                  <w:r w:rsidRPr="00CA296A">
                    <w:t>Projekta izpildes ietekme uz pārvaldes funkcijām un institucionālo struktūru.</w:t>
                  </w:r>
                  <w:r w:rsidRPr="00CA296A">
                    <w:br/>
                    <w:t>Jaunu institūciju izveide, esošu institūciju likvidācija vai reorganizācija, to ietekme uz institūcijas cilvēkresursiem</w:t>
                  </w:r>
                </w:p>
              </w:tc>
              <w:tc>
                <w:tcPr>
                  <w:tcW w:w="5650"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4A32278B" w14:textId="77777777">
                  <w:pPr>
                    <w:jc w:val="both"/>
                  </w:pPr>
                  <w:r w:rsidRPr="00CA296A">
                    <w:t>Projekts šo jomu neskar.</w:t>
                  </w:r>
                </w:p>
              </w:tc>
            </w:tr>
            <w:tr w:rsidRPr="00CA296A" w:rsidR="003F6B9D" w:rsidTr="2EC0DF3C" w14:paraId="391DDF52" w14:textId="77777777">
              <w:tc>
                <w:tcPr>
                  <w:tcW w:w="53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5821A0BB" w14:textId="77777777">
                  <w:pPr>
                    <w:spacing w:before="100" w:beforeAutospacing="1" w:after="100" w:afterAutospacing="1" w:line="228" w:lineRule="atLeast"/>
                    <w:jc w:val="both"/>
                  </w:pPr>
                  <w:r w:rsidRPr="00CA296A">
                    <w:t>3.</w:t>
                  </w:r>
                </w:p>
              </w:tc>
              <w:tc>
                <w:tcPr>
                  <w:tcW w:w="3023" w:type="dxa"/>
                  <w:tcBorders>
                    <w:top w:val="outset" w:color="414142" w:sz="6" w:space="0"/>
                    <w:left w:val="outset" w:color="414142" w:sz="6" w:space="0"/>
                    <w:bottom w:val="outset" w:color="414142" w:sz="6" w:space="0"/>
                    <w:right w:val="outset" w:color="414142" w:sz="6" w:space="0"/>
                  </w:tcBorders>
                </w:tcPr>
                <w:p w:rsidRPr="00CA296A" w:rsidR="003F6B9D" w:rsidP="006511AB" w:rsidRDefault="003F6B9D" w14:paraId="1D200DA3" w14:textId="77777777">
                  <w:pPr>
                    <w:jc w:val="both"/>
                  </w:pPr>
                  <w:r w:rsidRPr="00CA296A">
                    <w:t>Cita informācija</w:t>
                  </w:r>
                </w:p>
              </w:tc>
              <w:tc>
                <w:tcPr>
                  <w:tcW w:w="5650" w:type="dxa"/>
                  <w:tcBorders>
                    <w:top w:val="outset" w:color="414142" w:sz="6" w:space="0"/>
                    <w:left w:val="outset" w:color="414142" w:sz="6" w:space="0"/>
                    <w:bottom w:val="outset" w:color="414142" w:sz="6" w:space="0"/>
                    <w:right w:val="outset" w:color="414142" w:sz="6" w:space="0"/>
                  </w:tcBorders>
                </w:tcPr>
                <w:p w:rsidRPr="0009099F" w:rsidR="003F6B9D" w:rsidP="006511AB" w:rsidRDefault="009D383A" w14:paraId="71B7F423" w14:textId="28BABD9D">
                  <w:pPr>
                    <w:jc w:val="both"/>
                  </w:pPr>
                  <w:r>
                    <w:t>Nav</w:t>
                  </w:r>
                </w:p>
              </w:tc>
            </w:tr>
          </w:tbl>
          <w:p w:rsidRPr="00CA296A" w:rsidR="003F6B9D" w:rsidP="006511AB" w:rsidRDefault="003F6B9D" w14:paraId="4A0D2953" w14:textId="77777777">
            <w:pPr>
              <w:jc w:val="both"/>
            </w:pPr>
          </w:p>
        </w:tc>
        <w:tc>
          <w:tcPr>
            <w:tcW w:w="11" w:type="pct"/>
          </w:tcPr>
          <w:p w:rsidRPr="00CA296A" w:rsidR="003F6B9D" w:rsidP="006511AB" w:rsidRDefault="003F6B9D" w14:paraId="75F73B80" w14:textId="77777777"/>
        </w:tc>
        <w:tc>
          <w:tcPr>
            <w:tcW w:w="226" w:type="pct"/>
          </w:tcPr>
          <w:p w:rsidRPr="00CA296A" w:rsidR="003F6B9D" w:rsidP="006511AB" w:rsidRDefault="003F6B9D" w14:paraId="28B2A25A" w14:textId="77777777"/>
        </w:tc>
      </w:tr>
    </w:tbl>
    <w:p w:rsidR="003F6B9D" w:rsidP="007C6502" w:rsidRDefault="003F6B9D" w14:paraId="0ADCC84C" w14:textId="0BCFE7FC">
      <w:r w:rsidRPr="00CA296A">
        <w:lastRenderedPageBreak/>
        <w:t> </w:t>
      </w:r>
    </w:p>
    <w:p w:rsidRPr="00CA296A" w:rsidR="009D383A" w:rsidP="007C6502" w:rsidRDefault="009D383A" w14:paraId="42035C07" w14:textId="77777777">
      <w:pPr>
        <w:rPr>
          <w:lang w:eastAsia="lv-LV"/>
        </w:rPr>
      </w:pPr>
    </w:p>
    <w:p w:rsidRPr="00CA296A" w:rsidR="003F6B9D" w:rsidP="009C2CFB" w:rsidRDefault="003F6B9D" w14:paraId="52FCC694" w14:textId="77777777">
      <w:pPr>
        <w:tabs>
          <w:tab w:val="left" w:pos="6804"/>
        </w:tabs>
        <w:jc w:val="both"/>
        <w:rPr>
          <w:lang w:eastAsia="lv-LV"/>
        </w:rPr>
      </w:pPr>
      <w:r w:rsidRPr="00CA296A">
        <w:rPr>
          <w:lang w:eastAsia="lv-LV"/>
        </w:rPr>
        <w:t>Kultūras ministrs                                                           </w:t>
      </w:r>
      <w:r w:rsidRPr="00CA296A">
        <w:rPr>
          <w:lang w:eastAsia="lv-LV"/>
        </w:rPr>
        <w:tab/>
      </w:r>
      <w:r w:rsidRPr="00CA296A">
        <w:rPr>
          <w:lang w:eastAsia="lv-LV"/>
        </w:rPr>
        <w:tab/>
        <w:t>N.Puntulis</w:t>
      </w:r>
    </w:p>
    <w:p w:rsidRPr="00CA296A" w:rsidR="003F6B9D" w:rsidP="009C2CFB" w:rsidRDefault="003F6B9D" w14:paraId="465AF3BB" w14:textId="77777777">
      <w:pPr>
        <w:rPr>
          <w:lang w:eastAsia="lv-LV"/>
        </w:rPr>
      </w:pPr>
    </w:p>
    <w:p w:rsidRPr="00CA296A" w:rsidR="003F6B9D" w:rsidP="009C2CFB" w:rsidRDefault="003F6B9D" w14:paraId="2A453037" w14:textId="77777777">
      <w:pPr>
        <w:tabs>
          <w:tab w:val="left" w:pos="6120"/>
        </w:tabs>
        <w:jc w:val="both"/>
        <w:rPr>
          <w:lang w:eastAsia="lv-LV"/>
        </w:rPr>
      </w:pPr>
      <w:r w:rsidRPr="00CA296A">
        <w:rPr>
          <w:lang w:eastAsia="lv-LV"/>
        </w:rPr>
        <w:t xml:space="preserve">Vīza: Valsts sekretāre </w:t>
      </w:r>
      <w:r w:rsidRPr="00CA296A">
        <w:rPr>
          <w:lang w:eastAsia="lv-LV"/>
        </w:rPr>
        <w:tab/>
      </w:r>
      <w:r w:rsidRPr="00CA296A">
        <w:rPr>
          <w:lang w:eastAsia="lv-LV"/>
        </w:rPr>
        <w:tab/>
      </w:r>
      <w:r w:rsidRPr="00CA296A">
        <w:rPr>
          <w:lang w:eastAsia="lv-LV"/>
        </w:rPr>
        <w:tab/>
        <w:t>D.Vilsone</w:t>
      </w:r>
    </w:p>
    <w:p w:rsidRPr="00CA296A" w:rsidR="003F6B9D" w:rsidP="009C2CFB" w:rsidRDefault="003F6B9D" w14:paraId="3B577B4F" w14:textId="77777777"/>
    <w:p w:rsidR="003F6B9D" w:rsidP="009C2CFB" w:rsidRDefault="003F6B9D" w14:paraId="26224A8F" w14:textId="1BE81A45">
      <w:pPr>
        <w:tabs>
          <w:tab w:val="left" w:pos="720"/>
          <w:tab w:val="center" w:pos="4153"/>
          <w:tab w:val="right" w:pos="8306"/>
        </w:tabs>
      </w:pPr>
    </w:p>
    <w:p w:rsidR="00EE3B45" w:rsidP="009C2CFB" w:rsidRDefault="00EE3B45" w14:paraId="32447906" w14:textId="07E39840">
      <w:pPr>
        <w:tabs>
          <w:tab w:val="left" w:pos="720"/>
          <w:tab w:val="center" w:pos="4153"/>
          <w:tab w:val="right" w:pos="8306"/>
        </w:tabs>
      </w:pPr>
    </w:p>
    <w:p w:rsidRPr="00CA296A" w:rsidR="00EE3B45" w:rsidP="009C2CFB" w:rsidRDefault="00EE3B45" w14:paraId="41548426" w14:textId="77777777">
      <w:pPr>
        <w:tabs>
          <w:tab w:val="left" w:pos="720"/>
          <w:tab w:val="center" w:pos="4153"/>
          <w:tab w:val="right" w:pos="8306"/>
        </w:tabs>
      </w:pPr>
    </w:p>
    <w:p w:rsidR="003F6B9D" w:rsidRDefault="003F6B9D" w14:paraId="0C932705" w14:textId="77777777">
      <w:r w:rsidRPr="2EC0DF3C">
        <w:rPr>
          <w:sz w:val="20"/>
          <w:szCs w:val="20"/>
        </w:rPr>
        <w:t>Tukiša 67206722</w:t>
      </w:r>
    </w:p>
    <w:p w:rsidR="003F6B9D" w:rsidRDefault="00066BBF" w14:paraId="0AC33086" w14:textId="36F25D63">
      <w:hyperlink r:id="rId13">
        <w:r w:rsidRPr="2EC0DF3C" w:rsidR="003F6B9D">
          <w:rPr>
            <w:rStyle w:val="Hipersaite"/>
            <w:sz w:val="20"/>
            <w:szCs w:val="20"/>
          </w:rPr>
          <w:t>marite.tukisa@latvijasradio.lv</w:t>
        </w:r>
      </w:hyperlink>
      <w:r w:rsidRPr="2EC0DF3C" w:rsidR="003F6B9D">
        <w:rPr>
          <w:sz w:val="20"/>
          <w:szCs w:val="20"/>
        </w:rPr>
        <w:t xml:space="preserve"> </w:t>
      </w:r>
    </w:p>
    <w:p w:rsidR="003F6B9D" w:rsidP="2EC0DF3C" w:rsidRDefault="003F6B9D" w14:paraId="003FE65A" w14:textId="77777777">
      <w:pPr>
        <w:rPr>
          <w:rStyle w:val="Hipersaite"/>
        </w:rPr>
      </w:pPr>
    </w:p>
    <w:sectPr w:rsidR="003F6B9D" w:rsidSect="00440633">
      <w:headerReference w:type="even" r:id="rId14"/>
      <w:headerReference w:type="default" r:id="rId15"/>
      <w:footerReference w:type="even" r:id="rId16"/>
      <w:footerReference w:type="default" r:id="rId17"/>
      <w:headerReference w:type="first" r:id="rId18"/>
      <w:footerReference w:type="first" r:id="rId19"/>
      <w:pgSz w:w="12240" w:h="15840"/>
      <w:pgMar w:top="1418" w:right="1134" w:bottom="130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066B" w14:textId="77777777" w:rsidR="00702E29" w:rsidRDefault="00702E29">
      <w:r>
        <w:separator/>
      </w:r>
    </w:p>
  </w:endnote>
  <w:endnote w:type="continuationSeparator" w:id="0">
    <w:p w14:paraId="0A340ADB" w14:textId="77777777" w:rsidR="00702E29" w:rsidRDefault="00702E29">
      <w:r>
        <w:continuationSeparator/>
      </w:r>
    </w:p>
  </w:endnote>
  <w:endnote w:type="continuationNotice" w:id="1">
    <w:p w14:paraId="2225C3D7" w14:textId="77777777" w:rsidR="00702E29" w:rsidRDefault="0070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5F4" w14:textId="77777777" w:rsidR="004263D6" w:rsidRDefault="004263D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561" w14:textId="4A6166C3" w:rsidR="00266685" w:rsidRPr="00600CA5" w:rsidRDefault="00C74D81" w:rsidP="00C74D81">
    <w:pPr>
      <w:pStyle w:val="Kjene"/>
      <w:rPr>
        <w:sz w:val="20"/>
        <w:szCs w:val="20"/>
      </w:rPr>
    </w:pPr>
    <w:r w:rsidRPr="00600CA5">
      <w:rPr>
        <w:sz w:val="20"/>
        <w:szCs w:val="20"/>
      </w:rPr>
      <w:t>KMAnot_</w:t>
    </w:r>
    <w:r w:rsidR="004263D6">
      <w:rPr>
        <w:sz w:val="20"/>
        <w:szCs w:val="20"/>
      </w:rPr>
      <w:t>30</w:t>
    </w:r>
    <w:r w:rsidRPr="00600CA5">
      <w:rPr>
        <w:sz w:val="20"/>
        <w:szCs w:val="20"/>
      </w:rPr>
      <w:t>0920_sabiedriskie_mediji_Covid19</w:t>
    </w:r>
    <w:r w:rsidR="009657AB">
      <w:rPr>
        <w:sz w:val="20"/>
        <w:szCs w:val="20"/>
      </w:rPr>
      <w:t>_LNG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2FAB" w14:textId="31EB899A" w:rsidR="009657AB" w:rsidRPr="00AB37AA" w:rsidRDefault="009657AB">
    <w:pPr>
      <w:pStyle w:val="Kjene"/>
      <w:rPr>
        <w:sz w:val="20"/>
        <w:szCs w:val="20"/>
      </w:rPr>
    </w:pPr>
    <w:r w:rsidRPr="00600CA5">
      <w:rPr>
        <w:sz w:val="20"/>
        <w:szCs w:val="20"/>
      </w:rPr>
      <w:t>KMAnot_</w:t>
    </w:r>
    <w:r w:rsidR="004263D6">
      <w:rPr>
        <w:sz w:val="20"/>
        <w:szCs w:val="20"/>
      </w:rPr>
      <w:t>30</w:t>
    </w:r>
    <w:r w:rsidRPr="00600CA5">
      <w:rPr>
        <w:sz w:val="20"/>
        <w:szCs w:val="20"/>
      </w:rPr>
      <w:t>0920_sabiedriskie_mediji_Covid19</w:t>
    </w:r>
    <w:r>
      <w:rPr>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C57A" w14:textId="77777777" w:rsidR="00702E29" w:rsidRDefault="00702E29">
      <w:r>
        <w:separator/>
      </w:r>
    </w:p>
  </w:footnote>
  <w:footnote w:type="continuationSeparator" w:id="0">
    <w:p w14:paraId="4C4B03A9" w14:textId="77777777" w:rsidR="00702E29" w:rsidRDefault="00702E29">
      <w:r>
        <w:continuationSeparator/>
      </w:r>
    </w:p>
  </w:footnote>
  <w:footnote w:type="continuationNotice" w:id="1">
    <w:p w14:paraId="28F4F581" w14:textId="77777777" w:rsidR="00702E29" w:rsidRDefault="00702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3D6" w:rsidRDefault="004263D6" w14:paraId="789157C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719626"/>
      <w:docPartObj>
        <w:docPartGallery w:val="Page Numbers (Top of Page)"/>
        <w:docPartUnique/>
      </w:docPartObj>
    </w:sdtPr>
    <w:sdtEndPr/>
    <w:sdtContent>
      <w:p w:rsidR="00753955" w:rsidRDefault="00753955" w14:paraId="6CD52BA6" w14:textId="0051AF34">
        <w:pPr>
          <w:pStyle w:val="Galvene"/>
          <w:jc w:val="center"/>
        </w:pPr>
        <w:r>
          <w:fldChar w:fldCharType="begin"/>
        </w:r>
        <w:r>
          <w:instrText>PAGE   \* MERGEFORMAT</w:instrText>
        </w:r>
        <w:r>
          <w:fldChar w:fldCharType="separate"/>
        </w:r>
        <w:r>
          <w:t>2</w:t>
        </w:r>
        <w:r>
          <w:fldChar w:fldCharType="end"/>
        </w:r>
      </w:p>
    </w:sdtContent>
  </w:sdt>
  <w:p w:rsidR="00753955" w:rsidRDefault="00753955" w14:paraId="4E351B82"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3D6" w:rsidRDefault="004263D6" w14:paraId="45E5351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25E5"/>
    <w:multiLevelType w:val="hybridMultilevel"/>
    <w:tmpl w:val="FFFFFFFF"/>
    <w:lvl w:ilvl="0" w:tplc="0B9468BC">
      <w:start w:val="4"/>
      <w:numFmt w:val="decimal"/>
      <w:lvlText w:val="%1."/>
      <w:lvlJc w:val="left"/>
      <w:pPr>
        <w:ind w:left="720" w:hanging="360"/>
      </w:pPr>
      <w:rPr>
        <w:rFonts w:cs="Times New Roman"/>
      </w:rPr>
    </w:lvl>
    <w:lvl w:ilvl="1" w:tplc="6A9A196A">
      <w:start w:val="1"/>
      <w:numFmt w:val="lowerLetter"/>
      <w:lvlText w:val="%2."/>
      <w:lvlJc w:val="left"/>
      <w:pPr>
        <w:ind w:left="1440" w:hanging="360"/>
      </w:pPr>
      <w:rPr>
        <w:rFonts w:cs="Times New Roman"/>
      </w:rPr>
    </w:lvl>
    <w:lvl w:ilvl="2" w:tplc="807EC078">
      <w:start w:val="1"/>
      <w:numFmt w:val="lowerRoman"/>
      <w:lvlText w:val="%3."/>
      <w:lvlJc w:val="right"/>
      <w:pPr>
        <w:ind w:left="2160" w:hanging="180"/>
      </w:pPr>
      <w:rPr>
        <w:rFonts w:cs="Times New Roman"/>
      </w:rPr>
    </w:lvl>
    <w:lvl w:ilvl="3" w:tplc="55A4DCF6">
      <w:start w:val="1"/>
      <w:numFmt w:val="decimal"/>
      <w:lvlText w:val="%4."/>
      <w:lvlJc w:val="left"/>
      <w:pPr>
        <w:ind w:left="2880" w:hanging="360"/>
      </w:pPr>
      <w:rPr>
        <w:rFonts w:cs="Times New Roman"/>
      </w:rPr>
    </w:lvl>
    <w:lvl w:ilvl="4" w:tplc="5B6C9DA4">
      <w:start w:val="1"/>
      <w:numFmt w:val="lowerLetter"/>
      <w:lvlText w:val="%5."/>
      <w:lvlJc w:val="left"/>
      <w:pPr>
        <w:ind w:left="3600" w:hanging="360"/>
      </w:pPr>
      <w:rPr>
        <w:rFonts w:cs="Times New Roman"/>
      </w:rPr>
    </w:lvl>
    <w:lvl w:ilvl="5" w:tplc="1374BE06">
      <w:start w:val="1"/>
      <w:numFmt w:val="lowerRoman"/>
      <w:lvlText w:val="%6."/>
      <w:lvlJc w:val="right"/>
      <w:pPr>
        <w:ind w:left="4320" w:hanging="180"/>
      </w:pPr>
      <w:rPr>
        <w:rFonts w:cs="Times New Roman"/>
      </w:rPr>
    </w:lvl>
    <w:lvl w:ilvl="6" w:tplc="9CE4807C">
      <w:start w:val="1"/>
      <w:numFmt w:val="decimal"/>
      <w:lvlText w:val="%7."/>
      <w:lvlJc w:val="left"/>
      <w:pPr>
        <w:ind w:left="5040" w:hanging="360"/>
      </w:pPr>
      <w:rPr>
        <w:rFonts w:cs="Times New Roman"/>
      </w:rPr>
    </w:lvl>
    <w:lvl w:ilvl="7" w:tplc="7A8CC426">
      <w:start w:val="1"/>
      <w:numFmt w:val="lowerLetter"/>
      <w:lvlText w:val="%8."/>
      <w:lvlJc w:val="left"/>
      <w:pPr>
        <w:ind w:left="5760" w:hanging="360"/>
      </w:pPr>
      <w:rPr>
        <w:rFonts w:cs="Times New Roman"/>
      </w:rPr>
    </w:lvl>
    <w:lvl w:ilvl="8" w:tplc="9B14E7DE">
      <w:start w:val="1"/>
      <w:numFmt w:val="lowerRoman"/>
      <w:lvlText w:val="%9."/>
      <w:lvlJc w:val="right"/>
      <w:pPr>
        <w:ind w:left="6480" w:hanging="180"/>
      </w:pPr>
      <w:rPr>
        <w:rFonts w:cs="Times New Roman"/>
      </w:rPr>
    </w:lvl>
  </w:abstractNum>
  <w:abstractNum w:abstractNumId="1" w15:restartNumberingAfterBreak="0">
    <w:nsid w:val="21515830"/>
    <w:multiLevelType w:val="hybridMultilevel"/>
    <w:tmpl w:val="FFFFFFFF"/>
    <w:lvl w:ilvl="0" w:tplc="BFE098BC">
      <w:start w:val="1"/>
      <w:numFmt w:val="decimal"/>
      <w:lvlText w:val="%1."/>
      <w:lvlJc w:val="left"/>
      <w:pPr>
        <w:ind w:left="720" w:hanging="360"/>
      </w:pPr>
      <w:rPr>
        <w:rFonts w:cs="Times New Roman"/>
      </w:rPr>
    </w:lvl>
    <w:lvl w:ilvl="1" w:tplc="D8CC9588">
      <w:start w:val="1"/>
      <w:numFmt w:val="lowerLetter"/>
      <w:lvlText w:val="%2."/>
      <w:lvlJc w:val="left"/>
      <w:pPr>
        <w:ind w:left="1440" w:hanging="360"/>
      </w:pPr>
      <w:rPr>
        <w:rFonts w:cs="Times New Roman"/>
      </w:rPr>
    </w:lvl>
    <w:lvl w:ilvl="2" w:tplc="122ED4DC">
      <w:start w:val="1"/>
      <w:numFmt w:val="lowerRoman"/>
      <w:lvlText w:val="%3."/>
      <w:lvlJc w:val="right"/>
      <w:pPr>
        <w:ind w:left="2160" w:hanging="180"/>
      </w:pPr>
      <w:rPr>
        <w:rFonts w:cs="Times New Roman"/>
      </w:rPr>
    </w:lvl>
    <w:lvl w:ilvl="3" w:tplc="832A683E">
      <w:start w:val="1"/>
      <w:numFmt w:val="decimal"/>
      <w:lvlText w:val="%4."/>
      <w:lvlJc w:val="left"/>
      <w:pPr>
        <w:ind w:left="2880" w:hanging="360"/>
      </w:pPr>
      <w:rPr>
        <w:rFonts w:cs="Times New Roman"/>
      </w:rPr>
    </w:lvl>
    <w:lvl w:ilvl="4" w:tplc="8C04DEEE">
      <w:start w:val="1"/>
      <w:numFmt w:val="lowerLetter"/>
      <w:lvlText w:val="%5."/>
      <w:lvlJc w:val="left"/>
      <w:pPr>
        <w:ind w:left="3600" w:hanging="360"/>
      </w:pPr>
      <w:rPr>
        <w:rFonts w:cs="Times New Roman"/>
      </w:rPr>
    </w:lvl>
    <w:lvl w:ilvl="5" w:tplc="D4ECFDDA">
      <w:start w:val="1"/>
      <w:numFmt w:val="lowerRoman"/>
      <w:lvlText w:val="%6."/>
      <w:lvlJc w:val="right"/>
      <w:pPr>
        <w:ind w:left="4320" w:hanging="180"/>
      </w:pPr>
      <w:rPr>
        <w:rFonts w:cs="Times New Roman"/>
      </w:rPr>
    </w:lvl>
    <w:lvl w:ilvl="6" w:tplc="30BAACEE">
      <w:start w:val="1"/>
      <w:numFmt w:val="decimal"/>
      <w:lvlText w:val="%7."/>
      <w:lvlJc w:val="left"/>
      <w:pPr>
        <w:ind w:left="5040" w:hanging="360"/>
      </w:pPr>
      <w:rPr>
        <w:rFonts w:cs="Times New Roman"/>
      </w:rPr>
    </w:lvl>
    <w:lvl w:ilvl="7" w:tplc="AF6A2816">
      <w:start w:val="1"/>
      <w:numFmt w:val="lowerLetter"/>
      <w:lvlText w:val="%8."/>
      <w:lvlJc w:val="left"/>
      <w:pPr>
        <w:ind w:left="5760" w:hanging="360"/>
      </w:pPr>
      <w:rPr>
        <w:rFonts w:cs="Times New Roman"/>
      </w:rPr>
    </w:lvl>
    <w:lvl w:ilvl="8" w:tplc="1DD60196">
      <w:start w:val="1"/>
      <w:numFmt w:val="lowerRoman"/>
      <w:lvlText w:val="%9."/>
      <w:lvlJc w:val="right"/>
      <w:pPr>
        <w:ind w:left="6480" w:hanging="180"/>
      </w:pPr>
      <w:rPr>
        <w:rFonts w:cs="Times New Roman"/>
      </w:rPr>
    </w:lvl>
  </w:abstractNum>
  <w:abstractNum w:abstractNumId="2" w15:restartNumberingAfterBreak="0">
    <w:nsid w:val="4B5C4F02"/>
    <w:multiLevelType w:val="hybridMultilevel"/>
    <w:tmpl w:val="FFFFFFFF"/>
    <w:lvl w:ilvl="0" w:tplc="732A95C4">
      <w:start w:val="1"/>
      <w:numFmt w:val="decimal"/>
      <w:lvlText w:val="%1."/>
      <w:lvlJc w:val="left"/>
      <w:pPr>
        <w:ind w:left="720" w:hanging="360"/>
      </w:pPr>
      <w:rPr>
        <w:rFonts w:cs="Times New Roman"/>
      </w:rPr>
    </w:lvl>
    <w:lvl w:ilvl="1" w:tplc="19D6A6A8">
      <w:start w:val="1"/>
      <w:numFmt w:val="lowerLetter"/>
      <w:lvlText w:val="%2."/>
      <w:lvlJc w:val="left"/>
      <w:pPr>
        <w:ind w:left="1440" w:hanging="360"/>
      </w:pPr>
      <w:rPr>
        <w:rFonts w:cs="Times New Roman"/>
      </w:rPr>
    </w:lvl>
    <w:lvl w:ilvl="2" w:tplc="09208E0A">
      <w:start w:val="1"/>
      <w:numFmt w:val="lowerRoman"/>
      <w:lvlText w:val="%3."/>
      <w:lvlJc w:val="right"/>
      <w:pPr>
        <w:ind w:left="2160" w:hanging="180"/>
      </w:pPr>
      <w:rPr>
        <w:rFonts w:cs="Times New Roman"/>
      </w:rPr>
    </w:lvl>
    <w:lvl w:ilvl="3" w:tplc="AB80C2C2">
      <w:start w:val="1"/>
      <w:numFmt w:val="decimal"/>
      <w:lvlText w:val="%4."/>
      <w:lvlJc w:val="left"/>
      <w:pPr>
        <w:ind w:left="2880" w:hanging="360"/>
      </w:pPr>
      <w:rPr>
        <w:rFonts w:cs="Times New Roman"/>
      </w:rPr>
    </w:lvl>
    <w:lvl w:ilvl="4" w:tplc="01380B34">
      <w:start w:val="1"/>
      <w:numFmt w:val="lowerLetter"/>
      <w:lvlText w:val="%5."/>
      <w:lvlJc w:val="left"/>
      <w:pPr>
        <w:ind w:left="3600" w:hanging="360"/>
      </w:pPr>
      <w:rPr>
        <w:rFonts w:cs="Times New Roman"/>
      </w:rPr>
    </w:lvl>
    <w:lvl w:ilvl="5" w:tplc="3A845D16">
      <w:start w:val="1"/>
      <w:numFmt w:val="lowerRoman"/>
      <w:lvlText w:val="%6."/>
      <w:lvlJc w:val="right"/>
      <w:pPr>
        <w:ind w:left="4320" w:hanging="180"/>
      </w:pPr>
      <w:rPr>
        <w:rFonts w:cs="Times New Roman"/>
      </w:rPr>
    </w:lvl>
    <w:lvl w:ilvl="6" w:tplc="8DC0A2BA">
      <w:start w:val="1"/>
      <w:numFmt w:val="decimal"/>
      <w:lvlText w:val="%7."/>
      <w:lvlJc w:val="left"/>
      <w:pPr>
        <w:ind w:left="5040" w:hanging="360"/>
      </w:pPr>
      <w:rPr>
        <w:rFonts w:cs="Times New Roman"/>
      </w:rPr>
    </w:lvl>
    <w:lvl w:ilvl="7" w:tplc="33B04330">
      <w:start w:val="1"/>
      <w:numFmt w:val="lowerLetter"/>
      <w:lvlText w:val="%8."/>
      <w:lvlJc w:val="left"/>
      <w:pPr>
        <w:ind w:left="5760" w:hanging="360"/>
      </w:pPr>
      <w:rPr>
        <w:rFonts w:cs="Times New Roman"/>
      </w:rPr>
    </w:lvl>
    <w:lvl w:ilvl="8" w:tplc="00DA216E">
      <w:start w:val="1"/>
      <w:numFmt w:val="lowerRoman"/>
      <w:lvlText w:val="%9."/>
      <w:lvlJc w:val="right"/>
      <w:pPr>
        <w:ind w:left="6480" w:hanging="180"/>
      </w:pPr>
      <w:rPr>
        <w:rFonts w:cs="Times New Roman"/>
      </w:rPr>
    </w:lvl>
  </w:abstractNum>
  <w:abstractNum w:abstractNumId="3" w15:restartNumberingAfterBreak="0">
    <w:nsid w:val="6AD3762A"/>
    <w:multiLevelType w:val="hybridMultilevel"/>
    <w:tmpl w:val="E1C26E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526409"/>
    <w:multiLevelType w:val="hybridMultilevel"/>
    <w:tmpl w:val="FFFFFFFF"/>
    <w:lvl w:ilvl="0" w:tplc="153619A4">
      <w:start w:val="1"/>
      <w:numFmt w:val="decimal"/>
      <w:lvlText w:val="%1."/>
      <w:lvlJc w:val="left"/>
      <w:pPr>
        <w:ind w:left="720" w:hanging="360"/>
      </w:pPr>
      <w:rPr>
        <w:rFonts w:cs="Times New Roman"/>
      </w:rPr>
    </w:lvl>
    <w:lvl w:ilvl="1" w:tplc="F08824F2">
      <w:start w:val="1"/>
      <w:numFmt w:val="lowerLetter"/>
      <w:lvlText w:val="%2."/>
      <w:lvlJc w:val="left"/>
      <w:pPr>
        <w:ind w:left="1440" w:hanging="360"/>
      </w:pPr>
      <w:rPr>
        <w:rFonts w:cs="Times New Roman"/>
      </w:rPr>
    </w:lvl>
    <w:lvl w:ilvl="2" w:tplc="A9C0D0D8">
      <w:start w:val="1"/>
      <w:numFmt w:val="lowerRoman"/>
      <w:lvlText w:val="%3."/>
      <w:lvlJc w:val="right"/>
      <w:pPr>
        <w:ind w:left="2160" w:hanging="180"/>
      </w:pPr>
      <w:rPr>
        <w:rFonts w:cs="Times New Roman"/>
      </w:rPr>
    </w:lvl>
    <w:lvl w:ilvl="3" w:tplc="891213FE">
      <w:start w:val="1"/>
      <w:numFmt w:val="decimal"/>
      <w:lvlText w:val="%4."/>
      <w:lvlJc w:val="left"/>
      <w:pPr>
        <w:ind w:left="2880" w:hanging="360"/>
      </w:pPr>
      <w:rPr>
        <w:rFonts w:cs="Times New Roman"/>
      </w:rPr>
    </w:lvl>
    <w:lvl w:ilvl="4" w:tplc="48BCB904">
      <w:start w:val="1"/>
      <w:numFmt w:val="lowerLetter"/>
      <w:lvlText w:val="%5."/>
      <w:lvlJc w:val="left"/>
      <w:pPr>
        <w:ind w:left="3600" w:hanging="360"/>
      </w:pPr>
      <w:rPr>
        <w:rFonts w:cs="Times New Roman"/>
      </w:rPr>
    </w:lvl>
    <w:lvl w:ilvl="5" w:tplc="5B2072A2">
      <w:start w:val="1"/>
      <w:numFmt w:val="lowerRoman"/>
      <w:lvlText w:val="%6."/>
      <w:lvlJc w:val="right"/>
      <w:pPr>
        <w:ind w:left="4320" w:hanging="180"/>
      </w:pPr>
      <w:rPr>
        <w:rFonts w:cs="Times New Roman"/>
      </w:rPr>
    </w:lvl>
    <w:lvl w:ilvl="6" w:tplc="52D62F94">
      <w:start w:val="1"/>
      <w:numFmt w:val="decimal"/>
      <w:lvlText w:val="%7."/>
      <w:lvlJc w:val="left"/>
      <w:pPr>
        <w:ind w:left="5040" w:hanging="360"/>
      </w:pPr>
      <w:rPr>
        <w:rFonts w:cs="Times New Roman"/>
      </w:rPr>
    </w:lvl>
    <w:lvl w:ilvl="7" w:tplc="D0F868D8">
      <w:start w:val="1"/>
      <w:numFmt w:val="lowerLetter"/>
      <w:lvlText w:val="%8."/>
      <w:lvlJc w:val="left"/>
      <w:pPr>
        <w:ind w:left="5760" w:hanging="360"/>
      </w:pPr>
      <w:rPr>
        <w:rFonts w:cs="Times New Roman"/>
      </w:rPr>
    </w:lvl>
    <w:lvl w:ilvl="8" w:tplc="BC1024D4">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0D"/>
    <w:rsid w:val="0000026A"/>
    <w:rsid w:val="00000BE0"/>
    <w:rsid w:val="00005D94"/>
    <w:rsid w:val="000116C4"/>
    <w:rsid w:val="00015EFC"/>
    <w:rsid w:val="00020E99"/>
    <w:rsid w:val="000243C4"/>
    <w:rsid w:val="00030537"/>
    <w:rsid w:val="000371E7"/>
    <w:rsid w:val="00052487"/>
    <w:rsid w:val="00056621"/>
    <w:rsid w:val="00066BBF"/>
    <w:rsid w:val="00067955"/>
    <w:rsid w:val="00071860"/>
    <w:rsid w:val="00072D9E"/>
    <w:rsid w:val="00082784"/>
    <w:rsid w:val="0009099F"/>
    <w:rsid w:val="000A0C66"/>
    <w:rsid w:val="000A0DCA"/>
    <w:rsid w:val="000A637A"/>
    <w:rsid w:val="000B79C9"/>
    <w:rsid w:val="000C75FF"/>
    <w:rsid w:val="000C7ED0"/>
    <w:rsid w:val="000D47FC"/>
    <w:rsid w:val="000D50ED"/>
    <w:rsid w:val="000E3654"/>
    <w:rsid w:val="000F1E33"/>
    <w:rsid w:val="000F2B82"/>
    <w:rsid w:val="000F50F7"/>
    <w:rsid w:val="00113846"/>
    <w:rsid w:val="0011562C"/>
    <w:rsid w:val="001171B7"/>
    <w:rsid w:val="001222F1"/>
    <w:rsid w:val="00143C95"/>
    <w:rsid w:val="00155A5F"/>
    <w:rsid w:val="00161E0A"/>
    <w:rsid w:val="00173C00"/>
    <w:rsid w:val="00182B6B"/>
    <w:rsid w:val="00184C37"/>
    <w:rsid w:val="001930CC"/>
    <w:rsid w:val="00196788"/>
    <w:rsid w:val="001A75A0"/>
    <w:rsid w:val="001C19EF"/>
    <w:rsid w:val="001C63CE"/>
    <w:rsid w:val="001C6AC5"/>
    <w:rsid w:val="001C6E3F"/>
    <w:rsid w:val="001C6E64"/>
    <w:rsid w:val="001D2797"/>
    <w:rsid w:val="001D3B8E"/>
    <w:rsid w:val="001E5155"/>
    <w:rsid w:val="001E5FEA"/>
    <w:rsid w:val="001E67AA"/>
    <w:rsid w:val="001F6B6B"/>
    <w:rsid w:val="002159D2"/>
    <w:rsid w:val="002229F4"/>
    <w:rsid w:val="002247DE"/>
    <w:rsid w:val="002262A6"/>
    <w:rsid w:val="00250A67"/>
    <w:rsid w:val="00261FF4"/>
    <w:rsid w:val="0026220A"/>
    <w:rsid w:val="00266685"/>
    <w:rsid w:val="0027227B"/>
    <w:rsid w:val="00274E6B"/>
    <w:rsid w:val="00276EC2"/>
    <w:rsid w:val="0029232B"/>
    <w:rsid w:val="002A2B65"/>
    <w:rsid w:val="002B1E27"/>
    <w:rsid w:val="002B34A6"/>
    <w:rsid w:val="002B40D5"/>
    <w:rsid w:val="002C11AD"/>
    <w:rsid w:val="002D357F"/>
    <w:rsid w:val="002E51FE"/>
    <w:rsid w:val="002E66CD"/>
    <w:rsid w:val="002F3A37"/>
    <w:rsid w:val="002F4133"/>
    <w:rsid w:val="003035CD"/>
    <w:rsid w:val="0030466E"/>
    <w:rsid w:val="00313831"/>
    <w:rsid w:val="00331231"/>
    <w:rsid w:val="00352F70"/>
    <w:rsid w:val="0035580A"/>
    <w:rsid w:val="003617C1"/>
    <w:rsid w:val="00361DC7"/>
    <w:rsid w:val="00383E8E"/>
    <w:rsid w:val="0038533C"/>
    <w:rsid w:val="003866A1"/>
    <w:rsid w:val="003866B8"/>
    <w:rsid w:val="00386ABC"/>
    <w:rsid w:val="003948DD"/>
    <w:rsid w:val="003970F7"/>
    <w:rsid w:val="003A1DC6"/>
    <w:rsid w:val="003A4930"/>
    <w:rsid w:val="003A5850"/>
    <w:rsid w:val="003B2CD3"/>
    <w:rsid w:val="003B7D66"/>
    <w:rsid w:val="003C1008"/>
    <w:rsid w:val="003C4635"/>
    <w:rsid w:val="003D3175"/>
    <w:rsid w:val="003E3849"/>
    <w:rsid w:val="003E7B0F"/>
    <w:rsid w:val="003F0FE1"/>
    <w:rsid w:val="003F5EAA"/>
    <w:rsid w:val="003F6B9D"/>
    <w:rsid w:val="00412E94"/>
    <w:rsid w:val="00414A68"/>
    <w:rsid w:val="00414D29"/>
    <w:rsid w:val="004205D9"/>
    <w:rsid w:val="004263D6"/>
    <w:rsid w:val="00430B86"/>
    <w:rsid w:val="00433444"/>
    <w:rsid w:val="004346E9"/>
    <w:rsid w:val="00440633"/>
    <w:rsid w:val="0044340A"/>
    <w:rsid w:val="00445DCE"/>
    <w:rsid w:val="00452BC9"/>
    <w:rsid w:val="0045363A"/>
    <w:rsid w:val="00454026"/>
    <w:rsid w:val="00456610"/>
    <w:rsid w:val="00460C2D"/>
    <w:rsid w:val="0047146A"/>
    <w:rsid w:val="00474281"/>
    <w:rsid w:val="00476F58"/>
    <w:rsid w:val="0048604B"/>
    <w:rsid w:val="00494E47"/>
    <w:rsid w:val="004A0D46"/>
    <w:rsid w:val="004A213A"/>
    <w:rsid w:val="004A238C"/>
    <w:rsid w:val="004A6C7B"/>
    <w:rsid w:val="004A7E28"/>
    <w:rsid w:val="004D0411"/>
    <w:rsid w:val="004D61E9"/>
    <w:rsid w:val="004F0641"/>
    <w:rsid w:val="004F157F"/>
    <w:rsid w:val="004F313B"/>
    <w:rsid w:val="005057A7"/>
    <w:rsid w:val="005177C1"/>
    <w:rsid w:val="00524DB4"/>
    <w:rsid w:val="00525427"/>
    <w:rsid w:val="00531B04"/>
    <w:rsid w:val="005419D2"/>
    <w:rsid w:val="00545D33"/>
    <w:rsid w:val="005462BD"/>
    <w:rsid w:val="00546607"/>
    <w:rsid w:val="00546CCB"/>
    <w:rsid w:val="00554427"/>
    <w:rsid w:val="00555873"/>
    <w:rsid w:val="0055634A"/>
    <w:rsid w:val="00562321"/>
    <w:rsid w:val="00565893"/>
    <w:rsid w:val="00573528"/>
    <w:rsid w:val="00580010"/>
    <w:rsid w:val="00580DD1"/>
    <w:rsid w:val="00593B2C"/>
    <w:rsid w:val="005A3C09"/>
    <w:rsid w:val="005A73E3"/>
    <w:rsid w:val="005B338A"/>
    <w:rsid w:val="005B46A4"/>
    <w:rsid w:val="005B5E14"/>
    <w:rsid w:val="005B6A44"/>
    <w:rsid w:val="005C3185"/>
    <w:rsid w:val="005D397F"/>
    <w:rsid w:val="005E53FA"/>
    <w:rsid w:val="005F1560"/>
    <w:rsid w:val="005F2363"/>
    <w:rsid w:val="005F725D"/>
    <w:rsid w:val="00600CA5"/>
    <w:rsid w:val="00600D78"/>
    <w:rsid w:val="006022F5"/>
    <w:rsid w:val="00613B61"/>
    <w:rsid w:val="00622C36"/>
    <w:rsid w:val="00623C22"/>
    <w:rsid w:val="00630366"/>
    <w:rsid w:val="00631FFC"/>
    <w:rsid w:val="00635B28"/>
    <w:rsid w:val="006511AB"/>
    <w:rsid w:val="006520C7"/>
    <w:rsid w:val="00656DB9"/>
    <w:rsid w:val="00670D5B"/>
    <w:rsid w:val="0067118B"/>
    <w:rsid w:val="006748EE"/>
    <w:rsid w:val="00677B81"/>
    <w:rsid w:val="0068384E"/>
    <w:rsid w:val="0069340D"/>
    <w:rsid w:val="006945B4"/>
    <w:rsid w:val="00695962"/>
    <w:rsid w:val="006A0CF1"/>
    <w:rsid w:val="006A1874"/>
    <w:rsid w:val="006A52C1"/>
    <w:rsid w:val="006B1715"/>
    <w:rsid w:val="006B2F13"/>
    <w:rsid w:val="006C339A"/>
    <w:rsid w:val="006D6EEF"/>
    <w:rsid w:val="006E1CF9"/>
    <w:rsid w:val="006F3FB6"/>
    <w:rsid w:val="006F431E"/>
    <w:rsid w:val="006F7822"/>
    <w:rsid w:val="00701065"/>
    <w:rsid w:val="00702E29"/>
    <w:rsid w:val="00713DFA"/>
    <w:rsid w:val="00717096"/>
    <w:rsid w:val="00737C26"/>
    <w:rsid w:val="007437E2"/>
    <w:rsid w:val="007453AB"/>
    <w:rsid w:val="00745940"/>
    <w:rsid w:val="00753955"/>
    <w:rsid w:val="00753C62"/>
    <w:rsid w:val="007548BE"/>
    <w:rsid w:val="00775CFD"/>
    <w:rsid w:val="00775DDD"/>
    <w:rsid w:val="0077DED4"/>
    <w:rsid w:val="00781881"/>
    <w:rsid w:val="00784955"/>
    <w:rsid w:val="0079488B"/>
    <w:rsid w:val="007A6C7D"/>
    <w:rsid w:val="007B17BE"/>
    <w:rsid w:val="007B3F0D"/>
    <w:rsid w:val="007B5F37"/>
    <w:rsid w:val="007B6883"/>
    <w:rsid w:val="007C27E9"/>
    <w:rsid w:val="007C6502"/>
    <w:rsid w:val="007D56F1"/>
    <w:rsid w:val="00813AC9"/>
    <w:rsid w:val="00814334"/>
    <w:rsid w:val="008143BC"/>
    <w:rsid w:val="008200A7"/>
    <w:rsid w:val="008406D8"/>
    <w:rsid w:val="00850BEE"/>
    <w:rsid w:val="008618B9"/>
    <w:rsid w:val="0086340C"/>
    <w:rsid w:val="00880172"/>
    <w:rsid w:val="00882A0B"/>
    <w:rsid w:val="008925AC"/>
    <w:rsid w:val="00894930"/>
    <w:rsid w:val="008A034E"/>
    <w:rsid w:val="008A6099"/>
    <w:rsid w:val="008B0AF7"/>
    <w:rsid w:val="008B2925"/>
    <w:rsid w:val="008B572B"/>
    <w:rsid w:val="008C0520"/>
    <w:rsid w:val="008C380B"/>
    <w:rsid w:val="008C5C4C"/>
    <w:rsid w:val="008C7E9B"/>
    <w:rsid w:val="008F04C2"/>
    <w:rsid w:val="008F1DBD"/>
    <w:rsid w:val="00921AC1"/>
    <w:rsid w:val="00924A75"/>
    <w:rsid w:val="00931E90"/>
    <w:rsid w:val="00935951"/>
    <w:rsid w:val="00940250"/>
    <w:rsid w:val="00940433"/>
    <w:rsid w:val="0094328B"/>
    <w:rsid w:val="009453EC"/>
    <w:rsid w:val="00950D2F"/>
    <w:rsid w:val="009541CF"/>
    <w:rsid w:val="00960BB5"/>
    <w:rsid w:val="009657AB"/>
    <w:rsid w:val="00966D72"/>
    <w:rsid w:val="00971977"/>
    <w:rsid w:val="009722D3"/>
    <w:rsid w:val="0099667B"/>
    <w:rsid w:val="009A5C62"/>
    <w:rsid w:val="009A6CF2"/>
    <w:rsid w:val="009A7F25"/>
    <w:rsid w:val="009B0AFD"/>
    <w:rsid w:val="009B63DE"/>
    <w:rsid w:val="009C1C3E"/>
    <w:rsid w:val="009C2CFB"/>
    <w:rsid w:val="009C7319"/>
    <w:rsid w:val="009D383A"/>
    <w:rsid w:val="009E5E9F"/>
    <w:rsid w:val="009E7B90"/>
    <w:rsid w:val="009F574B"/>
    <w:rsid w:val="009F5CCD"/>
    <w:rsid w:val="009F6533"/>
    <w:rsid w:val="00A00DD4"/>
    <w:rsid w:val="00A03BB8"/>
    <w:rsid w:val="00A05E1B"/>
    <w:rsid w:val="00A20A9F"/>
    <w:rsid w:val="00A21295"/>
    <w:rsid w:val="00A232E6"/>
    <w:rsid w:val="00A2467B"/>
    <w:rsid w:val="00A27EF5"/>
    <w:rsid w:val="00A301F7"/>
    <w:rsid w:val="00A3132D"/>
    <w:rsid w:val="00A357EC"/>
    <w:rsid w:val="00A437D2"/>
    <w:rsid w:val="00A460CF"/>
    <w:rsid w:val="00A46D64"/>
    <w:rsid w:val="00A55150"/>
    <w:rsid w:val="00A61D17"/>
    <w:rsid w:val="00A66C0F"/>
    <w:rsid w:val="00A713A8"/>
    <w:rsid w:val="00A7193A"/>
    <w:rsid w:val="00A72905"/>
    <w:rsid w:val="00A734F1"/>
    <w:rsid w:val="00A74234"/>
    <w:rsid w:val="00A83B65"/>
    <w:rsid w:val="00AA08F4"/>
    <w:rsid w:val="00AA4C1F"/>
    <w:rsid w:val="00AB18BF"/>
    <w:rsid w:val="00AB37AA"/>
    <w:rsid w:val="00AC0CD7"/>
    <w:rsid w:val="00AD0A51"/>
    <w:rsid w:val="00AD6AD7"/>
    <w:rsid w:val="00AE485D"/>
    <w:rsid w:val="00AE6E01"/>
    <w:rsid w:val="00AF21D6"/>
    <w:rsid w:val="00B111AA"/>
    <w:rsid w:val="00B129BA"/>
    <w:rsid w:val="00B31E85"/>
    <w:rsid w:val="00B3268F"/>
    <w:rsid w:val="00B50F13"/>
    <w:rsid w:val="00B51417"/>
    <w:rsid w:val="00B5261F"/>
    <w:rsid w:val="00B534E3"/>
    <w:rsid w:val="00B6239E"/>
    <w:rsid w:val="00B632BB"/>
    <w:rsid w:val="00B64D1A"/>
    <w:rsid w:val="00B656EA"/>
    <w:rsid w:val="00B723A6"/>
    <w:rsid w:val="00B77C8B"/>
    <w:rsid w:val="00B810D4"/>
    <w:rsid w:val="00BA4F0A"/>
    <w:rsid w:val="00BB14EC"/>
    <w:rsid w:val="00BB70A1"/>
    <w:rsid w:val="00BB76C1"/>
    <w:rsid w:val="00BC0862"/>
    <w:rsid w:val="00BC6ABF"/>
    <w:rsid w:val="00BD4ABF"/>
    <w:rsid w:val="00BD6332"/>
    <w:rsid w:val="00BD6596"/>
    <w:rsid w:val="00BF2EDE"/>
    <w:rsid w:val="00BF391B"/>
    <w:rsid w:val="00BF7373"/>
    <w:rsid w:val="00C03834"/>
    <w:rsid w:val="00C044EF"/>
    <w:rsid w:val="00C255E8"/>
    <w:rsid w:val="00C3234A"/>
    <w:rsid w:val="00C33E3A"/>
    <w:rsid w:val="00C56049"/>
    <w:rsid w:val="00C74D81"/>
    <w:rsid w:val="00C92E08"/>
    <w:rsid w:val="00CA081C"/>
    <w:rsid w:val="00CA296A"/>
    <w:rsid w:val="00CA4F73"/>
    <w:rsid w:val="00CB13BC"/>
    <w:rsid w:val="00CB2E76"/>
    <w:rsid w:val="00CB3993"/>
    <w:rsid w:val="00CB6E84"/>
    <w:rsid w:val="00CC136A"/>
    <w:rsid w:val="00CC633F"/>
    <w:rsid w:val="00CC7281"/>
    <w:rsid w:val="00CC7840"/>
    <w:rsid w:val="00CD0F21"/>
    <w:rsid w:val="00CD0F3D"/>
    <w:rsid w:val="00CD5F53"/>
    <w:rsid w:val="00CE4410"/>
    <w:rsid w:val="00D1061C"/>
    <w:rsid w:val="00D16326"/>
    <w:rsid w:val="00D21AF1"/>
    <w:rsid w:val="00D24E2A"/>
    <w:rsid w:val="00D27B3F"/>
    <w:rsid w:val="00D32EFF"/>
    <w:rsid w:val="00D331D7"/>
    <w:rsid w:val="00D33214"/>
    <w:rsid w:val="00D55D4F"/>
    <w:rsid w:val="00D736FD"/>
    <w:rsid w:val="00D8630C"/>
    <w:rsid w:val="00D90E59"/>
    <w:rsid w:val="00DA601F"/>
    <w:rsid w:val="00DB47ED"/>
    <w:rsid w:val="00DB6195"/>
    <w:rsid w:val="00DC04EF"/>
    <w:rsid w:val="00DC4883"/>
    <w:rsid w:val="00DE651C"/>
    <w:rsid w:val="00DF38FC"/>
    <w:rsid w:val="00E026FB"/>
    <w:rsid w:val="00E10EC6"/>
    <w:rsid w:val="00E1245B"/>
    <w:rsid w:val="00E22689"/>
    <w:rsid w:val="00E23B69"/>
    <w:rsid w:val="00E241FE"/>
    <w:rsid w:val="00E249CD"/>
    <w:rsid w:val="00E2533A"/>
    <w:rsid w:val="00E27199"/>
    <w:rsid w:val="00E272FC"/>
    <w:rsid w:val="00E305FE"/>
    <w:rsid w:val="00E33B7B"/>
    <w:rsid w:val="00E34B6E"/>
    <w:rsid w:val="00E35EF7"/>
    <w:rsid w:val="00E36349"/>
    <w:rsid w:val="00E424F9"/>
    <w:rsid w:val="00E46CE9"/>
    <w:rsid w:val="00E5059E"/>
    <w:rsid w:val="00E50FA5"/>
    <w:rsid w:val="00E55023"/>
    <w:rsid w:val="00E73D83"/>
    <w:rsid w:val="00E80F62"/>
    <w:rsid w:val="00E8574B"/>
    <w:rsid w:val="00E976BB"/>
    <w:rsid w:val="00EA3FC0"/>
    <w:rsid w:val="00EA5CFD"/>
    <w:rsid w:val="00EA6616"/>
    <w:rsid w:val="00EB093E"/>
    <w:rsid w:val="00EB47BE"/>
    <w:rsid w:val="00EC191B"/>
    <w:rsid w:val="00EC36B1"/>
    <w:rsid w:val="00ED4196"/>
    <w:rsid w:val="00EE0FD3"/>
    <w:rsid w:val="00EE1849"/>
    <w:rsid w:val="00EE22FD"/>
    <w:rsid w:val="00EE28E8"/>
    <w:rsid w:val="00EE2E06"/>
    <w:rsid w:val="00EE3B45"/>
    <w:rsid w:val="00EE4902"/>
    <w:rsid w:val="00EF0472"/>
    <w:rsid w:val="00EF4533"/>
    <w:rsid w:val="00EF6193"/>
    <w:rsid w:val="00EF696B"/>
    <w:rsid w:val="00F05FCF"/>
    <w:rsid w:val="00F0770D"/>
    <w:rsid w:val="00F1433B"/>
    <w:rsid w:val="00F20951"/>
    <w:rsid w:val="00F22C09"/>
    <w:rsid w:val="00F25C19"/>
    <w:rsid w:val="00F27C6F"/>
    <w:rsid w:val="00F27E7B"/>
    <w:rsid w:val="00F367A2"/>
    <w:rsid w:val="00F36CE7"/>
    <w:rsid w:val="00F5622E"/>
    <w:rsid w:val="00F565A9"/>
    <w:rsid w:val="00F63676"/>
    <w:rsid w:val="00F64BC3"/>
    <w:rsid w:val="00F66B0A"/>
    <w:rsid w:val="00F74336"/>
    <w:rsid w:val="00F7454F"/>
    <w:rsid w:val="00F75370"/>
    <w:rsid w:val="00F75FEE"/>
    <w:rsid w:val="00F843B7"/>
    <w:rsid w:val="00F966E9"/>
    <w:rsid w:val="00FA08BF"/>
    <w:rsid w:val="00FB058D"/>
    <w:rsid w:val="00FB05A0"/>
    <w:rsid w:val="00FC027F"/>
    <w:rsid w:val="00FC739B"/>
    <w:rsid w:val="00FD33F8"/>
    <w:rsid w:val="00FE0D55"/>
    <w:rsid w:val="00FE393C"/>
    <w:rsid w:val="010C871C"/>
    <w:rsid w:val="01230AC4"/>
    <w:rsid w:val="013909AB"/>
    <w:rsid w:val="01D3EAE7"/>
    <w:rsid w:val="01D6571E"/>
    <w:rsid w:val="01DFCC8F"/>
    <w:rsid w:val="02091EF5"/>
    <w:rsid w:val="0236D2B0"/>
    <w:rsid w:val="0241C9AF"/>
    <w:rsid w:val="0272C1F0"/>
    <w:rsid w:val="02757AC3"/>
    <w:rsid w:val="02A8AAB1"/>
    <w:rsid w:val="02BD7DB8"/>
    <w:rsid w:val="0437F574"/>
    <w:rsid w:val="0449B261"/>
    <w:rsid w:val="044B90F6"/>
    <w:rsid w:val="047A6DB7"/>
    <w:rsid w:val="04EE4A52"/>
    <w:rsid w:val="050383FD"/>
    <w:rsid w:val="050B6A1B"/>
    <w:rsid w:val="067701D0"/>
    <w:rsid w:val="06C30A71"/>
    <w:rsid w:val="06E3D474"/>
    <w:rsid w:val="0716FFD2"/>
    <w:rsid w:val="079115A1"/>
    <w:rsid w:val="07C88AD7"/>
    <w:rsid w:val="07EDD36F"/>
    <w:rsid w:val="0801B86E"/>
    <w:rsid w:val="0835C55B"/>
    <w:rsid w:val="0843DF3C"/>
    <w:rsid w:val="086AE573"/>
    <w:rsid w:val="088BAE7A"/>
    <w:rsid w:val="09252571"/>
    <w:rsid w:val="093FBC6F"/>
    <w:rsid w:val="0987C816"/>
    <w:rsid w:val="09C4CF16"/>
    <w:rsid w:val="0A5C73CC"/>
    <w:rsid w:val="0A6ACA01"/>
    <w:rsid w:val="0A9375E8"/>
    <w:rsid w:val="0AEFBAB5"/>
    <w:rsid w:val="0B24384B"/>
    <w:rsid w:val="0B9673AC"/>
    <w:rsid w:val="0BDAE64B"/>
    <w:rsid w:val="0C4DC452"/>
    <w:rsid w:val="0CADC698"/>
    <w:rsid w:val="0D1AFAD5"/>
    <w:rsid w:val="0D429D6D"/>
    <w:rsid w:val="0D807B2A"/>
    <w:rsid w:val="0DFBF732"/>
    <w:rsid w:val="0EC2F29F"/>
    <w:rsid w:val="0EF4880A"/>
    <w:rsid w:val="0FA28A5A"/>
    <w:rsid w:val="0FE3FAA5"/>
    <w:rsid w:val="10184D3E"/>
    <w:rsid w:val="1083E49A"/>
    <w:rsid w:val="109DC99A"/>
    <w:rsid w:val="10CF21B8"/>
    <w:rsid w:val="1123614C"/>
    <w:rsid w:val="1175107D"/>
    <w:rsid w:val="117FCB8C"/>
    <w:rsid w:val="11B7DF57"/>
    <w:rsid w:val="11E0060D"/>
    <w:rsid w:val="11E37235"/>
    <w:rsid w:val="1257A21F"/>
    <w:rsid w:val="1261A61E"/>
    <w:rsid w:val="127B64F8"/>
    <w:rsid w:val="12F66E26"/>
    <w:rsid w:val="13D9AC56"/>
    <w:rsid w:val="14982F56"/>
    <w:rsid w:val="14BEB67E"/>
    <w:rsid w:val="14F7EED3"/>
    <w:rsid w:val="15C41F8B"/>
    <w:rsid w:val="1692B524"/>
    <w:rsid w:val="169847B8"/>
    <w:rsid w:val="16A747DF"/>
    <w:rsid w:val="16FAB429"/>
    <w:rsid w:val="17A54146"/>
    <w:rsid w:val="17A86680"/>
    <w:rsid w:val="17A8B62C"/>
    <w:rsid w:val="18081AB3"/>
    <w:rsid w:val="18425720"/>
    <w:rsid w:val="184A446F"/>
    <w:rsid w:val="18B8F985"/>
    <w:rsid w:val="18CF615B"/>
    <w:rsid w:val="18F631F1"/>
    <w:rsid w:val="19F64679"/>
    <w:rsid w:val="19FE6437"/>
    <w:rsid w:val="1A90DE8D"/>
    <w:rsid w:val="1AE5AAAC"/>
    <w:rsid w:val="1B572222"/>
    <w:rsid w:val="1BE92AFF"/>
    <w:rsid w:val="1C2450DE"/>
    <w:rsid w:val="1C99985D"/>
    <w:rsid w:val="1C9D9F87"/>
    <w:rsid w:val="1CB5021B"/>
    <w:rsid w:val="1D3A7BB8"/>
    <w:rsid w:val="1DC5D14D"/>
    <w:rsid w:val="1DE8CE9B"/>
    <w:rsid w:val="1DF74140"/>
    <w:rsid w:val="1E2215AC"/>
    <w:rsid w:val="1E24CA73"/>
    <w:rsid w:val="1E309FD1"/>
    <w:rsid w:val="1E354788"/>
    <w:rsid w:val="1E9FC888"/>
    <w:rsid w:val="1EAA6DBF"/>
    <w:rsid w:val="1EDF93F2"/>
    <w:rsid w:val="1EF6630F"/>
    <w:rsid w:val="1EFDC339"/>
    <w:rsid w:val="1F01AA05"/>
    <w:rsid w:val="1F4DC1E7"/>
    <w:rsid w:val="1FEDE241"/>
    <w:rsid w:val="208D0DDC"/>
    <w:rsid w:val="21397247"/>
    <w:rsid w:val="21554BA2"/>
    <w:rsid w:val="2201CFD3"/>
    <w:rsid w:val="222F5837"/>
    <w:rsid w:val="2252471D"/>
    <w:rsid w:val="22836AC4"/>
    <w:rsid w:val="22CDBDA6"/>
    <w:rsid w:val="22CF5576"/>
    <w:rsid w:val="22D7A5EB"/>
    <w:rsid w:val="22EA43DC"/>
    <w:rsid w:val="22F9AF88"/>
    <w:rsid w:val="231330A0"/>
    <w:rsid w:val="239E24B4"/>
    <w:rsid w:val="23CB95D8"/>
    <w:rsid w:val="24AB92DE"/>
    <w:rsid w:val="24C69958"/>
    <w:rsid w:val="252E730B"/>
    <w:rsid w:val="257FAD8F"/>
    <w:rsid w:val="26281ACD"/>
    <w:rsid w:val="2825D0A2"/>
    <w:rsid w:val="288248B7"/>
    <w:rsid w:val="289E4AE3"/>
    <w:rsid w:val="28ABD6C1"/>
    <w:rsid w:val="28C13442"/>
    <w:rsid w:val="29DA629E"/>
    <w:rsid w:val="29E7209F"/>
    <w:rsid w:val="2B084DCB"/>
    <w:rsid w:val="2BA30D0F"/>
    <w:rsid w:val="2BEFF9B3"/>
    <w:rsid w:val="2C0476A7"/>
    <w:rsid w:val="2C29FDEF"/>
    <w:rsid w:val="2D6FABBB"/>
    <w:rsid w:val="2DB36ECB"/>
    <w:rsid w:val="2E1E5699"/>
    <w:rsid w:val="2EC0DF3C"/>
    <w:rsid w:val="2EE0E8B1"/>
    <w:rsid w:val="2F546C02"/>
    <w:rsid w:val="3044D09F"/>
    <w:rsid w:val="31FB60B0"/>
    <w:rsid w:val="3267CFBE"/>
    <w:rsid w:val="332EC105"/>
    <w:rsid w:val="33E2A924"/>
    <w:rsid w:val="345A75FC"/>
    <w:rsid w:val="34948C14"/>
    <w:rsid w:val="3537E1E0"/>
    <w:rsid w:val="35426E3D"/>
    <w:rsid w:val="3578E3C1"/>
    <w:rsid w:val="35D22902"/>
    <w:rsid w:val="35D8A056"/>
    <w:rsid w:val="365E5949"/>
    <w:rsid w:val="37086995"/>
    <w:rsid w:val="378E40B4"/>
    <w:rsid w:val="382E5E67"/>
    <w:rsid w:val="3851370F"/>
    <w:rsid w:val="38740041"/>
    <w:rsid w:val="38FC4C15"/>
    <w:rsid w:val="395EEF87"/>
    <w:rsid w:val="3998405E"/>
    <w:rsid w:val="39AF4C04"/>
    <w:rsid w:val="39E8599A"/>
    <w:rsid w:val="3A6AFFD6"/>
    <w:rsid w:val="3A7FD8A2"/>
    <w:rsid w:val="3A822C28"/>
    <w:rsid w:val="3B0A32E1"/>
    <w:rsid w:val="3BCFB5EB"/>
    <w:rsid w:val="3BDD8FC2"/>
    <w:rsid w:val="3C1E7933"/>
    <w:rsid w:val="3C2E71A9"/>
    <w:rsid w:val="3C85AB21"/>
    <w:rsid w:val="3CAFC840"/>
    <w:rsid w:val="3CD70F69"/>
    <w:rsid w:val="3DD1DA94"/>
    <w:rsid w:val="3DEA3273"/>
    <w:rsid w:val="3E6D60BC"/>
    <w:rsid w:val="3E79E64B"/>
    <w:rsid w:val="3EF10500"/>
    <w:rsid w:val="3F0E3A6A"/>
    <w:rsid w:val="3F4C88A7"/>
    <w:rsid w:val="3F525BEE"/>
    <w:rsid w:val="3F6FE3B3"/>
    <w:rsid w:val="3F76CD36"/>
    <w:rsid w:val="3FA79512"/>
    <w:rsid w:val="3FE549B6"/>
    <w:rsid w:val="401E775D"/>
    <w:rsid w:val="404D4936"/>
    <w:rsid w:val="40EBE66E"/>
    <w:rsid w:val="40F93606"/>
    <w:rsid w:val="4123D5EC"/>
    <w:rsid w:val="41818D9C"/>
    <w:rsid w:val="4190CFD9"/>
    <w:rsid w:val="41DA5593"/>
    <w:rsid w:val="42BD3B3C"/>
    <w:rsid w:val="42FBCC38"/>
    <w:rsid w:val="432CDAAE"/>
    <w:rsid w:val="4350F8B3"/>
    <w:rsid w:val="436CACD3"/>
    <w:rsid w:val="43733DEE"/>
    <w:rsid w:val="437A776F"/>
    <w:rsid w:val="43A9B21B"/>
    <w:rsid w:val="43F21116"/>
    <w:rsid w:val="44B29302"/>
    <w:rsid w:val="44ECB4FC"/>
    <w:rsid w:val="45475D0C"/>
    <w:rsid w:val="45866685"/>
    <w:rsid w:val="458EA30D"/>
    <w:rsid w:val="45CE0BC4"/>
    <w:rsid w:val="45DC4F9D"/>
    <w:rsid w:val="45F5AADF"/>
    <w:rsid w:val="46001515"/>
    <w:rsid w:val="46285B9D"/>
    <w:rsid w:val="4652DEA6"/>
    <w:rsid w:val="47154FCF"/>
    <w:rsid w:val="47338B04"/>
    <w:rsid w:val="4831EC3F"/>
    <w:rsid w:val="4870823A"/>
    <w:rsid w:val="48DA929F"/>
    <w:rsid w:val="4990127F"/>
    <w:rsid w:val="49C86092"/>
    <w:rsid w:val="4A5D52F0"/>
    <w:rsid w:val="4A6E6A6A"/>
    <w:rsid w:val="4A888A3B"/>
    <w:rsid w:val="4B2D7F97"/>
    <w:rsid w:val="4B698861"/>
    <w:rsid w:val="4BE4520B"/>
    <w:rsid w:val="4BE7BBE1"/>
    <w:rsid w:val="4C3B7C9C"/>
    <w:rsid w:val="4C9A2FD6"/>
    <w:rsid w:val="4CCD07B1"/>
    <w:rsid w:val="4D014C61"/>
    <w:rsid w:val="4D26C79D"/>
    <w:rsid w:val="4D91516F"/>
    <w:rsid w:val="4DBB41AF"/>
    <w:rsid w:val="4E01E6C0"/>
    <w:rsid w:val="4E02A9E5"/>
    <w:rsid w:val="4E4D634B"/>
    <w:rsid w:val="4E4D8B69"/>
    <w:rsid w:val="4E7CF08B"/>
    <w:rsid w:val="4E7E441A"/>
    <w:rsid w:val="4E97AD2D"/>
    <w:rsid w:val="4ECFC26B"/>
    <w:rsid w:val="4ED3A17C"/>
    <w:rsid w:val="4F5CC3DC"/>
    <w:rsid w:val="4F70F5CF"/>
    <w:rsid w:val="4FAAF42A"/>
    <w:rsid w:val="5000D5FC"/>
    <w:rsid w:val="50FF3A5F"/>
    <w:rsid w:val="517185A8"/>
    <w:rsid w:val="518310A9"/>
    <w:rsid w:val="52363610"/>
    <w:rsid w:val="52A24AEA"/>
    <w:rsid w:val="53093423"/>
    <w:rsid w:val="539871BE"/>
    <w:rsid w:val="53D0D7AF"/>
    <w:rsid w:val="5438301F"/>
    <w:rsid w:val="54942F08"/>
    <w:rsid w:val="55082A69"/>
    <w:rsid w:val="552C0C22"/>
    <w:rsid w:val="553CF752"/>
    <w:rsid w:val="555326EA"/>
    <w:rsid w:val="558073F0"/>
    <w:rsid w:val="55C25DBD"/>
    <w:rsid w:val="55D0DF76"/>
    <w:rsid w:val="55E7D5B9"/>
    <w:rsid w:val="5620F4D9"/>
    <w:rsid w:val="564EB413"/>
    <w:rsid w:val="5789D1E8"/>
    <w:rsid w:val="583F2C02"/>
    <w:rsid w:val="588E13A7"/>
    <w:rsid w:val="58CF274C"/>
    <w:rsid w:val="58D7F1F1"/>
    <w:rsid w:val="59299FDF"/>
    <w:rsid w:val="5A21787F"/>
    <w:rsid w:val="5A9E1A92"/>
    <w:rsid w:val="5B258219"/>
    <w:rsid w:val="5B39CB95"/>
    <w:rsid w:val="5BABB5FA"/>
    <w:rsid w:val="5BAC6B7C"/>
    <w:rsid w:val="5BAD20A2"/>
    <w:rsid w:val="5BC880EB"/>
    <w:rsid w:val="5BF2CDDC"/>
    <w:rsid w:val="5C2D2B5E"/>
    <w:rsid w:val="5C6CBCC0"/>
    <w:rsid w:val="5CAA6B6C"/>
    <w:rsid w:val="5CC67BBC"/>
    <w:rsid w:val="5CD47813"/>
    <w:rsid w:val="5D5C6421"/>
    <w:rsid w:val="5DC50EC0"/>
    <w:rsid w:val="5EA91B5E"/>
    <w:rsid w:val="5EC6D424"/>
    <w:rsid w:val="5ED710D7"/>
    <w:rsid w:val="5F1CCCED"/>
    <w:rsid w:val="5F513FDE"/>
    <w:rsid w:val="5F8D766F"/>
    <w:rsid w:val="5FAA992B"/>
    <w:rsid w:val="5FC9A0DB"/>
    <w:rsid w:val="5FCA7095"/>
    <w:rsid w:val="60087219"/>
    <w:rsid w:val="607BE2BB"/>
    <w:rsid w:val="60F6F5CE"/>
    <w:rsid w:val="615D011C"/>
    <w:rsid w:val="61F0B22B"/>
    <w:rsid w:val="61F9AC2F"/>
    <w:rsid w:val="621FDAB4"/>
    <w:rsid w:val="62705CB0"/>
    <w:rsid w:val="62C130D8"/>
    <w:rsid w:val="630B4D52"/>
    <w:rsid w:val="631BFDE0"/>
    <w:rsid w:val="635F4339"/>
    <w:rsid w:val="63BD4381"/>
    <w:rsid w:val="6407E1FD"/>
    <w:rsid w:val="6465C575"/>
    <w:rsid w:val="64E47276"/>
    <w:rsid w:val="64E62713"/>
    <w:rsid w:val="6500C60E"/>
    <w:rsid w:val="6505CBC8"/>
    <w:rsid w:val="65127658"/>
    <w:rsid w:val="657B844E"/>
    <w:rsid w:val="6629B08F"/>
    <w:rsid w:val="66598B00"/>
    <w:rsid w:val="665E243B"/>
    <w:rsid w:val="678DBE25"/>
    <w:rsid w:val="679ACC2E"/>
    <w:rsid w:val="67DB4D41"/>
    <w:rsid w:val="67FC2E76"/>
    <w:rsid w:val="6806749C"/>
    <w:rsid w:val="6813E22A"/>
    <w:rsid w:val="6839956E"/>
    <w:rsid w:val="68633A49"/>
    <w:rsid w:val="68782CDB"/>
    <w:rsid w:val="696FB553"/>
    <w:rsid w:val="69A5BD31"/>
    <w:rsid w:val="69DC8C20"/>
    <w:rsid w:val="69DCCC4B"/>
    <w:rsid w:val="6A1ECB7D"/>
    <w:rsid w:val="6A24FE0D"/>
    <w:rsid w:val="6A59A68E"/>
    <w:rsid w:val="6A900E77"/>
    <w:rsid w:val="6B71550C"/>
    <w:rsid w:val="6BBB7253"/>
    <w:rsid w:val="6BDCA2EE"/>
    <w:rsid w:val="6C16214F"/>
    <w:rsid w:val="6C96A437"/>
    <w:rsid w:val="6CA14FF4"/>
    <w:rsid w:val="6D0E74CE"/>
    <w:rsid w:val="6D6F2B68"/>
    <w:rsid w:val="6E39E484"/>
    <w:rsid w:val="6E88B5AC"/>
    <w:rsid w:val="6E8BD48C"/>
    <w:rsid w:val="6ECE7391"/>
    <w:rsid w:val="6F09F717"/>
    <w:rsid w:val="6FA0CB3D"/>
    <w:rsid w:val="6FA78C80"/>
    <w:rsid w:val="7028ECE4"/>
    <w:rsid w:val="70B844AA"/>
    <w:rsid w:val="710FD689"/>
    <w:rsid w:val="714DD2C5"/>
    <w:rsid w:val="719F25A4"/>
    <w:rsid w:val="7263BC7A"/>
    <w:rsid w:val="72BC4BD8"/>
    <w:rsid w:val="7372EC8A"/>
    <w:rsid w:val="73BDE91B"/>
    <w:rsid w:val="73C377F1"/>
    <w:rsid w:val="73C431E8"/>
    <w:rsid w:val="73F241C1"/>
    <w:rsid w:val="742144C9"/>
    <w:rsid w:val="74435316"/>
    <w:rsid w:val="74B0072E"/>
    <w:rsid w:val="74C666B3"/>
    <w:rsid w:val="751F57C0"/>
    <w:rsid w:val="752D3DF3"/>
    <w:rsid w:val="7531065C"/>
    <w:rsid w:val="75708584"/>
    <w:rsid w:val="75C0014D"/>
    <w:rsid w:val="75C6654E"/>
    <w:rsid w:val="75D67BEB"/>
    <w:rsid w:val="762C4D8F"/>
    <w:rsid w:val="76495714"/>
    <w:rsid w:val="76B3AD13"/>
    <w:rsid w:val="76C37DBB"/>
    <w:rsid w:val="77E227E1"/>
    <w:rsid w:val="77EB0A10"/>
    <w:rsid w:val="7803F979"/>
    <w:rsid w:val="781AFE26"/>
    <w:rsid w:val="783AF5E9"/>
    <w:rsid w:val="784E8AB1"/>
    <w:rsid w:val="78A9D303"/>
    <w:rsid w:val="7950DAD4"/>
    <w:rsid w:val="79A2A3F3"/>
    <w:rsid w:val="79C7DDE2"/>
    <w:rsid w:val="79C8EE16"/>
    <w:rsid w:val="7A11F8BB"/>
    <w:rsid w:val="7B083715"/>
    <w:rsid w:val="7B1BD426"/>
    <w:rsid w:val="7B75C186"/>
    <w:rsid w:val="7B8B41FF"/>
    <w:rsid w:val="7BEABBD9"/>
    <w:rsid w:val="7C00E428"/>
    <w:rsid w:val="7D793208"/>
    <w:rsid w:val="7D8A65DA"/>
    <w:rsid w:val="7DA0DCC4"/>
    <w:rsid w:val="7EA5408B"/>
    <w:rsid w:val="7F1C05F0"/>
    <w:rsid w:val="7F46B8AE"/>
    <w:rsid w:val="7FA64B02"/>
    <w:rsid w:val="7FBD3F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8CE0D43"/>
  <w15:docId w15:val="{2B1CEE51-7C86-4CBC-94A0-3F0DD14F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5DDD"/>
    <w:rPr>
      <w:rFonts w:ascii="Times New Roman" w:eastAsia="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9C2CFB"/>
    <w:rPr>
      <w:rFonts w:cs="Times New Roman"/>
      <w:color w:val="0000FF"/>
      <w:u w:val="single"/>
    </w:rPr>
  </w:style>
  <w:style w:type="paragraph" w:styleId="Kjene">
    <w:name w:val="footer"/>
    <w:basedOn w:val="Parasts"/>
    <w:link w:val="KjeneRakstz"/>
    <w:uiPriority w:val="99"/>
    <w:rsid w:val="009C2CFB"/>
    <w:pPr>
      <w:tabs>
        <w:tab w:val="center" w:pos="4680"/>
        <w:tab w:val="right" w:pos="9360"/>
      </w:tabs>
    </w:pPr>
  </w:style>
  <w:style w:type="character" w:customStyle="1" w:styleId="KjeneRakstz">
    <w:name w:val="Kājene Rakstz."/>
    <w:basedOn w:val="Noklusjumarindkopasfonts"/>
    <w:link w:val="Kjene"/>
    <w:uiPriority w:val="99"/>
    <w:locked/>
    <w:rsid w:val="009C2CFB"/>
    <w:rPr>
      <w:rFonts w:ascii="Times New Roman" w:hAnsi="Times New Roman" w:cs="Times New Roman"/>
      <w:lang w:val="lv-LV"/>
    </w:rPr>
  </w:style>
  <w:style w:type="paragraph" w:styleId="Pamatteksts3">
    <w:name w:val="Body Text 3"/>
    <w:basedOn w:val="Parasts"/>
    <w:link w:val="Pamatteksts3Rakstz"/>
    <w:uiPriority w:val="99"/>
    <w:rsid w:val="009C2CFB"/>
    <w:pPr>
      <w:spacing w:after="120"/>
    </w:pPr>
    <w:rPr>
      <w:sz w:val="16"/>
      <w:szCs w:val="16"/>
      <w:lang w:val="en-US" w:eastAsia="lv-LV"/>
    </w:rPr>
  </w:style>
  <w:style w:type="character" w:customStyle="1" w:styleId="Pamatteksts3Rakstz">
    <w:name w:val="Pamatteksts 3 Rakstz."/>
    <w:basedOn w:val="Noklusjumarindkopasfonts"/>
    <w:link w:val="Pamatteksts3"/>
    <w:uiPriority w:val="99"/>
    <w:locked/>
    <w:rsid w:val="009C2CFB"/>
    <w:rPr>
      <w:rFonts w:ascii="Times New Roman" w:hAnsi="Times New Roman" w:cs="Times New Roman"/>
      <w:sz w:val="16"/>
      <w:szCs w:val="16"/>
      <w:lang w:eastAsia="lv-LV"/>
    </w:rPr>
  </w:style>
  <w:style w:type="paragraph" w:styleId="Paraststmeklis">
    <w:name w:val="Normal (Web)"/>
    <w:basedOn w:val="Parasts"/>
    <w:uiPriority w:val="99"/>
    <w:rsid w:val="009C2CFB"/>
    <w:pPr>
      <w:spacing w:before="100" w:beforeAutospacing="1" w:after="100" w:afterAutospacing="1"/>
    </w:pPr>
  </w:style>
  <w:style w:type="character" w:customStyle="1" w:styleId="apple-converted-space">
    <w:name w:val="apple-converted-space"/>
    <w:basedOn w:val="Noklusjumarindkopasfonts"/>
    <w:uiPriority w:val="99"/>
    <w:rsid w:val="009C2CFB"/>
    <w:rPr>
      <w:rFonts w:cs="Times New Roman"/>
    </w:rPr>
  </w:style>
  <w:style w:type="paragraph" w:styleId="Galvene">
    <w:name w:val="header"/>
    <w:basedOn w:val="Parasts"/>
    <w:link w:val="GalveneRakstz"/>
    <w:uiPriority w:val="99"/>
    <w:rsid w:val="009C2CFB"/>
    <w:pPr>
      <w:tabs>
        <w:tab w:val="center" w:pos="4320"/>
        <w:tab w:val="right" w:pos="8640"/>
      </w:tabs>
    </w:pPr>
  </w:style>
  <w:style w:type="character" w:customStyle="1" w:styleId="GalveneRakstz">
    <w:name w:val="Galvene Rakstz."/>
    <w:basedOn w:val="Noklusjumarindkopasfonts"/>
    <w:link w:val="Galvene"/>
    <w:uiPriority w:val="99"/>
    <w:locked/>
    <w:rsid w:val="009C2CFB"/>
    <w:rPr>
      <w:rFonts w:ascii="Times New Roman" w:hAnsi="Times New Roman" w:cs="Times New Roman"/>
      <w:lang w:val="lv-LV"/>
    </w:rPr>
  </w:style>
  <w:style w:type="table" w:styleId="Reatabula">
    <w:name w:val="Table Grid"/>
    <w:basedOn w:val="Parastatabula"/>
    <w:uiPriority w:val="99"/>
    <w:locked/>
    <w:rsid w:val="00B723A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DE651C"/>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DE651C"/>
    <w:rPr>
      <w:rFonts w:ascii="Segoe UI" w:hAnsi="Segoe UI" w:cs="Segoe UI"/>
      <w:sz w:val="18"/>
      <w:szCs w:val="18"/>
      <w:lang w:eastAsia="en-US"/>
    </w:rPr>
  </w:style>
  <w:style w:type="paragraph" w:styleId="Prskatjums">
    <w:name w:val="Revision"/>
    <w:hidden/>
    <w:uiPriority w:val="99"/>
    <w:semiHidden/>
    <w:rsid w:val="001222F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0368">
      <w:marLeft w:val="0"/>
      <w:marRight w:val="0"/>
      <w:marTop w:val="0"/>
      <w:marBottom w:val="0"/>
      <w:divBdr>
        <w:top w:val="none" w:sz="0" w:space="0" w:color="auto"/>
        <w:left w:val="none" w:sz="0" w:space="0" w:color="auto"/>
        <w:bottom w:val="none" w:sz="0" w:space="0" w:color="auto"/>
        <w:right w:val="none" w:sz="0" w:space="0" w:color="auto"/>
      </w:divBdr>
    </w:div>
    <w:div w:id="1508980369">
      <w:marLeft w:val="0"/>
      <w:marRight w:val="0"/>
      <w:marTop w:val="0"/>
      <w:marBottom w:val="0"/>
      <w:divBdr>
        <w:top w:val="none" w:sz="0" w:space="0" w:color="auto"/>
        <w:left w:val="none" w:sz="0" w:space="0" w:color="auto"/>
        <w:bottom w:val="none" w:sz="0" w:space="0" w:color="auto"/>
        <w:right w:val="none" w:sz="0" w:space="0" w:color="auto"/>
      </w:divBdr>
    </w:div>
    <w:div w:id="1508980370">
      <w:marLeft w:val="0"/>
      <w:marRight w:val="0"/>
      <w:marTop w:val="0"/>
      <w:marBottom w:val="0"/>
      <w:divBdr>
        <w:top w:val="none" w:sz="0" w:space="0" w:color="auto"/>
        <w:left w:val="none" w:sz="0" w:space="0" w:color="auto"/>
        <w:bottom w:val="none" w:sz="0" w:space="0" w:color="auto"/>
        <w:right w:val="none" w:sz="0" w:space="0" w:color="auto"/>
      </w:divBdr>
    </w:div>
    <w:div w:id="1508980371">
      <w:marLeft w:val="0"/>
      <w:marRight w:val="0"/>
      <w:marTop w:val="0"/>
      <w:marBottom w:val="0"/>
      <w:divBdr>
        <w:top w:val="none" w:sz="0" w:space="0" w:color="auto"/>
        <w:left w:val="none" w:sz="0" w:space="0" w:color="auto"/>
        <w:bottom w:val="none" w:sz="0" w:space="0" w:color="auto"/>
        <w:right w:val="none" w:sz="0" w:space="0" w:color="auto"/>
      </w:divBdr>
    </w:div>
    <w:div w:id="1508980372">
      <w:marLeft w:val="0"/>
      <w:marRight w:val="0"/>
      <w:marTop w:val="0"/>
      <w:marBottom w:val="0"/>
      <w:divBdr>
        <w:top w:val="none" w:sz="0" w:space="0" w:color="auto"/>
        <w:left w:val="none" w:sz="0" w:space="0" w:color="auto"/>
        <w:bottom w:val="none" w:sz="0" w:space="0" w:color="auto"/>
        <w:right w:val="none" w:sz="0" w:space="0" w:color="auto"/>
      </w:divBdr>
    </w:div>
    <w:div w:id="1508980373">
      <w:marLeft w:val="0"/>
      <w:marRight w:val="0"/>
      <w:marTop w:val="0"/>
      <w:marBottom w:val="0"/>
      <w:divBdr>
        <w:top w:val="none" w:sz="0" w:space="0" w:color="auto"/>
        <w:left w:val="none" w:sz="0" w:space="0" w:color="auto"/>
        <w:bottom w:val="none" w:sz="0" w:space="0" w:color="auto"/>
        <w:right w:val="none" w:sz="0" w:space="0" w:color="auto"/>
      </w:divBdr>
    </w:div>
    <w:div w:id="1508980374">
      <w:marLeft w:val="0"/>
      <w:marRight w:val="0"/>
      <w:marTop w:val="0"/>
      <w:marBottom w:val="0"/>
      <w:divBdr>
        <w:top w:val="none" w:sz="0" w:space="0" w:color="auto"/>
        <w:left w:val="none" w:sz="0" w:space="0" w:color="auto"/>
        <w:bottom w:val="none" w:sz="0" w:space="0" w:color="auto"/>
        <w:right w:val="none" w:sz="0" w:space="0" w:color="auto"/>
      </w:divBdr>
    </w:div>
    <w:div w:id="1508980375">
      <w:marLeft w:val="0"/>
      <w:marRight w:val="0"/>
      <w:marTop w:val="0"/>
      <w:marBottom w:val="0"/>
      <w:divBdr>
        <w:top w:val="none" w:sz="0" w:space="0" w:color="auto"/>
        <w:left w:val="none" w:sz="0" w:space="0" w:color="auto"/>
        <w:bottom w:val="none" w:sz="0" w:space="0" w:color="auto"/>
        <w:right w:val="none" w:sz="0" w:space="0" w:color="auto"/>
      </w:divBdr>
    </w:div>
    <w:div w:id="1508980376">
      <w:marLeft w:val="0"/>
      <w:marRight w:val="0"/>
      <w:marTop w:val="0"/>
      <w:marBottom w:val="0"/>
      <w:divBdr>
        <w:top w:val="none" w:sz="0" w:space="0" w:color="auto"/>
        <w:left w:val="none" w:sz="0" w:space="0" w:color="auto"/>
        <w:bottom w:val="none" w:sz="0" w:space="0" w:color="auto"/>
        <w:right w:val="none" w:sz="0" w:space="0" w:color="auto"/>
      </w:divBdr>
    </w:div>
    <w:div w:id="1508980379">
      <w:marLeft w:val="240"/>
      <w:marRight w:val="240"/>
      <w:marTop w:val="240"/>
      <w:marBottom w:val="60"/>
      <w:divBdr>
        <w:top w:val="none" w:sz="0" w:space="0" w:color="auto"/>
        <w:left w:val="none" w:sz="0" w:space="0" w:color="auto"/>
        <w:bottom w:val="none" w:sz="0" w:space="0" w:color="auto"/>
        <w:right w:val="none" w:sz="0" w:space="0" w:color="auto"/>
      </w:divBdr>
      <w:divsChild>
        <w:div w:id="1508980378">
          <w:marLeft w:val="0"/>
          <w:marRight w:val="0"/>
          <w:marTop w:val="0"/>
          <w:marBottom w:val="0"/>
          <w:divBdr>
            <w:top w:val="none" w:sz="0" w:space="0" w:color="auto"/>
            <w:left w:val="none" w:sz="0" w:space="0" w:color="auto"/>
            <w:bottom w:val="none" w:sz="0" w:space="0" w:color="auto"/>
            <w:right w:val="none" w:sz="0" w:space="0" w:color="auto"/>
          </w:divBdr>
          <w:divsChild>
            <w:div w:id="1508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0380">
      <w:marLeft w:val="0"/>
      <w:marRight w:val="0"/>
      <w:marTop w:val="0"/>
      <w:marBottom w:val="0"/>
      <w:divBdr>
        <w:top w:val="none" w:sz="0" w:space="0" w:color="auto"/>
        <w:left w:val="none" w:sz="0" w:space="0" w:color="auto"/>
        <w:bottom w:val="none" w:sz="0" w:space="0" w:color="auto"/>
        <w:right w:val="none" w:sz="0" w:space="0" w:color="auto"/>
      </w:divBdr>
    </w:div>
    <w:div w:id="1508980381">
      <w:marLeft w:val="0"/>
      <w:marRight w:val="0"/>
      <w:marTop w:val="0"/>
      <w:marBottom w:val="0"/>
      <w:divBdr>
        <w:top w:val="none" w:sz="0" w:space="0" w:color="auto"/>
        <w:left w:val="none" w:sz="0" w:space="0" w:color="auto"/>
        <w:bottom w:val="none" w:sz="0" w:space="0" w:color="auto"/>
        <w:right w:val="none" w:sz="0" w:space="0" w:color="auto"/>
      </w:divBdr>
    </w:div>
    <w:div w:id="1508980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te.tukisa@latvijasradio.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55713-par-arkartejo-situaciju-un-iznemuma-stavokl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7B47C8F56360438D6393264B5F3568" ma:contentTypeVersion="13" ma:contentTypeDescription="Izveidot jaunu dokumentu." ma:contentTypeScope="" ma:versionID="908a560bd3a9a1eac1502e5b6ea6ec2a">
  <xsd:schema xmlns:xsd="http://www.w3.org/2001/XMLSchema" xmlns:xs="http://www.w3.org/2001/XMLSchema" xmlns:p="http://schemas.microsoft.com/office/2006/metadata/properties" xmlns:ns3="759328dd-0269-4ab1-9769-381686d40f78" xmlns:ns4="c4ac0050-f20e-4b84-adbf-5ea0a7eb78e7" targetNamespace="http://schemas.microsoft.com/office/2006/metadata/properties" ma:root="true" ma:fieldsID="c517f840f99a5f0dbd197c7712501bc2" ns3:_="" ns4:_="">
    <xsd:import namespace="759328dd-0269-4ab1-9769-381686d40f78"/>
    <xsd:import namespace="c4ac0050-f20e-4b84-adbf-5ea0a7eb78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328dd-0269-4ab1-9769-381686d40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c0050-f20e-4b84-adbf-5ea0a7eb78e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1EB3E-67C3-443B-A90F-D0D32FE21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0803E-09D2-478B-9F09-FEF558220C4B}">
  <ds:schemaRefs>
    <ds:schemaRef ds:uri="http://schemas.microsoft.com/sharepoint/v3/contenttype/forms"/>
  </ds:schemaRefs>
</ds:datastoreItem>
</file>

<file path=customXml/itemProps3.xml><?xml version="1.0" encoding="utf-8"?>
<ds:datastoreItem xmlns:ds="http://schemas.openxmlformats.org/officeDocument/2006/customXml" ds:itemID="{8E95EFCF-0050-4F2B-9753-5D5844E97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328dd-0269-4ab1-9769-381686d40f78"/>
    <ds:schemaRef ds:uri="c4ac0050-f20e-4b84-adbf-5ea0a7eb7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1999</Words>
  <Characters>14958</Characters>
  <Application>Microsoft Office Word</Application>
  <DocSecurity>0</DocSecurity>
  <Lines>124</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projekta sākotnējās ietekmes novērtējuma ziņojums</vt:lpstr>
      <vt:lpstr>Tiesību akta projekta sākotnējās ietekmes novērtējuma ziņojums</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dc:title>
  <dc:subject/>
  <dc:creator>Sandra Ķirse</dc:creator>
  <cp:keywords/>
  <dc:description/>
  <cp:lastModifiedBy>Inese Duļķe</cp:lastModifiedBy>
  <cp:revision>22</cp:revision>
  <cp:lastPrinted>2020-09-21T07:42:00Z</cp:lastPrinted>
  <dcterms:created xsi:type="dcterms:W3CDTF">2020-09-21T10:22:00Z</dcterms:created>
  <dcterms:modified xsi:type="dcterms:W3CDTF">2020-09-30T07:12:00Z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0x010100F77B47C8F56360438D6393264B5F3568</vt:lpwstr>
  </property>
</Properties>
</file>