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AB38" w14:textId="77777777" w:rsidR="008B6E0D" w:rsidRPr="003C50D5" w:rsidRDefault="008B6E0D" w:rsidP="00F272CD">
      <w:pPr>
        <w:spacing w:after="0" w:line="240" w:lineRule="auto"/>
        <w:jc w:val="center"/>
        <w:rPr>
          <w:rFonts w:ascii="Times New Roman" w:eastAsia="Times New Roman" w:hAnsi="Times New Roman" w:cs="Times New Roman"/>
          <w:b/>
          <w:bCs/>
          <w:sz w:val="28"/>
          <w:szCs w:val="24"/>
          <w:lang w:eastAsia="lv-LV"/>
        </w:rPr>
      </w:pPr>
      <w:r w:rsidRPr="003C50D5">
        <w:rPr>
          <w:rFonts w:ascii="Times New Roman" w:eastAsia="Times New Roman" w:hAnsi="Times New Roman" w:cs="Times New Roman"/>
          <w:b/>
          <w:bCs/>
          <w:sz w:val="28"/>
          <w:szCs w:val="24"/>
          <w:lang w:eastAsia="lv-LV"/>
        </w:rPr>
        <w:t xml:space="preserve">Likumprojekta „Grozījumi likumā „Par sociālo drošību”” </w:t>
      </w:r>
    </w:p>
    <w:p w14:paraId="7C7A5C0E" w14:textId="77777777" w:rsidR="008B6E0D" w:rsidRPr="003C50D5" w:rsidRDefault="008B6E0D" w:rsidP="00F272CD">
      <w:pPr>
        <w:spacing w:after="0" w:line="240" w:lineRule="auto"/>
        <w:jc w:val="center"/>
        <w:rPr>
          <w:rFonts w:ascii="Times New Roman" w:eastAsia="Times New Roman" w:hAnsi="Times New Roman" w:cs="Times New Roman"/>
          <w:b/>
          <w:bCs/>
          <w:sz w:val="28"/>
          <w:szCs w:val="24"/>
          <w:lang w:eastAsia="lv-LV"/>
        </w:rPr>
      </w:pPr>
      <w:r w:rsidRPr="003C50D5">
        <w:rPr>
          <w:rFonts w:ascii="Times New Roman" w:eastAsia="Times New Roman" w:hAnsi="Times New Roman" w:cs="Times New Roman"/>
          <w:b/>
          <w:bCs/>
          <w:sz w:val="28"/>
          <w:szCs w:val="24"/>
          <w:lang w:eastAsia="lv-LV"/>
        </w:rPr>
        <w:t xml:space="preserve"> sākotnējās ietekmes novērtējuma ziņojums (anotācija)</w:t>
      </w:r>
    </w:p>
    <w:p w14:paraId="7B8BF728" w14:textId="77777777" w:rsidR="00836663" w:rsidRPr="003C50D5" w:rsidRDefault="00836663" w:rsidP="00F272CD">
      <w:pPr>
        <w:spacing w:after="0" w:line="240" w:lineRule="auto"/>
        <w:jc w:val="center"/>
        <w:rPr>
          <w:rFonts w:ascii="Times New Roman" w:eastAsia="Times New Roman" w:hAnsi="Times New Roman" w:cs="Times New Roman"/>
          <w:b/>
          <w:bCs/>
          <w:sz w:val="28"/>
          <w:szCs w:val="24"/>
          <w:lang w:eastAsia="lv-LV"/>
        </w:rPr>
      </w:pPr>
    </w:p>
    <w:tbl>
      <w:tblPr>
        <w:tblW w:w="524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66"/>
        <w:gridCol w:w="455"/>
        <w:gridCol w:w="788"/>
        <w:gridCol w:w="853"/>
        <w:gridCol w:w="400"/>
        <w:gridCol w:w="1024"/>
        <w:gridCol w:w="878"/>
        <w:gridCol w:w="1024"/>
        <w:gridCol w:w="878"/>
        <w:gridCol w:w="1024"/>
        <w:gridCol w:w="1693"/>
      </w:tblGrid>
      <w:tr w:rsidR="003C50D5" w:rsidRPr="003C50D5" w14:paraId="58DB874E"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3C50D5" w:rsidRDefault="00E5323B"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b/>
                <w:bCs/>
                <w:iCs/>
                <w:sz w:val="24"/>
                <w:szCs w:val="24"/>
                <w:lang w:eastAsia="lv-LV"/>
              </w:rPr>
              <w:t>Tiesību akta projekta anotācijas kopsavilkums</w:t>
            </w:r>
          </w:p>
        </w:tc>
      </w:tr>
      <w:tr w:rsidR="003C50D5" w:rsidRPr="003C50D5" w14:paraId="5239551C" w14:textId="77777777" w:rsidTr="00DF0330">
        <w:trPr>
          <w:tblCellSpacing w:w="15" w:type="dxa"/>
        </w:trPr>
        <w:tc>
          <w:tcPr>
            <w:tcW w:w="1379" w:type="pct"/>
            <w:gridSpan w:val="5"/>
            <w:tcBorders>
              <w:top w:val="outset" w:sz="6" w:space="0" w:color="auto"/>
              <w:left w:val="outset" w:sz="6" w:space="0" w:color="auto"/>
              <w:bottom w:val="outset" w:sz="6" w:space="0" w:color="auto"/>
              <w:right w:val="outset" w:sz="6" w:space="0" w:color="auto"/>
            </w:tcBorders>
            <w:hideMark/>
          </w:tcPr>
          <w:p w14:paraId="78E2A9C7" w14:textId="77777777" w:rsidR="00E5323B" w:rsidRPr="003C50D5" w:rsidRDefault="00E5323B"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Mērķis, risinājums un projekta spēkā stāšanās laiks (500 zīmes bez atstarpēm)</w:t>
            </w:r>
          </w:p>
        </w:tc>
        <w:tc>
          <w:tcPr>
            <w:tcW w:w="3573" w:type="pct"/>
            <w:gridSpan w:val="7"/>
            <w:tcBorders>
              <w:top w:val="outset" w:sz="6" w:space="0" w:color="auto"/>
              <w:left w:val="outset" w:sz="6" w:space="0" w:color="auto"/>
              <w:bottom w:val="outset" w:sz="6" w:space="0" w:color="auto"/>
              <w:right w:val="outset" w:sz="6" w:space="0" w:color="auto"/>
            </w:tcBorders>
            <w:hideMark/>
          </w:tcPr>
          <w:p w14:paraId="7A2661F4" w14:textId="2BF812FA" w:rsidR="00F70594" w:rsidRPr="003C50D5" w:rsidRDefault="00F70594" w:rsidP="00DE7AD5">
            <w:pPr>
              <w:spacing w:before="120" w:after="0" w:line="240" w:lineRule="auto"/>
              <w:jc w:val="both"/>
              <w:rPr>
                <w:rFonts w:ascii="Times New Roman" w:hAnsi="Times New Roman" w:cs="Times New Roman"/>
                <w:bCs/>
                <w:sz w:val="24"/>
                <w:szCs w:val="24"/>
              </w:rPr>
            </w:pPr>
            <w:r w:rsidRPr="003C50D5">
              <w:rPr>
                <w:rFonts w:ascii="Times New Roman" w:eastAsia="Times New Roman" w:hAnsi="Times New Roman" w:cs="Times New Roman"/>
                <w:sz w:val="24"/>
                <w:szCs w:val="24"/>
                <w:lang w:eastAsia="lv-LV"/>
              </w:rPr>
              <w:t>Likumprojekta “Grozījumi likumā “Par sociālo drošību”” (turpmāk – likumprojekts) mērķis ir nostiprināt</w:t>
            </w:r>
            <w:r w:rsidRPr="003C50D5">
              <w:t xml:space="preserve"> </w:t>
            </w:r>
            <w:r w:rsidRPr="003C50D5">
              <w:rPr>
                <w:rFonts w:ascii="Times New Roman" w:eastAsia="Times New Roman" w:hAnsi="Times New Roman" w:cs="Times New Roman"/>
                <w:sz w:val="24"/>
                <w:szCs w:val="24"/>
                <w:lang w:eastAsia="lv-LV"/>
              </w:rPr>
              <w:t>mājsaimniecību rīcībā esošo ienākumu mediānu uz vienu ekvivalento patērētāju</w:t>
            </w:r>
            <w:r w:rsidRPr="003C50D5">
              <w:rPr>
                <w:rStyle w:val="FootnoteReference"/>
                <w:rFonts w:ascii="Times New Roman" w:hAnsi="Times New Roman" w:cs="Times New Roman"/>
                <w:sz w:val="24"/>
                <w:szCs w:val="24"/>
              </w:rPr>
              <w:footnoteReference w:id="1"/>
            </w:r>
            <w:r w:rsidRPr="003C50D5">
              <w:rPr>
                <w:rFonts w:ascii="Times New Roman" w:eastAsia="Times New Roman" w:hAnsi="Times New Roman" w:cs="Times New Roman"/>
                <w:sz w:val="24"/>
                <w:szCs w:val="24"/>
                <w:lang w:eastAsia="lv-LV"/>
              </w:rPr>
              <w:t xml:space="preserve"> (turpmāk – ienākumu mediāna) kā atskaites punktu </w:t>
            </w:r>
            <w:r w:rsidRPr="003C50D5">
              <w:rPr>
                <w:rFonts w:ascii="Times New Roman" w:hAnsi="Times New Roman" w:cs="Times New Roman"/>
                <w:bCs/>
                <w:sz w:val="24"/>
                <w:szCs w:val="24"/>
              </w:rPr>
              <w:t xml:space="preserve">minimālo ienākumu sliekšņu </w:t>
            </w:r>
            <w:r w:rsidR="001E1A5F" w:rsidRPr="003C50D5">
              <w:rPr>
                <w:rFonts w:ascii="Times New Roman" w:hAnsi="Times New Roman" w:cs="Times New Roman"/>
                <w:bCs/>
                <w:sz w:val="24"/>
                <w:szCs w:val="24"/>
              </w:rPr>
              <w:t>noteikšanā</w:t>
            </w:r>
            <w:r w:rsidR="001E1A5F"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sociālās aizsardzības jomā</w:t>
            </w:r>
            <w:r w:rsidRPr="003C50D5">
              <w:rPr>
                <w:rFonts w:ascii="Times New Roman" w:hAnsi="Times New Roman" w:cs="Times New Roman"/>
                <w:bCs/>
                <w:sz w:val="24"/>
                <w:szCs w:val="24"/>
              </w:rPr>
              <w:t xml:space="preserve">. </w:t>
            </w:r>
          </w:p>
          <w:p w14:paraId="71D82576" w14:textId="33C12CFB"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Likumprojekts </w:t>
            </w:r>
            <w:bookmarkStart w:id="0" w:name="_Hlk51150668"/>
            <w:r w:rsidRPr="003C50D5">
              <w:rPr>
                <w:rFonts w:ascii="Times New Roman" w:eastAsia="Times New Roman" w:hAnsi="Times New Roman" w:cs="Times New Roman"/>
                <w:sz w:val="24"/>
                <w:szCs w:val="24"/>
                <w:lang w:eastAsia="lv-LV"/>
              </w:rPr>
              <w:t>paredz noteikt vienotu metodi minimālo ienākumu sliekšņu noteikšanā, kas balstīta uz sociālekonomisko situāciju valstī</w:t>
            </w:r>
            <w:bookmarkEnd w:id="0"/>
            <w:r w:rsidRPr="003C50D5">
              <w:rPr>
                <w:rFonts w:ascii="Times New Roman" w:eastAsia="Times New Roman" w:hAnsi="Times New Roman" w:cs="Times New Roman"/>
                <w:sz w:val="24"/>
                <w:szCs w:val="24"/>
                <w:lang w:eastAsia="lv-LV"/>
              </w:rPr>
              <w:t>,</w:t>
            </w:r>
            <w:r w:rsidR="00845565"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tādējādi sekmējot nabadzības un ienākumu nevienlīdzības mazināšanos visā valsts teritorijā.</w:t>
            </w:r>
          </w:p>
          <w:p w14:paraId="2B14A637" w14:textId="69859B31" w:rsidR="00D50CF6"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Likumprojekts stājas spēk</w:t>
            </w:r>
            <w:r w:rsidR="00B522C8" w:rsidRPr="003C50D5">
              <w:rPr>
                <w:rFonts w:ascii="Times New Roman" w:eastAsia="Times New Roman" w:hAnsi="Times New Roman" w:cs="Times New Roman"/>
                <w:sz w:val="24"/>
                <w:szCs w:val="24"/>
                <w:lang w:eastAsia="lv-LV"/>
              </w:rPr>
              <w:t>ā</w:t>
            </w:r>
            <w:r w:rsidRPr="003C50D5">
              <w:rPr>
                <w:rFonts w:ascii="Times New Roman" w:eastAsia="Times New Roman" w:hAnsi="Times New Roman" w:cs="Times New Roman"/>
                <w:sz w:val="24"/>
                <w:szCs w:val="24"/>
                <w:lang w:eastAsia="lv-LV"/>
              </w:rPr>
              <w:t xml:space="preserve"> 2021.</w:t>
            </w:r>
            <w:r w:rsidR="00845565" w:rsidRPr="003C50D5">
              <w:rPr>
                <w:rFonts w:ascii="Times New Roman" w:eastAsia="Times New Roman" w:hAnsi="Times New Roman" w:cs="Times New Roman"/>
                <w:sz w:val="24"/>
                <w:szCs w:val="24"/>
                <w:lang w:eastAsia="lv-LV"/>
              </w:rPr>
              <w:t> </w:t>
            </w:r>
            <w:r w:rsidRPr="003C50D5">
              <w:rPr>
                <w:rFonts w:ascii="Times New Roman" w:eastAsia="Times New Roman" w:hAnsi="Times New Roman" w:cs="Times New Roman"/>
                <w:sz w:val="24"/>
                <w:szCs w:val="24"/>
                <w:lang w:eastAsia="lv-LV"/>
              </w:rPr>
              <w:t>gada 1.</w:t>
            </w:r>
            <w:r w:rsidR="00845565" w:rsidRPr="003C50D5">
              <w:rPr>
                <w:rFonts w:ascii="Times New Roman" w:eastAsia="Times New Roman" w:hAnsi="Times New Roman" w:cs="Times New Roman"/>
                <w:sz w:val="24"/>
                <w:szCs w:val="24"/>
                <w:lang w:eastAsia="lv-LV"/>
              </w:rPr>
              <w:t> </w:t>
            </w:r>
            <w:r w:rsidRPr="003C50D5">
              <w:rPr>
                <w:rFonts w:ascii="Times New Roman" w:eastAsia="Times New Roman" w:hAnsi="Times New Roman" w:cs="Times New Roman"/>
                <w:sz w:val="24"/>
                <w:szCs w:val="24"/>
                <w:lang w:eastAsia="lv-LV"/>
              </w:rPr>
              <w:t>janvārī</w:t>
            </w:r>
            <w:r w:rsidR="001D75AB" w:rsidRPr="003C50D5">
              <w:rPr>
                <w:rFonts w:ascii="Times New Roman" w:eastAsia="Times New Roman" w:hAnsi="Times New Roman" w:cs="Times New Roman"/>
                <w:sz w:val="24"/>
                <w:szCs w:val="24"/>
                <w:lang w:eastAsia="lv-LV"/>
              </w:rPr>
              <w:t>.</w:t>
            </w:r>
          </w:p>
        </w:tc>
      </w:tr>
      <w:tr w:rsidR="003C50D5" w:rsidRPr="003C50D5" w14:paraId="47694B23"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3C50D5" w:rsidRDefault="00E5323B"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b/>
                <w:bCs/>
                <w:iCs/>
                <w:sz w:val="24"/>
                <w:szCs w:val="24"/>
                <w:lang w:eastAsia="lv-LV"/>
              </w:rPr>
              <w:t>I. Tiesību akta projekta izstrādes nepieciešamība</w:t>
            </w:r>
          </w:p>
        </w:tc>
      </w:tr>
      <w:tr w:rsidR="003C50D5" w:rsidRPr="003C50D5" w14:paraId="63C7D7B7"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2D746BA3"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w:t>
            </w:r>
          </w:p>
        </w:tc>
        <w:tc>
          <w:tcPr>
            <w:tcW w:w="1113" w:type="pct"/>
            <w:gridSpan w:val="3"/>
            <w:tcBorders>
              <w:top w:val="outset" w:sz="6" w:space="0" w:color="auto"/>
              <w:left w:val="outset" w:sz="6" w:space="0" w:color="auto"/>
              <w:bottom w:val="outset" w:sz="6" w:space="0" w:color="auto"/>
              <w:right w:val="outset" w:sz="6" w:space="0" w:color="auto"/>
            </w:tcBorders>
            <w:hideMark/>
          </w:tcPr>
          <w:p w14:paraId="4297BFFE"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Pamatojums</w:t>
            </w:r>
          </w:p>
          <w:p w14:paraId="5B1E3E1B" w14:textId="77777777" w:rsidR="00F70594" w:rsidRPr="003C50D5" w:rsidRDefault="00F70594" w:rsidP="00F272CD">
            <w:pPr>
              <w:rPr>
                <w:rFonts w:ascii="Times New Roman" w:eastAsia="Times New Roman" w:hAnsi="Times New Roman" w:cs="Times New Roman"/>
                <w:sz w:val="24"/>
                <w:szCs w:val="24"/>
                <w:lang w:eastAsia="lv-LV"/>
              </w:rPr>
            </w:pPr>
          </w:p>
          <w:p w14:paraId="14B43AFE" w14:textId="77777777" w:rsidR="00F70594" w:rsidRPr="003C50D5" w:rsidRDefault="00F70594" w:rsidP="00F272CD">
            <w:pPr>
              <w:rPr>
                <w:rFonts w:ascii="Times New Roman" w:eastAsia="Times New Roman" w:hAnsi="Times New Roman" w:cs="Times New Roman"/>
                <w:sz w:val="24"/>
                <w:szCs w:val="24"/>
                <w:lang w:eastAsia="lv-LV"/>
              </w:rPr>
            </w:pPr>
          </w:p>
          <w:p w14:paraId="200D4851" w14:textId="77777777" w:rsidR="00F70594" w:rsidRPr="003C50D5" w:rsidRDefault="00F70594" w:rsidP="00F272CD">
            <w:pPr>
              <w:rPr>
                <w:rFonts w:ascii="Times New Roman" w:eastAsia="Times New Roman" w:hAnsi="Times New Roman" w:cs="Times New Roman"/>
                <w:sz w:val="24"/>
                <w:szCs w:val="24"/>
                <w:lang w:eastAsia="lv-LV"/>
              </w:rPr>
            </w:pPr>
          </w:p>
          <w:p w14:paraId="53B6F3C7" w14:textId="77777777" w:rsidR="00F70594" w:rsidRPr="003C50D5" w:rsidRDefault="00F70594" w:rsidP="00F272CD">
            <w:pPr>
              <w:rPr>
                <w:rFonts w:ascii="Times New Roman" w:eastAsia="Times New Roman" w:hAnsi="Times New Roman" w:cs="Times New Roman"/>
                <w:iCs/>
                <w:sz w:val="24"/>
                <w:szCs w:val="24"/>
                <w:lang w:eastAsia="lv-LV"/>
              </w:rPr>
            </w:pPr>
          </w:p>
          <w:p w14:paraId="66521199" w14:textId="389BFFF4" w:rsidR="00F70594" w:rsidRPr="003C50D5" w:rsidRDefault="00F70594" w:rsidP="00F272CD">
            <w:pPr>
              <w:jc w:val="right"/>
              <w:rPr>
                <w:rFonts w:ascii="Times New Roman" w:eastAsia="Times New Roman" w:hAnsi="Times New Roman" w:cs="Times New Roman"/>
                <w:sz w:val="24"/>
                <w:szCs w:val="24"/>
                <w:lang w:eastAsia="lv-LV"/>
              </w:rPr>
            </w:pPr>
          </w:p>
        </w:tc>
        <w:tc>
          <w:tcPr>
            <w:tcW w:w="3573" w:type="pct"/>
            <w:gridSpan w:val="7"/>
            <w:tcBorders>
              <w:top w:val="outset" w:sz="6" w:space="0" w:color="auto"/>
              <w:left w:val="outset" w:sz="6" w:space="0" w:color="auto"/>
              <w:bottom w:val="outset" w:sz="6" w:space="0" w:color="auto"/>
              <w:right w:val="outset" w:sz="6" w:space="0" w:color="auto"/>
            </w:tcBorders>
          </w:tcPr>
          <w:p w14:paraId="0856E561" w14:textId="37CA2C4E" w:rsidR="00F70594" w:rsidRPr="003C50D5" w:rsidRDefault="00F70594" w:rsidP="00DE7AD5">
            <w:pPr>
              <w:spacing w:before="120"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 2014.</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30.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oktobra Ministru kabineta rīkojums Nr. 619 “Koncepcija par minimālā ienākuma līmeņa noteikšanu”.</w:t>
            </w:r>
          </w:p>
          <w:p w14:paraId="6ECF5DFB" w14:textId="385B2720" w:rsidR="00F70594" w:rsidRPr="003C50D5" w:rsidRDefault="00F70594" w:rsidP="00DE7AD5">
            <w:pPr>
              <w:spacing w:before="120"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2) Deklarācijas par Artura Krišjāņa Kariņa vadītā</w:t>
            </w:r>
            <w:r w:rsidR="001E1A5F"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iCs/>
                <w:sz w:val="24"/>
                <w:szCs w:val="24"/>
                <w:lang w:eastAsia="lv-LV"/>
              </w:rPr>
              <w:t>Ministru kabineta iecerēto darbību 111.punkts.</w:t>
            </w:r>
          </w:p>
          <w:p w14:paraId="7A3D419B" w14:textId="57782F00" w:rsidR="00F70594" w:rsidRPr="003C50D5" w:rsidRDefault="00F70594" w:rsidP="00DE7AD5">
            <w:pPr>
              <w:spacing w:before="120"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3) 2020.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25.</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jūnija Latvijas Republikas Satversmes tiesas spriedums lietā Nr. 2019-24-03 “Par Ministru kabineta 2012.</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18.</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decembra noteikumu Nr.913 “Noteikumi par garantēto minimālo ienākumu līmeni” 2.</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punkta atbilstību Latvijas Republikas Satversmes 1. un 109.</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pantam” (turpmāk - lieta Nr.2019-24-03)</w:t>
            </w:r>
            <w:r w:rsidRPr="003C50D5">
              <w:rPr>
                <w:rStyle w:val="FootnoteReference"/>
                <w:rFonts w:ascii="Times New Roman" w:eastAsia="Times New Roman" w:hAnsi="Times New Roman" w:cs="Times New Roman"/>
                <w:iCs/>
                <w:sz w:val="24"/>
                <w:szCs w:val="24"/>
                <w:lang w:eastAsia="lv-LV"/>
              </w:rPr>
              <w:footnoteReference w:id="2"/>
            </w:r>
            <w:r w:rsidR="001E1A5F" w:rsidRPr="003C50D5">
              <w:rPr>
                <w:rFonts w:ascii="Times New Roman" w:eastAsia="Times New Roman" w:hAnsi="Times New Roman" w:cs="Times New Roman"/>
                <w:iCs/>
                <w:sz w:val="24"/>
                <w:szCs w:val="24"/>
                <w:lang w:eastAsia="lv-LV"/>
              </w:rPr>
              <w:t>.</w:t>
            </w:r>
          </w:p>
          <w:p w14:paraId="0A482AEC" w14:textId="5619AE87" w:rsidR="00F70594" w:rsidRPr="003C50D5" w:rsidRDefault="00F70594" w:rsidP="00DE7AD5">
            <w:pPr>
              <w:spacing w:before="120"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4) 2020.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9.</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jūlija Latvijas Republikas Satversmes tiesas spriedums lietā Nr. 2019-27-03 “Par Ministru kabineta 2009.</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22.</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lieta Nr.2019-27-03)</w:t>
            </w:r>
            <w:r w:rsidRPr="003C50D5">
              <w:rPr>
                <w:rStyle w:val="FootnoteReference"/>
                <w:rFonts w:ascii="Times New Roman" w:eastAsia="Times New Roman" w:hAnsi="Times New Roman" w:cs="Times New Roman"/>
                <w:iCs/>
                <w:sz w:val="24"/>
                <w:szCs w:val="24"/>
                <w:lang w:eastAsia="lv-LV"/>
              </w:rPr>
              <w:footnoteReference w:id="3"/>
            </w:r>
            <w:r w:rsidRPr="003C50D5">
              <w:rPr>
                <w:rFonts w:ascii="Times New Roman" w:eastAsia="Times New Roman" w:hAnsi="Times New Roman" w:cs="Times New Roman"/>
                <w:iCs/>
                <w:sz w:val="24"/>
                <w:szCs w:val="24"/>
                <w:lang w:eastAsia="lv-LV"/>
              </w:rPr>
              <w:t>.</w:t>
            </w:r>
          </w:p>
          <w:p w14:paraId="5054126A" w14:textId="605C56FA" w:rsidR="00F70594" w:rsidRPr="003C50D5" w:rsidRDefault="00F70594" w:rsidP="00DE7AD5">
            <w:pPr>
              <w:spacing w:before="120"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5) 2020.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16.</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jūlija Latvijas Republikas Satversmes tiesas spriedums lietā Nr. 2019-25-03 “Par Ministru kabineta 2010.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gada 30.</w:t>
            </w:r>
            <w:r w:rsidR="00845565" w:rsidRPr="003C50D5">
              <w:rPr>
                <w:rFonts w:ascii="Times New Roman" w:eastAsia="Times New Roman" w:hAnsi="Times New Roman" w:cs="Times New Roman"/>
                <w:iCs/>
                <w:sz w:val="24"/>
                <w:szCs w:val="24"/>
                <w:lang w:eastAsia="lv-LV"/>
              </w:rPr>
              <w:t> </w:t>
            </w:r>
            <w:r w:rsidRPr="003C50D5">
              <w:rPr>
                <w:rFonts w:ascii="Times New Roman" w:eastAsia="Times New Roman" w:hAnsi="Times New Roman" w:cs="Times New Roman"/>
                <w:iCs/>
                <w:sz w:val="24"/>
                <w:szCs w:val="24"/>
                <w:lang w:eastAsia="lv-LV"/>
              </w:rPr>
              <w:t xml:space="preserve">marta noteikumu Nr.299 </w:t>
            </w:r>
            <w:r w:rsidR="005B224E" w:rsidRPr="003C50D5">
              <w:rPr>
                <w:rFonts w:ascii="Times New Roman" w:eastAsia="Times New Roman" w:hAnsi="Times New Roman" w:cs="Times New Roman"/>
                <w:iCs/>
                <w:sz w:val="24"/>
                <w:szCs w:val="24"/>
                <w:lang w:eastAsia="lv-LV"/>
              </w:rPr>
              <w:t>“</w:t>
            </w:r>
            <w:r w:rsidRPr="003C50D5">
              <w:rPr>
                <w:rFonts w:ascii="Times New Roman" w:eastAsia="Times New Roman" w:hAnsi="Times New Roman" w:cs="Times New Roman"/>
                <w:iCs/>
                <w:sz w:val="24"/>
                <w:szCs w:val="24"/>
                <w:lang w:eastAsia="lv-LV"/>
              </w:rPr>
              <w:t>Noteikumi par ģimenes vai atsevišķi dzīvojošas personas atzīšanu par trūcīgu” 2.punkta vārdu “</w:t>
            </w:r>
            <w:r w:rsidRPr="003C50D5">
              <w:rPr>
                <w:rFonts w:ascii="Times New Roman" w:hAnsi="Times New Roman" w:cs="Times New Roman"/>
                <w:sz w:val="24"/>
                <w:szCs w:val="24"/>
                <w:shd w:val="clear" w:color="auto" w:fill="FFFFFF"/>
              </w:rPr>
              <w:t>ja tās vidējie ienākumi katram ģimenes loceklim mēnesī pēdējo triju mēnešu laikā nepārsniedz 128,06 </w:t>
            </w:r>
            <w:proofErr w:type="spellStart"/>
            <w:r w:rsidRPr="003C50D5">
              <w:rPr>
                <w:rFonts w:ascii="Times New Roman" w:hAnsi="Times New Roman" w:cs="Times New Roman"/>
                <w:i/>
                <w:iCs/>
                <w:sz w:val="24"/>
                <w:szCs w:val="24"/>
                <w:shd w:val="clear" w:color="auto" w:fill="FFFFFF"/>
              </w:rPr>
              <w:t>euro</w:t>
            </w:r>
            <w:proofErr w:type="spellEnd"/>
            <w:r w:rsidRPr="003C50D5">
              <w:rPr>
                <w:rFonts w:ascii="Times New Roman" w:eastAsia="Times New Roman" w:hAnsi="Times New Roman" w:cs="Times New Roman"/>
                <w:iCs/>
                <w:sz w:val="24"/>
                <w:szCs w:val="24"/>
                <w:lang w:eastAsia="lv-LV"/>
              </w:rPr>
              <w:t>” atbilstību Latvijas Republikas Satversmes 1</w:t>
            </w:r>
            <w:r w:rsidR="00B522C8" w:rsidRPr="003C50D5">
              <w:rPr>
                <w:rFonts w:ascii="Times New Roman" w:eastAsia="Times New Roman" w:hAnsi="Times New Roman" w:cs="Times New Roman"/>
                <w:iCs/>
                <w:sz w:val="24"/>
                <w:szCs w:val="24"/>
                <w:lang w:eastAsia="lv-LV"/>
              </w:rPr>
              <w:t>.</w:t>
            </w:r>
            <w:r w:rsidRPr="003C50D5">
              <w:rPr>
                <w:rFonts w:ascii="Times New Roman" w:eastAsia="Times New Roman" w:hAnsi="Times New Roman" w:cs="Times New Roman"/>
                <w:iCs/>
                <w:sz w:val="24"/>
                <w:szCs w:val="24"/>
                <w:lang w:eastAsia="lv-LV"/>
              </w:rPr>
              <w:t xml:space="preserve"> un 109.pantam” (turpmāk - lieta Nr.2019-25-03)</w:t>
            </w:r>
            <w:r w:rsidRPr="003C50D5">
              <w:rPr>
                <w:rStyle w:val="FootnoteReference"/>
                <w:rFonts w:ascii="Times New Roman" w:eastAsia="Times New Roman" w:hAnsi="Times New Roman" w:cs="Times New Roman"/>
                <w:iCs/>
                <w:sz w:val="24"/>
                <w:szCs w:val="24"/>
                <w:lang w:eastAsia="lv-LV"/>
              </w:rPr>
              <w:footnoteReference w:id="4"/>
            </w:r>
            <w:r w:rsidRPr="003C50D5">
              <w:rPr>
                <w:rFonts w:ascii="Times New Roman" w:eastAsia="Times New Roman" w:hAnsi="Times New Roman" w:cs="Times New Roman"/>
                <w:iCs/>
                <w:sz w:val="24"/>
                <w:szCs w:val="24"/>
                <w:lang w:eastAsia="lv-LV"/>
              </w:rPr>
              <w:t>.</w:t>
            </w:r>
          </w:p>
          <w:p w14:paraId="259C24E1" w14:textId="77777777" w:rsidR="001D75AB" w:rsidRPr="003C50D5" w:rsidRDefault="001D75AB" w:rsidP="001D75AB">
            <w:pPr>
              <w:spacing w:after="0" w:line="240" w:lineRule="auto"/>
              <w:jc w:val="both"/>
              <w:rPr>
                <w:rFonts w:ascii="Times New Roman" w:eastAsia="Times New Roman" w:hAnsi="Times New Roman" w:cs="Times New Roman"/>
                <w:iCs/>
                <w:sz w:val="24"/>
                <w:szCs w:val="24"/>
                <w:lang w:eastAsia="lv-LV"/>
              </w:rPr>
            </w:pPr>
          </w:p>
          <w:p w14:paraId="6220A595" w14:textId="418F7142" w:rsidR="00DB116B" w:rsidRPr="003C50D5" w:rsidRDefault="00DB116B" w:rsidP="001D75AB">
            <w:pPr>
              <w:spacing w:after="0" w:line="240" w:lineRule="auto"/>
              <w:jc w:val="both"/>
              <w:rPr>
                <w:rFonts w:ascii="Times New Roman" w:eastAsia="Times New Roman" w:hAnsi="Times New Roman" w:cs="Times New Roman"/>
                <w:sz w:val="24"/>
                <w:szCs w:val="24"/>
                <w:highlight w:val="yellow"/>
                <w:lang w:eastAsia="lv-LV"/>
              </w:rPr>
            </w:pPr>
            <w:r w:rsidRPr="003C50D5">
              <w:rPr>
                <w:rFonts w:ascii="Times New Roman" w:eastAsia="Times New Roman" w:hAnsi="Times New Roman" w:cs="Times New Roman"/>
                <w:iCs/>
                <w:sz w:val="24"/>
                <w:szCs w:val="24"/>
                <w:lang w:eastAsia="lv-LV"/>
              </w:rPr>
              <w:lastRenderedPageBreak/>
              <w:t xml:space="preserve">6) </w:t>
            </w:r>
            <w:r w:rsidR="000F0064" w:rsidRPr="003C50D5">
              <w:rPr>
                <w:rFonts w:ascii="Times New Roman" w:eastAsia="Times New Roman" w:hAnsi="Times New Roman" w:cs="Times New Roman"/>
                <w:sz w:val="24"/>
                <w:szCs w:val="24"/>
                <w:lang w:eastAsia="lv-LV"/>
              </w:rPr>
              <w:t xml:space="preserve">Ministru kabineta </w:t>
            </w:r>
            <w:proofErr w:type="gramStart"/>
            <w:r w:rsidR="000F0064" w:rsidRPr="003C50D5">
              <w:rPr>
                <w:rFonts w:ascii="Times New Roman" w:eastAsia="Times New Roman" w:hAnsi="Times New Roman" w:cs="Times New Roman"/>
                <w:sz w:val="24"/>
                <w:szCs w:val="24"/>
                <w:lang w:eastAsia="lv-LV"/>
              </w:rPr>
              <w:t>2020.gada</w:t>
            </w:r>
            <w:proofErr w:type="gramEnd"/>
            <w:r w:rsidR="000F0064" w:rsidRPr="003C50D5">
              <w:rPr>
                <w:rFonts w:ascii="Times New Roman" w:eastAsia="Times New Roman" w:hAnsi="Times New Roman" w:cs="Times New Roman"/>
                <w:sz w:val="24"/>
                <w:szCs w:val="24"/>
                <w:lang w:eastAsia="lv-LV"/>
              </w:rPr>
              <w:t xml:space="preserve"> 22.septembra sēdē atbalstītais informatīvais ziņojums “Par priekšlikumiem valsts budžeta ieņēmumiem un izdevumiem 2021.gadam un ietvaram 2021.–2023.gadam”</w:t>
            </w:r>
            <w:r w:rsidR="005B3099">
              <w:rPr>
                <w:rFonts w:ascii="Times New Roman" w:eastAsia="Times New Roman" w:hAnsi="Times New Roman" w:cs="Times New Roman"/>
                <w:sz w:val="24"/>
                <w:szCs w:val="24"/>
                <w:lang w:eastAsia="lv-LV"/>
              </w:rPr>
              <w:t>.</w:t>
            </w:r>
          </w:p>
          <w:p w14:paraId="7579FC10" w14:textId="031E4EC7" w:rsidR="00F70594" w:rsidRPr="003C50D5" w:rsidRDefault="00DB116B" w:rsidP="00DE7AD5">
            <w:pPr>
              <w:spacing w:before="120" w:after="0" w:line="240" w:lineRule="auto"/>
              <w:jc w:val="both"/>
              <w:rPr>
                <w:rFonts w:ascii="Times New Roman" w:eastAsia="Times New Roman" w:hAnsi="Times New Roman" w:cs="Times New Roman"/>
                <w:bCs/>
                <w:sz w:val="24"/>
                <w:szCs w:val="24"/>
                <w:lang w:eastAsia="lv-LV"/>
              </w:rPr>
            </w:pPr>
            <w:r w:rsidRPr="003C50D5">
              <w:rPr>
                <w:rFonts w:ascii="Times New Roman" w:eastAsia="Times New Roman" w:hAnsi="Times New Roman" w:cs="Times New Roman"/>
                <w:iCs/>
                <w:sz w:val="24"/>
                <w:szCs w:val="24"/>
                <w:lang w:eastAsia="lv-LV"/>
              </w:rPr>
              <w:t>7</w:t>
            </w:r>
            <w:r w:rsidR="00F70594" w:rsidRPr="003C50D5">
              <w:rPr>
                <w:rFonts w:ascii="Times New Roman" w:eastAsia="Times New Roman" w:hAnsi="Times New Roman" w:cs="Times New Roman"/>
                <w:iCs/>
                <w:sz w:val="24"/>
                <w:szCs w:val="24"/>
                <w:lang w:eastAsia="lv-LV"/>
              </w:rPr>
              <w:t>) Eiropas Padomes 2019.gada rekomendācija Latvijai: "Novērst sociālo atstumtību, jo īpaši uzlabojot minimālo ienākumu pabalstu, minimālo vecuma pensiju un cilvēkiem ar invaliditāti paredzētā ienākumu atbalsta adekvātumu"</w:t>
            </w:r>
            <w:r w:rsidR="001D75AB" w:rsidRPr="003C50D5">
              <w:rPr>
                <w:rFonts w:ascii="Times New Roman" w:eastAsia="Times New Roman" w:hAnsi="Times New Roman" w:cs="Times New Roman"/>
                <w:iCs/>
                <w:sz w:val="24"/>
                <w:szCs w:val="24"/>
                <w:lang w:eastAsia="lv-LV"/>
              </w:rPr>
              <w:t>.</w:t>
            </w:r>
            <w:r w:rsidR="00F70594" w:rsidRPr="003C50D5">
              <w:rPr>
                <w:rFonts w:ascii="Times New Roman" w:eastAsia="Times New Roman" w:hAnsi="Times New Roman" w:cs="Times New Roman"/>
                <w:iCs/>
                <w:sz w:val="24"/>
                <w:szCs w:val="24"/>
                <w:lang w:eastAsia="lv-LV"/>
              </w:rPr>
              <w:t xml:space="preserve"> </w:t>
            </w:r>
          </w:p>
        </w:tc>
      </w:tr>
      <w:tr w:rsidR="003C50D5" w:rsidRPr="003C50D5" w14:paraId="10938B14"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04AB6286"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lastRenderedPageBreak/>
              <w:t>2.</w:t>
            </w:r>
          </w:p>
        </w:tc>
        <w:tc>
          <w:tcPr>
            <w:tcW w:w="1113" w:type="pct"/>
            <w:gridSpan w:val="3"/>
            <w:tcBorders>
              <w:top w:val="outset" w:sz="6" w:space="0" w:color="auto"/>
              <w:left w:val="outset" w:sz="6" w:space="0" w:color="auto"/>
              <w:bottom w:val="outset" w:sz="6" w:space="0" w:color="auto"/>
              <w:right w:val="outset" w:sz="6" w:space="0" w:color="auto"/>
            </w:tcBorders>
            <w:hideMark/>
          </w:tcPr>
          <w:p w14:paraId="3DEF5664"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3" w:type="pct"/>
            <w:gridSpan w:val="7"/>
            <w:tcBorders>
              <w:top w:val="outset" w:sz="6" w:space="0" w:color="auto"/>
              <w:left w:val="outset" w:sz="6" w:space="0" w:color="auto"/>
              <w:bottom w:val="outset" w:sz="6" w:space="0" w:color="auto"/>
              <w:right w:val="outset" w:sz="6" w:space="0" w:color="auto"/>
            </w:tcBorders>
          </w:tcPr>
          <w:p w14:paraId="67DAB838" w14:textId="0D9C319E" w:rsidR="003E263F" w:rsidRPr="003C50D5" w:rsidRDefault="00F70594" w:rsidP="00DE7AD5">
            <w:pPr>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Sociālās drošības sistēmu</w:t>
            </w:r>
            <w:r w:rsidRPr="003C50D5">
              <w:rPr>
                <w:rStyle w:val="FootnoteReference"/>
                <w:rFonts w:ascii="Times New Roman" w:hAnsi="Times New Roman" w:cs="Times New Roman"/>
                <w:sz w:val="24"/>
                <w:szCs w:val="24"/>
              </w:rPr>
              <w:footnoteReference w:id="5"/>
            </w:r>
            <w:r w:rsidRPr="003C50D5">
              <w:rPr>
                <w:rFonts w:ascii="Times New Roman" w:hAnsi="Times New Roman" w:cs="Times New Roman"/>
                <w:sz w:val="24"/>
                <w:szCs w:val="24"/>
              </w:rPr>
              <w:t xml:space="preserve"> Latvijā veido: sociālā apdrošināšana</w:t>
            </w:r>
            <w:r w:rsidRPr="003C50D5">
              <w:rPr>
                <w:rStyle w:val="FootnoteReference"/>
                <w:rFonts w:ascii="Times New Roman" w:hAnsi="Times New Roman" w:cs="Times New Roman"/>
                <w:sz w:val="24"/>
                <w:szCs w:val="24"/>
              </w:rPr>
              <w:footnoteReference w:id="6"/>
            </w:r>
            <w:r w:rsidRPr="003C50D5">
              <w:rPr>
                <w:rFonts w:ascii="Times New Roman" w:hAnsi="Times New Roman" w:cs="Times New Roman"/>
                <w:sz w:val="24"/>
                <w:szCs w:val="24"/>
              </w:rPr>
              <w:t>, valsts sociālie pabalsti</w:t>
            </w:r>
            <w:r w:rsidRPr="003C50D5">
              <w:rPr>
                <w:rStyle w:val="FootnoteReference"/>
                <w:rFonts w:ascii="Times New Roman" w:hAnsi="Times New Roman" w:cs="Times New Roman"/>
                <w:sz w:val="24"/>
                <w:szCs w:val="24"/>
              </w:rPr>
              <w:footnoteReference w:id="7"/>
            </w:r>
            <w:r w:rsidRPr="003C50D5">
              <w:rPr>
                <w:rFonts w:ascii="Times New Roman" w:hAnsi="Times New Roman" w:cs="Times New Roman"/>
                <w:sz w:val="24"/>
                <w:szCs w:val="24"/>
              </w:rPr>
              <w:t xml:space="preserve"> un pašvaldību sociālās palīdzības pabalsti un sociālie pakalpojumi</w:t>
            </w:r>
            <w:r w:rsidRPr="003C50D5">
              <w:rPr>
                <w:rStyle w:val="FootnoteReference"/>
                <w:rFonts w:ascii="Times New Roman" w:hAnsi="Times New Roman" w:cs="Times New Roman"/>
                <w:sz w:val="24"/>
                <w:szCs w:val="24"/>
              </w:rPr>
              <w:footnoteReference w:id="8"/>
            </w:r>
            <w:r w:rsidRPr="003C50D5">
              <w:rPr>
                <w:rFonts w:ascii="Times New Roman" w:hAnsi="Times New Roman" w:cs="Times New Roman"/>
                <w:sz w:val="24"/>
                <w:szCs w:val="24"/>
              </w:rPr>
              <w:t>. Līdz ar to atbalsta sniegšana iedzīvotājiem ar zemiem un ļoti zemiem ienākumiem ir skatām</w:t>
            </w:r>
            <w:r w:rsidR="00B522C8" w:rsidRPr="003C50D5">
              <w:rPr>
                <w:rFonts w:ascii="Times New Roman" w:hAnsi="Times New Roman" w:cs="Times New Roman"/>
                <w:sz w:val="24"/>
                <w:szCs w:val="24"/>
              </w:rPr>
              <w:t>a</w:t>
            </w:r>
            <w:r w:rsidRPr="003C50D5">
              <w:rPr>
                <w:rFonts w:ascii="Times New Roman" w:hAnsi="Times New Roman" w:cs="Times New Roman"/>
                <w:sz w:val="24"/>
                <w:szCs w:val="24"/>
              </w:rPr>
              <w:t xml:space="preserve"> kompleksi starp valsts un pašvaldību garantēto atbalstu. </w:t>
            </w:r>
            <w:r w:rsidR="00820E9E" w:rsidRPr="003C50D5">
              <w:rPr>
                <w:rFonts w:ascii="Times New Roman" w:hAnsi="Times New Roman" w:cs="Times New Roman"/>
                <w:sz w:val="24"/>
                <w:szCs w:val="24"/>
              </w:rPr>
              <w:t>V</w:t>
            </w:r>
            <w:r w:rsidRPr="003C50D5">
              <w:rPr>
                <w:rFonts w:ascii="Times New Roman" w:hAnsi="Times New Roman" w:cs="Times New Roman"/>
                <w:sz w:val="24"/>
                <w:szCs w:val="24"/>
              </w:rPr>
              <w:t>alsts un pašvaldību sniegtie atbalsta mehānismi</w:t>
            </w:r>
            <w:r w:rsidR="00FE5437" w:rsidRPr="003C50D5">
              <w:rPr>
                <w:rFonts w:ascii="Times New Roman" w:hAnsi="Times New Roman" w:cs="Times New Roman"/>
                <w:sz w:val="24"/>
                <w:szCs w:val="24"/>
              </w:rPr>
              <w:t xml:space="preserve"> caur dažādiem un visaptverošiem pasākumu kompleksiem</w:t>
            </w:r>
            <w:r w:rsidR="00820E9E" w:rsidRPr="003C50D5">
              <w:rPr>
                <w:rFonts w:ascii="Times New Roman" w:hAnsi="Times New Roman" w:cs="Times New Roman"/>
                <w:sz w:val="24"/>
                <w:szCs w:val="24"/>
              </w:rPr>
              <w:t xml:space="preserve"> ir</w:t>
            </w:r>
            <w:r w:rsidRPr="003C50D5">
              <w:rPr>
                <w:rFonts w:ascii="Times New Roman" w:hAnsi="Times New Roman" w:cs="Times New Roman"/>
                <w:sz w:val="24"/>
                <w:szCs w:val="24"/>
              </w:rPr>
              <w:t xml:space="preserve"> </w:t>
            </w:r>
            <w:r w:rsidR="00820E9E" w:rsidRPr="003C50D5">
              <w:rPr>
                <w:rFonts w:ascii="Times New Roman" w:hAnsi="Times New Roman" w:cs="Times New Roman"/>
                <w:sz w:val="24"/>
                <w:szCs w:val="24"/>
              </w:rPr>
              <w:t>savstarpēji papildinoši un veido solidāru pieeju iedzīvotāju labklājības nodrošināšanai</w:t>
            </w:r>
            <w:r w:rsidRPr="003C50D5">
              <w:rPr>
                <w:rFonts w:ascii="Times New Roman" w:hAnsi="Times New Roman" w:cs="Times New Roman"/>
                <w:sz w:val="24"/>
                <w:szCs w:val="24"/>
              </w:rPr>
              <w:t>, tādējādi maksimāli sekmējot cilvēka iespējas saņemt savām individuāl</w:t>
            </w:r>
            <w:r w:rsidR="00B522C8" w:rsidRPr="003C50D5">
              <w:rPr>
                <w:rFonts w:ascii="Times New Roman" w:hAnsi="Times New Roman" w:cs="Times New Roman"/>
                <w:sz w:val="24"/>
                <w:szCs w:val="24"/>
              </w:rPr>
              <w:t>aj</w:t>
            </w:r>
            <w:r w:rsidRPr="003C50D5">
              <w:rPr>
                <w:rFonts w:ascii="Times New Roman" w:hAnsi="Times New Roman" w:cs="Times New Roman"/>
                <w:sz w:val="24"/>
                <w:szCs w:val="24"/>
              </w:rPr>
              <w:t xml:space="preserve">ām vajadzībām pietuvinātu atbalstu gan finansiālā izteiksmē, gan pakalpojumu veidā, kas vienlaikus ir samērīgs ar citu grupu situāciju un tām sniegto atbalstu. </w:t>
            </w:r>
          </w:p>
          <w:p w14:paraId="7863D6A0" w14:textId="02016203" w:rsidR="00F70594" w:rsidRPr="003C50D5" w:rsidRDefault="00F70594" w:rsidP="00DE7AD5">
            <w:pPr>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Vienlaikus Latvijā jau vairāk kā 15 gadus saglabājas relatīvi augsts nabadzības riskam pakļauto iedzīvotāju īpatsvars un izteikta ienākumu nevienlīdzība. Līdz ar to ir pamats apgalvot, ka</w:t>
            </w:r>
            <w:r w:rsidR="00E4181A" w:rsidRPr="003C50D5">
              <w:rPr>
                <w:rFonts w:ascii="Times New Roman" w:hAnsi="Times New Roman" w:cs="Times New Roman"/>
                <w:sz w:val="24"/>
                <w:szCs w:val="24"/>
              </w:rPr>
              <w:t xml:space="preserve"> šobrīd spēkā esošos</w:t>
            </w:r>
            <w:r w:rsidRPr="003C50D5">
              <w:rPr>
                <w:rFonts w:ascii="Times New Roman" w:hAnsi="Times New Roman" w:cs="Times New Roman"/>
                <w:sz w:val="24"/>
                <w:szCs w:val="24"/>
              </w:rPr>
              <w:t xml:space="preserve"> tiesību aktos noteiktie ienākumu </w:t>
            </w:r>
            <w:r w:rsidR="00820E9E" w:rsidRPr="003C50D5">
              <w:rPr>
                <w:rFonts w:ascii="Times New Roman" w:hAnsi="Times New Roman" w:cs="Times New Roman"/>
                <w:sz w:val="24"/>
                <w:szCs w:val="24"/>
              </w:rPr>
              <w:t xml:space="preserve"> līmeņi</w:t>
            </w:r>
            <w:r w:rsidRPr="003C50D5">
              <w:rPr>
                <w:rFonts w:ascii="Times New Roman" w:hAnsi="Times New Roman" w:cs="Times New Roman"/>
                <w:sz w:val="24"/>
                <w:szCs w:val="24"/>
              </w:rPr>
              <w:t xml:space="preserve">, kas iedzīvotājiem ar zemiem un ļoti zemiem ienākumiem dod iespējas pretendēt uz noteiktu </w:t>
            </w:r>
            <w:r w:rsidR="00820E9E" w:rsidRPr="003C50D5">
              <w:rPr>
                <w:rFonts w:ascii="Times New Roman" w:hAnsi="Times New Roman" w:cs="Times New Roman"/>
                <w:sz w:val="24"/>
                <w:szCs w:val="24"/>
              </w:rPr>
              <w:t xml:space="preserve">valsts un pašvaldības </w:t>
            </w:r>
            <w:r w:rsidRPr="003C50D5">
              <w:rPr>
                <w:rFonts w:ascii="Times New Roman" w:hAnsi="Times New Roman" w:cs="Times New Roman"/>
                <w:sz w:val="24"/>
                <w:szCs w:val="24"/>
              </w:rPr>
              <w:t>atbalstu, ir  nemainīgi zemi un nesniedz iespēju tikt ārā no nabadzības slazda</w:t>
            </w:r>
            <w:r w:rsidR="00820E9E" w:rsidRPr="003C50D5">
              <w:rPr>
                <w:rFonts w:ascii="Times New Roman" w:hAnsi="Times New Roman" w:cs="Times New Roman"/>
                <w:sz w:val="24"/>
                <w:szCs w:val="24"/>
              </w:rPr>
              <w:t xml:space="preserve"> un </w:t>
            </w:r>
            <w:r w:rsidRPr="003C50D5">
              <w:rPr>
                <w:rFonts w:ascii="Times New Roman" w:hAnsi="Times New Roman" w:cs="Times New Roman"/>
                <w:sz w:val="24"/>
                <w:szCs w:val="24"/>
              </w:rPr>
              <w:t xml:space="preserve">veidot finansiāli neatkarīgu dzīvi no valsts un pašvaldību sniegtās materiālās palīdzības. </w:t>
            </w:r>
            <w:r w:rsidR="00820E9E" w:rsidRPr="003C50D5">
              <w:rPr>
                <w:rFonts w:ascii="Times New Roman" w:hAnsi="Times New Roman" w:cs="Times New Roman"/>
                <w:sz w:val="24"/>
                <w:szCs w:val="24"/>
              </w:rPr>
              <w:t>Secināms, ka</w:t>
            </w:r>
            <w:r w:rsidR="006848BC" w:rsidRPr="003C50D5">
              <w:rPr>
                <w:rFonts w:ascii="Times New Roman" w:hAnsi="Times New Roman" w:cs="Times New Roman"/>
                <w:sz w:val="24"/>
                <w:szCs w:val="24"/>
              </w:rPr>
              <w:t>,</w:t>
            </w:r>
            <w:r w:rsidR="00820E9E" w:rsidRPr="003C50D5">
              <w:rPr>
                <w:rFonts w:ascii="Times New Roman" w:hAnsi="Times New Roman" w:cs="Times New Roman"/>
                <w:sz w:val="24"/>
                <w:szCs w:val="24"/>
              </w:rPr>
              <w:t xml:space="preserve"> pieaugot iedzīvotāju kopējiem ienākumiem, cilvēki ar zemākajiem ienākumiem </w:t>
            </w:r>
            <w:r w:rsidR="00FD2761" w:rsidRPr="003C50D5">
              <w:rPr>
                <w:rFonts w:ascii="Times New Roman" w:hAnsi="Times New Roman" w:cs="Times New Roman"/>
                <w:sz w:val="24"/>
                <w:szCs w:val="24"/>
              </w:rPr>
              <w:t xml:space="preserve">ekonomiskās </w:t>
            </w:r>
            <w:r w:rsidR="00820E9E" w:rsidRPr="003C50D5">
              <w:rPr>
                <w:rFonts w:ascii="Times New Roman" w:hAnsi="Times New Roman" w:cs="Times New Roman"/>
                <w:sz w:val="24"/>
                <w:szCs w:val="24"/>
              </w:rPr>
              <w:t>situācijas uzlabošanos neizjūt un tādējādi pieaug ienākumu plaisa starp iedzīvotājiem ar zemiem un augstiem ienākumiem.</w:t>
            </w:r>
            <w:r w:rsidR="001D75AB" w:rsidRPr="003C50D5">
              <w:rPr>
                <w:rFonts w:ascii="Times New Roman" w:hAnsi="Times New Roman" w:cs="Times New Roman"/>
                <w:sz w:val="24"/>
                <w:szCs w:val="24"/>
              </w:rPr>
              <w:t xml:space="preserve"> Atbilstoši Centrālās statistikas pārvaldes</w:t>
            </w:r>
            <w:r w:rsidR="00437F1C" w:rsidRPr="003C50D5">
              <w:rPr>
                <w:rFonts w:ascii="Times New Roman" w:hAnsi="Times New Roman" w:cs="Times New Roman"/>
                <w:sz w:val="24"/>
                <w:szCs w:val="24"/>
              </w:rPr>
              <w:t xml:space="preserve"> (turpmāk – CSP)</w:t>
            </w:r>
            <w:r w:rsidR="001D75AB" w:rsidRPr="003C50D5">
              <w:rPr>
                <w:rFonts w:ascii="Times New Roman" w:hAnsi="Times New Roman" w:cs="Times New Roman"/>
                <w:sz w:val="24"/>
                <w:szCs w:val="24"/>
              </w:rPr>
              <w:t xml:space="preserve"> datiem, </w:t>
            </w:r>
            <w:r w:rsidR="00B522C8" w:rsidRPr="003C50D5">
              <w:rPr>
                <w:rFonts w:ascii="Times New Roman" w:hAnsi="Times New Roman" w:cs="Times New Roman"/>
                <w:sz w:val="24"/>
                <w:szCs w:val="24"/>
              </w:rPr>
              <w:t>D</w:t>
            </w:r>
            <w:r w:rsidR="001D75AB" w:rsidRPr="003C50D5">
              <w:rPr>
                <w:rFonts w:ascii="Times New Roman" w:hAnsi="Times New Roman" w:cs="Times New Roman"/>
                <w:sz w:val="24"/>
                <w:szCs w:val="24"/>
              </w:rPr>
              <w:t>žini koeficients, kas raksturo ienākumu nevienlīdzību</w:t>
            </w:r>
            <w:r w:rsidR="001D75AB" w:rsidRPr="003C50D5">
              <w:rPr>
                <w:rStyle w:val="FootnoteReference"/>
                <w:rFonts w:ascii="Times New Roman" w:hAnsi="Times New Roman" w:cs="Times New Roman"/>
                <w:sz w:val="24"/>
                <w:szCs w:val="24"/>
              </w:rPr>
              <w:footnoteReference w:id="9"/>
            </w:r>
            <w:r w:rsidR="005B224E" w:rsidRPr="003C50D5">
              <w:rPr>
                <w:rFonts w:ascii="Times New Roman" w:hAnsi="Times New Roman" w:cs="Times New Roman"/>
                <w:sz w:val="24"/>
                <w:szCs w:val="24"/>
              </w:rPr>
              <w:t>,</w:t>
            </w:r>
            <w:r w:rsidR="001D75AB" w:rsidRPr="003C50D5">
              <w:rPr>
                <w:rFonts w:ascii="Times New Roman" w:hAnsi="Times New Roman" w:cs="Times New Roman"/>
                <w:sz w:val="24"/>
                <w:szCs w:val="24"/>
              </w:rPr>
              <w:t xml:space="preserve"> Latvijā jau vairāku gadu garumā ir nemainīgi augsts, proti, jau vairāku gadu garumā tas ir virs 35 % (2018.gadā </w:t>
            </w:r>
            <w:r w:rsidR="005B224E" w:rsidRPr="003C50D5">
              <w:rPr>
                <w:rFonts w:ascii="Times New Roman" w:hAnsi="Times New Roman" w:cs="Times New Roman"/>
                <w:sz w:val="24"/>
                <w:szCs w:val="24"/>
              </w:rPr>
              <w:t>D</w:t>
            </w:r>
            <w:r w:rsidR="001D75AB" w:rsidRPr="003C50D5">
              <w:rPr>
                <w:rFonts w:ascii="Times New Roman" w:hAnsi="Times New Roman" w:cs="Times New Roman"/>
                <w:sz w:val="24"/>
                <w:szCs w:val="24"/>
              </w:rPr>
              <w:t>žini koeficients bija 35.2%).</w:t>
            </w:r>
          </w:p>
          <w:p w14:paraId="56DAA4BB" w14:textId="33701510"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Latvijas Republikas Satversmes tiesa (turpmāk – Satversmes tiesa) savos spriedumos lietās Nr. 2019-24-03, Nr. 2019-25-03, Nr.2019-27-03 ir uzsvērusi, </w:t>
            </w:r>
            <w:r w:rsidR="001E1A5F" w:rsidRPr="003C50D5">
              <w:rPr>
                <w:rFonts w:ascii="Times New Roman" w:eastAsia="Times New Roman" w:hAnsi="Times New Roman" w:cs="Times New Roman"/>
                <w:sz w:val="24"/>
                <w:szCs w:val="24"/>
                <w:lang w:eastAsia="lv-LV"/>
              </w:rPr>
              <w:t xml:space="preserve">ka </w:t>
            </w:r>
            <w:r w:rsidRPr="003C50D5">
              <w:rPr>
                <w:rFonts w:ascii="Times New Roman" w:eastAsia="Times New Roman" w:hAnsi="Times New Roman" w:cs="Times New Roman"/>
                <w:sz w:val="24"/>
                <w:szCs w:val="24"/>
                <w:lang w:eastAsia="lv-LV"/>
              </w:rPr>
              <w:t>valstij ir pienākums regulāri vērtēt sniegtā sociālās palīdzības apmēra pietiekamību, lai garantētu, ka tas ir cieņpilns, atbilst sociālajai realitātei un iedzīvotājiem ar zemiem ienākumiem tiek nodrošināta tām nepieciešamā palīdzība. Vis</w:t>
            </w:r>
            <w:r w:rsidR="001E1A5F" w:rsidRPr="003C50D5">
              <w:rPr>
                <w:rFonts w:ascii="Times New Roman" w:eastAsia="Times New Roman" w:hAnsi="Times New Roman" w:cs="Times New Roman"/>
                <w:sz w:val="24"/>
                <w:szCs w:val="24"/>
                <w:lang w:eastAsia="lv-LV"/>
              </w:rPr>
              <w:t>u</w:t>
            </w:r>
            <w:r w:rsidRPr="003C50D5">
              <w:rPr>
                <w:rFonts w:ascii="Times New Roman" w:eastAsia="Times New Roman" w:hAnsi="Times New Roman" w:cs="Times New Roman"/>
                <w:sz w:val="24"/>
                <w:szCs w:val="24"/>
                <w:lang w:eastAsia="lv-LV"/>
              </w:rPr>
              <w:t xml:space="preserve">s </w:t>
            </w:r>
            <w:r w:rsidR="001E1A5F" w:rsidRPr="003C50D5">
              <w:rPr>
                <w:rFonts w:ascii="Times New Roman" w:eastAsia="Times New Roman" w:hAnsi="Times New Roman" w:cs="Times New Roman"/>
                <w:sz w:val="24"/>
                <w:szCs w:val="24"/>
                <w:lang w:eastAsia="lv-LV"/>
              </w:rPr>
              <w:t xml:space="preserve">iepriekšminētos </w:t>
            </w:r>
            <w:r w:rsidRPr="003C50D5">
              <w:rPr>
                <w:rFonts w:ascii="Times New Roman" w:eastAsia="Times New Roman" w:hAnsi="Times New Roman" w:cs="Times New Roman"/>
                <w:sz w:val="24"/>
                <w:szCs w:val="24"/>
                <w:lang w:eastAsia="lv-LV"/>
              </w:rPr>
              <w:t>Satversmes tiesas spriedumus caurvij tādi uzsvari kā:</w:t>
            </w:r>
          </w:p>
          <w:p w14:paraId="1CEE8588" w14:textId="2D843087" w:rsidR="00F70594" w:rsidRPr="003C50D5" w:rsidRDefault="00F70594" w:rsidP="00DE7AD5">
            <w:pPr>
              <w:pStyle w:val="ListParagraph"/>
              <w:numPr>
                <w:ilvl w:val="0"/>
                <w:numId w:val="10"/>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hAnsi="Times New Roman" w:cs="Times New Roman"/>
                <w:bCs/>
                <w:sz w:val="24"/>
                <w:szCs w:val="24"/>
              </w:rPr>
              <w:lastRenderedPageBreak/>
              <w:t>likumdevēja pienākums noteikt vienotu metodi minimālo ienākumu sliekšņu noteikšanā un izstrādāt konkrētu kritēriju kopu sociālās palīdzības minimuma noteikšanā</w:t>
            </w:r>
            <w:r w:rsidR="00E4181A" w:rsidRPr="003C50D5">
              <w:rPr>
                <w:rFonts w:ascii="Times New Roman" w:hAnsi="Times New Roman" w:cs="Times New Roman"/>
                <w:bCs/>
                <w:sz w:val="24"/>
                <w:szCs w:val="24"/>
              </w:rPr>
              <w:t>;</w:t>
            </w:r>
          </w:p>
          <w:p w14:paraId="058585F5" w14:textId="434677C5" w:rsidR="00F70594" w:rsidRPr="003C50D5" w:rsidRDefault="00F70594" w:rsidP="00DE7AD5">
            <w:pPr>
              <w:pStyle w:val="ListParagraph"/>
              <w:numPr>
                <w:ilvl w:val="0"/>
                <w:numId w:val="10"/>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līdzsvara saglabāšana starp personas un sabiedrības vajadzībām</w:t>
            </w:r>
            <w:r w:rsidR="00E4181A" w:rsidRPr="003C50D5">
              <w:rPr>
                <w:rFonts w:ascii="Times New Roman" w:eastAsia="Times New Roman" w:hAnsi="Times New Roman" w:cs="Times New Roman"/>
                <w:sz w:val="24"/>
                <w:szCs w:val="24"/>
                <w:lang w:eastAsia="lv-LV"/>
              </w:rPr>
              <w:t>;</w:t>
            </w:r>
          </w:p>
          <w:p w14:paraId="6E70A96B" w14:textId="60FD39A3" w:rsidR="00F70594" w:rsidRPr="003C50D5" w:rsidRDefault="00F70594" w:rsidP="00DE7AD5">
            <w:pPr>
              <w:pStyle w:val="ListParagraph"/>
              <w:numPr>
                <w:ilvl w:val="0"/>
                <w:numId w:val="10"/>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sociālās nevienlīdzības mazināšana kā būtisks aspekts sabiedrības ilgtspējai</w:t>
            </w:r>
            <w:r w:rsidR="00E4181A" w:rsidRPr="003C50D5">
              <w:rPr>
                <w:rFonts w:ascii="Times New Roman" w:eastAsia="Times New Roman" w:hAnsi="Times New Roman" w:cs="Times New Roman"/>
                <w:sz w:val="24"/>
                <w:szCs w:val="24"/>
                <w:lang w:eastAsia="lv-LV"/>
              </w:rPr>
              <w:t>;</w:t>
            </w:r>
          </w:p>
          <w:p w14:paraId="73206E85" w14:textId="00B9DC01" w:rsidR="00F70594" w:rsidRPr="003C50D5" w:rsidRDefault="00FD2761" w:rsidP="00DE7AD5">
            <w:pPr>
              <w:pStyle w:val="ListParagraph"/>
              <w:numPr>
                <w:ilvl w:val="0"/>
                <w:numId w:val="10"/>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nepieciešamība </w:t>
            </w:r>
            <w:r w:rsidR="00F70594" w:rsidRPr="003C50D5">
              <w:rPr>
                <w:rFonts w:ascii="Times New Roman" w:eastAsia="Times New Roman" w:hAnsi="Times New Roman" w:cs="Times New Roman"/>
                <w:sz w:val="24"/>
                <w:szCs w:val="24"/>
                <w:lang w:eastAsia="lv-LV"/>
              </w:rPr>
              <w:t>minimālo ienākumu</w:t>
            </w:r>
            <w:r w:rsidR="00AA26A6" w:rsidRPr="003C50D5">
              <w:rPr>
                <w:rFonts w:ascii="Times New Roman" w:eastAsia="Times New Roman" w:hAnsi="Times New Roman" w:cs="Times New Roman"/>
                <w:sz w:val="24"/>
                <w:szCs w:val="24"/>
                <w:lang w:eastAsia="lv-LV"/>
              </w:rPr>
              <w:t xml:space="preserve"> sliekšņu</w:t>
            </w:r>
            <w:r w:rsidRPr="003C50D5">
              <w:rPr>
                <w:rFonts w:ascii="Times New Roman" w:eastAsia="Times New Roman" w:hAnsi="Times New Roman" w:cs="Times New Roman"/>
                <w:sz w:val="24"/>
                <w:szCs w:val="24"/>
                <w:lang w:eastAsia="lv-LV"/>
              </w:rPr>
              <w:t>s</w:t>
            </w:r>
            <w:r w:rsidR="00F70594" w:rsidRPr="003C50D5">
              <w:rPr>
                <w:rFonts w:ascii="Times New Roman" w:eastAsia="Times New Roman" w:hAnsi="Times New Roman" w:cs="Times New Roman"/>
                <w:sz w:val="24"/>
                <w:szCs w:val="24"/>
                <w:lang w:eastAsia="lv-LV"/>
              </w:rPr>
              <w:t xml:space="preserve"> piesaist</w:t>
            </w:r>
            <w:r w:rsidRPr="003C50D5">
              <w:rPr>
                <w:rFonts w:ascii="Times New Roman" w:eastAsia="Times New Roman" w:hAnsi="Times New Roman" w:cs="Times New Roman"/>
                <w:sz w:val="24"/>
                <w:szCs w:val="24"/>
                <w:lang w:eastAsia="lv-LV"/>
              </w:rPr>
              <w:t>īt</w:t>
            </w:r>
            <w:r w:rsidR="00F70594" w:rsidRPr="003C50D5">
              <w:rPr>
                <w:rFonts w:ascii="Times New Roman" w:eastAsia="Times New Roman" w:hAnsi="Times New Roman" w:cs="Times New Roman"/>
                <w:sz w:val="24"/>
                <w:szCs w:val="24"/>
                <w:lang w:eastAsia="lv-LV"/>
              </w:rPr>
              <w:t xml:space="preserve"> konkrētam</w:t>
            </w:r>
            <w:r w:rsidR="001E1A5F" w:rsidRPr="003C50D5">
              <w:rPr>
                <w:rFonts w:ascii="Times New Roman" w:eastAsia="Times New Roman" w:hAnsi="Times New Roman" w:cs="Times New Roman"/>
                <w:sz w:val="24"/>
                <w:szCs w:val="24"/>
                <w:lang w:eastAsia="lv-LV"/>
              </w:rPr>
              <w:t xml:space="preserve"> </w:t>
            </w:r>
            <w:r w:rsidR="00F70594" w:rsidRPr="003C50D5">
              <w:rPr>
                <w:rFonts w:ascii="Times New Roman" w:eastAsia="Times New Roman" w:hAnsi="Times New Roman" w:cs="Times New Roman"/>
                <w:sz w:val="24"/>
                <w:szCs w:val="24"/>
                <w:lang w:eastAsia="lv-LV"/>
              </w:rPr>
              <w:t xml:space="preserve">sociālekonomiskajam rādītājam, lai </w:t>
            </w:r>
            <w:r w:rsidR="00AA26A6" w:rsidRPr="003C50D5">
              <w:rPr>
                <w:rFonts w:ascii="Times New Roman" w:eastAsia="Times New Roman" w:hAnsi="Times New Roman" w:cs="Times New Roman"/>
                <w:sz w:val="24"/>
                <w:szCs w:val="24"/>
                <w:lang w:eastAsia="lv-LV"/>
              </w:rPr>
              <w:t>nodrošinātu to adekvātumu attiecībā pret reālo sociālekonomisko situāciju valstī.</w:t>
            </w:r>
          </w:p>
          <w:p w14:paraId="6D2DB700" w14:textId="7BA5FC76" w:rsidR="00DA1246" w:rsidRPr="003C50D5" w:rsidRDefault="00DA1246"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Ienākumu nevienlīdzība nozīmē ienākumu nevienlīdzīgu pārdali starp iedzīvotājiem, savukārt ienākumu atšķirības sociālās nevienlīdzības izpratnē raksturo, pirmkārt, mājsaimniecību ienākumu, t.sk. sociālo transfertu, atšķirības uz vienu mājsaimniecības locekli un ekvivalento patērētāju, ņemot vērā, ka mājsaimniecības kopējie ienākumi ir piekrītoši visai mājsaimniecībai, ne tikai tiešo ienākumu guvējiem, izņemot gadījumus, kad tā ir vienas personas mājsaimniecība. Ienākumu atšķirības sociālās nevienlīdzības izpratnē ir tieši saistītas ar konkrētām sociāli demogrāfiskām pazīmēm – vecumu, dzimumu, nodarbinātības statusu, izglītības līmeni, dzīves vietu, veselības stāvokli u.c., kas nosaka personas piederību noteiktai sociālajai grupai un attiecīgi šīs grupas objektīvās iespējas gūt savām vajadzībām atbilstošus ienākumus un saņemt valsts vai pašvaldības atbalstu ienākumu nevienlīdzības mazināšanai.</w:t>
            </w:r>
            <w:r w:rsidRPr="003C50D5">
              <w:rPr>
                <w:rStyle w:val="FootnoteReference"/>
                <w:rFonts w:ascii="Times New Roman" w:eastAsia="Times New Roman" w:hAnsi="Times New Roman" w:cs="Times New Roman"/>
                <w:sz w:val="24"/>
                <w:szCs w:val="24"/>
                <w:lang w:eastAsia="lv-LV"/>
              </w:rPr>
              <w:footnoteReference w:id="10"/>
            </w:r>
          </w:p>
          <w:p w14:paraId="14A2D860" w14:textId="77777777" w:rsidR="005B224E"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Sociāli atbildīgas valsts princips uzliek valstij pienākumu rūpēties par cilvēka cienīga dzīves līmeņa nodrošināšanu un aizsardzību sociālā riska gadījumā, tomēr cilvēkam ir arī pienākums rūpēties pašam par sevi un tuviniekiem un pienākums pašam aktīvi iesaistīties savu sociālo problēmu risināšanā. </w:t>
            </w:r>
          </w:p>
          <w:p w14:paraId="487461BA" w14:textId="4BBEAE85" w:rsidR="007125AC" w:rsidRPr="003C50D5" w:rsidRDefault="007125AC"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Likumprojektā piedāvātais risinājums minimālo ienākumu sliekšņu pārskatīšanā nodrošinātu to apmēru noteikšanu adekvātā apmērā, kas vienlaikus būtu samērīgs ar pārējās sabiedrības interesēm un iespējām to nodrošināt, kā arī atbilstu reālajai sociālekonomiskajai situācijai valstī.</w:t>
            </w:r>
            <w:r w:rsidR="005B224E"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 xml:space="preserve">Tāpat piedāvātais risinājums minimālo ienākumu sliekšņu noteikšanā saglabā motivētu vidi iesaistīties darba tirgū un gūt patstāvīgus ienākumus tai sabiedrības daļai, kura to spēj un var, tādējādi aktīvi iesaistoties savu sociālo problēmu risināšanā.  </w:t>
            </w:r>
          </w:p>
          <w:p w14:paraId="40655C15" w14:textId="4FC3320F"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Atbilstoši Deklarācijai par Artura Krišjāņa Kariņa vadītā Ministru kabineta iecerēto darbību (turpmāk – Deklarācija) nabadzības un sociālās atstumtības mazināšana ir aktuāls un prioritārs uzdevums, kurš paredz pakāpeniski pilnveidot minimālo ienākumu atbalsta sistēmu (111. punkts). Tādējādi likumprojektā paredzētie grozījumi vienlaikus nodrošinātu arī Deklarācijā noteiktā uzdevum</w:t>
            </w:r>
            <w:r w:rsidR="005B3099">
              <w:rPr>
                <w:rFonts w:ascii="Times New Roman" w:eastAsia="Times New Roman" w:hAnsi="Times New Roman" w:cs="Times New Roman"/>
                <w:sz w:val="24"/>
                <w:szCs w:val="24"/>
                <w:lang w:eastAsia="lv-LV"/>
              </w:rPr>
              <w:t>a</w:t>
            </w:r>
            <w:r w:rsidRPr="003C50D5">
              <w:rPr>
                <w:rFonts w:ascii="Times New Roman" w:eastAsia="Times New Roman" w:hAnsi="Times New Roman" w:cs="Times New Roman"/>
                <w:sz w:val="24"/>
                <w:szCs w:val="24"/>
                <w:lang w:eastAsia="lv-LV"/>
              </w:rPr>
              <w:t xml:space="preserve"> izpildi.</w:t>
            </w:r>
          </w:p>
          <w:p w14:paraId="2374899B" w14:textId="5240B1E5" w:rsidR="00F70594" w:rsidRPr="003C50D5" w:rsidRDefault="00F70594" w:rsidP="00DE7AD5">
            <w:pPr>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lastRenderedPageBreak/>
              <w:t>E</w:t>
            </w:r>
            <w:r w:rsidR="007A1A23" w:rsidRPr="003C50D5">
              <w:rPr>
                <w:rFonts w:ascii="Times New Roman" w:hAnsi="Times New Roman" w:cs="Times New Roman"/>
                <w:sz w:val="24"/>
                <w:szCs w:val="24"/>
              </w:rPr>
              <w:t xml:space="preserve">iropas </w:t>
            </w:r>
            <w:r w:rsidRPr="003C50D5">
              <w:rPr>
                <w:rFonts w:ascii="Times New Roman" w:hAnsi="Times New Roman" w:cs="Times New Roman"/>
                <w:sz w:val="24"/>
                <w:szCs w:val="24"/>
              </w:rPr>
              <w:t>S</w:t>
            </w:r>
            <w:r w:rsidR="007A1A23" w:rsidRPr="003C50D5">
              <w:rPr>
                <w:rFonts w:ascii="Times New Roman" w:hAnsi="Times New Roman" w:cs="Times New Roman"/>
                <w:sz w:val="24"/>
                <w:szCs w:val="24"/>
              </w:rPr>
              <w:t>avienības (turpmāk – ES)</w:t>
            </w:r>
            <w:r w:rsidRPr="003C50D5">
              <w:rPr>
                <w:rFonts w:ascii="Times New Roman" w:hAnsi="Times New Roman" w:cs="Times New Roman"/>
                <w:sz w:val="24"/>
                <w:szCs w:val="24"/>
              </w:rPr>
              <w:t xml:space="preserve"> līmeņa savstarpēji salīdzināmi monetārās nabadzības un ienākumu nevienlīdzības indikatori tiek iegūti, izmantojot </w:t>
            </w:r>
            <w:r w:rsidR="007A1A23" w:rsidRPr="003C50D5">
              <w:rPr>
                <w:rFonts w:ascii="Times New Roman" w:hAnsi="Times New Roman" w:cs="Times New Roman"/>
                <w:sz w:val="24"/>
                <w:szCs w:val="24"/>
              </w:rPr>
              <w:t xml:space="preserve">ES </w:t>
            </w:r>
            <w:r w:rsidRPr="003C50D5">
              <w:rPr>
                <w:rFonts w:ascii="Times New Roman" w:hAnsi="Times New Roman" w:cs="Times New Roman"/>
                <w:sz w:val="24"/>
                <w:szCs w:val="24"/>
              </w:rPr>
              <w:t>statistiku par ienākumiem un dzīves apstākļiem (</w:t>
            </w:r>
            <w:proofErr w:type="spellStart"/>
            <w:r w:rsidRPr="003C50D5">
              <w:rPr>
                <w:rFonts w:ascii="Times New Roman" w:hAnsi="Times New Roman" w:cs="Times New Roman"/>
                <w:i/>
                <w:sz w:val="24"/>
                <w:szCs w:val="24"/>
              </w:rPr>
              <w:t>The</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European</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Union</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Statistics</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on</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Income</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and</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Living</w:t>
            </w:r>
            <w:proofErr w:type="spellEnd"/>
            <w:r w:rsidRPr="003C50D5">
              <w:rPr>
                <w:rFonts w:ascii="Times New Roman" w:hAnsi="Times New Roman" w:cs="Times New Roman"/>
                <w:i/>
                <w:sz w:val="24"/>
                <w:szCs w:val="24"/>
              </w:rPr>
              <w:t xml:space="preserve"> </w:t>
            </w:r>
            <w:proofErr w:type="spellStart"/>
            <w:r w:rsidRPr="003C50D5">
              <w:rPr>
                <w:rFonts w:ascii="Times New Roman" w:hAnsi="Times New Roman" w:cs="Times New Roman"/>
                <w:i/>
                <w:sz w:val="24"/>
                <w:szCs w:val="24"/>
              </w:rPr>
              <w:t>Conditions</w:t>
            </w:r>
            <w:proofErr w:type="spellEnd"/>
            <w:r w:rsidRPr="003C50D5">
              <w:rPr>
                <w:rFonts w:ascii="Times New Roman" w:hAnsi="Times New Roman" w:cs="Times New Roman"/>
                <w:sz w:val="24"/>
                <w:szCs w:val="24"/>
              </w:rPr>
              <w:t>) (turpmāk – EU-SILC). Šie indikatori raksturo relatīvo nabadzības risku un sociālo atstumtību valsts iedzīvotāju vidū.</w:t>
            </w:r>
          </w:p>
          <w:p w14:paraId="5C1A8BCB" w14:textId="0171D35A" w:rsidR="00232890" w:rsidRPr="003C50D5" w:rsidRDefault="00F70594" w:rsidP="00FD2761">
            <w:pPr>
              <w:autoSpaceDE w:val="0"/>
              <w:autoSpaceDN w:val="0"/>
              <w:adjustRightInd w:val="0"/>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 xml:space="preserve">ES, nosakot iedzīvotāju ekvivalentos ienākumus, piemēro Ekonomiskās sadarbības un attīstības organizācijas (turpmāk – OECD) modificēto ekvivalences skalu, pieņemot, ka pirmajam pieaugušajam mājsaimniecībā ekvivalentais svars ir 1, otrajam un katram nākamajam mājsaimniecības loceklim virs 14 gadu vecuma – 0.5 un bērniem līdz 14 gadu vecumam – 0.3 (1, 0.5, 0.3). </w:t>
            </w:r>
            <w:r w:rsidR="00232890" w:rsidRPr="003C50D5">
              <w:rPr>
                <w:rFonts w:ascii="Times New Roman" w:eastAsia="Times New Roman" w:hAnsi="Times New Roman" w:cs="Times New Roman"/>
                <w:sz w:val="24"/>
                <w:szCs w:val="24"/>
                <w:lang w:eastAsia="lv-LV"/>
              </w:rPr>
              <w:t>Mājsaimniecību locekļiem piešķirtais ekvivalentais svars ļauj izdarīt pieņēmumu par papildu vajadzībām katram nākamajam mājsaimniecības loceklim un noteikt mājsaimniecības ienākumu, kas atspoguļo palielinātās izmaksas par nākamajiem mājsaimniecības locekļiem</w:t>
            </w:r>
            <w:r w:rsidR="00232890" w:rsidRPr="003C50D5">
              <w:rPr>
                <w:rFonts w:ascii="Times New Roman" w:hAnsi="Times New Roman" w:cs="Times New Roman"/>
                <w:sz w:val="24"/>
                <w:szCs w:val="24"/>
              </w:rPr>
              <w:t>.</w:t>
            </w:r>
          </w:p>
          <w:p w14:paraId="003AAF49" w14:textId="0E643DBF" w:rsidR="00232890" w:rsidRPr="003C50D5" w:rsidRDefault="00F70594" w:rsidP="00FD2761">
            <w:pPr>
              <w:autoSpaceDE w:val="0"/>
              <w:autoSpaceDN w:val="0"/>
              <w:adjustRightInd w:val="0"/>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 xml:space="preserve">Savukārt nabadzības riska slieksnis ir izteikts kā 60 % no ienākumu mediānas, pārrēķināts uz ekvivalento patērētāju skaitu mājsaimniecībā. Tādējādi tie iedzīvotāji, kuru ekvivalentie rīcībā esošie ienākumi ir zemāki par 60 % no ienākumu mediānas, tiek uzskatīti par pakļautiem nabadzības riskam. Atbilstoši </w:t>
            </w:r>
            <w:r w:rsidR="00437F1C" w:rsidRPr="003C50D5">
              <w:rPr>
                <w:rFonts w:ascii="Times New Roman" w:hAnsi="Times New Roman" w:cs="Times New Roman"/>
                <w:sz w:val="24"/>
                <w:szCs w:val="24"/>
              </w:rPr>
              <w:t>CSP</w:t>
            </w:r>
            <w:r w:rsidRPr="003C50D5">
              <w:rPr>
                <w:rFonts w:ascii="Times New Roman" w:hAnsi="Times New Roman" w:cs="Times New Roman"/>
                <w:sz w:val="24"/>
                <w:szCs w:val="24"/>
              </w:rPr>
              <w:t xml:space="preserve"> sniegtajiem datiem, izmantojot ES kopējo metodoloģiju,</w:t>
            </w:r>
            <w:r w:rsidR="00F05CF2" w:rsidRPr="003C50D5">
              <w:rPr>
                <w:rFonts w:ascii="Times New Roman" w:hAnsi="Times New Roman" w:cs="Times New Roman"/>
                <w:sz w:val="24"/>
                <w:szCs w:val="24"/>
              </w:rPr>
              <w:t xml:space="preserve"> </w:t>
            </w:r>
            <w:r w:rsidRPr="003C50D5">
              <w:rPr>
                <w:rFonts w:ascii="Times New Roman" w:hAnsi="Times New Roman" w:cs="Times New Roman"/>
                <w:sz w:val="24"/>
                <w:szCs w:val="24"/>
              </w:rPr>
              <w:t>ienākumu mediāna Latvijā 2018.gadā</w:t>
            </w:r>
            <w:r w:rsidRPr="003C50D5">
              <w:rPr>
                <w:rStyle w:val="FootnoteReference"/>
                <w:rFonts w:ascii="Times New Roman" w:hAnsi="Times New Roman" w:cs="Times New Roman"/>
                <w:sz w:val="24"/>
                <w:szCs w:val="24"/>
              </w:rPr>
              <w:footnoteReference w:id="11"/>
            </w:r>
            <w:r w:rsidRPr="003C50D5">
              <w:rPr>
                <w:rFonts w:ascii="Times New Roman" w:hAnsi="Times New Roman" w:cs="Times New Roman"/>
                <w:sz w:val="24"/>
                <w:szCs w:val="24"/>
              </w:rPr>
              <w:t xml:space="preserve"> bija 682,27 </w:t>
            </w:r>
            <w:proofErr w:type="spellStart"/>
            <w:r w:rsidRPr="003C50D5">
              <w:rPr>
                <w:rFonts w:ascii="Times New Roman" w:hAnsi="Times New Roman" w:cs="Times New Roman"/>
                <w:i/>
                <w:iCs/>
                <w:sz w:val="24"/>
                <w:szCs w:val="24"/>
              </w:rPr>
              <w:t>euro</w:t>
            </w:r>
            <w:proofErr w:type="spellEnd"/>
            <w:r w:rsidRPr="003C50D5">
              <w:rPr>
                <w:rStyle w:val="FootnoteReference"/>
                <w:rFonts w:ascii="Times New Roman" w:hAnsi="Times New Roman" w:cs="Times New Roman"/>
                <w:sz w:val="24"/>
                <w:szCs w:val="24"/>
              </w:rPr>
              <w:footnoteReference w:id="12"/>
            </w:r>
            <w:r w:rsidRPr="003C50D5">
              <w:rPr>
                <w:rFonts w:ascii="Times New Roman" w:hAnsi="Times New Roman" w:cs="Times New Roman"/>
                <w:sz w:val="24"/>
                <w:szCs w:val="24"/>
              </w:rPr>
              <w:t xml:space="preserve">, attiecīgi nabadzības riska slieksnis jeb 60 % no mediānas ienākuma bija 409 </w:t>
            </w:r>
            <w:proofErr w:type="spellStart"/>
            <w:r w:rsidRPr="003C50D5">
              <w:rPr>
                <w:rFonts w:ascii="Times New Roman" w:hAnsi="Times New Roman" w:cs="Times New Roman"/>
                <w:i/>
                <w:iCs/>
                <w:sz w:val="24"/>
                <w:szCs w:val="24"/>
              </w:rPr>
              <w:t>euro</w:t>
            </w:r>
            <w:proofErr w:type="spellEnd"/>
            <w:r w:rsidRPr="003C50D5">
              <w:rPr>
                <w:rStyle w:val="FootnoteReference"/>
                <w:rFonts w:ascii="Times New Roman" w:hAnsi="Times New Roman" w:cs="Times New Roman"/>
                <w:sz w:val="24"/>
                <w:szCs w:val="24"/>
              </w:rPr>
              <w:footnoteReference w:id="13"/>
            </w:r>
            <w:r w:rsidRPr="003C50D5">
              <w:rPr>
                <w:rFonts w:ascii="Times New Roman" w:hAnsi="Times New Roman" w:cs="Times New Roman"/>
                <w:sz w:val="24"/>
                <w:szCs w:val="24"/>
              </w:rPr>
              <w:t xml:space="preserve"> mēnesī. </w:t>
            </w:r>
          </w:p>
          <w:p w14:paraId="67EA2290" w14:textId="7539BD38" w:rsidR="00F70594" w:rsidRPr="003C50D5" w:rsidRDefault="00F70594" w:rsidP="00DE7AD5">
            <w:pPr>
              <w:autoSpaceDE w:val="0"/>
              <w:autoSpaceDN w:val="0"/>
              <w:adjustRightInd w:val="0"/>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Vienlaikus jāatzīmē, ka nabadzības riska rādītāji atspoguļo tikai ienākumus naudas izteiksmē</w:t>
            </w:r>
            <w:r w:rsidR="007125AC" w:rsidRPr="003C50D5">
              <w:rPr>
                <w:rFonts w:ascii="Times New Roman" w:hAnsi="Times New Roman" w:cs="Times New Roman"/>
                <w:sz w:val="24"/>
                <w:szCs w:val="24"/>
              </w:rPr>
              <w:t>, savukārt</w:t>
            </w:r>
            <w:r w:rsidRPr="003C50D5">
              <w:rPr>
                <w:rFonts w:ascii="Times New Roman" w:hAnsi="Times New Roman" w:cs="Times New Roman"/>
                <w:sz w:val="24"/>
                <w:szCs w:val="24"/>
              </w:rPr>
              <w:t xml:space="preserve"> pakalpojumu un atvieglojumu veidā sniegtais atbalsts trūcīgām un maznodrošinātām mājsaimniecībām</w:t>
            </w:r>
            <w:r w:rsidR="007125AC" w:rsidRPr="003C50D5">
              <w:rPr>
                <w:rFonts w:ascii="Times New Roman" w:hAnsi="Times New Roman" w:cs="Times New Roman"/>
                <w:sz w:val="24"/>
                <w:szCs w:val="24"/>
              </w:rPr>
              <w:t>, kas</w:t>
            </w:r>
            <w:r w:rsidRPr="003C50D5">
              <w:rPr>
                <w:rFonts w:ascii="Times New Roman" w:hAnsi="Times New Roman" w:cs="Times New Roman"/>
                <w:sz w:val="24"/>
                <w:szCs w:val="24"/>
              </w:rPr>
              <w:t xml:space="preserve"> rada </w:t>
            </w:r>
            <w:r w:rsidR="007125AC" w:rsidRPr="003C50D5">
              <w:rPr>
                <w:rFonts w:ascii="Times New Roman" w:hAnsi="Times New Roman" w:cs="Times New Roman"/>
                <w:sz w:val="24"/>
                <w:szCs w:val="24"/>
              </w:rPr>
              <w:t xml:space="preserve">tiešu un </w:t>
            </w:r>
            <w:r w:rsidRPr="003C50D5">
              <w:rPr>
                <w:rFonts w:ascii="Times New Roman" w:hAnsi="Times New Roman" w:cs="Times New Roman"/>
                <w:sz w:val="24"/>
                <w:szCs w:val="24"/>
              </w:rPr>
              <w:t xml:space="preserve">pozitīvu ietekmi uz mājsaimniecības izdevumu pozīcijām, </w:t>
            </w:r>
            <w:r w:rsidR="007125AC" w:rsidRPr="003C50D5">
              <w:rPr>
                <w:rFonts w:ascii="Times New Roman" w:hAnsi="Times New Roman" w:cs="Times New Roman"/>
                <w:sz w:val="24"/>
                <w:szCs w:val="24"/>
              </w:rPr>
              <w:t>nav ietverts</w:t>
            </w:r>
            <w:r w:rsidRPr="003C50D5">
              <w:rPr>
                <w:rFonts w:ascii="Times New Roman" w:hAnsi="Times New Roman" w:cs="Times New Roman"/>
                <w:sz w:val="24"/>
                <w:szCs w:val="24"/>
              </w:rPr>
              <w:t xml:space="preserve"> un neatspoguļojas nabadzības riska rādītājos.  </w:t>
            </w:r>
          </w:p>
          <w:p w14:paraId="64F3B986" w14:textId="3A446874" w:rsidR="00F70594" w:rsidRPr="003C50D5" w:rsidRDefault="007125AC" w:rsidP="00DE7AD5">
            <w:pPr>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N</w:t>
            </w:r>
            <w:r w:rsidR="00F70594" w:rsidRPr="003C50D5">
              <w:rPr>
                <w:rFonts w:ascii="Times New Roman" w:hAnsi="Times New Roman" w:cs="Times New Roman"/>
                <w:sz w:val="24"/>
                <w:szCs w:val="24"/>
              </w:rPr>
              <w:t xml:space="preserve">abadzības riska slieksnis un arī pārējie ES kopējie indikatori tiek izmantoti galvenokārt statistiskiem nolūkiem, proti, situācijas salīdzināšanai ar citām ES dalībvalstīm, un tas nenozīmē, ka nacionālajā līmenī iedzīvotājiem tiek sniegts materiālais atbalsts, ja viņi ir pakļauti nabadzības riskam pēc ES metodoloģijas. </w:t>
            </w:r>
          </w:p>
          <w:p w14:paraId="6F777AF3" w14:textId="3334049E" w:rsidR="00232890" w:rsidRPr="003C50D5" w:rsidRDefault="00F70594" w:rsidP="00FD2761">
            <w:pPr>
              <w:spacing w:before="120" w:after="0" w:line="240" w:lineRule="auto"/>
              <w:jc w:val="both"/>
              <w:rPr>
                <w:rFonts w:ascii="Times New Roman" w:hAnsi="Times New Roman" w:cs="Times New Roman"/>
                <w:sz w:val="24"/>
                <w:szCs w:val="24"/>
                <w:shd w:val="clear" w:color="auto" w:fill="FFFFFF"/>
              </w:rPr>
            </w:pPr>
            <w:r w:rsidRPr="003C50D5">
              <w:rPr>
                <w:rFonts w:ascii="Times New Roman" w:hAnsi="Times New Roman" w:cs="Times New Roman"/>
                <w:sz w:val="24"/>
                <w:szCs w:val="24"/>
              </w:rPr>
              <w:t xml:space="preserve">Materiālajam atbalstam visnabadzīgākajiem iedzīvotājiem katra ES dalībvalsts izmanto savu izvēlēto pieeju un statistisko informāciju. </w:t>
            </w:r>
            <w:r w:rsidR="004975F8" w:rsidRPr="003C50D5">
              <w:rPr>
                <w:rFonts w:ascii="Times New Roman" w:hAnsi="Times New Roman" w:cs="Times New Roman"/>
                <w:sz w:val="24"/>
                <w:szCs w:val="24"/>
              </w:rPr>
              <w:t>Parasti materiāls atbalsts ES valstīs (sociālās palīdzības pabalsti) tiek sniegts, ja iedzīvotāju ienākumi ir vidēji 25 % no ienākumu mediānas, bet vairumā gadījum</w:t>
            </w:r>
            <w:r w:rsidR="00C20011" w:rsidRPr="003C50D5">
              <w:rPr>
                <w:rFonts w:ascii="Times New Roman" w:hAnsi="Times New Roman" w:cs="Times New Roman"/>
                <w:sz w:val="24"/>
                <w:szCs w:val="24"/>
              </w:rPr>
              <w:t>u</w:t>
            </w:r>
            <w:r w:rsidR="004975F8" w:rsidRPr="003C50D5">
              <w:rPr>
                <w:rFonts w:ascii="Times New Roman" w:hAnsi="Times New Roman" w:cs="Times New Roman"/>
                <w:sz w:val="24"/>
                <w:szCs w:val="24"/>
              </w:rPr>
              <w:t xml:space="preserve"> tas ir ap 20%</w:t>
            </w:r>
            <w:r w:rsidR="004975F8" w:rsidRPr="003C50D5">
              <w:rPr>
                <w:rStyle w:val="FootnoteReference"/>
                <w:rFonts w:ascii="Times New Roman" w:hAnsi="Times New Roman" w:cs="Times New Roman"/>
                <w:sz w:val="24"/>
                <w:szCs w:val="24"/>
              </w:rPr>
              <w:footnoteReference w:id="14"/>
            </w:r>
            <w:r w:rsidR="004975F8" w:rsidRPr="003C50D5">
              <w:rPr>
                <w:rFonts w:ascii="Times New Roman" w:hAnsi="Times New Roman" w:cs="Times New Roman"/>
                <w:sz w:val="24"/>
                <w:szCs w:val="24"/>
              </w:rPr>
              <w:t>.</w:t>
            </w:r>
            <w:r w:rsidRPr="003C50D5">
              <w:rPr>
                <w:rFonts w:ascii="Times New Roman" w:hAnsi="Times New Roman" w:cs="Times New Roman"/>
                <w:sz w:val="24"/>
                <w:szCs w:val="24"/>
                <w:shd w:val="clear" w:color="auto" w:fill="FFFFFF"/>
              </w:rPr>
              <w:t xml:space="preserve"> </w:t>
            </w:r>
            <w:r w:rsidR="006848BC" w:rsidRPr="003C50D5">
              <w:rPr>
                <w:rFonts w:ascii="Times New Roman" w:hAnsi="Times New Roman" w:cs="Times New Roman"/>
                <w:sz w:val="24"/>
                <w:szCs w:val="24"/>
                <w:shd w:val="clear" w:color="auto" w:fill="FFFFFF"/>
              </w:rPr>
              <w:t xml:space="preserve">Līdzšinējie zemākie ienākumu </w:t>
            </w:r>
            <w:r w:rsidR="006848BC" w:rsidRPr="003C50D5">
              <w:rPr>
                <w:rFonts w:ascii="Times New Roman" w:hAnsi="Times New Roman" w:cs="Times New Roman"/>
                <w:sz w:val="24"/>
                <w:szCs w:val="24"/>
                <w:shd w:val="clear" w:color="auto" w:fill="FFFFFF"/>
              </w:rPr>
              <w:lastRenderedPageBreak/>
              <w:t>sliekšņi sociālās drošības sistēmas ietvaros tikai nedaudz pārsniedza 10% robežu un par to nepietiekamo adekvātumu Latvija kopš 2012.gada saņem Eiropas Padomes rekomendācijas.</w:t>
            </w:r>
          </w:p>
          <w:p w14:paraId="70FECBD7" w14:textId="77777777" w:rsidR="00FD66DB" w:rsidRPr="003C50D5" w:rsidRDefault="00F70594" w:rsidP="00FD66DB">
            <w:pPr>
              <w:autoSpaceDE w:val="0"/>
              <w:autoSpaceDN w:val="0"/>
              <w:adjustRightInd w:val="0"/>
              <w:spacing w:before="120"/>
              <w:jc w:val="both"/>
              <w:rPr>
                <w:rFonts w:ascii="Times New Roman" w:hAnsi="Times New Roman" w:cs="Times New Roman"/>
                <w:sz w:val="24"/>
                <w:szCs w:val="24"/>
              </w:rPr>
            </w:pPr>
            <w:r w:rsidRPr="003C50D5">
              <w:rPr>
                <w:rFonts w:ascii="Times New Roman" w:hAnsi="Times New Roman" w:cs="Times New Roman"/>
                <w:sz w:val="24"/>
                <w:szCs w:val="24"/>
              </w:rPr>
              <w:t>Valstis, veidojot politiku trūcīgo iedzīvotāju atbalstam, var izvēlēties savu (citu) ekvivalences skalu, kuru uzskata par piemērotāku mājsaimniecību sastāva un izdevumu struktūrai.</w:t>
            </w:r>
            <w:r w:rsidRPr="003C50D5">
              <w:rPr>
                <w:rFonts w:ascii="Times New Roman" w:eastAsia="Times New Roman" w:hAnsi="Times New Roman" w:cs="Times New Roman"/>
                <w:sz w:val="24"/>
                <w:szCs w:val="24"/>
                <w:lang w:eastAsia="lv-LV"/>
              </w:rPr>
              <w:t xml:space="preserve"> </w:t>
            </w:r>
            <w:r w:rsidR="00232890" w:rsidRPr="003C50D5">
              <w:rPr>
                <w:rFonts w:ascii="Times New Roman" w:eastAsia="Times New Roman" w:hAnsi="Times New Roman" w:cs="Times New Roman"/>
                <w:sz w:val="24"/>
                <w:szCs w:val="24"/>
                <w:lang w:eastAsia="lv-LV"/>
              </w:rPr>
              <w:t>Izmantojot atšķirīgas ekvivalences skalas, mājsaimniecību locekļiem tiek piešķirts atšķirīgs ekvivalentais svars atkarībā no to sastāva un veidojas atšķirīga ienākumu mediāna.</w:t>
            </w:r>
            <w:r w:rsidR="006D0934" w:rsidRPr="003C50D5">
              <w:rPr>
                <w:rFonts w:ascii="Times New Roman" w:hAnsi="Times New Roman" w:cs="Times New Roman"/>
                <w:sz w:val="24"/>
                <w:szCs w:val="24"/>
              </w:rPr>
              <w:t xml:space="preserve"> </w:t>
            </w:r>
            <w:r w:rsidR="00FD66DB" w:rsidRPr="003C50D5">
              <w:rPr>
                <w:rFonts w:ascii="Times New Roman" w:hAnsi="Times New Roman" w:cs="Times New Roman"/>
                <w:sz w:val="24"/>
                <w:szCs w:val="24"/>
              </w:rPr>
              <w:t>Liel</w:t>
            </w:r>
            <w:r w:rsidR="00FD66DB" w:rsidRPr="003C50D5">
              <w:rPr>
                <w:rFonts w:ascii="Times New Roman" w:eastAsia="Times New Roman" w:hAnsi="Times New Roman" w:cs="Times New Roman"/>
                <w:sz w:val="24"/>
                <w:szCs w:val="24"/>
                <w:lang w:eastAsia="lv-LV"/>
              </w:rPr>
              <w:t>u daļu no mājsaimniecības izdevumiem veido ikmēneša obligātie maksājumi, piemēram, par mājokli, siltumu, komunālajiem pakalpojumiem u.c., kas ne vienmēr pieaug proporcionāli cilvēku skaitam mājsaimniecībā. Tādā veidā tiek ņemts vērā, ka papildu izdevumi mājsaimniecībā uz otro pieaugušo vai bērnu ir zemāki nekā izdevumi cilvēkam, kas dzīvo viens.</w:t>
            </w:r>
            <w:r w:rsidR="00FD66DB" w:rsidRPr="003C50D5">
              <w:rPr>
                <w:rStyle w:val="FootnoteReference"/>
                <w:rFonts w:ascii="Times New Roman" w:eastAsia="Times New Roman" w:hAnsi="Times New Roman" w:cs="Times New Roman"/>
                <w:sz w:val="24"/>
                <w:szCs w:val="24"/>
                <w:lang w:eastAsia="lv-LV"/>
              </w:rPr>
              <w:footnoteReference w:id="15"/>
            </w:r>
          </w:p>
          <w:p w14:paraId="17EB827C" w14:textId="79DEF6DB"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2014. gadā Ministru kabinets atbalstīja Labklājības ministrijas izstrādāto koncepciju "Par minimālā ienākuma līmeņa noteikšanu" (turpmāk – Koncepcija), kuras virsmērķis ir uz solidaritātes principiem balstīta nabadzības un ienākumu nevienlīdzības mazināšana, nosakot metodoloģiski pamatotu</w:t>
            </w:r>
            <w:r w:rsidR="00DA1246" w:rsidRPr="003C50D5">
              <w:rPr>
                <w:rFonts w:ascii="Times New Roman" w:eastAsia="Times New Roman" w:hAnsi="Times New Roman" w:cs="Times New Roman"/>
                <w:sz w:val="24"/>
                <w:szCs w:val="24"/>
                <w:lang w:eastAsia="lv-LV"/>
              </w:rPr>
              <w:t>s</w:t>
            </w:r>
            <w:r w:rsidRPr="003C50D5">
              <w:rPr>
                <w:rFonts w:ascii="Times New Roman" w:eastAsia="Times New Roman" w:hAnsi="Times New Roman" w:cs="Times New Roman"/>
                <w:sz w:val="24"/>
                <w:szCs w:val="24"/>
                <w:lang w:eastAsia="lv-LV"/>
              </w:rPr>
              <w:t xml:space="preserve"> un sociālekonomiskajai situācijai atbilstošus minimālo ienākumu sliekšņus. Koncepcijā</w:t>
            </w:r>
            <w:r w:rsidRPr="003C50D5">
              <w:rPr>
                <w:rFonts w:ascii="Times New Roman" w:hAnsi="Times New Roman" w:cs="Times New Roman"/>
                <w:sz w:val="24"/>
                <w:szCs w:val="24"/>
              </w:rPr>
              <w:t xml:space="preserve"> </w:t>
            </w:r>
            <w:r w:rsidRPr="003C50D5">
              <w:rPr>
                <w:rFonts w:ascii="Times New Roman" w:eastAsia="Times New Roman" w:hAnsi="Times New Roman" w:cs="Times New Roman"/>
                <w:sz w:val="24"/>
                <w:szCs w:val="24"/>
                <w:lang w:eastAsia="lv-LV"/>
              </w:rPr>
              <w:t xml:space="preserve">piedāvāts, nosakot iedzīvotāju ekvivalentos ienākumus, piemērot ekvivalences skalu, </w:t>
            </w:r>
            <w:bookmarkStart w:id="1" w:name="_Hlk49959749"/>
            <w:r w:rsidRPr="003C50D5">
              <w:rPr>
                <w:rFonts w:ascii="Times New Roman" w:eastAsia="Times New Roman" w:hAnsi="Times New Roman" w:cs="Times New Roman"/>
                <w:sz w:val="24"/>
                <w:szCs w:val="24"/>
                <w:lang w:eastAsia="lv-LV"/>
              </w:rPr>
              <w:t xml:space="preserve">kurā </w:t>
            </w:r>
            <w:r w:rsidRPr="003C50D5">
              <w:rPr>
                <w:rFonts w:ascii="Times New Roman" w:hAnsi="Times New Roman" w:cs="Times New Roman"/>
                <w:sz w:val="24"/>
                <w:szCs w:val="24"/>
              </w:rPr>
              <w:t>pirmajam pieaugušajam mājsaimniecībā ekvivalentais svars ir 1, katram nākamajam mājsaimniecības loceklim, tostarp bērnam, ekvivalences svars ir 0.7</w:t>
            </w:r>
            <w:bookmarkEnd w:id="1"/>
            <w:r w:rsidRPr="003C50D5">
              <w:rPr>
                <w:rFonts w:ascii="Times New Roman" w:hAnsi="Times New Roman" w:cs="Times New Roman"/>
                <w:sz w:val="24"/>
                <w:szCs w:val="24"/>
              </w:rPr>
              <w:t xml:space="preserve"> (turpmāk – Latvijas skala). Līdz ar to ienākumu mediāna pēc Latvijas skalas 2018.gadā bija 544,41 </w:t>
            </w:r>
            <w:proofErr w:type="spellStart"/>
            <w:r w:rsidRPr="003C50D5">
              <w:rPr>
                <w:rFonts w:ascii="Times New Roman" w:hAnsi="Times New Roman" w:cs="Times New Roman"/>
                <w:i/>
                <w:iCs/>
                <w:sz w:val="24"/>
                <w:szCs w:val="24"/>
              </w:rPr>
              <w:t>euro</w:t>
            </w:r>
            <w:proofErr w:type="spellEnd"/>
            <w:r w:rsidRPr="003C50D5">
              <w:rPr>
                <w:rFonts w:ascii="Times New Roman" w:hAnsi="Times New Roman" w:cs="Times New Roman"/>
                <w:sz w:val="24"/>
                <w:szCs w:val="24"/>
              </w:rPr>
              <w:t xml:space="preserve">, tātad nabadzības riska slieksnis  jeb 60% no ienākumu mediānas bija 326,66 </w:t>
            </w:r>
            <w:proofErr w:type="spellStart"/>
            <w:r w:rsidRPr="003C50D5">
              <w:rPr>
                <w:rFonts w:ascii="Times New Roman" w:hAnsi="Times New Roman" w:cs="Times New Roman"/>
                <w:i/>
                <w:iCs/>
                <w:sz w:val="24"/>
                <w:szCs w:val="24"/>
              </w:rPr>
              <w:t>euro</w:t>
            </w:r>
            <w:proofErr w:type="spellEnd"/>
            <w:r w:rsidRPr="003C50D5">
              <w:rPr>
                <w:rFonts w:ascii="Times New Roman" w:hAnsi="Times New Roman" w:cs="Times New Roman"/>
                <w:sz w:val="24"/>
                <w:szCs w:val="24"/>
              </w:rPr>
              <w:t xml:space="preserve"> mēnesī</w:t>
            </w:r>
            <w:r w:rsidR="00774EB9" w:rsidRPr="003C50D5">
              <w:rPr>
                <w:rFonts w:ascii="Times New Roman" w:hAnsi="Times New Roman" w:cs="Times New Roman"/>
                <w:sz w:val="24"/>
                <w:szCs w:val="24"/>
              </w:rPr>
              <w:t xml:space="preserve"> vai 327 </w:t>
            </w:r>
            <w:proofErr w:type="spellStart"/>
            <w:r w:rsidR="00774EB9" w:rsidRPr="003C50D5">
              <w:rPr>
                <w:rFonts w:ascii="Times New Roman" w:hAnsi="Times New Roman" w:cs="Times New Roman"/>
                <w:i/>
                <w:iCs/>
                <w:sz w:val="24"/>
                <w:szCs w:val="24"/>
              </w:rPr>
              <w:t>euro</w:t>
            </w:r>
            <w:proofErr w:type="spellEnd"/>
            <w:r w:rsidR="00774EB9" w:rsidRPr="003C50D5">
              <w:rPr>
                <w:rFonts w:ascii="Times New Roman" w:hAnsi="Times New Roman" w:cs="Times New Roman"/>
                <w:sz w:val="24"/>
                <w:szCs w:val="24"/>
              </w:rPr>
              <w:t xml:space="preserve">, ja noapaļoti līdz veseliem </w:t>
            </w:r>
            <w:proofErr w:type="spellStart"/>
            <w:r w:rsidR="00774EB9" w:rsidRPr="003C50D5">
              <w:rPr>
                <w:rFonts w:ascii="Times New Roman" w:hAnsi="Times New Roman" w:cs="Times New Roman"/>
                <w:i/>
                <w:iCs/>
                <w:sz w:val="24"/>
                <w:szCs w:val="24"/>
              </w:rPr>
              <w:t>euro</w:t>
            </w:r>
            <w:proofErr w:type="spellEnd"/>
            <w:r w:rsidRPr="003C50D5">
              <w:rPr>
                <w:rFonts w:ascii="Times New Roman" w:hAnsi="Times New Roman" w:cs="Times New Roman"/>
                <w:sz w:val="24"/>
                <w:szCs w:val="24"/>
              </w:rPr>
              <w:t xml:space="preserve">. </w:t>
            </w:r>
            <w:r w:rsidRPr="003C50D5">
              <w:rPr>
                <w:rFonts w:ascii="Times New Roman" w:eastAsia="Times New Roman" w:hAnsi="Times New Roman" w:cs="Times New Roman"/>
                <w:sz w:val="24"/>
                <w:szCs w:val="24"/>
                <w:lang w:eastAsia="lv-LV"/>
              </w:rPr>
              <w:t xml:space="preserve">Lai arī, izvēloties Koncepcijā noteikto ekvivalences skalu, nabadzības riska slieksnis ir zemāks nekā pēc ES metodoloģijas, Koncepcijā izvēlētā ekvivalences skala ļauj </w:t>
            </w:r>
            <w:r w:rsidR="00DA1246" w:rsidRPr="003C50D5">
              <w:rPr>
                <w:rFonts w:ascii="Times New Roman" w:eastAsia="Times New Roman" w:hAnsi="Times New Roman" w:cs="Times New Roman"/>
                <w:sz w:val="24"/>
                <w:szCs w:val="24"/>
                <w:lang w:eastAsia="lv-LV"/>
              </w:rPr>
              <w:t xml:space="preserve">noteikt ekvivalento patērētāju atbilstošāk Latvijas situācijai </w:t>
            </w:r>
            <w:r w:rsidR="00846E4A" w:rsidRPr="003C50D5">
              <w:rPr>
                <w:rFonts w:ascii="Times New Roman" w:eastAsia="Times New Roman" w:hAnsi="Times New Roman" w:cs="Times New Roman"/>
                <w:sz w:val="24"/>
                <w:szCs w:val="24"/>
                <w:lang w:eastAsia="lv-LV"/>
              </w:rPr>
              <w:t xml:space="preserve">(piešķirts </w:t>
            </w:r>
            <w:r w:rsidRPr="003C50D5">
              <w:rPr>
                <w:rFonts w:ascii="Times New Roman" w:eastAsia="Times New Roman" w:hAnsi="Times New Roman" w:cs="Times New Roman"/>
                <w:sz w:val="24"/>
                <w:szCs w:val="24"/>
                <w:lang w:eastAsia="lv-LV"/>
              </w:rPr>
              <w:t>lielāk</w:t>
            </w:r>
            <w:r w:rsidR="00846E4A" w:rsidRPr="003C50D5">
              <w:rPr>
                <w:rFonts w:ascii="Times New Roman" w:eastAsia="Times New Roman" w:hAnsi="Times New Roman" w:cs="Times New Roman"/>
                <w:sz w:val="24"/>
                <w:szCs w:val="24"/>
                <w:lang w:eastAsia="lv-LV"/>
              </w:rPr>
              <w:t>s svars</w:t>
            </w:r>
            <w:r w:rsidRPr="003C50D5">
              <w:rPr>
                <w:rFonts w:ascii="Times New Roman" w:eastAsia="Times New Roman" w:hAnsi="Times New Roman" w:cs="Times New Roman"/>
                <w:sz w:val="24"/>
                <w:szCs w:val="24"/>
                <w:lang w:eastAsia="lv-LV"/>
              </w:rPr>
              <w:t xml:space="preserve"> </w:t>
            </w:r>
            <w:r w:rsidR="00846E4A" w:rsidRPr="003C50D5">
              <w:rPr>
                <w:rFonts w:ascii="Times New Roman" w:eastAsia="Times New Roman" w:hAnsi="Times New Roman" w:cs="Times New Roman"/>
                <w:sz w:val="24"/>
                <w:szCs w:val="24"/>
                <w:lang w:eastAsia="lv-LV"/>
              </w:rPr>
              <w:t xml:space="preserve">otrajam un nākamajiem pieaugušajiem un arī </w:t>
            </w:r>
            <w:r w:rsidRPr="003C50D5">
              <w:rPr>
                <w:rFonts w:ascii="Times New Roman" w:eastAsia="Times New Roman" w:hAnsi="Times New Roman" w:cs="Times New Roman"/>
                <w:sz w:val="24"/>
                <w:szCs w:val="24"/>
                <w:lang w:eastAsia="lv-LV"/>
              </w:rPr>
              <w:t>bērniem, kas ir viena no nabadzības riskam visbiežāk pakļautajām sabiedrības grupām</w:t>
            </w:r>
            <w:r w:rsidR="00846E4A" w:rsidRPr="003C50D5">
              <w:rPr>
                <w:rFonts w:ascii="Times New Roman" w:eastAsia="Times New Roman" w:hAnsi="Times New Roman" w:cs="Times New Roman"/>
                <w:sz w:val="24"/>
                <w:szCs w:val="24"/>
                <w:lang w:eastAsia="lv-LV"/>
              </w:rPr>
              <w:t>) un attiecīgi labāk izlīdzināt visu mājsaimniecību rīcībā esošos ienākumus nosakot ienākumu mediānu</w:t>
            </w:r>
            <w:r w:rsidRPr="003C50D5">
              <w:rPr>
                <w:rFonts w:ascii="Times New Roman" w:eastAsia="Times New Roman" w:hAnsi="Times New Roman" w:cs="Times New Roman"/>
                <w:sz w:val="24"/>
                <w:szCs w:val="24"/>
                <w:lang w:eastAsia="lv-LV"/>
              </w:rPr>
              <w:t>.</w:t>
            </w:r>
          </w:p>
          <w:p w14:paraId="40F990E9" w14:textId="53AC5AF8"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Koncepcijā </w:t>
            </w:r>
            <w:bookmarkStart w:id="2" w:name="_Hlk49958327"/>
            <w:r w:rsidRPr="003C50D5">
              <w:rPr>
                <w:rFonts w:ascii="Times New Roman" w:eastAsia="Times New Roman" w:hAnsi="Times New Roman" w:cs="Times New Roman"/>
                <w:sz w:val="24"/>
                <w:szCs w:val="24"/>
                <w:lang w:eastAsia="lv-LV"/>
              </w:rPr>
              <w:t>piedāvātā metodoloģiskā pieeja minimālo ienākumu sliekšņu noteikšanā ir balstīta uz relatīvo metodi, kura balstīta uz reālo sociālekonomisko situāciju valstī, ņemot vērā ienākumus dažādā</w:t>
            </w:r>
            <w:r w:rsidR="006F1EC0" w:rsidRPr="003C50D5">
              <w:rPr>
                <w:rFonts w:ascii="Times New Roman" w:eastAsia="Times New Roman" w:hAnsi="Times New Roman" w:cs="Times New Roman"/>
                <w:sz w:val="24"/>
                <w:szCs w:val="24"/>
                <w:lang w:eastAsia="lv-LV"/>
              </w:rPr>
              <w:t>s</w:t>
            </w:r>
            <w:r w:rsidRPr="003C50D5">
              <w:rPr>
                <w:rFonts w:ascii="Times New Roman" w:eastAsia="Times New Roman" w:hAnsi="Times New Roman" w:cs="Times New Roman"/>
                <w:sz w:val="24"/>
                <w:szCs w:val="24"/>
                <w:lang w:eastAsia="lv-LV"/>
              </w:rPr>
              <w:t xml:space="preserve"> sabiedrības</w:t>
            </w:r>
            <w:r w:rsidR="006F1EC0"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grupā</w:t>
            </w:r>
            <w:r w:rsidR="006F1EC0" w:rsidRPr="003C50D5">
              <w:rPr>
                <w:rFonts w:ascii="Times New Roman" w:eastAsia="Times New Roman" w:hAnsi="Times New Roman" w:cs="Times New Roman"/>
                <w:sz w:val="24"/>
                <w:szCs w:val="24"/>
                <w:lang w:eastAsia="lv-LV"/>
              </w:rPr>
              <w:t>s</w:t>
            </w:r>
            <w:r w:rsidRPr="003C50D5">
              <w:rPr>
                <w:rFonts w:ascii="Times New Roman" w:eastAsia="Times New Roman" w:hAnsi="Times New Roman" w:cs="Times New Roman"/>
                <w:sz w:val="24"/>
                <w:szCs w:val="24"/>
                <w:lang w:eastAsia="lv-LV"/>
              </w:rPr>
              <w:t>, tādējādi nosakot minimālo ienākumu sliekšņus sociālās aizsardzības jomā kā proporciju no ienākumu mediānas. Šāda pieeja nodrošina, ka</w:t>
            </w:r>
            <w:r w:rsidR="00C20011" w:rsidRPr="003C50D5">
              <w:rPr>
                <w:rFonts w:ascii="Times New Roman" w:eastAsia="Times New Roman" w:hAnsi="Times New Roman" w:cs="Times New Roman"/>
                <w:sz w:val="24"/>
                <w:szCs w:val="24"/>
                <w:lang w:eastAsia="lv-LV"/>
              </w:rPr>
              <w:t>,</w:t>
            </w:r>
            <w:r w:rsidRPr="003C50D5">
              <w:rPr>
                <w:rFonts w:ascii="Times New Roman" w:eastAsia="Times New Roman" w:hAnsi="Times New Roman" w:cs="Times New Roman"/>
                <w:sz w:val="24"/>
                <w:szCs w:val="24"/>
                <w:lang w:eastAsia="lv-LV"/>
              </w:rPr>
              <w:t xml:space="preserve"> mainoties ekonomiska</w:t>
            </w:r>
            <w:r w:rsidR="00846E4A" w:rsidRPr="003C50D5">
              <w:rPr>
                <w:rFonts w:ascii="Times New Roman" w:eastAsia="Times New Roman" w:hAnsi="Times New Roman" w:cs="Times New Roman"/>
                <w:sz w:val="24"/>
                <w:szCs w:val="24"/>
                <w:lang w:eastAsia="lv-LV"/>
              </w:rPr>
              <w:t>ja</w:t>
            </w:r>
            <w:r w:rsidRPr="003C50D5">
              <w:rPr>
                <w:rFonts w:ascii="Times New Roman" w:eastAsia="Times New Roman" w:hAnsi="Times New Roman" w:cs="Times New Roman"/>
                <w:sz w:val="24"/>
                <w:szCs w:val="24"/>
                <w:lang w:eastAsia="lv-LV"/>
              </w:rPr>
              <w:t>i situācijai valstī, līdzi mainās arī minimālo ienākumu sliekšņu apmēri, tādējādi veidojot samērīgu proporciju, kādā sabiedrības vairākums ir finansiāli spējīgs at</w:t>
            </w:r>
            <w:r w:rsidR="0015724A" w:rsidRPr="003C50D5">
              <w:rPr>
                <w:rFonts w:ascii="Times New Roman" w:eastAsia="Times New Roman" w:hAnsi="Times New Roman" w:cs="Times New Roman"/>
                <w:sz w:val="24"/>
                <w:szCs w:val="24"/>
                <w:lang w:eastAsia="lv-LV"/>
              </w:rPr>
              <w:t>balstīt</w:t>
            </w:r>
            <w:r w:rsidRPr="003C50D5">
              <w:rPr>
                <w:rFonts w:ascii="Times New Roman" w:eastAsia="Times New Roman" w:hAnsi="Times New Roman" w:cs="Times New Roman"/>
                <w:sz w:val="24"/>
                <w:szCs w:val="24"/>
                <w:lang w:eastAsia="lv-LV"/>
              </w:rPr>
              <w:t xml:space="preserve"> sabiedrības mazākumu ar zemiem ienākumiem.</w:t>
            </w:r>
          </w:p>
          <w:p w14:paraId="79262A48" w14:textId="2A9D40CB" w:rsidR="0015724A" w:rsidRPr="003C50D5" w:rsidRDefault="001D65B0"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Satversmes tiesa ir atzinusi, ka tāds sociālais atbalsts, kas personai rada iespēju veidot cilvēka cieņai atbilstošu dzīvi, ir nodrošināms ar sociālās </w:t>
            </w:r>
            <w:r w:rsidRPr="003C50D5">
              <w:rPr>
                <w:rFonts w:ascii="Times New Roman" w:eastAsia="Times New Roman" w:hAnsi="Times New Roman" w:cs="Times New Roman"/>
                <w:sz w:val="24"/>
                <w:szCs w:val="24"/>
                <w:lang w:eastAsia="lv-LV"/>
              </w:rPr>
              <w:lastRenderedPageBreak/>
              <w:t>palīdzības atbalsta pasākumiem. Līdz šim izveidotā sociālās drošības sistēma paredz, ka personas (mājsaimniecības) vajadzības tiek nodrošinātas mājsaimniecības ietvaros, kurā attiecīgi notiek tās rīcībā esošo resursu pārdale atbilstoši mājsaimniecības vajadzībām un prioritātēm. Tas gan nav attiecināms uz visiem transfertiem, jo nevar sagaidīt, ka pamatvajadzības tiks nodrošinātas uz to transfertu rēķina, kas mērķēti citu, specifisku vajadzību nodrošināšanai</w:t>
            </w:r>
            <w:r w:rsidRPr="003C50D5">
              <w:t xml:space="preserve"> </w:t>
            </w:r>
            <w:r w:rsidRPr="003C50D5">
              <w:rPr>
                <w:rFonts w:ascii="Times New Roman" w:eastAsia="Times New Roman" w:hAnsi="Times New Roman" w:cs="Times New Roman"/>
                <w:sz w:val="24"/>
                <w:szCs w:val="24"/>
                <w:lang w:eastAsia="lv-LV"/>
              </w:rPr>
              <w:t>Tādēļ pamatvajadzību apmierināšana nav skatāma tikai viena konkrēta minimālā ienākuma sliekšņa ietvarā, bet gan individuāli vērtējot personas (mājsaimniecības) vajadzības un tiesības konkrēto atbalstu saņemt.</w:t>
            </w:r>
          </w:p>
          <w:bookmarkEnd w:id="2"/>
          <w:p w14:paraId="5EB39F26" w14:textId="77777777" w:rsidR="00F70594" w:rsidRPr="003C50D5" w:rsidRDefault="00F70594" w:rsidP="00DE7AD5">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Likumprojekta grozījumi paredz:</w:t>
            </w:r>
          </w:p>
          <w:p w14:paraId="2BED4EF2" w14:textId="4E2E0608" w:rsidR="00F70594" w:rsidRPr="003C50D5" w:rsidRDefault="00F70594" w:rsidP="00DE7AD5">
            <w:pPr>
              <w:pStyle w:val="ListParagraph"/>
              <w:numPr>
                <w:ilvl w:val="0"/>
                <w:numId w:val="8"/>
              </w:numPr>
              <w:spacing w:before="120" w:after="0" w:line="240" w:lineRule="auto"/>
              <w:ind w:left="357"/>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Izmantojot Koncepcijā noteikto relatīvo metodi un piedāvāto Latvijas skalu ienākumu mediānas noteikšanā, papildināt likumu “Par sociālo drošību” (turpmāk – Likums) ar 2.</w:t>
            </w:r>
            <w:r w:rsidRPr="003C50D5">
              <w:rPr>
                <w:rFonts w:ascii="Times New Roman" w:eastAsia="Times New Roman" w:hAnsi="Times New Roman" w:cs="Times New Roman"/>
                <w:sz w:val="24"/>
                <w:szCs w:val="24"/>
                <w:vertAlign w:val="superscript"/>
                <w:lang w:eastAsia="lv-LV"/>
              </w:rPr>
              <w:t>2</w:t>
            </w:r>
            <w:r w:rsidRPr="003C50D5">
              <w:rPr>
                <w:rFonts w:ascii="Times New Roman" w:eastAsia="Times New Roman" w:hAnsi="Times New Roman" w:cs="Times New Roman"/>
                <w:sz w:val="24"/>
                <w:szCs w:val="24"/>
                <w:lang w:eastAsia="lv-LV"/>
              </w:rPr>
              <w:t xml:space="preserve"> pantu, kurš paredz noteikt minimālo ienākumu sliekšņu definīciju un noteikšanas kārtību. Šā Likuma panta izpratnē par minimālo ienākum</w:t>
            </w:r>
            <w:r w:rsidR="00232890" w:rsidRPr="003C50D5">
              <w:rPr>
                <w:rFonts w:ascii="Times New Roman" w:eastAsia="Times New Roman" w:hAnsi="Times New Roman" w:cs="Times New Roman"/>
                <w:sz w:val="24"/>
                <w:szCs w:val="24"/>
                <w:lang w:eastAsia="lv-LV"/>
              </w:rPr>
              <w:t>u</w:t>
            </w:r>
            <w:r w:rsidRPr="003C50D5">
              <w:rPr>
                <w:rFonts w:ascii="Times New Roman" w:eastAsia="Times New Roman" w:hAnsi="Times New Roman" w:cs="Times New Roman"/>
                <w:sz w:val="24"/>
                <w:szCs w:val="24"/>
                <w:lang w:eastAsia="lv-LV"/>
              </w:rPr>
              <w:t xml:space="preserve"> sliekšņiem tiek uzskatīti sekojoši valsts un pašvaldību noteikti ienākumu sliekšņi:</w:t>
            </w:r>
          </w:p>
          <w:p w14:paraId="49FA6118" w14:textId="479952B4" w:rsidR="00F70594" w:rsidRPr="003C50D5" w:rsidRDefault="00F70594" w:rsidP="00DE7AD5">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trūcīgas mājsaimniecības ienākum</w:t>
            </w:r>
            <w:r w:rsidR="00DC0AAF" w:rsidRPr="003C50D5">
              <w:rPr>
                <w:rFonts w:ascii="Times New Roman" w:eastAsia="Times New Roman" w:hAnsi="Times New Roman" w:cs="Times New Roman"/>
                <w:sz w:val="24"/>
                <w:szCs w:val="24"/>
                <w:lang w:eastAsia="lv-LV"/>
              </w:rPr>
              <w:t>u</w:t>
            </w:r>
            <w:r w:rsidRPr="003C50D5">
              <w:rPr>
                <w:rFonts w:ascii="Times New Roman" w:eastAsia="Times New Roman" w:hAnsi="Times New Roman" w:cs="Times New Roman"/>
                <w:sz w:val="24"/>
                <w:szCs w:val="24"/>
                <w:lang w:eastAsia="lv-LV"/>
              </w:rPr>
              <w:t xml:space="preserve"> slieksnis;</w:t>
            </w:r>
          </w:p>
          <w:p w14:paraId="256BC4FD" w14:textId="568CD037" w:rsidR="00F70594" w:rsidRPr="003C50D5" w:rsidRDefault="00F70594" w:rsidP="00DE7AD5">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garantētā minimālā ienākuma (turpmāk – GMI) slieksnis;</w:t>
            </w:r>
          </w:p>
          <w:p w14:paraId="731CB8FA" w14:textId="7E428C36" w:rsidR="00687FAF" w:rsidRPr="003C50D5" w:rsidRDefault="00687FAF" w:rsidP="00DE7AD5">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maznodrošinātas mājsaimniecības ienākumu slieksnis;</w:t>
            </w:r>
          </w:p>
          <w:p w14:paraId="3270EDA3" w14:textId="77777777" w:rsidR="00F70594" w:rsidRPr="003C50D5" w:rsidRDefault="00F70594" w:rsidP="00DE7AD5">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valsts sociālā nodrošinājuma pabalsts;</w:t>
            </w:r>
          </w:p>
          <w:p w14:paraId="315943E2" w14:textId="0127CA20" w:rsidR="00F70594" w:rsidRPr="003C50D5" w:rsidRDefault="00F70594" w:rsidP="00DE7AD5">
            <w:pPr>
              <w:pStyle w:val="ListParagraph"/>
              <w:numPr>
                <w:ilvl w:val="0"/>
                <w:numId w:val="9"/>
              </w:num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valsts minimālās pensijas (vecuma, invaliditātes, apgādnieka zaudējuma</w:t>
            </w:r>
            <w:r w:rsidR="00EA4F08"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pensijas).</w:t>
            </w:r>
          </w:p>
          <w:p w14:paraId="7F1A47FE" w14:textId="5DC75898" w:rsidR="00F05CF2" w:rsidRPr="003C50D5" w:rsidRDefault="00F70594" w:rsidP="00F05CF2">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Likumprojekts nosaka, ka minimālo ienākumu sliekšņus nosaka procentuālā izteiksmē no nacionālās ienākumu mediānas</w:t>
            </w:r>
            <w:r w:rsidR="00CA2FCC" w:rsidRPr="003C50D5">
              <w:rPr>
                <w:rFonts w:ascii="Times New Roman" w:eastAsia="Times New Roman" w:hAnsi="Times New Roman" w:cs="Times New Roman"/>
                <w:sz w:val="24"/>
                <w:szCs w:val="24"/>
                <w:lang w:eastAsia="lv-LV"/>
              </w:rPr>
              <w:t xml:space="preserve"> (sociālekonomiski (matemātisk</w:t>
            </w:r>
            <w:r w:rsidR="0085014B" w:rsidRPr="003C50D5">
              <w:rPr>
                <w:rFonts w:ascii="Times New Roman" w:eastAsia="Times New Roman" w:hAnsi="Times New Roman" w:cs="Times New Roman"/>
                <w:sz w:val="24"/>
                <w:szCs w:val="24"/>
                <w:lang w:eastAsia="lv-LV"/>
              </w:rPr>
              <w:t>i</w:t>
            </w:r>
            <w:r w:rsidR="00CA2FCC" w:rsidRPr="003C50D5">
              <w:rPr>
                <w:rFonts w:ascii="Times New Roman" w:eastAsia="Times New Roman" w:hAnsi="Times New Roman" w:cs="Times New Roman"/>
                <w:sz w:val="24"/>
                <w:szCs w:val="24"/>
                <w:lang w:eastAsia="lv-LV"/>
              </w:rPr>
              <w:t xml:space="preserve"> un statistiski) pamatota metodoloģiskā pieeja)</w:t>
            </w:r>
            <w:r w:rsidR="006D0934"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kura ir atskaites punkts sociālās aizsardzības jomu ietvaros noteikto atbalsta pasākumu nodrošināšanai.</w:t>
            </w:r>
            <w:r w:rsidR="008C385F" w:rsidRPr="003C50D5">
              <w:rPr>
                <w:rFonts w:ascii="Times New Roman" w:eastAsia="Times New Roman" w:hAnsi="Times New Roman" w:cs="Times New Roman"/>
                <w:sz w:val="24"/>
                <w:szCs w:val="24"/>
                <w:lang w:eastAsia="lv-LV"/>
              </w:rPr>
              <w:t xml:space="preserve"> </w:t>
            </w:r>
            <w:r w:rsidR="00CA2FCC" w:rsidRPr="003C50D5">
              <w:rPr>
                <w:rFonts w:ascii="Times New Roman" w:eastAsia="Times New Roman" w:hAnsi="Times New Roman" w:cs="Times New Roman"/>
                <w:sz w:val="24"/>
                <w:szCs w:val="24"/>
                <w:lang w:eastAsia="lv-LV"/>
              </w:rPr>
              <w:t>Attiecīgi tiek izpildīts Satversmes tiesas spriedumos noteiktais, ka minimālo ienākumu sliekšņu</w:t>
            </w:r>
            <w:r w:rsidR="001C31F3">
              <w:rPr>
                <w:rFonts w:ascii="Times New Roman" w:eastAsia="Times New Roman" w:hAnsi="Times New Roman" w:cs="Times New Roman"/>
                <w:sz w:val="24"/>
                <w:szCs w:val="24"/>
                <w:lang w:eastAsia="lv-LV"/>
              </w:rPr>
              <w:t xml:space="preserve"> apmērus</w:t>
            </w:r>
            <w:r w:rsidR="00CA2FCC" w:rsidRPr="003C50D5">
              <w:rPr>
                <w:rFonts w:ascii="Times New Roman" w:eastAsia="Times New Roman" w:hAnsi="Times New Roman" w:cs="Times New Roman"/>
                <w:sz w:val="24"/>
                <w:szCs w:val="24"/>
                <w:lang w:eastAsia="lv-LV"/>
              </w:rPr>
              <w:t xml:space="preserve"> nepieciešams piesaistīt</w:t>
            </w:r>
            <w:r w:rsidR="006D0934" w:rsidRPr="003C50D5">
              <w:rPr>
                <w:rFonts w:ascii="Times New Roman" w:eastAsia="Times New Roman" w:hAnsi="Times New Roman" w:cs="Times New Roman"/>
                <w:sz w:val="24"/>
                <w:szCs w:val="24"/>
                <w:lang w:eastAsia="lv-LV"/>
              </w:rPr>
              <w:t xml:space="preserve"> </w:t>
            </w:r>
            <w:r w:rsidR="00CA2FCC" w:rsidRPr="003C50D5">
              <w:rPr>
                <w:rFonts w:ascii="Times New Roman" w:eastAsia="Times New Roman" w:hAnsi="Times New Roman" w:cs="Times New Roman"/>
                <w:sz w:val="24"/>
                <w:szCs w:val="24"/>
                <w:lang w:eastAsia="lv-LV"/>
              </w:rPr>
              <w:t xml:space="preserve">konkrētam sociālekonomiskajam rādītājam, lai nodrošinātu to adekvātumu attiecībā pret reālo sociālekonomisko situāciju valstī. </w:t>
            </w:r>
            <w:r w:rsidR="008C385F" w:rsidRPr="003C50D5">
              <w:rPr>
                <w:rFonts w:ascii="Times New Roman" w:eastAsia="Times New Roman" w:hAnsi="Times New Roman" w:cs="Times New Roman"/>
                <w:sz w:val="24"/>
                <w:szCs w:val="24"/>
                <w:lang w:eastAsia="lv-LV"/>
              </w:rPr>
              <w:t xml:space="preserve">Minimālo ienākumu sliekšņus, kas izteikti procentuālā izteiksmē no ienākumu mediānas, noapaļo līdz veseliem </w:t>
            </w:r>
            <w:proofErr w:type="spellStart"/>
            <w:r w:rsidR="008C385F" w:rsidRPr="003C50D5">
              <w:rPr>
                <w:rFonts w:ascii="Times New Roman" w:eastAsia="Times New Roman" w:hAnsi="Times New Roman" w:cs="Times New Roman"/>
                <w:i/>
                <w:iCs/>
                <w:sz w:val="24"/>
                <w:szCs w:val="24"/>
                <w:lang w:eastAsia="lv-LV"/>
              </w:rPr>
              <w:t>euro</w:t>
            </w:r>
            <w:proofErr w:type="spellEnd"/>
            <w:r w:rsidR="008C385F" w:rsidRPr="003C50D5">
              <w:rPr>
                <w:rFonts w:ascii="Times New Roman" w:eastAsia="Times New Roman" w:hAnsi="Times New Roman" w:cs="Times New Roman"/>
                <w:i/>
                <w:iCs/>
                <w:sz w:val="24"/>
                <w:szCs w:val="24"/>
                <w:lang w:eastAsia="lv-LV"/>
              </w:rPr>
              <w:t xml:space="preserve">, </w:t>
            </w:r>
            <w:r w:rsidR="008C385F" w:rsidRPr="003C50D5">
              <w:rPr>
                <w:rFonts w:ascii="Times New Roman" w:eastAsia="Times New Roman" w:hAnsi="Times New Roman" w:cs="Times New Roman"/>
                <w:sz w:val="24"/>
                <w:szCs w:val="24"/>
                <w:lang w:eastAsia="lv-LV"/>
              </w:rPr>
              <w:t>kas ir labvēlīg</w:t>
            </w:r>
            <w:r w:rsidR="00292EEC" w:rsidRPr="003C50D5">
              <w:rPr>
                <w:rFonts w:ascii="Times New Roman" w:eastAsia="Times New Roman" w:hAnsi="Times New Roman" w:cs="Times New Roman"/>
                <w:sz w:val="24"/>
                <w:szCs w:val="24"/>
                <w:lang w:eastAsia="lv-LV"/>
              </w:rPr>
              <w:t>āk</w:t>
            </w:r>
            <w:r w:rsidR="008C385F" w:rsidRPr="003C50D5">
              <w:rPr>
                <w:rFonts w:ascii="Times New Roman" w:eastAsia="Times New Roman" w:hAnsi="Times New Roman" w:cs="Times New Roman"/>
                <w:sz w:val="24"/>
                <w:szCs w:val="24"/>
                <w:lang w:eastAsia="lv-LV"/>
              </w:rPr>
              <w:t xml:space="preserve"> atbalsta saņēmējam. </w:t>
            </w:r>
            <w:r w:rsidRPr="003C50D5">
              <w:rPr>
                <w:rFonts w:ascii="Times New Roman" w:eastAsia="Times New Roman" w:hAnsi="Times New Roman" w:cs="Times New Roman"/>
                <w:sz w:val="24"/>
                <w:szCs w:val="24"/>
                <w:lang w:eastAsia="lv-LV"/>
              </w:rPr>
              <w:t xml:space="preserve">Konkrētu </w:t>
            </w:r>
            <w:r w:rsidR="007170F6" w:rsidRPr="003C50D5">
              <w:rPr>
                <w:rFonts w:ascii="Times New Roman" w:eastAsia="Times New Roman" w:hAnsi="Times New Roman" w:cs="Times New Roman"/>
                <w:sz w:val="24"/>
                <w:szCs w:val="24"/>
                <w:lang w:eastAsia="lv-LV"/>
              </w:rPr>
              <w:t xml:space="preserve">šā Likuma panta izpratnē </w:t>
            </w:r>
            <w:r w:rsidRPr="003C50D5">
              <w:rPr>
                <w:rFonts w:ascii="Times New Roman" w:eastAsia="Times New Roman" w:hAnsi="Times New Roman" w:cs="Times New Roman"/>
                <w:sz w:val="24"/>
                <w:szCs w:val="24"/>
                <w:lang w:eastAsia="lv-LV"/>
              </w:rPr>
              <w:t>minimālo ienākumu sliekšņ</w:t>
            </w:r>
            <w:r w:rsidR="00C96A78" w:rsidRPr="003C50D5">
              <w:rPr>
                <w:rFonts w:ascii="Times New Roman" w:eastAsia="Times New Roman" w:hAnsi="Times New Roman" w:cs="Times New Roman"/>
                <w:sz w:val="24"/>
                <w:szCs w:val="24"/>
                <w:lang w:eastAsia="lv-LV"/>
              </w:rPr>
              <w:t>a</w:t>
            </w:r>
            <w:r w:rsidRPr="003C50D5">
              <w:rPr>
                <w:rFonts w:ascii="Times New Roman" w:eastAsia="Times New Roman" w:hAnsi="Times New Roman" w:cs="Times New Roman"/>
                <w:sz w:val="24"/>
                <w:szCs w:val="24"/>
                <w:lang w:eastAsia="lv-LV"/>
              </w:rPr>
              <w:t xml:space="preserve"> apmēru</w:t>
            </w:r>
            <w:r w:rsidR="00F17FA3"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nosaka attiecīgo</w:t>
            </w:r>
            <w:r w:rsidR="001E1A5F" w:rsidRPr="003C50D5">
              <w:rPr>
                <w:rFonts w:ascii="Times New Roman" w:eastAsia="Times New Roman" w:hAnsi="Times New Roman" w:cs="Times New Roman"/>
                <w:sz w:val="24"/>
                <w:szCs w:val="24"/>
                <w:lang w:eastAsia="lv-LV"/>
              </w:rPr>
              <w:t xml:space="preserve"> sociālo pakalpojumu</w:t>
            </w:r>
            <w:r w:rsidR="007170F6" w:rsidRPr="003C50D5">
              <w:rPr>
                <w:rStyle w:val="FootnoteReference"/>
                <w:rFonts w:ascii="Times New Roman" w:eastAsia="Times New Roman" w:hAnsi="Times New Roman" w:cs="Times New Roman"/>
                <w:sz w:val="24"/>
                <w:szCs w:val="24"/>
                <w:lang w:eastAsia="lv-LV"/>
              </w:rPr>
              <w:footnoteReference w:id="16"/>
            </w:r>
            <w:r w:rsidR="00C96A78" w:rsidRPr="003C50D5">
              <w:rPr>
                <w:rFonts w:ascii="Times New Roman" w:eastAsia="Times New Roman" w:hAnsi="Times New Roman" w:cs="Times New Roman"/>
                <w:sz w:val="24"/>
                <w:szCs w:val="24"/>
                <w:lang w:eastAsia="lv-LV"/>
              </w:rPr>
              <w:t xml:space="preserve"> reglamentējošā likumā (vai normatīvajos aktos), nosakot šī sliekšņa piemērošanas kritērijus, pakalpojumu piešķiršanas un izmaksas kārtību</w:t>
            </w:r>
            <w:r w:rsidR="00B05582" w:rsidRPr="003C50D5">
              <w:rPr>
                <w:rFonts w:ascii="Times New Roman" w:eastAsia="Times New Roman" w:hAnsi="Times New Roman" w:cs="Times New Roman"/>
                <w:sz w:val="24"/>
                <w:szCs w:val="24"/>
                <w:lang w:eastAsia="lv-LV"/>
              </w:rPr>
              <w:t>.</w:t>
            </w:r>
          </w:p>
          <w:p w14:paraId="5CB63AF0" w14:textId="77777777" w:rsidR="006F1EC0" w:rsidRPr="003C50D5" w:rsidRDefault="00F70594" w:rsidP="001D65B0">
            <w:pPr>
              <w:pStyle w:val="ListParagraph"/>
              <w:numPr>
                <w:ilvl w:val="0"/>
                <w:numId w:val="8"/>
              </w:numPr>
              <w:tabs>
                <w:tab w:val="left" w:pos="327"/>
              </w:tabs>
              <w:spacing w:before="120" w:after="0" w:line="240" w:lineRule="auto"/>
              <w:ind w:left="44" w:firstLine="0"/>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Noteikt minimālo ienākumu sliekšņu zemāko iespējamo apmēru, tādējādi paredzot, ka šā Likuma panta ietvaros </w:t>
            </w:r>
            <w:bookmarkStart w:id="3" w:name="_Hlk49959378"/>
            <w:r w:rsidRPr="003C50D5">
              <w:rPr>
                <w:rFonts w:ascii="Times New Roman" w:eastAsia="Times New Roman" w:hAnsi="Times New Roman" w:cs="Times New Roman"/>
                <w:sz w:val="24"/>
                <w:szCs w:val="24"/>
                <w:lang w:eastAsia="lv-LV"/>
              </w:rPr>
              <w:t>noteikto minimālo ienākumu sliekšņ</w:t>
            </w:r>
            <w:r w:rsidR="00232890" w:rsidRPr="003C50D5">
              <w:rPr>
                <w:rFonts w:ascii="Times New Roman" w:eastAsia="Times New Roman" w:hAnsi="Times New Roman" w:cs="Times New Roman"/>
                <w:sz w:val="24"/>
                <w:szCs w:val="24"/>
                <w:lang w:eastAsia="lv-LV"/>
              </w:rPr>
              <w:t>u</w:t>
            </w:r>
            <w:r w:rsidRPr="003C50D5">
              <w:rPr>
                <w:rFonts w:ascii="Times New Roman" w:eastAsia="Times New Roman" w:hAnsi="Times New Roman" w:cs="Times New Roman"/>
                <w:sz w:val="24"/>
                <w:szCs w:val="24"/>
                <w:lang w:eastAsia="lv-LV"/>
              </w:rPr>
              <w:t xml:space="preserve"> apmērs nevar būt zemāks kā 20% no </w:t>
            </w:r>
            <w:r w:rsidR="00B05582" w:rsidRPr="003C50D5">
              <w:rPr>
                <w:rFonts w:ascii="Times New Roman" w:eastAsia="Times New Roman" w:hAnsi="Times New Roman" w:cs="Times New Roman"/>
                <w:sz w:val="24"/>
                <w:szCs w:val="24"/>
                <w:lang w:eastAsia="lv-LV"/>
              </w:rPr>
              <w:t>pārskata</w:t>
            </w:r>
            <w:r w:rsidRPr="003C50D5">
              <w:rPr>
                <w:rFonts w:ascii="Times New Roman" w:eastAsia="Times New Roman" w:hAnsi="Times New Roman" w:cs="Times New Roman"/>
                <w:sz w:val="24"/>
                <w:szCs w:val="24"/>
                <w:lang w:eastAsia="lv-LV"/>
              </w:rPr>
              <w:t xml:space="preserve"> gadā publicētās ienākum</w:t>
            </w:r>
            <w:r w:rsidR="00232890" w:rsidRPr="003C50D5">
              <w:rPr>
                <w:rFonts w:ascii="Times New Roman" w:eastAsia="Times New Roman" w:hAnsi="Times New Roman" w:cs="Times New Roman"/>
                <w:sz w:val="24"/>
                <w:szCs w:val="24"/>
                <w:lang w:eastAsia="lv-LV"/>
              </w:rPr>
              <w:t>u</w:t>
            </w:r>
            <w:r w:rsidRPr="003C50D5">
              <w:rPr>
                <w:rFonts w:ascii="Times New Roman" w:eastAsia="Times New Roman" w:hAnsi="Times New Roman" w:cs="Times New Roman"/>
                <w:sz w:val="24"/>
                <w:szCs w:val="24"/>
                <w:lang w:eastAsia="lv-LV"/>
              </w:rPr>
              <w:t xml:space="preserve"> mediānas apmēra. Ar šo normu tiks noteikts zemākais iespējamais slieksnis, pie kura cilvēkam ir sniedzams atbalsts no publiskajiem resursiem.</w:t>
            </w:r>
            <w:r w:rsidR="006F1EC0" w:rsidRPr="003C50D5">
              <w:rPr>
                <w:rFonts w:ascii="Times New Roman" w:eastAsia="Times New Roman" w:hAnsi="Times New Roman" w:cs="Times New Roman"/>
                <w:sz w:val="24"/>
                <w:szCs w:val="24"/>
                <w:lang w:eastAsia="lv-LV"/>
              </w:rPr>
              <w:t xml:space="preserve"> </w:t>
            </w:r>
          </w:p>
          <w:p w14:paraId="5BDA43EC" w14:textId="26362722" w:rsidR="001D65B0" w:rsidRPr="003C50D5" w:rsidRDefault="006F1EC0" w:rsidP="006D2F0D">
            <w:pPr>
              <w:pStyle w:val="ListParagraph"/>
              <w:tabs>
                <w:tab w:val="left" w:pos="327"/>
              </w:tabs>
              <w:spacing w:before="120" w:after="0" w:line="240" w:lineRule="auto"/>
              <w:ind w:left="44"/>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lastRenderedPageBreak/>
              <w:t xml:space="preserve">Nosakot </w:t>
            </w:r>
            <w:r w:rsidR="001D65B0" w:rsidRPr="003C50D5">
              <w:rPr>
                <w:rFonts w:ascii="Times New Roman" w:eastAsia="Times New Roman" w:hAnsi="Times New Roman" w:cs="Times New Roman"/>
                <w:sz w:val="24"/>
                <w:szCs w:val="24"/>
                <w:lang w:eastAsia="lv-LV"/>
              </w:rPr>
              <w:t>20% no ienākumu mediānas (</w:t>
            </w:r>
            <w:r w:rsidR="00F05CF2" w:rsidRPr="003C50D5">
              <w:rPr>
                <w:rFonts w:ascii="Times New Roman" w:eastAsia="Times New Roman" w:hAnsi="Times New Roman" w:cs="Times New Roman"/>
                <w:sz w:val="24"/>
                <w:szCs w:val="24"/>
                <w:lang w:eastAsia="lv-LV"/>
              </w:rPr>
              <w:t xml:space="preserve">ar 2021.gada 1.janvāri </w:t>
            </w:r>
            <w:r w:rsidR="001D65B0" w:rsidRPr="003C50D5">
              <w:rPr>
                <w:rFonts w:ascii="Times New Roman" w:eastAsia="Times New Roman" w:hAnsi="Times New Roman" w:cs="Times New Roman"/>
                <w:sz w:val="24"/>
                <w:szCs w:val="24"/>
                <w:lang w:eastAsia="lv-LV"/>
              </w:rPr>
              <w:t xml:space="preserve">109 </w:t>
            </w:r>
            <w:proofErr w:type="spellStart"/>
            <w:r w:rsidR="001D65B0" w:rsidRPr="003C50D5">
              <w:rPr>
                <w:rFonts w:ascii="Times New Roman" w:eastAsia="Times New Roman" w:hAnsi="Times New Roman" w:cs="Times New Roman"/>
                <w:i/>
                <w:iCs/>
                <w:sz w:val="24"/>
                <w:szCs w:val="24"/>
                <w:lang w:eastAsia="lv-LV"/>
              </w:rPr>
              <w:t>euro</w:t>
            </w:r>
            <w:proofErr w:type="spellEnd"/>
            <w:r w:rsidR="00F05CF2" w:rsidRPr="003C50D5">
              <w:rPr>
                <w:rFonts w:ascii="Times New Roman" w:eastAsia="Times New Roman" w:hAnsi="Times New Roman" w:cs="Times New Roman"/>
                <w:i/>
                <w:iCs/>
                <w:sz w:val="24"/>
                <w:szCs w:val="24"/>
                <w:lang w:eastAsia="lv-LV"/>
              </w:rPr>
              <w:t xml:space="preserve"> </w:t>
            </w:r>
            <w:r w:rsidR="00F05CF2" w:rsidRPr="003C50D5">
              <w:rPr>
                <w:rFonts w:ascii="Times New Roman" w:eastAsia="Times New Roman" w:hAnsi="Times New Roman" w:cs="Times New Roman"/>
                <w:sz w:val="24"/>
                <w:szCs w:val="24"/>
                <w:lang w:eastAsia="lv-LV"/>
              </w:rPr>
              <w:t>apmērā, balstoties uz 2018.gada ienākumu mediān</w:t>
            </w:r>
            <w:r w:rsidR="002B3B1F" w:rsidRPr="003C50D5">
              <w:rPr>
                <w:rFonts w:ascii="Times New Roman" w:eastAsia="Times New Roman" w:hAnsi="Times New Roman" w:cs="Times New Roman"/>
                <w:sz w:val="24"/>
                <w:szCs w:val="24"/>
                <w:lang w:eastAsia="lv-LV"/>
              </w:rPr>
              <w:t>u</w:t>
            </w:r>
            <w:r w:rsidR="001D65B0" w:rsidRPr="003C50D5">
              <w:rPr>
                <w:rFonts w:ascii="Times New Roman" w:eastAsia="Times New Roman" w:hAnsi="Times New Roman" w:cs="Times New Roman"/>
                <w:sz w:val="24"/>
                <w:szCs w:val="24"/>
                <w:lang w:eastAsia="lv-LV"/>
              </w:rPr>
              <w:t>) kā zemāk</w:t>
            </w:r>
            <w:r w:rsidRPr="003C50D5">
              <w:rPr>
                <w:rFonts w:ascii="Times New Roman" w:eastAsia="Times New Roman" w:hAnsi="Times New Roman" w:cs="Times New Roman"/>
                <w:sz w:val="24"/>
                <w:szCs w:val="24"/>
                <w:lang w:eastAsia="lv-LV"/>
              </w:rPr>
              <w:t>o</w:t>
            </w:r>
            <w:r w:rsidR="001D65B0" w:rsidRPr="003C50D5">
              <w:rPr>
                <w:rFonts w:ascii="Times New Roman" w:eastAsia="Times New Roman" w:hAnsi="Times New Roman" w:cs="Times New Roman"/>
                <w:sz w:val="24"/>
                <w:szCs w:val="24"/>
                <w:lang w:eastAsia="lv-LV"/>
              </w:rPr>
              <w:t xml:space="preserve"> iespējam</w:t>
            </w:r>
            <w:r w:rsidRPr="003C50D5">
              <w:rPr>
                <w:rFonts w:ascii="Times New Roman" w:eastAsia="Times New Roman" w:hAnsi="Times New Roman" w:cs="Times New Roman"/>
                <w:sz w:val="24"/>
                <w:szCs w:val="24"/>
                <w:lang w:eastAsia="lv-LV"/>
              </w:rPr>
              <w:t>o</w:t>
            </w:r>
            <w:r w:rsidR="001D65B0" w:rsidRPr="003C50D5">
              <w:rPr>
                <w:rFonts w:ascii="Times New Roman" w:eastAsia="Times New Roman" w:hAnsi="Times New Roman" w:cs="Times New Roman"/>
                <w:sz w:val="24"/>
                <w:szCs w:val="24"/>
                <w:lang w:eastAsia="lv-LV"/>
              </w:rPr>
              <w:t xml:space="preserve"> minimālā ienākuma sliekšņa vērtīb</w:t>
            </w:r>
            <w:r w:rsidRPr="003C50D5">
              <w:rPr>
                <w:rFonts w:ascii="Times New Roman" w:eastAsia="Times New Roman" w:hAnsi="Times New Roman" w:cs="Times New Roman"/>
                <w:sz w:val="24"/>
                <w:szCs w:val="24"/>
                <w:lang w:eastAsia="lv-LV"/>
              </w:rPr>
              <w:t>u</w:t>
            </w:r>
            <w:r w:rsidR="001D65B0" w:rsidRPr="003C50D5">
              <w:rPr>
                <w:rFonts w:ascii="Times New Roman" w:eastAsia="Times New Roman" w:hAnsi="Times New Roman" w:cs="Times New Roman"/>
                <w:sz w:val="24"/>
                <w:szCs w:val="24"/>
                <w:lang w:eastAsia="lv-LV"/>
              </w:rPr>
              <w:t xml:space="preserve">, iedzīvotājiem ar zemiem un ļoti zemiem ienākumiem </w:t>
            </w:r>
            <w:r w:rsidRPr="003C50D5">
              <w:rPr>
                <w:rFonts w:ascii="Times New Roman" w:eastAsia="Times New Roman" w:hAnsi="Times New Roman" w:cs="Times New Roman"/>
                <w:sz w:val="24"/>
                <w:szCs w:val="24"/>
                <w:lang w:eastAsia="lv-LV"/>
              </w:rPr>
              <w:t xml:space="preserve">tiks sniegta papildu iespēja </w:t>
            </w:r>
            <w:r w:rsidR="001D65B0" w:rsidRPr="003C50D5">
              <w:rPr>
                <w:rFonts w:ascii="Times New Roman" w:eastAsia="Times New Roman" w:hAnsi="Times New Roman" w:cs="Times New Roman"/>
                <w:sz w:val="24"/>
                <w:szCs w:val="24"/>
                <w:lang w:eastAsia="lv-LV"/>
              </w:rPr>
              <w:t>sekmēt savu pamatvajadzību apmierināšanu, turklāt izmantojot dažādus atbalsta veidus</w:t>
            </w:r>
            <w:r w:rsidR="00F05CF2" w:rsidRPr="003C50D5">
              <w:rPr>
                <w:rFonts w:ascii="Times New Roman" w:eastAsia="Times New Roman" w:hAnsi="Times New Roman" w:cs="Times New Roman"/>
                <w:sz w:val="24"/>
                <w:szCs w:val="24"/>
                <w:lang w:eastAsia="lv-LV"/>
              </w:rPr>
              <w:t xml:space="preserve"> gan no valsts, gan no pašvaldību puses</w:t>
            </w:r>
            <w:r w:rsidR="001D65B0" w:rsidRPr="003C50D5">
              <w:rPr>
                <w:rFonts w:ascii="Times New Roman" w:eastAsia="Times New Roman" w:hAnsi="Times New Roman" w:cs="Times New Roman"/>
                <w:sz w:val="24"/>
                <w:szCs w:val="24"/>
                <w:lang w:eastAsia="lv-LV"/>
              </w:rPr>
              <w:t>. Ņemot vērā, ka</w:t>
            </w:r>
            <w:r w:rsidR="00F05CF2" w:rsidRPr="003C50D5">
              <w:rPr>
                <w:rFonts w:ascii="Times New Roman" w:eastAsia="Times New Roman" w:hAnsi="Times New Roman" w:cs="Times New Roman"/>
                <w:sz w:val="24"/>
                <w:szCs w:val="24"/>
                <w:lang w:eastAsia="lv-LV"/>
              </w:rPr>
              <w:t xml:space="preserve"> </w:t>
            </w:r>
            <w:r w:rsidR="001D65B0" w:rsidRPr="003C50D5">
              <w:rPr>
                <w:rFonts w:ascii="Times New Roman" w:eastAsia="Times New Roman" w:hAnsi="Times New Roman" w:cs="Times New Roman"/>
                <w:sz w:val="24"/>
                <w:szCs w:val="24"/>
                <w:lang w:eastAsia="lv-LV"/>
              </w:rPr>
              <w:t>valsts nodrošinātais minimālo ienākumu slieksnis nedrīkstētu būt zemāks kā</w:t>
            </w:r>
            <w:r w:rsidR="00F05CF2" w:rsidRPr="003C50D5">
              <w:rPr>
                <w:rFonts w:ascii="Times New Roman" w:eastAsia="Times New Roman" w:hAnsi="Times New Roman" w:cs="Times New Roman"/>
                <w:sz w:val="24"/>
                <w:szCs w:val="24"/>
                <w:lang w:eastAsia="lv-LV"/>
              </w:rPr>
              <w:t xml:space="preserve"> pašvaldības noteiktais zemākais minimālā ienākuma slieksnis jeb</w:t>
            </w:r>
            <w:r w:rsidR="001D65B0"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GMI</w:t>
            </w:r>
            <w:r w:rsidR="001D65B0" w:rsidRPr="003C50D5">
              <w:rPr>
                <w:rFonts w:ascii="Times New Roman" w:eastAsia="Times New Roman" w:hAnsi="Times New Roman" w:cs="Times New Roman"/>
                <w:sz w:val="24"/>
                <w:szCs w:val="24"/>
                <w:lang w:eastAsia="lv-LV"/>
              </w:rPr>
              <w:t xml:space="preserve"> līmenis, </w:t>
            </w:r>
            <w:r w:rsidR="00054BCA" w:rsidRPr="003C50D5">
              <w:rPr>
                <w:rFonts w:ascii="Times New Roman" w:eastAsia="Times New Roman" w:hAnsi="Times New Roman" w:cs="Times New Roman"/>
                <w:sz w:val="24"/>
                <w:szCs w:val="24"/>
                <w:lang w:eastAsia="lv-LV"/>
              </w:rPr>
              <w:t xml:space="preserve">zemākais slieksnis sociālās drošības sistēmas ietvaros </w:t>
            </w:r>
            <w:r w:rsidR="001D65B0" w:rsidRPr="003C50D5">
              <w:rPr>
                <w:rFonts w:ascii="Times New Roman" w:eastAsia="Times New Roman" w:hAnsi="Times New Roman" w:cs="Times New Roman"/>
                <w:sz w:val="24"/>
                <w:szCs w:val="24"/>
                <w:lang w:eastAsia="lv-LV"/>
              </w:rPr>
              <w:t xml:space="preserve">noteikts </w:t>
            </w:r>
            <w:r w:rsidR="00054BCA" w:rsidRPr="003C50D5">
              <w:rPr>
                <w:rFonts w:ascii="Times New Roman" w:eastAsia="Times New Roman" w:hAnsi="Times New Roman" w:cs="Times New Roman"/>
                <w:sz w:val="24"/>
                <w:szCs w:val="24"/>
                <w:lang w:eastAsia="lv-LV"/>
              </w:rPr>
              <w:t>20% apmērā no ienākumu mediānas</w:t>
            </w:r>
            <w:r w:rsidR="001D65B0" w:rsidRPr="003C50D5">
              <w:rPr>
                <w:rFonts w:ascii="Times New Roman" w:eastAsia="Times New Roman" w:hAnsi="Times New Roman" w:cs="Times New Roman"/>
                <w:sz w:val="24"/>
                <w:szCs w:val="24"/>
                <w:lang w:eastAsia="lv-LV"/>
              </w:rPr>
              <w:t xml:space="preserve">, kas ļauj nodrošināt </w:t>
            </w:r>
            <w:r w:rsidR="006D2F0D" w:rsidRPr="003C50D5">
              <w:rPr>
                <w:rFonts w:ascii="Times New Roman" w:eastAsia="Times New Roman" w:hAnsi="Times New Roman" w:cs="Times New Roman"/>
                <w:sz w:val="24"/>
                <w:szCs w:val="24"/>
                <w:lang w:eastAsia="lv-LV"/>
              </w:rPr>
              <w:t>pašu nepieciešamāko ikdienas izdevumus  segšanu (ēdienu, apģērbu, personīgās higiēnas lietas, nelielus mājsaimniecības ikdienas izdevumus).</w:t>
            </w:r>
            <w:r w:rsidR="001D65B0" w:rsidRPr="003C50D5">
              <w:rPr>
                <w:rFonts w:ascii="Times New Roman" w:eastAsia="Times New Roman" w:hAnsi="Times New Roman" w:cs="Times New Roman"/>
                <w:sz w:val="24"/>
                <w:szCs w:val="24"/>
                <w:lang w:eastAsia="lv-LV"/>
              </w:rPr>
              <w:t xml:space="preserve"> Uz pārējo pamatvajadzību nodrošināšanu ir vērstas citas sociālās drošības sistēmas daļas</w:t>
            </w:r>
            <w:r w:rsidR="00F05CF2" w:rsidRPr="003C50D5">
              <w:rPr>
                <w:rFonts w:ascii="Times New Roman" w:eastAsia="Times New Roman" w:hAnsi="Times New Roman" w:cs="Times New Roman"/>
                <w:sz w:val="24"/>
                <w:szCs w:val="24"/>
                <w:lang w:eastAsia="lv-LV"/>
              </w:rPr>
              <w:t xml:space="preserve"> (skatīt 1.tabulu)</w:t>
            </w:r>
            <w:r w:rsidR="00605571" w:rsidRPr="003C50D5">
              <w:rPr>
                <w:rFonts w:ascii="Times New Roman" w:eastAsia="Times New Roman" w:hAnsi="Times New Roman" w:cs="Times New Roman"/>
                <w:sz w:val="24"/>
                <w:szCs w:val="24"/>
                <w:lang w:eastAsia="lv-LV"/>
              </w:rPr>
              <w:t>.</w:t>
            </w:r>
          </w:p>
          <w:p w14:paraId="333CA2CB" w14:textId="4B6CDAB4" w:rsidR="00F05CF2" w:rsidRPr="003C50D5" w:rsidRDefault="00F05CF2" w:rsidP="00F05CF2">
            <w:pPr>
              <w:tabs>
                <w:tab w:val="left" w:pos="327"/>
              </w:tabs>
              <w:spacing w:before="120" w:after="0" w:line="240" w:lineRule="auto"/>
              <w:ind w:left="44"/>
              <w:jc w:val="right"/>
              <w:rPr>
                <w:rFonts w:ascii="Times New Roman" w:eastAsia="Times New Roman" w:hAnsi="Times New Roman" w:cs="Times New Roman"/>
                <w:i/>
                <w:iCs/>
                <w:sz w:val="24"/>
                <w:szCs w:val="24"/>
                <w:lang w:eastAsia="lv-LV"/>
              </w:rPr>
            </w:pPr>
            <w:r w:rsidRPr="003C50D5">
              <w:rPr>
                <w:rFonts w:ascii="Times New Roman" w:eastAsia="Times New Roman" w:hAnsi="Times New Roman" w:cs="Times New Roman"/>
                <w:i/>
                <w:iCs/>
                <w:sz w:val="24"/>
                <w:szCs w:val="24"/>
                <w:lang w:eastAsia="lv-LV"/>
              </w:rPr>
              <w:t>1.tabula</w:t>
            </w:r>
          </w:p>
          <w:tbl>
            <w:tblPr>
              <w:tblW w:w="6721" w:type="dxa"/>
              <w:tblCellMar>
                <w:left w:w="0" w:type="dxa"/>
                <w:right w:w="0" w:type="dxa"/>
              </w:tblCellMar>
              <w:tblLook w:val="0600" w:firstRow="0" w:lastRow="0" w:firstColumn="0" w:lastColumn="0" w:noHBand="1" w:noVBand="1"/>
            </w:tblPr>
            <w:tblGrid>
              <w:gridCol w:w="1087"/>
              <w:gridCol w:w="461"/>
              <w:gridCol w:w="5173"/>
            </w:tblGrid>
            <w:tr w:rsidR="003C50D5" w:rsidRPr="003C50D5" w14:paraId="13818871" w14:textId="77777777" w:rsidTr="0054037F">
              <w:trPr>
                <w:trHeight w:val="136"/>
              </w:trPr>
              <w:tc>
                <w:tcPr>
                  <w:tcW w:w="1548" w:type="dxa"/>
                  <w:gridSpan w:val="2"/>
                  <w:tcBorders>
                    <w:top w:val="single" w:sz="8" w:space="0" w:color="9BBB59"/>
                    <w:left w:val="single" w:sz="8" w:space="0" w:color="9BBB59"/>
                    <w:bottom w:val="single" w:sz="8" w:space="0" w:color="9BBB59"/>
                    <w:right w:val="single" w:sz="8" w:space="0" w:color="9BBB59"/>
                  </w:tcBorders>
                  <w:shd w:val="clear" w:color="auto" w:fill="C3D69B"/>
                  <w:tcMar>
                    <w:top w:w="10" w:type="dxa"/>
                    <w:left w:w="10" w:type="dxa"/>
                    <w:bottom w:w="0" w:type="dxa"/>
                    <w:right w:w="10" w:type="dxa"/>
                  </w:tcMar>
                  <w:hideMark/>
                </w:tcPr>
                <w:p w14:paraId="05672A17" w14:textId="77777777" w:rsidR="00F05CF2" w:rsidRPr="003C50D5" w:rsidRDefault="00F05CF2" w:rsidP="00F05CF2">
                  <w:pPr>
                    <w:spacing w:after="0" w:line="240" w:lineRule="auto"/>
                    <w:jc w:val="center"/>
                    <w:textAlignment w:val="bottom"/>
                    <w:rPr>
                      <w:rFonts w:ascii="Times New Roman" w:eastAsia="Times New Roman" w:hAnsi="Times New Roman" w:cs="Times New Roman"/>
                      <w:sz w:val="20"/>
                      <w:lang w:eastAsia="lv-LV"/>
                    </w:rPr>
                  </w:pPr>
                  <w:r w:rsidRPr="003C50D5">
                    <w:rPr>
                      <w:rFonts w:ascii="Times New Roman" w:eastAsia="MS PGothic" w:hAnsi="Times New Roman" w:cs="Times New Roman"/>
                      <w:b/>
                      <w:bCs/>
                      <w:kern w:val="24"/>
                      <w:sz w:val="20"/>
                      <w:lang w:eastAsia="lv-LV"/>
                    </w:rPr>
                    <w:t>Pamatvajadzība</w:t>
                  </w:r>
                </w:p>
              </w:tc>
              <w:tc>
                <w:tcPr>
                  <w:tcW w:w="5173" w:type="dxa"/>
                  <w:tcBorders>
                    <w:top w:val="single" w:sz="8" w:space="0" w:color="9BBB59"/>
                    <w:left w:val="single" w:sz="8" w:space="0" w:color="9BBB59"/>
                    <w:bottom w:val="single" w:sz="8" w:space="0" w:color="9BBB59"/>
                    <w:right w:val="single" w:sz="8" w:space="0" w:color="9BBB59"/>
                  </w:tcBorders>
                  <w:shd w:val="clear" w:color="auto" w:fill="C3D69B"/>
                  <w:tcMar>
                    <w:top w:w="10" w:type="dxa"/>
                    <w:left w:w="10" w:type="dxa"/>
                    <w:bottom w:w="0" w:type="dxa"/>
                    <w:right w:w="10" w:type="dxa"/>
                  </w:tcMar>
                  <w:hideMark/>
                </w:tcPr>
                <w:p w14:paraId="61C6679B" w14:textId="77777777" w:rsidR="00F05CF2" w:rsidRPr="003C50D5" w:rsidRDefault="00F05CF2" w:rsidP="00F05CF2">
                  <w:pPr>
                    <w:spacing w:after="0" w:line="240" w:lineRule="auto"/>
                    <w:jc w:val="center"/>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b/>
                      <w:bCs/>
                      <w:kern w:val="24"/>
                      <w:sz w:val="20"/>
                      <w:lang w:eastAsia="lv-LV"/>
                    </w:rPr>
                    <w:t>Sistēma, caur kuru nodrošina</w:t>
                  </w:r>
                </w:p>
              </w:tc>
            </w:tr>
            <w:tr w:rsidR="003C50D5" w:rsidRPr="003C50D5" w14:paraId="64E09858" w14:textId="77777777" w:rsidTr="00DF0330">
              <w:trPr>
                <w:trHeight w:val="1092"/>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6B5C1670"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Pārtika</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AE50E95" w14:textId="3CA61331" w:rsidR="00F05CF2" w:rsidRPr="003C50D5" w:rsidRDefault="00F05CF2" w:rsidP="00DF0330">
                  <w:pPr>
                    <w:pStyle w:val="ListParagraph"/>
                    <w:numPr>
                      <w:ilvl w:val="0"/>
                      <w:numId w:val="15"/>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bCs/>
                      <w:kern w:val="24"/>
                      <w:sz w:val="20"/>
                      <w:lang w:eastAsia="lv-LV"/>
                    </w:rPr>
                    <w:t>GMI pabalsts (20% no ienākumu mediānas)</w:t>
                  </w:r>
                </w:p>
                <w:p w14:paraId="4A54CF49" w14:textId="77777777" w:rsidR="00027E3B" w:rsidRPr="003C50D5" w:rsidRDefault="00F05CF2" w:rsidP="00DF0330">
                  <w:pPr>
                    <w:pStyle w:val="ListParagraph"/>
                    <w:numPr>
                      <w:ilvl w:val="0"/>
                      <w:numId w:val="15"/>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hAnsi="Times New Roman" w:cs="Times New Roman"/>
                      <w:sz w:val="20"/>
                      <w:shd w:val="clear" w:color="auto" w:fill="FFFFFF"/>
                    </w:rPr>
                    <w:t>Eiropas Vistrūcīgāko personu atbalstīšanas fonds (</w:t>
                  </w:r>
                  <w:r w:rsidRPr="003C50D5">
                    <w:rPr>
                      <w:rStyle w:val="Emphasis"/>
                      <w:rFonts w:ascii="Times New Roman" w:hAnsi="Times New Roman" w:cs="Times New Roman"/>
                      <w:b/>
                      <w:bCs/>
                      <w:sz w:val="20"/>
                      <w:shd w:val="clear" w:color="auto" w:fill="FFFFFF"/>
                    </w:rPr>
                    <w:t>FEAD</w:t>
                  </w:r>
                  <w:r w:rsidRPr="003C50D5">
                    <w:rPr>
                      <w:rFonts w:ascii="Times New Roman" w:hAnsi="Times New Roman" w:cs="Times New Roman"/>
                      <w:sz w:val="20"/>
                      <w:shd w:val="clear" w:color="auto" w:fill="FFFFFF"/>
                    </w:rPr>
                    <w:t>)</w:t>
                  </w:r>
                  <w:r w:rsidRPr="003C50D5">
                    <w:rPr>
                      <w:rFonts w:ascii="Times New Roman" w:eastAsia="MS PGothic" w:hAnsi="Times New Roman" w:cs="Times New Roman"/>
                      <w:kern w:val="24"/>
                      <w:sz w:val="20"/>
                      <w:lang w:eastAsia="lv-LV"/>
                    </w:rPr>
                    <w:t xml:space="preserve"> atbalsts</w:t>
                  </w:r>
                </w:p>
                <w:p w14:paraId="2D7E23CF" w14:textId="77777777" w:rsidR="00027E3B" w:rsidRPr="003C50D5" w:rsidRDefault="00F05CF2" w:rsidP="00DF0330">
                  <w:pPr>
                    <w:pStyle w:val="ListParagraph"/>
                    <w:numPr>
                      <w:ilvl w:val="0"/>
                      <w:numId w:val="15"/>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Valsts apmaksātas brīvpusdienas 1.-4. klasei</w:t>
                  </w:r>
                </w:p>
                <w:p w14:paraId="77F70848" w14:textId="77777777" w:rsidR="00F05CF2" w:rsidRPr="003C50D5" w:rsidRDefault="00F05CF2" w:rsidP="00DF0330">
                  <w:pPr>
                    <w:pStyle w:val="ListParagraph"/>
                    <w:numPr>
                      <w:ilvl w:val="0"/>
                      <w:numId w:val="15"/>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 xml:space="preserve">Pašvaldību finansētas brīvpusdienas pārējiem izglītojamajiem un pašvaldību finansētas brīvpusdienas pirmsskolai, atbilstoši to finansiālajai spējai </w:t>
                  </w:r>
                </w:p>
                <w:p w14:paraId="10534090" w14:textId="274839CC" w:rsidR="00AA1F63" w:rsidRPr="003C50D5" w:rsidRDefault="00AA1F63" w:rsidP="00DF0330">
                  <w:pPr>
                    <w:pStyle w:val="ListParagraph"/>
                    <w:numPr>
                      <w:ilvl w:val="0"/>
                      <w:numId w:val="15"/>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Times New Roman" w:hAnsi="Times New Roman" w:cs="Times New Roman"/>
                      <w:sz w:val="20"/>
                      <w:lang w:eastAsia="lv-LV"/>
                    </w:rPr>
                    <w:t>“Zupas virtuves”</w:t>
                  </w:r>
                </w:p>
              </w:tc>
            </w:tr>
            <w:tr w:rsidR="003C50D5" w:rsidRPr="003C50D5" w14:paraId="7504EF5B" w14:textId="53740A14" w:rsidTr="00DF0330">
              <w:trPr>
                <w:trHeight w:val="473"/>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1741657A"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Mājoklis</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82EB54F" w14:textId="77777777" w:rsidR="00027E3B" w:rsidRPr="003C50D5" w:rsidRDefault="00F05CF2" w:rsidP="00DF0330">
                  <w:pPr>
                    <w:pStyle w:val="ListParagraph"/>
                    <w:numPr>
                      <w:ilvl w:val="0"/>
                      <w:numId w:val="16"/>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bCs/>
                      <w:kern w:val="24"/>
                      <w:sz w:val="20"/>
                      <w:lang w:eastAsia="lv-LV"/>
                    </w:rPr>
                    <w:t>Mājokļa pabalsts</w:t>
                  </w:r>
                </w:p>
                <w:p w14:paraId="42DEB650" w14:textId="0D1EF877" w:rsidR="00F05CF2" w:rsidRPr="003C50D5" w:rsidRDefault="00F05CF2" w:rsidP="00DF0330">
                  <w:pPr>
                    <w:pStyle w:val="ListParagraph"/>
                    <w:numPr>
                      <w:ilvl w:val="0"/>
                      <w:numId w:val="16"/>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Cits pašvaldību atbalsts mājokļu jautājumu risināšanai (sociālais dzīvoklis vai pašvaldības īres dzīvoklis)</w:t>
                  </w:r>
                </w:p>
              </w:tc>
            </w:tr>
            <w:tr w:rsidR="003C50D5" w:rsidRPr="003C50D5" w14:paraId="75CAEEFB" w14:textId="77777777" w:rsidTr="00DF0330">
              <w:trPr>
                <w:trHeight w:val="548"/>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95F5D29"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Veselība</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217B40EB" w14:textId="77777777" w:rsidR="00027E3B" w:rsidRPr="003C50D5" w:rsidRDefault="00F05CF2" w:rsidP="00DF0330">
                  <w:pPr>
                    <w:pStyle w:val="ListParagraph"/>
                    <w:numPr>
                      <w:ilvl w:val="0"/>
                      <w:numId w:val="17"/>
                    </w:numPr>
                    <w:shd w:val="clear" w:color="auto" w:fill="FFFFFF"/>
                    <w:spacing w:after="0" w:line="240" w:lineRule="auto"/>
                    <w:ind w:left="418" w:hanging="247"/>
                    <w:jc w:val="both"/>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 xml:space="preserve">Valsts apmaksātie atvieglojumi trūcīgām personām (atbrīvojums no pacientu iemaksām, pacientu līdzmaksājumiem, </w:t>
                  </w:r>
                  <w:r w:rsidRPr="003C50D5">
                    <w:rPr>
                      <w:rFonts w:ascii="Times New Roman" w:hAnsi="Times New Roman" w:cs="Times New Roman"/>
                      <w:sz w:val="20"/>
                    </w:rPr>
                    <w:t>zāļu vai medicīnisko ierīču iegādes izdevumu kompensācija)</w:t>
                  </w:r>
                  <w:r w:rsidRPr="003C50D5">
                    <w:rPr>
                      <w:rFonts w:ascii="Times New Roman" w:eastAsia="MS PGothic" w:hAnsi="Times New Roman" w:cs="Times New Roman"/>
                      <w:kern w:val="24"/>
                      <w:sz w:val="20"/>
                      <w:lang w:eastAsia="lv-LV"/>
                    </w:rPr>
                    <w:t xml:space="preserve"> </w:t>
                  </w:r>
                </w:p>
                <w:p w14:paraId="3A85C556" w14:textId="70BD192A" w:rsidR="00F05CF2" w:rsidRPr="003C50D5" w:rsidRDefault="00F05CF2" w:rsidP="00DF0330">
                  <w:pPr>
                    <w:pStyle w:val="ListParagraph"/>
                    <w:numPr>
                      <w:ilvl w:val="0"/>
                      <w:numId w:val="17"/>
                    </w:numPr>
                    <w:shd w:val="clear" w:color="auto" w:fill="FFFFFF"/>
                    <w:spacing w:after="0" w:line="240" w:lineRule="auto"/>
                    <w:ind w:left="418" w:hanging="247"/>
                    <w:jc w:val="both"/>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 xml:space="preserve">Pabalsts atsevišķu izdevumu apmaksai - </w:t>
                  </w:r>
                  <w:r w:rsidRPr="003C50D5">
                    <w:rPr>
                      <w:rFonts w:ascii="Times New Roman" w:eastAsia="Times New Roman" w:hAnsi="Times New Roman" w:cs="Times New Roman"/>
                      <w:sz w:val="20"/>
                      <w:lang w:eastAsia="lv-LV"/>
                    </w:rPr>
                    <w:t>materiāls atbalsts personām sociālās funkcionēšanas un neatkarīgas dzīves veicināšanai</w:t>
                  </w:r>
                </w:p>
                <w:p w14:paraId="38F04D1C" w14:textId="499CACC4" w:rsidR="00F05CF2" w:rsidRPr="003C50D5" w:rsidRDefault="00F05CF2" w:rsidP="00DF0330">
                  <w:pPr>
                    <w:spacing w:after="0" w:line="240" w:lineRule="auto"/>
                    <w:ind w:left="418" w:hanging="247"/>
                    <w:jc w:val="both"/>
                    <w:textAlignment w:val="top"/>
                    <w:rPr>
                      <w:rFonts w:ascii="Times New Roman" w:eastAsia="Times New Roman" w:hAnsi="Times New Roman" w:cs="Times New Roman"/>
                      <w:sz w:val="20"/>
                      <w:lang w:eastAsia="lv-LV"/>
                    </w:rPr>
                  </w:pPr>
                </w:p>
              </w:tc>
            </w:tr>
            <w:tr w:rsidR="003C50D5" w:rsidRPr="003C50D5" w14:paraId="45734821" w14:textId="77777777" w:rsidTr="00DF0330">
              <w:trPr>
                <w:trHeight w:val="377"/>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053EFBCA"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Izglītība</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4E7BF847" w14:textId="77777777" w:rsidR="00027E3B" w:rsidRPr="003C50D5" w:rsidRDefault="00F05CF2" w:rsidP="00DF0330">
                  <w:pPr>
                    <w:pStyle w:val="ListParagraph"/>
                    <w:numPr>
                      <w:ilvl w:val="0"/>
                      <w:numId w:val="18"/>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Vispārējās izglītības sistēmas ietvaros bezmaksas izglītība visiem</w:t>
                  </w:r>
                </w:p>
                <w:p w14:paraId="6EED593E" w14:textId="0E1B759E" w:rsidR="00027E3B" w:rsidRPr="003C50D5" w:rsidRDefault="00F05CF2" w:rsidP="00DF0330">
                  <w:pPr>
                    <w:pStyle w:val="ListParagraph"/>
                    <w:numPr>
                      <w:ilvl w:val="0"/>
                      <w:numId w:val="18"/>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FEAD atbalsts</w:t>
                  </w:r>
                </w:p>
                <w:p w14:paraId="474044AA" w14:textId="1E4EE002" w:rsidR="00F05CF2" w:rsidRPr="003C50D5" w:rsidRDefault="00F05CF2" w:rsidP="00DF0330">
                  <w:pPr>
                    <w:pStyle w:val="ListParagraph"/>
                    <w:numPr>
                      <w:ilvl w:val="0"/>
                      <w:numId w:val="18"/>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 xml:space="preserve">Pabalsts atsevišķu izdevumu apmaksai – </w:t>
                  </w:r>
                  <w:r w:rsidRPr="003C50D5">
                    <w:rPr>
                      <w:rFonts w:ascii="Times New Roman" w:eastAsia="Times New Roman" w:hAnsi="Times New Roman" w:cs="Times New Roman"/>
                      <w:sz w:val="20"/>
                      <w:lang w:eastAsia="lv-LV"/>
                    </w:rPr>
                    <w:t>materiāls atbalsts personām sociālās funkcionēšanas un neatkarīgas dzīves veicināšanai</w:t>
                  </w:r>
                </w:p>
                <w:p w14:paraId="0796F64B" w14:textId="2145DD43" w:rsidR="00F05CF2" w:rsidRPr="003C50D5" w:rsidRDefault="00F05CF2" w:rsidP="00DF0330">
                  <w:pPr>
                    <w:spacing w:after="0" w:line="240" w:lineRule="auto"/>
                    <w:ind w:left="418" w:hanging="247"/>
                    <w:jc w:val="both"/>
                    <w:textAlignment w:val="top"/>
                    <w:rPr>
                      <w:rFonts w:ascii="Times New Roman" w:eastAsia="Times New Roman" w:hAnsi="Times New Roman" w:cs="Times New Roman"/>
                      <w:sz w:val="20"/>
                      <w:lang w:eastAsia="lv-LV"/>
                    </w:rPr>
                  </w:pPr>
                </w:p>
              </w:tc>
            </w:tr>
            <w:tr w:rsidR="003C50D5" w:rsidRPr="003C50D5" w14:paraId="332DBB72" w14:textId="2694DB59" w:rsidTr="00DF0330">
              <w:trPr>
                <w:trHeight w:val="391"/>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2A2EC42"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Apģērbs</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6EA1889A" w14:textId="77777777" w:rsidR="00027E3B" w:rsidRPr="003C50D5" w:rsidRDefault="00F05CF2" w:rsidP="00DF0330">
                  <w:pPr>
                    <w:pStyle w:val="ListParagraph"/>
                    <w:numPr>
                      <w:ilvl w:val="0"/>
                      <w:numId w:val="19"/>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bCs/>
                      <w:kern w:val="24"/>
                      <w:sz w:val="20"/>
                      <w:lang w:eastAsia="lv-LV"/>
                    </w:rPr>
                    <w:t>GMI pabalsts</w:t>
                  </w:r>
                </w:p>
                <w:p w14:paraId="6F4E8ABF" w14:textId="012474CD" w:rsidR="00F05CF2" w:rsidRPr="003C50D5" w:rsidRDefault="00F05CF2" w:rsidP="00DF0330">
                  <w:pPr>
                    <w:pStyle w:val="ListParagraph"/>
                    <w:numPr>
                      <w:ilvl w:val="0"/>
                      <w:numId w:val="19"/>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NVO atbalsts pašvaldībās</w:t>
                  </w:r>
                </w:p>
              </w:tc>
            </w:tr>
            <w:tr w:rsidR="003C50D5" w:rsidRPr="003C50D5" w14:paraId="1899B4D1" w14:textId="44A6D07A" w:rsidTr="00DF0330">
              <w:trPr>
                <w:trHeight w:val="413"/>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C7CDA34"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Dalība sociālajā dzīvē</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CCBFC44" w14:textId="77777777" w:rsidR="00F05CF2" w:rsidRPr="003C50D5" w:rsidRDefault="00F05CF2" w:rsidP="00DF0330">
                  <w:pPr>
                    <w:pStyle w:val="ListParagraph"/>
                    <w:numPr>
                      <w:ilvl w:val="0"/>
                      <w:numId w:val="21"/>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Pašvaldību un NVO organizētie pasākumi</w:t>
                  </w:r>
                </w:p>
              </w:tc>
            </w:tr>
            <w:tr w:rsidR="003C50D5" w:rsidRPr="003C50D5" w14:paraId="15FE0441" w14:textId="77777777" w:rsidTr="00DF0330">
              <w:trPr>
                <w:trHeight w:val="589"/>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5BBA6FEB"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Dalība kultūras dzīvē</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6B325BDF" w14:textId="77777777" w:rsidR="00027E3B" w:rsidRPr="003C50D5" w:rsidRDefault="00F05CF2" w:rsidP="00DF0330">
                  <w:pPr>
                    <w:pStyle w:val="ListParagraph"/>
                    <w:numPr>
                      <w:ilvl w:val="0"/>
                      <w:numId w:val="20"/>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Pašvaldību un NVO organizētie pasākumi</w:t>
                  </w:r>
                </w:p>
                <w:p w14:paraId="1BC9563C" w14:textId="7064EF04" w:rsidR="00F05CF2" w:rsidRPr="003C50D5" w:rsidRDefault="00F05CF2" w:rsidP="00DF0330">
                  <w:pPr>
                    <w:pStyle w:val="ListParagraph"/>
                    <w:numPr>
                      <w:ilvl w:val="0"/>
                      <w:numId w:val="20"/>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Ārpusskolas interešu izglītība</w:t>
                  </w:r>
                </w:p>
              </w:tc>
            </w:tr>
            <w:tr w:rsidR="003C50D5" w:rsidRPr="003C50D5" w14:paraId="413B50BE" w14:textId="70DC6AB7" w:rsidTr="00DF0330">
              <w:trPr>
                <w:trHeight w:val="1163"/>
              </w:trPr>
              <w:tc>
                <w:tcPr>
                  <w:tcW w:w="1087" w:type="dxa"/>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4CF5FDE4" w14:textId="77777777" w:rsidR="00F05CF2" w:rsidRPr="003C50D5" w:rsidRDefault="00F05CF2" w:rsidP="00DF0330">
                  <w:pPr>
                    <w:spacing w:after="0" w:line="240" w:lineRule="auto"/>
                    <w:jc w:val="both"/>
                    <w:textAlignment w:val="center"/>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Dalība politiskajos procesos</w:t>
                  </w:r>
                </w:p>
              </w:tc>
              <w:tc>
                <w:tcPr>
                  <w:tcW w:w="5634" w:type="dxa"/>
                  <w:gridSpan w:val="2"/>
                  <w:tcBorders>
                    <w:top w:val="single" w:sz="8" w:space="0" w:color="9BBB59"/>
                    <w:left w:val="single" w:sz="8" w:space="0" w:color="9BBB59"/>
                    <w:bottom w:val="single" w:sz="8" w:space="0" w:color="9BBB59"/>
                    <w:right w:val="single" w:sz="8" w:space="0" w:color="9BBB59"/>
                  </w:tcBorders>
                  <w:shd w:val="clear" w:color="auto" w:fill="auto"/>
                  <w:tcMar>
                    <w:top w:w="10" w:type="dxa"/>
                    <w:left w:w="10" w:type="dxa"/>
                    <w:bottom w:w="0" w:type="dxa"/>
                    <w:right w:w="10" w:type="dxa"/>
                  </w:tcMar>
                  <w:vAlign w:val="center"/>
                  <w:hideMark/>
                </w:tcPr>
                <w:p w14:paraId="7EB6BFE6" w14:textId="77777777" w:rsidR="00027E3B" w:rsidRPr="003C50D5" w:rsidRDefault="00F05CF2" w:rsidP="00DF0330">
                  <w:pPr>
                    <w:pStyle w:val="ListParagraph"/>
                    <w:numPr>
                      <w:ilvl w:val="0"/>
                      <w:numId w:val="22"/>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Pašvaldības organizēti pasākumi vēlēšanu vietu piekļuvei</w:t>
                  </w:r>
                </w:p>
                <w:p w14:paraId="3C516775" w14:textId="77777777" w:rsidR="00027E3B" w:rsidRPr="003C50D5" w:rsidRDefault="00F05CF2" w:rsidP="00DF0330">
                  <w:pPr>
                    <w:pStyle w:val="ListParagraph"/>
                    <w:numPr>
                      <w:ilvl w:val="0"/>
                      <w:numId w:val="22"/>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NVO fonda iniciatīvas pilsoniskās sabiedrības stiprināšanai</w:t>
                  </w:r>
                </w:p>
                <w:p w14:paraId="1419EA39" w14:textId="7020FB31" w:rsidR="00F05CF2" w:rsidRPr="003C50D5" w:rsidRDefault="00F05CF2" w:rsidP="00DF0330">
                  <w:pPr>
                    <w:pStyle w:val="ListParagraph"/>
                    <w:numPr>
                      <w:ilvl w:val="0"/>
                      <w:numId w:val="22"/>
                    </w:numPr>
                    <w:spacing w:after="0" w:line="240" w:lineRule="auto"/>
                    <w:ind w:left="418" w:hanging="247"/>
                    <w:jc w:val="both"/>
                    <w:textAlignment w:val="top"/>
                    <w:rPr>
                      <w:rFonts w:ascii="Times New Roman" w:eastAsia="Times New Roman" w:hAnsi="Times New Roman" w:cs="Times New Roman"/>
                      <w:sz w:val="20"/>
                      <w:lang w:eastAsia="lv-LV"/>
                    </w:rPr>
                  </w:pPr>
                  <w:r w:rsidRPr="003C50D5">
                    <w:rPr>
                      <w:rFonts w:ascii="Times New Roman" w:eastAsia="MS PGothic" w:hAnsi="Times New Roman" w:cs="Times New Roman"/>
                      <w:kern w:val="24"/>
                      <w:sz w:val="20"/>
                      <w:lang w:eastAsia="lv-LV"/>
                    </w:rPr>
                    <w:t>Politisko partiju iniciatīvas informācijas pieejamības nodrošināšanai</w:t>
                  </w:r>
                </w:p>
              </w:tc>
            </w:tr>
          </w:tbl>
          <w:p w14:paraId="2A0EF725" w14:textId="25BB70EB" w:rsidR="00F05CF2" w:rsidRPr="003C50D5" w:rsidRDefault="00F05CF2" w:rsidP="00F05CF2">
            <w:pPr>
              <w:tabs>
                <w:tab w:val="left" w:pos="327"/>
              </w:tabs>
              <w:spacing w:before="120" w:after="0" w:line="240" w:lineRule="auto"/>
              <w:ind w:left="44"/>
              <w:jc w:val="right"/>
              <w:rPr>
                <w:rFonts w:ascii="Times New Roman" w:eastAsia="Times New Roman" w:hAnsi="Times New Roman" w:cs="Times New Roman"/>
                <w:i/>
                <w:iCs/>
                <w:sz w:val="24"/>
                <w:szCs w:val="24"/>
                <w:lang w:eastAsia="lv-LV"/>
              </w:rPr>
            </w:pPr>
          </w:p>
          <w:p w14:paraId="09F1C6FB" w14:textId="0F620E49" w:rsidR="00F70594" w:rsidRPr="003C50D5" w:rsidRDefault="001D65B0" w:rsidP="001D65B0">
            <w:pPr>
              <w:spacing w:before="120"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Salīdzinot zemāko slieksni ar zemākās ienākumu grupas (1.kvintile) </w:t>
            </w:r>
            <w:r w:rsidR="00DF0330" w:rsidRPr="003C50D5">
              <w:rPr>
                <w:rFonts w:ascii="Times New Roman" w:eastAsia="Times New Roman" w:hAnsi="Times New Roman" w:cs="Times New Roman"/>
                <w:sz w:val="24"/>
                <w:szCs w:val="24"/>
                <w:lang w:eastAsia="lv-LV"/>
              </w:rPr>
              <w:t>mājsaimniecību ienākumiem vidēji uz vienu ekvivalento patērētāju pēc Latvijas skalas</w:t>
            </w:r>
            <w:r w:rsidR="0054037F" w:rsidRPr="003C50D5">
              <w:rPr>
                <w:rFonts w:ascii="Times New Roman" w:eastAsia="Times New Roman" w:hAnsi="Times New Roman" w:cs="Times New Roman"/>
                <w:sz w:val="24"/>
                <w:szCs w:val="24"/>
                <w:lang w:eastAsia="lv-LV"/>
              </w:rPr>
              <w:t xml:space="preserve">, </w:t>
            </w:r>
            <w:r w:rsidRPr="003C50D5">
              <w:rPr>
                <w:rFonts w:ascii="Times New Roman" w:eastAsia="Times New Roman" w:hAnsi="Times New Roman" w:cs="Times New Roman"/>
                <w:sz w:val="24"/>
                <w:szCs w:val="24"/>
                <w:lang w:eastAsia="lv-LV"/>
              </w:rPr>
              <w:t xml:space="preserve">ienākumi atbilstoši CSP veiktajiem aprēķiniem  ir vidēji 202 </w:t>
            </w:r>
            <w:proofErr w:type="spellStart"/>
            <w:r w:rsidRPr="003C50D5">
              <w:rPr>
                <w:rFonts w:ascii="Times New Roman" w:eastAsia="Times New Roman" w:hAnsi="Times New Roman" w:cs="Times New Roman"/>
                <w:sz w:val="24"/>
                <w:szCs w:val="24"/>
                <w:lang w:eastAsia="lv-LV"/>
              </w:rPr>
              <w:t>euro</w:t>
            </w:r>
            <w:proofErr w:type="spellEnd"/>
            <w:r w:rsidRPr="003C50D5">
              <w:rPr>
                <w:rFonts w:ascii="Times New Roman" w:eastAsia="Times New Roman" w:hAnsi="Times New Roman" w:cs="Times New Roman"/>
                <w:sz w:val="24"/>
                <w:szCs w:val="24"/>
                <w:lang w:eastAsia="lv-LV"/>
              </w:rPr>
              <w:t xml:space="preserve"> uz vienu ekvivalento patērētāju. Tādējādi zemākais </w:t>
            </w:r>
            <w:r w:rsidRPr="003C50D5">
              <w:rPr>
                <w:rFonts w:ascii="Times New Roman" w:eastAsia="Times New Roman" w:hAnsi="Times New Roman" w:cs="Times New Roman"/>
                <w:sz w:val="24"/>
                <w:szCs w:val="24"/>
                <w:lang w:eastAsia="lv-LV"/>
              </w:rPr>
              <w:lastRenderedPageBreak/>
              <w:t>minimālo ienākumu slieksnis būtu aptuveni puse no šādu mājsaimniecību ienākumiem uz vienu personu.</w:t>
            </w:r>
          </w:p>
          <w:bookmarkEnd w:id="3"/>
          <w:p w14:paraId="1B6B3FA3" w14:textId="40BDF6A9" w:rsidR="00F70594" w:rsidRPr="003C50D5" w:rsidRDefault="00F70594" w:rsidP="00DE7AD5">
            <w:pPr>
              <w:pStyle w:val="ListParagraph"/>
              <w:numPr>
                <w:ilvl w:val="0"/>
                <w:numId w:val="8"/>
              </w:numPr>
              <w:spacing w:before="120" w:after="0" w:line="240" w:lineRule="auto"/>
              <w:ind w:left="357"/>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Noteikt, ka ienākumu mediānas aprēķinā tie</w:t>
            </w:r>
            <w:r w:rsidR="00EA0131" w:rsidRPr="003C50D5">
              <w:rPr>
                <w:rFonts w:ascii="Times New Roman" w:eastAsia="Times New Roman" w:hAnsi="Times New Roman" w:cs="Times New Roman"/>
                <w:sz w:val="24"/>
                <w:szCs w:val="24"/>
                <w:lang w:eastAsia="lv-LV"/>
              </w:rPr>
              <w:t>k</w:t>
            </w:r>
            <w:r w:rsidRPr="003C50D5">
              <w:rPr>
                <w:rFonts w:ascii="Times New Roman" w:eastAsia="Times New Roman" w:hAnsi="Times New Roman" w:cs="Times New Roman"/>
                <w:sz w:val="24"/>
                <w:szCs w:val="24"/>
                <w:lang w:eastAsia="lv-LV"/>
              </w:rPr>
              <w:t xml:space="preserve"> izmantota Latvijas skala, tādējādi </w:t>
            </w:r>
            <w:r w:rsidR="00232890" w:rsidRPr="003C50D5">
              <w:rPr>
                <w:rFonts w:ascii="Times New Roman" w:eastAsia="Times New Roman" w:hAnsi="Times New Roman" w:cs="Times New Roman"/>
                <w:sz w:val="24"/>
                <w:szCs w:val="24"/>
                <w:lang w:eastAsia="lv-LV"/>
              </w:rPr>
              <w:t xml:space="preserve">likumdošanā </w:t>
            </w:r>
            <w:r w:rsidRPr="003C50D5">
              <w:rPr>
                <w:rFonts w:ascii="Times New Roman" w:eastAsia="Times New Roman" w:hAnsi="Times New Roman" w:cs="Times New Roman"/>
                <w:sz w:val="24"/>
                <w:szCs w:val="24"/>
                <w:lang w:eastAsia="lv-LV"/>
              </w:rPr>
              <w:t xml:space="preserve">nostiprinot Koncepcijā izdarīto izvēli par labu ekvivalences skalā piemērojamam </w:t>
            </w:r>
            <w:r w:rsidR="00232890" w:rsidRPr="003C50D5">
              <w:rPr>
                <w:rFonts w:ascii="Times New Roman" w:eastAsia="Times New Roman" w:hAnsi="Times New Roman" w:cs="Times New Roman"/>
                <w:sz w:val="24"/>
                <w:szCs w:val="24"/>
                <w:lang w:eastAsia="lv-LV"/>
              </w:rPr>
              <w:t xml:space="preserve">lielākam </w:t>
            </w:r>
            <w:r w:rsidRPr="003C50D5">
              <w:rPr>
                <w:rFonts w:ascii="Times New Roman" w:eastAsia="Times New Roman" w:hAnsi="Times New Roman" w:cs="Times New Roman"/>
                <w:sz w:val="24"/>
                <w:szCs w:val="24"/>
                <w:lang w:eastAsia="lv-LV"/>
              </w:rPr>
              <w:t>svaram pieaugušajiem un bērniem</w:t>
            </w:r>
            <w:r w:rsidR="00232890" w:rsidRPr="003C50D5">
              <w:rPr>
                <w:rFonts w:ascii="Times New Roman" w:eastAsia="Times New Roman" w:hAnsi="Times New Roman" w:cs="Times New Roman"/>
                <w:sz w:val="24"/>
                <w:szCs w:val="24"/>
                <w:lang w:eastAsia="lv-LV"/>
              </w:rPr>
              <w:t xml:space="preserve"> (t.i., 0.7 no pirmās personas)</w:t>
            </w:r>
            <w:r w:rsidRPr="003C50D5">
              <w:rPr>
                <w:rFonts w:ascii="Times New Roman" w:eastAsia="Times New Roman" w:hAnsi="Times New Roman" w:cs="Times New Roman"/>
                <w:sz w:val="24"/>
                <w:szCs w:val="24"/>
                <w:lang w:eastAsia="lv-LV"/>
              </w:rPr>
              <w:t xml:space="preserve">, ņemot vērā sociālekonomisko un demogrāfisko situāciju </w:t>
            </w:r>
            <w:r w:rsidR="00EA0131" w:rsidRPr="003C50D5">
              <w:rPr>
                <w:rFonts w:ascii="Times New Roman" w:eastAsia="Times New Roman" w:hAnsi="Times New Roman" w:cs="Times New Roman"/>
                <w:sz w:val="24"/>
                <w:szCs w:val="24"/>
                <w:lang w:eastAsia="lv-LV"/>
              </w:rPr>
              <w:t>Latvijā</w:t>
            </w:r>
            <w:r w:rsidRPr="003C50D5">
              <w:rPr>
                <w:rFonts w:ascii="Times New Roman" w:eastAsia="Times New Roman" w:hAnsi="Times New Roman" w:cs="Times New Roman"/>
                <w:sz w:val="24"/>
                <w:szCs w:val="24"/>
                <w:lang w:eastAsia="lv-LV"/>
              </w:rPr>
              <w:t xml:space="preserve">. </w:t>
            </w:r>
          </w:p>
          <w:p w14:paraId="30F5E525" w14:textId="3BBCC91D" w:rsidR="00F70594" w:rsidRPr="003C50D5" w:rsidRDefault="00F70594" w:rsidP="00DE7AD5">
            <w:pPr>
              <w:pStyle w:val="ListParagraph"/>
              <w:numPr>
                <w:ilvl w:val="0"/>
                <w:numId w:val="8"/>
              </w:numPr>
              <w:spacing w:before="120" w:after="0" w:line="240" w:lineRule="auto"/>
              <w:ind w:left="360"/>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Noteikt minimālo ienākumu sliekšņu pārskatīšanas kārtību. </w:t>
            </w:r>
            <w:bookmarkStart w:id="4" w:name="_Hlk49958695"/>
            <w:r w:rsidRPr="003C50D5">
              <w:rPr>
                <w:rFonts w:ascii="Times New Roman" w:eastAsia="Times New Roman" w:hAnsi="Times New Roman" w:cs="Times New Roman"/>
                <w:sz w:val="24"/>
                <w:szCs w:val="24"/>
                <w:lang w:eastAsia="lv-LV"/>
              </w:rPr>
              <w:t>L</w:t>
            </w:r>
            <w:r w:rsidRPr="003C50D5">
              <w:rPr>
                <w:rFonts w:ascii="Times New Roman" w:eastAsia="Times New Roman" w:hAnsi="Times New Roman" w:cs="Times New Roman"/>
                <w:sz w:val="24"/>
                <w:szCs w:val="24"/>
              </w:rPr>
              <w:t>ai nodrošinātu iedzīvotāj</w:t>
            </w:r>
            <w:r w:rsidR="00B26409" w:rsidRPr="003C50D5">
              <w:rPr>
                <w:rFonts w:ascii="Times New Roman" w:eastAsia="Times New Roman" w:hAnsi="Times New Roman" w:cs="Times New Roman"/>
                <w:sz w:val="24"/>
                <w:szCs w:val="24"/>
              </w:rPr>
              <w:t>iem</w:t>
            </w:r>
            <w:r w:rsidRPr="003C50D5">
              <w:rPr>
                <w:rFonts w:ascii="Times New Roman" w:eastAsia="Times New Roman" w:hAnsi="Times New Roman" w:cs="Times New Roman"/>
                <w:sz w:val="24"/>
                <w:szCs w:val="24"/>
              </w:rPr>
              <w:t xml:space="preserve"> ar zemiem ienākumiem iespēju saņemt adekvātu un vienlaikus ar pārējās sabiedrības interesēm samērīgu atbalstu, nepieciešams noteikt regulāru minimālo ienākumu sliekšņu pārskatīšanu atbilstoši sociālekonomiskajām izmaiņām valstī. Tādēļ likumprojekts paredz, ka</w:t>
            </w:r>
            <w:r w:rsidR="00CF391D" w:rsidRPr="003C50D5">
              <w:rPr>
                <w:rFonts w:ascii="Times New Roman" w:eastAsia="Times New Roman" w:hAnsi="Times New Roman" w:cs="Times New Roman"/>
                <w:sz w:val="24"/>
                <w:szCs w:val="24"/>
              </w:rPr>
              <w:t>,</w:t>
            </w:r>
            <w:r w:rsidRPr="003C50D5">
              <w:rPr>
                <w:rFonts w:ascii="Times New Roman" w:eastAsia="Times New Roman" w:hAnsi="Times New Roman" w:cs="Times New Roman"/>
                <w:sz w:val="24"/>
                <w:szCs w:val="24"/>
              </w:rPr>
              <w:t xml:space="preserve"> pamatojoties uz CSP tīmekļa vietnē publicēto aktuālo ienākumu mediānas vērtību</w:t>
            </w:r>
            <w:r w:rsidR="00CF391D" w:rsidRPr="003C50D5">
              <w:rPr>
                <w:rFonts w:ascii="Times New Roman" w:eastAsia="Times New Roman" w:hAnsi="Times New Roman" w:cs="Times New Roman"/>
                <w:sz w:val="24"/>
                <w:szCs w:val="24"/>
              </w:rPr>
              <w:t>,</w:t>
            </w:r>
            <w:r w:rsidRPr="003C50D5">
              <w:rPr>
                <w:rFonts w:ascii="Times New Roman" w:eastAsia="Times New Roman" w:hAnsi="Times New Roman" w:cs="Times New Roman"/>
                <w:sz w:val="24"/>
                <w:szCs w:val="24"/>
              </w:rPr>
              <w:t xml:space="preserve"> minimālo ienākumu sliekšņu pārskatīšana notiek katru gadu 1.jūlijā. Ja pārskata gadā ienākumu mediānas vērtība nemainās vai samazinās, minimālo ienākumu sliekšņi paliek iepriekš noteiktajā apmērā, tādējādi nodrošinot, ka nepasliktinās atbalsta saņēmēju līdzšinējā situācija. </w:t>
            </w:r>
            <w:bookmarkEnd w:id="4"/>
            <w:r w:rsidRPr="003C50D5">
              <w:rPr>
                <w:rFonts w:ascii="Times New Roman" w:eastAsia="Times New Roman" w:hAnsi="Times New Roman" w:cs="Times New Roman"/>
                <w:sz w:val="24"/>
                <w:szCs w:val="24"/>
              </w:rPr>
              <w:t>Vienlaikus jāņem vērā, ka ienākumu un dzīves apstākļu apsekojum</w:t>
            </w:r>
            <w:r w:rsidR="00B26409" w:rsidRPr="003C50D5">
              <w:rPr>
                <w:rFonts w:ascii="Times New Roman" w:eastAsia="Times New Roman" w:hAnsi="Times New Roman" w:cs="Times New Roman"/>
                <w:sz w:val="24"/>
                <w:szCs w:val="24"/>
              </w:rPr>
              <w:t>a</w:t>
            </w:r>
            <w:r w:rsidRPr="003C50D5">
              <w:rPr>
                <w:rFonts w:ascii="Times New Roman" w:eastAsia="Times New Roman" w:hAnsi="Times New Roman" w:cs="Times New Roman"/>
                <w:sz w:val="24"/>
                <w:szCs w:val="24"/>
              </w:rPr>
              <w:t xml:space="preserve"> dati, uz kā pamata tiek aprēķināta ienākumu mediāna</w:t>
            </w:r>
            <w:r w:rsidR="00B26409" w:rsidRPr="003C50D5">
              <w:rPr>
                <w:rFonts w:ascii="Times New Roman" w:hAnsi="Times New Roman" w:cs="Times New Roman"/>
                <w:sz w:val="24"/>
                <w:szCs w:val="24"/>
              </w:rPr>
              <w:t xml:space="preserve"> un analizēti nabadzības un sociālās atstumtības rādītāji Latvijā</w:t>
            </w:r>
            <w:r w:rsidRPr="003C50D5">
              <w:rPr>
                <w:rFonts w:ascii="Times New Roman" w:eastAsia="Times New Roman" w:hAnsi="Times New Roman" w:cs="Times New Roman"/>
                <w:sz w:val="24"/>
                <w:szCs w:val="24"/>
              </w:rPr>
              <w:t>, tiek iegūt</w:t>
            </w:r>
            <w:r w:rsidR="00B26409" w:rsidRPr="003C50D5">
              <w:rPr>
                <w:rFonts w:ascii="Times New Roman" w:eastAsia="Times New Roman" w:hAnsi="Times New Roman" w:cs="Times New Roman"/>
                <w:sz w:val="24"/>
                <w:szCs w:val="24"/>
              </w:rPr>
              <w:t>i</w:t>
            </w:r>
            <w:r w:rsidRPr="003C50D5">
              <w:rPr>
                <w:rFonts w:ascii="Times New Roman" w:eastAsia="Times New Roman" w:hAnsi="Times New Roman" w:cs="Times New Roman"/>
                <w:sz w:val="24"/>
                <w:szCs w:val="24"/>
              </w:rPr>
              <w:t xml:space="preserve"> un analizēti pēc vienotas pieejas visā</w:t>
            </w:r>
            <w:r w:rsidR="00B26409" w:rsidRPr="003C50D5">
              <w:rPr>
                <w:rFonts w:ascii="Times New Roman" w:eastAsia="Times New Roman" w:hAnsi="Times New Roman" w:cs="Times New Roman"/>
                <w:sz w:val="24"/>
                <w:szCs w:val="24"/>
              </w:rPr>
              <w:t>s</w:t>
            </w:r>
            <w:r w:rsidRPr="003C50D5">
              <w:rPr>
                <w:rFonts w:ascii="Times New Roman" w:eastAsia="Times New Roman" w:hAnsi="Times New Roman" w:cs="Times New Roman"/>
                <w:sz w:val="24"/>
                <w:szCs w:val="24"/>
              </w:rPr>
              <w:t xml:space="preserve"> ES dalībvalstī</w:t>
            </w:r>
            <w:r w:rsidR="00B26409" w:rsidRPr="003C50D5">
              <w:rPr>
                <w:rFonts w:ascii="Times New Roman" w:eastAsia="Times New Roman" w:hAnsi="Times New Roman" w:cs="Times New Roman"/>
                <w:sz w:val="24"/>
                <w:szCs w:val="24"/>
              </w:rPr>
              <w:t>s</w:t>
            </w:r>
            <w:r w:rsidRPr="003C50D5">
              <w:rPr>
                <w:rFonts w:ascii="Times New Roman" w:eastAsia="Times New Roman" w:hAnsi="Times New Roman" w:cs="Times New Roman"/>
                <w:sz w:val="24"/>
                <w:szCs w:val="24"/>
              </w:rPr>
              <w:t>, balstoties uz EU-SILC metodoloģiju</w:t>
            </w:r>
            <w:r w:rsidR="00FE5437" w:rsidRPr="003C50D5">
              <w:rPr>
                <w:rFonts w:ascii="Times New Roman" w:hAnsi="Times New Roman" w:cs="Times New Roman"/>
                <w:sz w:val="24"/>
                <w:szCs w:val="24"/>
              </w:rPr>
              <w:t>.</w:t>
            </w:r>
            <w:r w:rsidRPr="003C50D5">
              <w:rPr>
                <w:rFonts w:ascii="Times New Roman" w:hAnsi="Times New Roman" w:cs="Times New Roman"/>
                <w:sz w:val="24"/>
                <w:szCs w:val="24"/>
              </w:rPr>
              <w:t xml:space="preserve"> EU-SILC apsekojuma metodoloģija paredz iegūt ienākumu datus par fiksētu 12 mēnešu periodu no mājsaimniecībām, kuras piedalās apsekojumā un veic savu ienākumu uzskaiti. Tas nozīmē, ka, piemēram, par visu 2018.</w:t>
            </w:r>
            <w:r w:rsidR="00B26409" w:rsidRPr="003C50D5">
              <w:rPr>
                <w:rFonts w:ascii="Times New Roman" w:hAnsi="Times New Roman" w:cs="Times New Roman"/>
                <w:sz w:val="24"/>
                <w:szCs w:val="24"/>
              </w:rPr>
              <w:t> </w:t>
            </w:r>
            <w:r w:rsidRPr="003C50D5">
              <w:rPr>
                <w:rFonts w:ascii="Times New Roman" w:hAnsi="Times New Roman" w:cs="Times New Roman"/>
                <w:sz w:val="24"/>
                <w:szCs w:val="24"/>
              </w:rPr>
              <w:t>gadu tiek vākti dati, savukārt to apstrāde, korelēšana analīze un datu validēšana notiek 2019.</w:t>
            </w:r>
            <w:r w:rsidR="00B26409" w:rsidRPr="003C50D5">
              <w:rPr>
                <w:rFonts w:ascii="Times New Roman" w:hAnsi="Times New Roman" w:cs="Times New Roman"/>
                <w:sz w:val="24"/>
                <w:szCs w:val="24"/>
              </w:rPr>
              <w:t> </w:t>
            </w:r>
            <w:r w:rsidRPr="003C50D5">
              <w:rPr>
                <w:rFonts w:ascii="Times New Roman" w:hAnsi="Times New Roman" w:cs="Times New Roman"/>
                <w:sz w:val="24"/>
                <w:szCs w:val="24"/>
              </w:rPr>
              <w:t>gadā, bet datu publikācija tiek nodrošināta sākot ar 2020.</w:t>
            </w:r>
            <w:r w:rsidR="00B26409" w:rsidRPr="003C50D5">
              <w:rPr>
                <w:rFonts w:ascii="Times New Roman" w:hAnsi="Times New Roman" w:cs="Times New Roman"/>
                <w:sz w:val="24"/>
                <w:szCs w:val="24"/>
              </w:rPr>
              <w:t> </w:t>
            </w:r>
            <w:r w:rsidRPr="003C50D5">
              <w:rPr>
                <w:rFonts w:ascii="Times New Roman" w:hAnsi="Times New Roman" w:cs="Times New Roman"/>
                <w:sz w:val="24"/>
                <w:szCs w:val="24"/>
              </w:rPr>
              <w:t>gada I ceturksni. Eiropas Parlamenta un Padomes regula (ES)2019/1700 no 2021.gada noteikusi jaunus datu iesniegšanas termiņus</w:t>
            </w:r>
            <w:r w:rsidR="00B26409" w:rsidRPr="003C50D5">
              <w:rPr>
                <w:rFonts w:ascii="Times New Roman" w:hAnsi="Times New Roman" w:cs="Times New Roman"/>
                <w:sz w:val="24"/>
                <w:szCs w:val="24"/>
              </w:rPr>
              <w:t>, tiecoties uz iespējami ātrāku datu publicēšanu.</w:t>
            </w:r>
            <w:r w:rsidRPr="003C50D5">
              <w:rPr>
                <w:rFonts w:ascii="Times New Roman" w:hAnsi="Times New Roman" w:cs="Times New Roman"/>
                <w:sz w:val="24"/>
                <w:szCs w:val="24"/>
              </w:rPr>
              <w:t xml:space="preserve"> </w:t>
            </w:r>
            <w:r w:rsidR="00B26409" w:rsidRPr="003C50D5">
              <w:rPr>
                <w:rFonts w:ascii="Times New Roman" w:hAnsi="Times New Roman" w:cs="Times New Roman"/>
                <w:sz w:val="24"/>
                <w:szCs w:val="24"/>
              </w:rPr>
              <w:t>Tomēr a</w:t>
            </w:r>
            <w:r w:rsidRPr="003C50D5">
              <w:rPr>
                <w:rFonts w:ascii="Times New Roman" w:hAnsi="Times New Roman" w:cs="Times New Roman"/>
                <w:sz w:val="24"/>
                <w:szCs w:val="24"/>
              </w:rPr>
              <w:t>rī jaunais regulējums atļaus iegūt EU-SILC apsekojum</w:t>
            </w:r>
            <w:r w:rsidR="00B26409" w:rsidRPr="003C50D5">
              <w:rPr>
                <w:rFonts w:ascii="Times New Roman" w:hAnsi="Times New Roman" w:cs="Times New Roman"/>
                <w:sz w:val="24"/>
                <w:szCs w:val="24"/>
              </w:rPr>
              <w:t>a</w:t>
            </w:r>
            <w:r w:rsidRPr="003C50D5">
              <w:rPr>
                <w:rFonts w:ascii="Times New Roman" w:hAnsi="Times New Roman" w:cs="Times New Roman"/>
                <w:sz w:val="24"/>
                <w:szCs w:val="24"/>
              </w:rPr>
              <w:t xml:space="preserve"> datus par konkrēto ienākumu periodu ne ātrāk kā pēc gada. </w:t>
            </w:r>
            <w:r w:rsidRPr="003C50D5">
              <w:rPr>
                <w:rFonts w:ascii="Times New Roman" w:eastAsia="Times New Roman" w:hAnsi="Times New Roman" w:cs="Times New Roman"/>
                <w:sz w:val="24"/>
                <w:szCs w:val="24"/>
              </w:rPr>
              <w:t xml:space="preserve">Tādējādi šobrīd pēdējā aktuālā ienākumu mediāna ir par 2018.gadu, proti, 544,41 </w:t>
            </w:r>
            <w:proofErr w:type="spellStart"/>
            <w:r w:rsidRPr="003C50D5">
              <w:rPr>
                <w:rFonts w:ascii="Times New Roman" w:eastAsia="Times New Roman" w:hAnsi="Times New Roman" w:cs="Times New Roman"/>
                <w:i/>
                <w:iCs/>
                <w:sz w:val="24"/>
                <w:szCs w:val="24"/>
              </w:rPr>
              <w:t>euro</w:t>
            </w:r>
            <w:proofErr w:type="spellEnd"/>
            <w:r w:rsidRPr="003C50D5">
              <w:rPr>
                <w:rFonts w:ascii="Times New Roman" w:eastAsia="Times New Roman" w:hAnsi="Times New Roman" w:cs="Times New Roman"/>
                <w:sz w:val="24"/>
                <w:szCs w:val="24"/>
              </w:rPr>
              <w:t xml:space="preserve">, kas tiek ņemta par pamatu minimālo ienākumu sliekšņu noteikšanai, kas stāsies spēkā ar 2021.gada 1.janvāri.  </w:t>
            </w:r>
          </w:p>
          <w:p w14:paraId="64648FAF" w14:textId="547C41DD" w:rsidR="00F70594" w:rsidRPr="003C50D5" w:rsidRDefault="00F70594" w:rsidP="00DE7AD5">
            <w:pPr>
              <w:pStyle w:val="ListParagraph"/>
              <w:numPr>
                <w:ilvl w:val="0"/>
                <w:numId w:val="8"/>
              </w:numPr>
              <w:spacing w:before="120" w:after="0" w:line="240" w:lineRule="auto"/>
              <w:ind w:left="357"/>
              <w:jc w:val="both"/>
              <w:rPr>
                <w:rFonts w:ascii="Times New Roman" w:hAnsi="Times New Roman" w:cs="Times New Roman"/>
                <w:sz w:val="24"/>
                <w:szCs w:val="24"/>
              </w:rPr>
            </w:pPr>
            <w:r w:rsidRPr="003C50D5">
              <w:rPr>
                <w:rFonts w:ascii="Times New Roman" w:hAnsi="Times New Roman" w:cs="Times New Roman"/>
                <w:sz w:val="24"/>
                <w:szCs w:val="24"/>
              </w:rPr>
              <w:t>Noteikt pārejas noteikumus minimālo ienākumu sliekšņu pārskatīšanai. Proti, likumprojekts paredz, ka minimālo ienākumu sliekšņu pārskatīšanu veiks reizi gadā – 1. jūlijā, tādējādi nodrošinot nepieciešamos pārrēķinus minimālo ienākumu sliekšņu apmēros un to atbilstošu piemērošanu. Tomēr jāņem vērā, ka jaunie minimālo ienākumu sliekšņu apmēri stāsies spēkā ar 2021.gada 1.janvāri, pamatojoties uz 2018.gada ienākum</w:t>
            </w:r>
            <w:r w:rsidR="00B26409" w:rsidRPr="003C50D5">
              <w:rPr>
                <w:rFonts w:ascii="Times New Roman" w:hAnsi="Times New Roman" w:cs="Times New Roman"/>
                <w:sz w:val="24"/>
                <w:szCs w:val="24"/>
              </w:rPr>
              <w:t>u</w:t>
            </w:r>
            <w:r w:rsidRPr="003C50D5">
              <w:rPr>
                <w:rFonts w:ascii="Times New Roman" w:hAnsi="Times New Roman" w:cs="Times New Roman"/>
                <w:sz w:val="24"/>
                <w:szCs w:val="24"/>
              </w:rPr>
              <w:t xml:space="preserve"> mediān</w:t>
            </w:r>
            <w:r w:rsidR="00846E4A" w:rsidRPr="003C50D5">
              <w:rPr>
                <w:rFonts w:ascii="Times New Roman" w:hAnsi="Times New Roman" w:cs="Times New Roman"/>
                <w:sz w:val="24"/>
                <w:szCs w:val="24"/>
              </w:rPr>
              <w:t>u</w:t>
            </w:r>
            <w:r w:rsidRPr="003C50D5">
              <w:rPr>
                <w:rFonts w:ascii="Times New Roman" w:hAnsi="Times New Roman" w:cs="Times New Roman"/>
                <w:sz w:val="24"/>
                <w:szCs w:val="24"/>
              </w:rPr>
              <w:t>. Tas nozīmē, ka atkārtota ienākumu sliekšņu pārskatīšana būtu jāveic tā paša gada 1.jūlijā</w:t>
            </w:r>
            <w:r w:rsidR="00C1157B" w:rsidRPr="003C50D5">
              <w:rPr>
                <w:rFonts w:ascii="Times New Roman" w:hAnsi="Times New Roman" w:cs="Times New Roman"/>
                <w:sz w:val="24"/>
                <w:szCs w:val="24"/>
              </w:rPr>
              <w:t>, piemērojot 2019.gada ienākumu mediānu</w:t>
            </w:r>
            <w:r w:rsidRPr="003C50D5">
              <w:rPr>
                <w:rFonts w:ascii="Times New Roman" w:hAnsi="Times New Roman" w:cs="Times New Roman"/>
                <w:sz w:val="24"/>
                <w:szCs w:val="24"/>
              </w:rPr>
              <w:t xml:space="preserve">, kas no administrēšanas un piemērošanas viedokļa būtu nesamērīgi un laikietilpīgi </w:t>
            </w:r>
            <w:r w:rsidR="00B26409" w:rsidRPr="003C50D5">
              <w:rPr>
                <w:rFonts w:ascii="Times New Roman" w:hAnsi="Times New Roman" w:cs="Times New Roman"/>
                <w:sz w:val="24"/>
                <w:szCs w:val="24"/>
              </w:rPr>
              <w:t xml:space="preserve">- </w:t>
            </w:r>
            <w:r w:rsidRPr="003C50D5">
              <w:rPr>
                <w:rFonts w:ascii="Times New Roman" w:hAnsi="Times New Roman" w:cs="Times New Roman"/>
                <w:sz w:val="24"/>
                <w:szCs w:val="24"/>
              </w:rPr>
              <w:t>viena gada ietvaros divas reizes pārskatīt minimālo ienākumu sliekšņu apmērus. Vispirms ir nepieciešams veikt nepieciešamos priekšdarbus, t.sk. informācijas sistēmas pielāgošanu, jaunā tiesiskā regulējuma ieviešanai, kam arī</w:t>
            </w:r>
            <w:r w:rsidR="00C1157B" w:rsidRPr="003C50D5">
              <w:rPr>
                <w:rFonts w:ascii="Times New Roman" w:hAnsi="Times New Roman" w:cs="Times New Roman"/>
                <w:sz w:val="24"/>
                <w:szCs w:val="24"/>
              </w:rPr>
              <w:t xml:space="preserve"> atsevišķos gadījumos</w:t>
            </w:r>
            <w:r w:rsidRPr="003C50D5">
              <w:rPr>
                <w:rFonts w:ascii="Times New Roman" w:hAnsi="Times New Roman" w:cs="Times New Roman"/>
                <w:sz w:val="24"/>
                <w:szCs w:val="24"/>
              </w:rPr>
              <w:t xml:space="preserve"> būs nepieciešamas pārejas periods līdz 2021.gada jūnijam. Tādēļ pārejas noteikumi paredz, ka pirmā </w:t>
            </w:r>
            <w:r w:rsidRPr="003C50D5">
              <w:rPr>
                <w:rFonts w:ascii="Times New Roman" w:hAnsi="Times New Roman" w:cs="Times New Roman"/>
                <w:sz w:val="24"/>
                <w:szCs w:val="24"/>
              </w:rPr>
              <w:lastRenderedPageBreak/>
              <w:t>minimālo ienākumu sliekšņu pārskatīšana notiks 2022.gadā, ņemot vērā pēdējo aktuālo ienākumu mediānu, kas attiecīgi būs 20</w:t>
            </w:r>
            <w:r w:rsidR="00EA0131" w:rsidRPr="003C50D5">
              <w:rPr>
                <w:rFonts w:ascii="Times New Roman" w:hAnsi="Times New Roman" w:cs="Times New Roman"/>
                <w:sz w:val="24"/>
                <w:szCs w:val="24"/>
              </w:rPr>
              <w:t>20</w:t>
            </w:r>
            <w:r w:rsidRPr="003C50D5">
              <w:rPr>
                <w:rFonts w:ascii="Times New Roman" w:hAnsi="Times New Roman" w:cs="Times New Roman"/>
                <w:sz w:val="24"/>
                <w:szCs w:val="24"/>
              </w:rPr>
              <w:t xml:space="preserve">.gada ienākumu mediāna. </w:t>
            </w:r>
          </w:p>
          <w:p w14:paraId="00E92537" w14:textId="77777777" w:rsidR="00F70594" w:rsidRPr="003C50D5" w:rsidRDefault="00F70594" w:rsidP="00DE7AD5">
            <w:pPr>
              <w:pStyle w:val="ListParagraph"/>
              <w:spacing w:before="120" w:after="0" w:line="240" w:lineRule="auto"/>
              <w:rPr>
                <w:rFonts w:ascii="Times New Roman" w:hAnsi="Times New Roman" w:cs="Times New Roman"/>
                <w:sz w:val="24"/>
                <w:szCs w:val="24"/>
              </w:rPr>
            </w:pPr>
          </w:p>
          <w:p w14:paraId="3AE8D080" w14:textId="7AE7B0DF" w:rsidR="00F70594" w:rsidRPr="003C50D5" w:rsidRDefault="00EA0131" w:rsidP="00DE7AD5">
            <w:pPr>
              <w:spacing w:before="120"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Likumprojekts stāsies spēkā</w:t>
            </w:r>
            <w:r w:rsidR="00CF391D" w:rsidRPr="003C50D5">
              <w:rPr>
                <w:rFonts w:ascii="Times New Roman" w:hAnsi="Times New Roman" w:cs="Times New Roman"/>
                <w:sz w:val="24"/>
                <w:szCs w:val="24"/>
              </w:rPr>
              <w:t xml:space="preserve"> </w:t>
            </w:r>
            <w:r w:rsidRPr="003C50D5">
              <w:rPr>
                <w:rFonts w:ascii="Times New Roman" w:hAnsi="Times New Roman" w:cs="Times New Roman"/>
                <w:sz w:val="24"/>
                <w:szCs w:val="24"/>
              </w:rPr>
              <w:t>2021.gada 1.janvārī.</w:t>
            </w:r>
          </w:p>
        </w:tc>
      </w:tr>
      <w:tr w:rsidR="003C50D5" w:rsidRPr="003C50D5" w14:paraId="5449C67D"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074B4A2C" w14:textId="655F68AD"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lastRenderedPageBreak/>
              <w:t>3.</w:t>
            </w:r>
          </w:p>
        </w:tc>
        <w:tc>
          <w:tcPr>
            <w:tcW w:w="1113" w:type="pct"/>
            <w:gridSpan w:val="3"/>
            <w:tcBorders>
              <w:top w:val="outset" w:sz="6" w:space="0" w:color="auto"/>
              <w:left w:val="outset" w:sz="6" w:space="0" w:color="auto"/>
              <w:bottom w:val="outset" w:sz="6" w:space="0" w:color="auto"/>
              <w:right w:val="outset" w:sz="6" w:space="0" w:color="auto"/>
            </w:tcBorders>
            <w:hideMark/>
          </w:tcPr>
          <w:p w14:paraId="6E692D88"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3" w:type="pct"/>
            <w:gridSpan w:val="7"/>
            <w:tcBorders>
              <w:top w:val="outset" w:sz="6" w:space="0" w:color="auto"/>
              <w:left w:val="outset" w:sz="6" w:space="0" w:color="auto"/>
              <w:bottom w:val="outset" w:sz="6" w:space="0" w:color="auto"/>
              <w:right w:val="outset" w:sz="6" w:space="0" w:color="auto"/>
            </w:tcBorders>
            <w:hideMark/>
          </w:tcPr>
          <w:p w14:paraId="5404B969" w14:textId="487C651E" w:rsidR="00F70594" w:rsidRPr="003C50D5" w:rsidRDefault="00F70594" w:rsidP="00F272CD">
            <w:pPr>
              <w:spacing w:after="0" w:line="240" w:lineRule="auto"/>
              <w:jc w:val="both"/>
              <w:rPr>
                <w:rFonts w:ascii="Times New Roman" w:eastAsia="Times New Roman" w:hAnsi="Times New Roman" w:cs="Times New Roman"/>
                <w:sz w:val="24"/>
                <w:szCs w:val="24"/>
                <w:lang w:eastAsia="lv-LV"/>
              </w:rPr>
            </w:pPr>
            <w:r w:rsidRPr="003C50D5">
              <w:rPr>
                <w:rFonts w:ascii="Times New Roman" w:eastAsia="Times New Roman" w:hAnsi="Times New Roman" w:cs="Times New Roman"/>
                <w:sz w:val="24"/>
                <w:szCs w:val="24"/>
                <w:lang w:eastAsia="lv-LV"/>
              </w:rPr>
              <w:t xml:space="preserve">Noteikumu projekts izstrādāts sadarbībā ar </w:t>
            </w:r>
            <w:r w:rsidR="00B61651" w:rsidRPr="003C50D5">
              <w:rPr>
                <w:rFonts w:ascii="Times New Roman" w:eastAsia="Times New Roman" w:hAnsi="Times New Roman" w:cs="Times New Roman"/>
                <w:sz w:val="24"/>
                <w:szCs w:val="24"/>
                <w:lang w:eastAsia="lv-LV"/>
              </w:rPr>
              <w:t>Valsts sociāl</w:t>
            </w:r>
            <w:r w:rsidR="00637E95" w:rsidRPr="003C50D5">
              <w:rPr>
                <w:rFonts w:ascii="Times New Roman" w:eastAsia="Times New Roman" w:hAnsi="Times New Roman" w:cs="Times New Roman"/>
                <w:sz w:val="24"/>
                <w:szCs w:val="24"/>
                <w:lang w:eastAsia="lv-LV"/>
              </w:rPr>
              <w:t>o</w:t>
            </w:r>
            <w:r w:rsidR="00B61651" w:rsidRPr="003C50D5">
              <w:rPr>
                <w:rFonts w:ascii="Times New Roman" w:eastAsia="Times New Roman" w:hAnsi="Times New Roman" w:cs="Times New Roman"/>
                <w:sz w:val="24"/>
                <w:szCs w:val="24"/>
                <w:lang w:eastAsia="lv-LV"/>
              </w:rPr>
              <w:t xml:space="preserve"> apdrošināšanas aģentūru</w:t>
            </w:r>
            <w:r w:rsidRPr="003C50D5">
              <w:rPr>
                <w:rFonts w:ascii="Times New Roman" w:eastAsia="Times New Roman" w:hAnsi="Times New Roman" w:cs="Times New Roman"/>
                <w:sz w:val="24"/>
                <w:szCs w:val="24"/>
                <w:lang w:eastAsia="lv-LV"/>
              </w:rPr>
              <w:t>.</w:t>
            </w:r>
          </w:p>
        </w:tc>
      </w:tr>
      <w:tr w:rsidR="003C50D5" w:rsidRPr="003C50D5" w14:paraId="120E41FE"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2D507EFB"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4.</w:t>
            </w:r>
          </w:p>
        </w:tc>
        <w:tc>
          <w:tcPr>
            <w:tcW w:w="1113" w:type="pct"/>
            <w:gridSpan w:val="3"/>
            <w:tcBorders>
              <w:top w:val="outset" w:sz="6" w:space="0" w:color="auto"/>
              <w:left w:val="outset" w:sz="6" w:space="0" w:color="auto"/>
              <w:bottom w:val="outset" w:sz="6" w:space="0" w:color="auto"/>
              <w:right w:val="outset" w:sz="6" w:space="0" w:color="auto"/>
            </w:tcBorders>
            <w:hideMark/>
          </w:tcPr>
          <w:p w14:paraId="0424274C" w14:textId="49B98505"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Cita informācija</w:t>
            </w:r>
          </w:p>
          <w:p w14:paraId="6D30F78A" w14:textId="22DDE8FE" w:rsidR="00F70594" w:rsidRPr="003C50D5" w:rsidRDefault="00F70594" w:rsidP="00F272CD">
            <w:pPr>
              <w:tabs>
                <w:tab w:val="left" w:pos="408"/>
              </w:tabs>
              <w:rPr>
                <w:rFonts w:ascii="Times New Roman" w:eastAsia="Times New Roman" w:hAnsi="Times New Roman" w:cs="Times New Roman"/>
                <w:sz w:val="24"/>
                <w:szCs w:val="24"/>
                <w:lang w:eastAsia="lv-LV"/>
              </w:rPr>
            </w:pPr>
          </w:p>
        </w:tc>
        <w:tc>
          <w:tcPr>
            <w:tcW w:w="3573" w:type="pct"/>
            <w:gridSpan w:val="7"/>
            <w:tcBorders>
              <w:top w:val="outset" w:sz="6" w:space="0" w:color="auto"/>
              <w:left w:val="outset" w:sz="6" w:space="0" w:color="auto"/>
              <w:bottom w:val="outset" w:sz="6" w:space="0" w:color="auto"/>
              <w:right w:val="outset" w:sz="6" w:space="0" w:color="auto"/>
            </w:tcBorders>
            <w:hideMark/>
          </w:tcPr>
          <w:p w14:paraId="110BF04C" w14:textId="1967D57A" w:rsidR="00F70594" w:rsidRPr="003C50D5" w:rsidRDefault="00B83462" w:rsidP="00F272CD">
            <w:pPr>
              <w:spacing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Katru gadu p</w:t>
            </w:r>
            <w:r w:rsidR="004D6C59" w:rsidRPr="003C50D5">
              <w:rPr>
                <w:rFonts w:ascii="Times New Roman" w:hAnsi="Times New Roman" w:cs="Times New Roman"/>
                <w:sz w:val="24"/>
                <w:szCs w:val="24"/>
              </w:rPr>
              <w:t xml:space="preserve">ēc tam, kad CSP publicēs aktuālo ienākumu mediānu, </w:t>
            </w:r>
            <w:r w:rsidR="004333DF" w:rsidRPr="003C50D5">
              <w:rPr>
                <w:rFonts w:ascii="Times New Roman" w:hAnsi="Times New Roman" w:cs="Times New Roman"/>
                <w:sz w:val="24"/>
                <w:szCs w:val="24"/>
              </w:rPr>
              <w:t xml:space="preserve">Labklājības ministrija savā tīmekļa vietnē publicēs </w:t>
            </w:r>
            <w:r w:rsidR="001F46EF" w:rsidRPr="003C50D5">
              <w:rPr>
                <w:rFonts w:ascii="Times New Roman" w:hAnsi="Times New Roman" w:cs="Times New Roman"/>
                <w:sz w:val="24"/>
                <w:szCs w:val="24"/>
              </w:rPr>
              <w:t>aktuālos minimālo ienākumu sliekšņu apmērus</w:t>
            </w:r>
            <w:r w:rsidR="00C21F60" w:rsidRPr="003C50D5">
              <w:rPr>
                <w:rFonts w:ascii="Times New Roman" w:hAnsi="Times New Roman" w:cs="Times New Roman"/>
                <w:sz w:val="24"/>
                <w:szCs w:val="24"/>
              </w:rPr>
              <w:t xml:space="preserve"> (noapaļotus līdz veseliem </w:t>
            </w:r>
            <w:proofErr w:type="spellStart"/>
            <w:r w:rsidR="00C21F60" w:rsidRPr="003C50D5">
              <w:rPr>
                <w:rFonts w:ascii="Times New Roman" w:hAnsi="Times New Roman" w:cs="Times New Roman"/>
                <w:i/>
                <w:iCs/>
                <w:sz w:val="24"/>
                <w:szCs w:val="24"/>
              </w:rPr>
              <w:t>euro</w:t>
            </w:r>
            <w:proofErr w:type="spellEnd"/>
            <w:r w:rsidR="00C21F60" w:rsidRPr="003C50D5">
              <w:rPr>
                <w:rFonts w:ascii="Times New Roman" w:hAnsi="Times New Roman" w:cs="Times New Roman"/>
                <w:sz w:val="24"/>
                <w:szCs w:val="24"/>
              </w:rPr>
              <w:t>)</w:t>
            </w:r>
            <w:r w:rsidR="001F46EF" w:rsidRPr="003C50D5">
              <w:rPr>
                <w:rFonts w:ascii="Times New Roman" w:hAnsi="Times New Roman" w:cs="Times New Roman"/>
                <w:sz w:val="24"/>
                <w:szCs w:val="24"/>
              </w:rPr>
              <w:t xml:space="preserve">, </w:t>
            </w:r>
            <w:r w:rsidR="004D6C59" w:rsidRPr="003C50D5">
              <w:rPr>
                <w:rFonts w:ascii="Times New Roman" w:hAnsi="Times New Roman" w:cs="Times New Roman"/>
                <w:sz w:val="24"/>
                <w:szCs w:val="24"/>
              </w:rPr>
              <w:t xml:space="preserve">informējot sabiedrību par gaidāmajām </w:t>
            </w:r>
            <w:r w:rsidR="004333DF" w:rsidRPr="003C50D5">
              <w:rPr>
                <w:rFonts w:ascii="Times New Roman" w:hAnsi="Times New Roman" w:cs="Times New Roman"/>
                <w:sz w:val="24"/>
                <w:szCs w:val="24"/>
              </w:rPr>
              <w:t>izmaiņām</w:t>
            </w:r>
            <w:r w:rsidR="00285AF9" w:rsidRPr="003C50D5">
              <w:rPr>
                <w:rFonts w:ascii="Times New Roman" w:hAnsi="Times New Roman" w:cs="Times New Roman"/>
                <w:sz w:val="24"/>
                <w:szCs w:val="24"/>
              </w:rPr>
              <w:t xml:space="preserve"> attiecībā</w:t>
            </w:r>
            <w:r w:rsidR="004333DF" w:rsidRPr="003C50D5">
              <w:rPr>
                <w:rFonts w:ascii="Times New Roman" w:hAnsi="Times New Roman" w:cs="Times New Roman"/>
                <w:sz w:val="24"/>
                <w:szCs w:val="24"/>
              </w:rPr>
              <w:t xml:space="preserve"> pret iepriekšējo gadu. </w:t>
            </w:r>
          </w:p>
        </w:tc>
      </w:tr>
      <w:tr w:rsidR="003C50D5" w:rsidRPr="003C50D5" w14:paraId="3A3B7A95"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48067175" w14:textId="77777777" w:rsidR="00F70594" w:rsidRPr="003C50D5" w:rsidRDefault="00F70594"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C50D5" w:rsidRPr="003C50D5" w14:paraId="4975C87D"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16DA813F"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w:t>
            </w:r>
          </w:p>
        </w:tc>
        <w:tc>
          <w:tcPr>
            <w:tcW w:w="1113" w:type="pct"/>
            <w:gridSpan w:val="3"/>
            <w:tcBorders>
              <w:top w:val="outset" w:sz="6" w:space="0" w:color="auto"/>
              <w:left w:val="outset" w:sz="6" w:space="0" w:color="auto"/>
              <w:bottom w:val="outset" w:sz="6" w:space="0" w:color="auto"/>
              <w:right w:val="outset" w:sz="6" w:space="0" w:color="auto"/>
            </w:tcBorders>
            <w:hideMark/>
          </w:tcPr>
          <w:p w14:paraId="579CFC91"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Sabiedrības mērķgrupas, kuras tiesiskais regulējums ietekmē vai varētu ietekmēt</w:t>
            </w:r>
          </w:p>
        </w:tc>
        <w:tc>
          <w:tcPr>
            <w:tcW w:w="3573" w:type="pct"/>
            <w:gridSpan w:val="7"/>
            <w:tcBorders>
              <w:top w:val="outset" w:sz="6" w:space="0" w:color="auto"/>
              <w:left w:val="outset" w:sz="6" w:space="0" w:color="auto"/>
              <w:bottom w:val="outset" w:sz="6" w:space="0" w:color="auto"/>
              <w:right w:val="outset" w:sz="6" w:space="0" w:color="auto"/>
            </w:tcBorders>
            <w:hideMark/>
          </w:tcPr>
          <w:p w14:paraId="0F563172" w14:textId="1ADACB11" w:rsidR="00F70594" w:rsidRPr="003C50D5" w:rsidRDefault="00F70594" w:rsidP="00F272CD">
            <w:pPr>
              <w:spacing w:after="0" w:line="240" w:lineRule="auto"/>
              <w:jc w:val="both"/>
              <w:rPr>
                <w:rFonts w:ascii="Times New Roman" w:eastAsia="Times New Roman" w:hAnsi="Times New Roman" w:cs="Times New Roman"/>
                <w:bCs/>
                <w:iCs/>
                <w:sz w:val="24"/>
                <w:szCs w:val="24"/>
                <w:lang w:eastAsia="lv-LV"/>
              </w:rPr>
            </w:pPr>
            <w:r w:rsidRPr="003C50D5">
              <w:rPr>
                <w:rFonts w:ascii="Times New Roman" w:eastAsia="Times New Roman" w:hAnsi="Times New Roman" w:cs="Times New Roman"/>
                <w:iCs/>
                <w:sz w:val="24"/>
                <w:szCs w:val="24"/>
                <w:lang w:eastAsia="lv-LV"/>
              </w:rPr>
              <w:t xml:space="preserve">Likumprojekts atstās tiešu, pozitīvu ietekmi uz iedzīvotājiem un mājsaimniecībām ar zemiem un ļoti zemiem ienākumiem, kuri ir šā likumprojekta ietvara izpratnē noteikto minimālo ienākumu sliekšņu atbalsta saņēmēji. Likumprojekta ietekmē tiks paaugstināts GMI un trūcīgas </w:t>
            </w:r>
            <w:r w:rsidR="00B61651" w:rsidRPr="003C50D5">
              <w:rPr>
                <w:rFonts w:ascii="Times New Roman" w:eastAsia="Times New Roman" w:hAnsi="Times New Roman" w:cs="Times New Roman"/>
                <w:iCs/>
                <w:sz w:val="24"/>
                <w:szCs w:val="24"/>
                <w:lang w:eastAsia="lv-LV"/>
              </w:rPr>
              <w:t>mājsaimniecības</w:t>
            </w:r>
            <w:r w:rsidRPr="003C50D5">
              <w:rPr>
                <w:rFonts w:ascii="Times New Roman" w:eastAsia="Times New Roman" w:hAnsi="Times New Roman" w:cs="Times New Roman"/>
                <w:iCs/>
                <w:sz w:val="24"/>
                <w:szCs w:val="24"/>
                <w:lang w:eastAsia="lv-LV"/>
              </w:rPr>
              <w:t xml:space="preserve"> ienākumu līmenis, kā arī minimālo pensiju un valsts sociālā nodrošinājuma pabalsta</w:t>
            </w:r>
            <w:r w:rsidR="00B61651" w:rsidRPr="003C50D5">
              <w:rPr>
                <w:rFonts w:ascii="Times New Roman" w:eastAsia="Times New Roman" w:hAnsi="Times New Roman" w:cs="Times New Roman"/>
                <w:iCs/>
                <w:sz w:val="24"/>
                <w:szCs w:val="24"/>
                <w:lang w:eastAsia="lv-LV"/>
              </w:rPr>
              <w:t xml:space="preserve"> apmēri.</w:t>
            </w:r>
            <w:r w:rsidRPr="003C50D5">
              <w:rPr>
                <w:rFonts w:ascii="Times New Roman" w:eastAsia="Times New Roman" w:hAnsi="Times New Roman" w:cs="Times New Roman"/>
                <w:iCs/>
                <w:sz w:val="24"/>
                <w:szCs w:val="24"/>
                <w:lang w:eastAsia="lv-LV"/>
              </w:rPr>
              <w:t xml:space="preserve"> Līdz ar to jau ar 2021.gada </w:t>
            </w:r>
            <w:r w:rsidR="00B61651" w:rsidRPr="003C50D5">
              <w:rPr>
                <w:rFonts w:ascii="Times New Roman" w:eastAsia="Times New Roman" w:hAnsi="Times New Roman" w:cs="Times New Roman"/>
                <w:iCs/>
                <w:sz w:val="24"/>
                <w:szCs w:val="24"/>
                <w:lang w:eastAsia="lv-LV"/>
              </w:rPr>
              <w:t>1.</w:t>
            </w:r>
            <w:r w:rsidRPr="003C50D5">
              <w:rPr>
                <w:rFonts w:ascii="Times New Roman" w:eastAsia="Times New Roman" w:hAnsi="Times New Roman" w:cs="Times New Roman"/>
                <w:iCs/>
                <w:sz w:val="24"/>
                <w:szCs w:val="24"/>
                <w:lang w:eastAsia="lv-LV"/>
              </w:rPr>
              <w:t xml:space="preserve">janvāri šā likumprojekta un ar šo likumprojektu saistīto citu normatīvo aktu </w:t>
            </w:r>
            <w:r w:rsidR="00B61651" w:rsidRPr="003C50D5">
              <w:rPr>
                <w:rFonts w:ascii="Times New Roman" w:eastAsia="Times New Roman" w:hAnsi="Times New Roman" w:cs="Times New Roman"/>
                <w:iCs/>
                <w:sz w:val="24"/>
                <w:szCs w:val="24"/>
                <w:lang w:eastAsia="lv-LV"/>
              </w:rPr>
              <w:t>grozījumi</w:t>
            </w:r>
            <w:r w:rsidRPr="003C50D5">
              <w:rPr>
                <w:rFonts w:ascii="Times New Roman" w:eastAsia="Times New Roman" w:hAnsi="Times New Roman" w:cs="Times New Roman"/>
                <w:iCs/>
                <w:sz w:val="24"/>
                <w:szCs w:val="24"/>
                <w:lang w:eastAsia="lv-LV"/>
              </w:rPr>
              <w:t xml:space="preserve"> radīs pozitīvu ietekmi uz vairāk kā </w:t>
            </w:r>
            <w:r w:rsidR="00387450" w:rsidRPr="003C50D5">
              <w:rPr>
                <w:rFonts w:ascii="Times New Roman" w:eastAsia="Times New Roman" w:hAnsi="Times New Roman" w:cs="Times New Roman"/>
                <w:iCs/>
                <w:sz w:val="24"/>
                <w:szCs w:val="24"/>
                <w:lang w:eastAsia="lv-LV"/>
              </w:rPr>
              <w:t>140</w:t>
            </w:r>
            <w:r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bCs/>
                <w:iCs/>
                <w:sz w:val="24"/>
                <w:szCs w:val="24"/>
                <w:lang w:eastAsia="lv-LV"/>
              </w:rPr>
              <w:t>tūkst. valsts iedzīvot</w:t>
            </w:r>
            <w:r w:rsidR="00E2729C" w:rsidRPr="003C50D5">
              <w:rPr>
                <w:rFonts w:ascii="Times New Roman" w:eastAsia="Times New Roman" w:hAnsi="Times New Roman" w:cs="Times New Roman"/>
                <w:bCs/>
                <w:iCs/>
                <w:sz w:val="24"/>
                <w:szCs w:val="24"/>
                <w:lang w:eastAsia="lv-LV"/>
              </w:rPr>
              <w:t>ājiem</w:t>
            </w:r>
            <w:r w:rsidRPr="003C50D5">
              <w:rPr>
                <w:rFonts w:ascii="Times New Roman" w:eastAsia="Times New Roman" w:hAnsi="Times New Roman" w:cs="Times New Roman"/>
                <w:bCs/>
                <w:iCs/>
                <w:sz w:val="24"/>
                <w:szCs w:val="24"/>
                <w:lang w:eastAsia="lv-LV"/>
              </w:rPr>
              <w:t>, t.sk.</w:t>
            </w:r>
            <w:r w:rsidR="00387450" w:rsidRPr="003C50D5">
              <w:rPr>
                <w:rFonts w:ascii="Times New Roman" w:eastAsia="Times New Roman" w:hAnsi="Times New Roman" w:cs="Times New Roman"/>
                <w:bCs/>
                <w:iCs/>
                <w:sz w:val="24"/>
                <w:szCs w:val="24"/>
                <w:lang w:eastAsia="lv-LV"/>
              </w:rPr>
              <w:t xml:space="preserve"> lielākās pozitīvās ietekmes mērķa grupas būs</w:t>
            </w:r>
            <w:r w:rsidR="00960764" w:rsidRPr="003C50D5">
              <w:rPr>
                <w:rFonts w:ascii="Times New Roman" w:eastAsia="Times New Roman" w:hAnsi="Times New Roman" w:cs="Times New Roman"/>
                <w:bCs/>
                <w:iCs/>
                <w:sz w:val="24"/>
                <w:szCs w:val="24"/>
                <w:lang w:eastAsia="lv-LV"/>
              </w:rPr>
              <w:t xml:space="preserve"> </w:t>
            </w:r>
            <w:r w:rsidR="006A2FB2" w:rsidRPr="003C50D5">
              <w:rPr>
                <w:rFonts w:ascii="Times New Roman" w:eastAsia="Times New Roman" w:hAnsi="Times New Roman" w:cs="Times New Roman"/>
                <w:bCs/>
                <w:iCs/>
                <w:sz w:val="24"/>
                <w:szCs w:val="24"/>
                <w:lang w:eastAsia="lv-LV"/>
              </w:rPr>
              <w:t>–</w:t>
            </w:r>
            <w:r w:rsidR="00960764"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31</w:t>
            </w:r>
            <w:r w:rsidR="006A2FB2"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37</w:t>
            </w:r>
            <w:r w:rsidR="006A2FB2" w:rsidRPr="003C50D5">
              <w:rPr>
                <w:rFonts w:ascii="Times New Roman" w:eastAsia="Times New Roman" w:hAnsi="Times New Roman" w:cs="Times New Roman"/>
                <w:bCs/>
                <w:iCs/>
                <w:sz w:val="24"/>
                <w:szCs w:val="24"/>
                <w:lang w:eastAsia="lv-LV"/>
              </w:rPr>
              <w:t>3</w:t>
            </w:r>
            <w:r w:rsidRPr="003C50D5">
              <w:rPr>
                <w:rFonts w:ascii="Times New Roman" w:eastAsia="Times New Roman" w:hAnsi="Times New Roman" w:cs="Times New Roman"/>
                <w:bCs/>
                <w:iCs/>
                <w:sz w:val="24"/>
                <w:szCs w:val="24"/>
                <w:lang w:eastAsia="lv-LV"/>
              </w:rPr>
              <w:t xml:space="preserve"> minimālās vecuma pensijas </w:t>
            </w:r>
            <w:r w:rsidR="00387450" w:rsidRPr="003C50D5">
              <w:rPr>
                <w:rFonts w:ascii="Times New Roman" w:eastAsia="Times New Roman" w:hAnsi="Times New Roman" w:cs="Times New Roman"/>
                <w:bCs/>
                <w:iCs/>
                <w:sz w:val="24"/>
                <w:szCs w:val="24"/>
                <w:lang w:eastAsia="lv-LV"/>
              </w:rPr>
              <w:t>saņēmēji</w:t>
            </w:r>
            <w:r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44</w:t>
            </w:r>
            <w:r w:rsidR="006A2FB2"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3</w:t>
            </w:r>
            <w:r w:rsidR="006A2FB2" w:rsidRPr="003C50D5">
              <w:rPr>
                <w:rFonts w:ascii="Times New Roman" w:eastAsia="Times New Roman" w:hAnsi="Times New Roman" w:cs="Times New Roman"/>
                <w:bCs/>
                <w:iCs/>
                <w:sz w:val="24"/>
                <w:szCs w:val="24"/>
                <w:lang w:eastAsia="lv-LV"/>
              </w:rPr>
              <w:t>06</w:t>
            </w:r>
            <w:r w:rsidRPr="003C50D5">
              <w:rPr>
                <w:rFonts w:ascii="Times New Roman" w:eastAsia="Times New Roman" w:hAnsi="Times New Roman" w:cs="Times New Roman"/>
                <w:bCs/>
                <w:iCs/>
                <w:sz w:val="24"/>
                <w:szCs w:val="24"/>
                <w:lang w:eastAsia="lv-LV"/>
              </w:rPr>
              <w:t xml:space="preserve"> minimālās invaliditātes pensijas saņēmēji, </w:t>
            </w:r>
            <w:r w:rsidR="00387450" w:rsidRPr="003C50D5">
              <w:rPr>
                <w:rFonts w:ascii="Times New Roman" w:eastAsia="Times New Roman" w:hAnsi="Times New Roman" w:cs="Times New Roman"/>
                <w:bCs/>
                <w:iCs/>
                <w:sz w:val="24"/>
                <w:szCs w:val="24"/>
                <w:lang w:eastAsia="lv-LV"/>
              </w:rPr>
              <w:t>12</w:t>
            </w:r>
            <w:r w:rsidR="006A2FB2" w:rsidRPr="003C50D5">
              <w:rPr>
                <w:rFonts w:ascii="Times New Roman" w:eastAsia="Times New Roman" w:hAnsi="Times New Roman" w:cs="Times New Roman"/>
                <w:bCs/>
                <w:iCs/>
                <w:sz w:val="24"/>
                <w:szCs w:val="24"/>
                <w:lang w:eastAsia="lv-LV"/>
              </w:rPr>
              <w:t xml:space="preserve"> </w:t>
            </w:r>
            <w:r w:rsidR="007A3A0D" w:rsidRPr="003C50D5">
              <w:rPr>
                <w:rFonts w:ascii="Times New Roman" w:eastAsia="Times New Roman" w:hAnsi="Times New Roman" w:cs="Times New Roman"/>
                <w:bCs/>
                <w:iCs/>
                <w:sz w:val="24"/>
                <w:szCs w:val="24"/>
                <w:lang w:eastAsia="lv-LV"/>
              </w:rPr>
              <w:t>92</w:t>
            </w:r>
            <w:r w:rsidR="006A2FB2" w:rsidRPr="003C50D5">
              <w:rPr>
                <w:rFonts w:ascii="Times New Roman" w:eastAsia="Times New Roman" w:hAnsi="Times New Roman" w:cs="Times New Roman"/>
                <w:bCs/>
                <w:iCs/>
                <w:sz w:val="24"/>
                <w:szCs w:val="24"/>
                <w:lang w:eastAsia="lv-LV"/>
              </w:rPr>
              <w:t>9</w:t>
            </w:r>
            <w:r w:rsidRPr="003C50D5">
              <w:rPr>
                <w:rFonts w:ascii="Times New Roman" w:eastAsia="Times New Roman" w:hAnsi="Times New Roman" w:cs="Times New Roman"/>
                <w:bCs/>
                <w:iCs/>
                <w:sz w:val="24"/>
                <w:szCs w:val="24"/>
                <w:lang w:eastAsia="lv-LV"/>
              </w:rPr>
              <w:t xml:space="preserve"> minimālās </w:t>
            </w:r>
            <w:r w:rsidR="007A3A0D" w:rsidRPr="003C50D5">
              <w:rPr>
                <w:rFonts w:ascii="Times New Roman" w:eastAsia="Times New Roman" w:hAnsi="Times New Roman" w:cs="Times New Roman"/>
                <w:bCs/>
                <w:iCs/>
                <w:sz w:val="24"/>
                <w:szCs w:val="24"/>
                <w:lang w:eastAsia="lv-LV"/>
              </w:rPr>
              <w:t xml:space="preserve">pensijas </w:t>
            </w:r>
            <w:r w:rsidRPr="003C50D5">
              <w:rPr>
                <w:rFonts w:ascii="Times New Roman" w:eastAsia="Times New Roman" w:hAnsi="Times New Roman" w:cs="Times New Roman"/>
                <w:bCs/>
                <w:iCs/>
                <w:sz w:val="24"/>
                <w:szCs w:val="24"/>
                <w:lang w:eastAsia="lv-LV"/>
              </w:rPr>
              <w:t>un valsts sociālā nodrošinājuma pabalsta saņēmēji</w:t>
            </w:r>
            <w:r w:rsidR="007A3A0D" w:rsidRPr="003C50D5">
              <w:rPr>
                <w:rFonts w:ascii="Times New Roman" w:eastAsia="Times New Roman" w:hAnsi="Times New Roman" w:cs="Times New Roman"/>
                <w:bCs/>
                <w:iCs/>
                <w:sz w:val="24"/>
                <w:szCs w:val="24"/>
                <w:lang w:eastAsia="lv-LV"/>
              </w:rPr>
              <w:t xml:space="preserve"> apgādnieka zaudējuma gadījumā</w:t>
            </w:r>
            <w:r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1</w:t>
            </w:r>
            <w:r w:rsidR="006A2FB2"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67</w:t>
            </w:r>
            <w:r w:rsidR="006A2FB2" w:rsidRPr="003C50D5">
              <w:rPr>
                <w:rFonts w:ascii="Times New Roman" w:eastAsia="Times New Roman" w:hAnsi="Times New Roman" w:cs="Times New Roman"/>
                <w:bCs/>
                <w:iCs/>
                <w:sz w:val="24"/>
                <w:szCs w:val="24"/>
                <w:lang w:eastAsia="lv-LV"/>
              </w:rPr>
              <w:t>7</w:t>
            </w:r>
            <w:r w:rsidR="00387450" w:rsidRPr="003C50D5">
              <w:rPr>
                <w:rFonts w:ascii="Times New Roman" w:eastAsia="Times New Roman" w:hAnsi="Times New Roman" w:cs="Times New Roman"/>
                <w:bCs/>
                <w:iCs/>
                <w:sz w:val="24"/>
                <w:szCs w:val="24"/>
                <w:lang w:eastAsia="lv-LV"/>
              </w:rPr>
              <w:t xml:space="preserve"> valsts sociālā nodrošinājuma pabalsta saņēmēji pensijas vecumā, 18</w:t>
            </w:r>
            <w:r w:rsidR="006A2FB2" w:rsidRPr="003C50D5">
              <w:rPr>
                <w:rFonts w:ascii="Times New Roman" w:eastAsia="Times New Roman" w:hAnsi="Times New Roman" w:cs="Times New Roman"/>
                <w:bCs/>
                <w:iCs/>
                <w:sz w:val="24"/>
                <w:szCs w:val="24"/>
                <w:lang w:eastAsia="lv-LV"/>
              </w:rPr>
              <w:t xml:space="preserve"> </w:t>
            </w:r>
            <w:r w:rsidR="00387450" w:rsidRPr="003C50D5">
              <w:rPr>
                <w:rFonts w:ascii="Times New Roman" w:eastAsia="Times New Roman" w:hAnsi="Times New Roman" w:cs="Times New Roman"/>
                <w:bCs/>
                <w:iCs/>
                <w:sz w:val="24"/>
                <w:szCs w:val="24"/>
                <w:lang w:eastAsia="lv-LV"/>
              </w:rPr>
              <w:t>24</w:t>
            </w:r>
            <w:r w:rsidR="006A2FB2" w:rsidRPr="003C50D5">
              <w:rPr>
                <w:rFonts w:ascii="Times New Roman" w:eastAsia="Times New Roman" w:hAnsi="Times New Roman" w:cs="Times New Roman"/>
                <w:bCs/>
                <w:iCs/>
                <w:sz w:val="24"/>
                <w:szCs w:val="24"/>
                <w:lang w:eastAsia="lv-LV"/>
              </w:rPr>
              <w:t>8</w:t>
            </w:r>
            <w:r w:rsidR="00387450" w:rsidRPr="003C50D5">
              <w:rPr>
                <w:rFonts w:ascii="Times New Roman" w:eastAsia="Times New Roman" w:hAnsi="Times New Roman" w:cs="Times New Roman"/>
                <w:bCs/>
                <w:iCs/>
                <w:sz w:val="24"/>
                <w:szCs w:val="24"/>
                <w:lang w:eastAsia="lv-LV"/>
              </w:rPr>
              <w:t xml:space="preserve"> valsts sociālā nodrošinājuma pabalsta saņēmēji invaliditātes gadījumā, kā arī </w:t>
            </w:r>
            <w:r w:rsidR="00A42206" w:rsidRPr="003C50D5">
              <w:rPr>
                <w:rFonts w:ascii="Times New Roman" w:eastAsia="Times New Roman" w:hAnsi="Times New Roman" w:cs="Times New Roman"/>
                <w:bCs/>
                <w:iCs/>
                <w:sz w:val="24"/>
                <w:szCs w:val="24"/>
                <w:lang w:eastAsia="lv-LV"/>
              </w:rPr>
              <w:t xml:space="preserve"> 26 759 </w:t>
            </w:r>
            <w:r w:rsidR="00505EE3" w:rsidRPr="003C50D5">
              <w:rPr>
                <w:rFonts w:ascii="Times New Roman" w:eastAsia="Times New Roman" w:hAnsi="Times New Roman" w:cs="Times New Roman"/>
                <w:bCs/>
                <w:iCs/>
                <w:sz w:val="24"/>
                <w:szCs w:val="24"/>
                <w:lang w:eastAsia="lv-LV"/>
              </w:rPr>
              <w:t>GMI pabalsta saņēmēji.</w:t>
            </w:r>
          </w:p>
          <w:p w14:paraId="51B5E096" w14:textId="3D1FA690" w:rsidR="00F70594" w:rsidRPr="003C50D5" w:rsidRDefault="00F70594" w:rsidP="00F272CD">
            <w:pPr>
              <w:spacing w:after="0" w:line="240" w:lineRule="auto"/>
              <w:jc w:val="both"/>
              <w:rPr>
                <w:rFonts w:ascii="Times New Roman" w:eastAsia="Times New Roman" w:hAnsi="Times New Roman" w:cs="Times New Roman"/>
                <w:iCs/>
                <w:sz w:val="24"/>
                <w:szCs w:val="24"/>
                <w:lang w:eastAsia="lv-LV"/>
              </w:rPr>
            </w:pPr>
          </w:p>
        </w:tc>
      </w:tr>
      <w:tr w:rsidR="003C50D5" w:rsidRPr="003C50D5" w14:paraId="002318BB"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46993B3A"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bookmarkStart w:id="5" w:name="_Hlk51660207"/>
            <w:r w:rsidRPr="003C50D5">
              <w:rPr>
                <w:rFonts w:ascii="Times New Roman" w:eastAsia="Times New Roman" w:hAnsi="Times New Roman" w:cs="Times New Roman"/>
                <w:iCs/>
                <w:sz w:val="24"/>
                <w:szCs w:val="24"/>
                <w:lang w:eastAsia="lv-LV"/>
              </w:rPr>
              <w:t>2.</w:t>
            </w:r>
          </w:p>
        </w:tc>
        <w:tc>
          <w:tcPr>
            <w:tcW w:w="1113" w:type="pct"/>
            <w:gridSpan w:val="3"/>
            <w:tcBorders>
              <w:top w:val="outset" w:sz="6" w:space="0" w:color="auto"/>
              <w:left w:val="outset" w:sz="6" w:space="0" w:color="auto"/>
              <w:bottom w:val="outset" w:sz="6" w:space="0" w:color="auto"/>
              <w:right w:val="outset" w:sz="6" w:space="0" w:color="auto"/>
            </w:tcBorders>
            <w:hideMark/>
          </w:tcPr>
          <w:p w14:paraId="451CA511"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Tiesiskā regulējuma ietekme uz tautsaimniecību un administratīvo slogu</w:t>
            </w:r>
          </w:p>
          <w:p w14:paraId="3AA56252" w14:textId="77777777" w:rsidR="00A42206" w:rsidRPr="003C50D5" w:rsidRDefault="00A42206" w:rsidP="00A42206">
            <w:pPr>
              <w:rPr>
                <w:rFonts w:ascii="Times New Roman" w:eastAsia="Times New Roman" w:hAnsi="Times New Roman" w:cs="Times New Roman"/>
                <w:sz w:val="24"/>
                <w:szCs w:val="24"/>
                <w:lang w:eastAsia="lv-LV"/>
              </w:rPr>
            </w:pPr>
          </w:p>
          <w:p w14:paraId="6E42C279" w14:textId="77777777" w:rsidR="00A42206" w:rsidRPr="003C50D5" w:rsidRDefault="00A42206" w:rsidP="00A42206">
            <w:pPr>
              <w:rPr>
                <w:rFonts w:ascii="Times New Roman" w:eastAsia="Times New Roman" w:hAnsi="Times New Roman" w:cs="Times New Roman"/>
                <w:sz w:val="24"/>
                <w:szCs w:val="24"/>
                <w:lang w:eastAsia="lv-LV"/>
              </w:rPr>
            </w:pPr>
          </w:p>
          <w:p w14:paraId="2C0D39EC" w14:textId="77777777" w:rsidR="00A42206" w:rsidRPr="003C50D5" w:rsidRDefault="00A42206" w:rsidP="00A42206">
            <w:pPr>
              <w:rPr>
                <w:rFonts w:ascii="Times New Roman" w:eastAsia="Times New Roman" w:hAnsi="Times New Roman" w:cs="Times New Roman"/>
                <w:sz w:val="24"/>
                <w:szCs w:val="24"/>
                <w:lang w:eastAsia="lv-LV"/>
              </w:rPr>
            </w:pPr>
          </w:p>
          <w:p w14:paraId="017055CC" w14:textId="77777777" w:rsidR="00A42206" w:rsidRPr="003C50D5" w:rsidRDefault="00A42206" w:rsidP="00A42206">
            <w:pPr>
              <w:rPr>
                <w:rFonts w:ascii="Times New Roman" w:eastAsia="Times New Roman" w:hAnsi="Times New Roman" w:cs="Times New Roman"/>
                <w:sz w:val="24"/>
                <w:szCs w:val="24"/>
                <w:lang w:eastAsia="lv-LV"/>
              </w:rPr>
            </w:pPr>
          </w:p>
          <w:p w14:paraId="62016F2C" w14:textId="77777777" w:rsidR="00A42206" w:rsidRPr="003C50D5" w:rsidRDefault="00A42206" w:rsidP="00A42206">
            <w:pPr>
              <w:rPr>
                <w:rFonts w:ascii="Times New Roman" w:eastAsia="Times New Roman" w:hAnsi="Times New Roman" w:cs="Times New Roman"/>
                <w:sz w:val="24"/>
                <w:szCs w:val="24"/>
                <w:lang w:eastAsia="lv-LV"/>
              </w:rPr>
            </w:pPr>
          </w:p>
          <w:p w14:paraId="27FB99FB" w14:textId="77777777" w:rsidR="00A42206" w:rsidRPr="003C50D5" w:rsidRDefault="00A42206" w:rsidP="00A42206">
            <w:pPr>
              <w:rPr>
                <w:rFonts w:ascii="Times New Roman" w:eastAsia="Times New Roman" w:hAnsi="Times New Roman" w:cs="Times New Roman"/>
                <w:iCs/>
                <w:sz w:val="24"/>
                <w:szCs w:val="24"/>
                <w:lang w:eastAsia="lv-LV"/>
              </w:rPr>
            </w:pPr>
          </w:p>
          <w:p w14:paraId="7F81F569" w14:textId="6C12CAD1" w:rsidR="00A42206" w:rsidRPr="003C50D5" w:rsidRDefault="00A42206" w:rsidP="00A42206">
            <w:pPr>
              <w:jc w:val="right"/>
              <w:rPr>
                <w:rFonts w:ascii="Times New Roman" w:eastAsia="Times New Roman" w:hAnsi="Times New Roman" w:cs="Times New Roman"/>
                <w:sz w:val="24"/>
                <w:szCs w:val="24"/>
                <w:lang w:eastAsia="lv-LV"/>
              </w:rPr>
            </w:pPr>
          </w:p>
        </w:tc>
        <w:tc>
          <w:tcPr>
            <w:tcW w:w="3573" w:type="pct"/>
            <w:gridSpan w:val="7"/>
            <w:tcBorders>
              <w:top w:val="outset" w:sz="6" w:space="0" w:color="auto"/>
              <w:left w:val="outset" w:sz="6" w:space="0" w:color="auto"/>
              <w:bottom w:val="outset" w:sz="6" w:space="0" w:color="auto"/>
              <w:right w:val="outset" w:sz="6" w:space="0" w:color="auto"/>
            </w:tcBorders>
            <w:hideMark/>
          </w:tcPr>
          <w:p w14:paraId="1CAFDA72" w14:textId="033A1060" w:rsidR="00F70594" w:rsidRPr="003C50D5" w:rsidRDefault="00DF0330"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Likumprojektā</w:t>
            </w:r>
            <w:r w:rsidR="00F70594" w:rsidRPr="003C50D5">
              <w:rPr>
                <w:rFonts w:ascii="Times New Roman" w:eastAsia="Times New Roman" w:hAnsi="Times New Roman" w:cs="Times New Roman"/>
                <w:iCs/>
                <w:sz w:val="24"/>
                <w:szCs w:val="24"/>
                <w:lang w:eastAsia="lv-LV"/>
              </w:rPr>
              <w:t xml:space="preserve"> projektā ietvertais grozījums</w:t>
            </w:r>
            <w:r w:rsidR="00F70594" w:rsidRPr="003C50D5">
              <w:rPr>
                <w:rFonts w:ascii="Times New Roman" w:hAnsi="Times New Roman" w:cs="Times New Roman"/>
                <w:sz w:val="24"/>
                <w:szCs w:val="24"/>
              </w:rPr>
              <w:t xml:space="preserve"> neietekmē </w:t>
            </w:r>
            <w:r w:rsidR="00F70594" w:rsidRPr="003C50D5">
              <w:rPr>
                <w:rFonts w:ascii="Times New Roman" w:eastAsia="Times New Roman" w:hAnsi="Times New Roman" w:cs="Times New Roman"/>
                <w:iCs/>
                <w:sz w:val="24"/>
                <w:szCs w:val="24"/>
                <w:lang w:eastAsia="lv-LV"/>
              </w:rPr>
              <w:t>administratīvo slogu</w:t>
            </w:r>
            <w:r w:rsidR="00F42BC3" w:rsidRPr="003C50D5">
              <w:rPr>
                <w:rFonts w:ascii="Times New Roman" w:eastAsia="Times New Roman" w:hAnsi="Times New Roman" w:cs="Times New Roman"/>
                <w:iCs/>
                <w:sz w:val="24"/>
                <w:szCs w:val="24"/>
                <w:lang w:eastAsia="lv-LV"/>
              </w:rPr>
              <w:t xml:space="preserve"> sabiedrības grupām, jo tiesiskais regulējums nemaina to tiesības un pienākumus, kā arī veicamās darbības</w:t>
            </w:r>
            <w:r w:rsidR="00F70594" w:rsidRPr="003C50D5">
              <w:rPr>
                <w:rFonts w:ascii="Times New Roman" w:eastAsia="Times New Roman" w:hAnsi="Times New Roman" w:cs="Times New Roman"/>
                <w:iCs/>
                <w:sz w:val="24"/>
                <w:szCs w:val="24"/>
                <w:lang w:eastAsia="lv-LV"/>
              </w:rPr>
              <w:t>.</w:t>
            </w:r>
          </w:p>
          <w:p w14:paraId="12DAA631" w14:textId="77777777" w:rsidR="00F70594" w:rsidRPr="003C50D5" w:rsidRDefault="00F70594" w:rsidP="00F272CD">
            <w:pPr>
              <w:spacing w:after="0" w:line="240" w:lineRule="auto"/>
              <w:jc w:val="both"/>
              <w:rPr>
                <w:rFonts w:ascii="Times New Roman" w:eastAsia="Times New Roman" w:hAnsi="Times New Roman" w:cs="Times New Roman"/>
                <w:iCs/>
                <w:sz w:val="24"/>
                <w:szCs w:val="24"/>
                <w:lang w:eastAsia="lv-LV"/>
              </w:rPr>
            </w:pPr>
          </w:p>
          <w:p w14:paraId="7BFB8FC1" w14:textId="5718588B" w:rsidR="0075500A" w:rsidRPr="003C50D5" w:rsidRDefault="00F70594" w:rsidP="00E7101D">
            <w:pPr>
              <w:spacing w:after="0" w:line="240" w:lineRule="auto"/>
              <w:jc w:val="both"/>
              <w:rPr>
                <w:rFonts w:ascii="Times New Roman" w:hAnsi="Times New Roman" w:cs="Times New Roman"/>
                <w:sz w:val="24"/>
                <w:szCs w:val="24"/>
              </w:rPr>
            </w:pPr>
            <w:r w:rsidRPr="003C50D5">
              <w:rPr>
                <w:rFonts w:ascii="Times New Roman" w:eastAsia="Times New Roman" w:hAnsi="Times New Roman" w:cs="Times New Roman"/>
                <w:iCs/>
                <w:sz w:val="24"/>
                <w:szCs w:val="24"/>
                <w:lang w:eastAsia="lv-LV"/>
              </w:rPr>
              <w:t xml:space="preserve">Tiesiskais regulējums </w:t>
            </w:r>
            <w:r w:rsidR="00641B4C" w:rsidRPr="003C50D5">
              <w:rPr>
                <w:rFonts w:ascii="Times New Roman" w:eastAsia="Times New Roman" w:hAnsi="Times New Roman" w:cs="Times New Roman"/>
                <w:iCs/>
                <w:sz w:val="24"/>
                <w:szCs w:val="24"/>
                <w:lang w:eastAsia="lv-LV"/>
              </w:rPr>
              <w:t xml:space="preserve">rada pozitīvu ietekmi uz tautsaimniecību. </w:t>
            </w:r>
            <w:r w:rsidR="00641B4C" w:rsidRPr="003C50D5">
              <w:rPr>
                <w:rFonts w:ascii="Times New Roman" w:eastAsia="Times New Roman" w:hAnsi="Times New Roman" w:cs="Times New Roman"/>
                <w:bCs/>
                <w:sz w:val="24"/>
                <w:szCs w:val="24"/>
                <w:lang w:eastAsia="lv-LV"/>
              </w:rPr>
              <w:t xml:space="preserve">Minimālo ienākumu sliekšņu paaugstināšana pēc vienotas metodoloģiskās pieejas </w:t>
            </w:r>
            <w:r w:rsidR="00641B4C" w:rsidRPr="003C50D5">
              <w:rPr>
                <w:rFonts w:ascii="Times New Roman" w:eastAsia="Times New Roman" w:hAnsi="Times New Roman" w:cs="Times New Roman"/>
                <w:iCs/>
                <w:sz w:val="24"/>
                <w:szCs w:val="24"/>
                <w:lang w:eastAsia="lv-LV"/>
              </w:rPr>
              <w:t>radīs</w:t>
            </w:r>
            <w:r w:rsidR="00641B4C" w:rsidRPr="003C50D5">
              <w:rPr>
                <w:rFonts w:ascii="Times New Roman" w:hAnsi="Times New Roman" w:cs="Times New Roman"/>
                <w:sz w:val="24"/>
                <w:szCs w:val="24"/>
              </w:rPr>
              <w:t xml:space="preserve"> tiešu ietekmi uz nabadzības</w:t>
            </w:r>
            <w:r w:rsidR="00CE2075" w:rsidRPr="003C50D5">
              <w:rPr>
                <w:rFonts w:ascii="Times New Roman" w:hAnsi="Times New Roman" w:cs="Times New Roman"/>
                <w:sz w:val="24"/>
                <w:szCs w:val="24"/>
              </w:rPr>
              <w:t xml:space="preserve"> </w:t>
            </w:r>
            <w:r w:rsidR="00641B4C" w:rsidRPr="003C50D5">
              <w:rPr>
                <w:rFonts w:ascii="Times New Roman" w:hAnsi="Times New Roman" w:cs="Times New Roman"/>
                <w:sz w:val="24"/>
                <w:szCs w:val="24"/>
              </w:rPr>
              <w:t>un sociālās atstumtības riskam bieži pakļautu iedzīvotāju grupu (pensionāri, personas ar invaliditāti, trūcīgie iedzīvotāji, t.sk. ģimenes ar bērniem) situāciju, pozitīvi ietekmējot šo personu dzīves līmeņa izmaiņas nākotnē, palielinot viņu sociālo aizsardzību un mazinot nabadzības un sociālās atstumtības risk</w:t>
            </w:r>
            <w:r w:rsidR="00E7101D" w:rsidRPr="003C50D5">
              <w:rPr>
                <w:rFonts w:ascii="Times New Roman" w:hAnsi="Times New Roman" w:cs="Times New Roman"/>
                <w:sz w:val="24"/>
                <w:szCs w:val="24"/>
              </w:rPr>
              <w:t>u</w:t>
            </w:r>
            <w:r w:rsidR="0075500A" w:rsidRPr="003C50D5">
              <w:rPr>
                <w:rFonts w:ascii="Times New Roman" w:hAnsi="Times New Roman" w:cs="Times New Roman"/>
                <w:sz w:val="24"/>
                <w:szCs w:val="24"/>
              </w:rPr>
              <w:t>.</w:t>
            </w:r>
          </w:p>
          <w:p w14:paraId="6F4FFFFC" w14:textId="77777777" w:rsidR="001E094E" w:rsidRPr="003C50D5" w:rsidRDefault="001E094E" w:rsidP="00E7101D">
            <w:pPr>
              <w:spacing w:after="0" w:line="240" w:lineRule="auto"/>
              <w:jc w:val="both"/>
              <w:rPr>
                <w:rFonts w:ascii="Times New Roman" w:hAnsi="Times New Roman" w:cs="Times New Roman"/>
                <w:sz w:val="24"/>
                <w:szCs w:val="24"/>
              </w:rPr>
            </w:pPr>
          </w:p>
          <w:p w14:paraId="11B8F887" w14:textId="75F8782E" w:rsidR="007F5976" w:rsidRPr="003C50D5" w:rsidRDefault="009F4E59" w:rsidP="00484FC9">
            <w:pPr>
              <w:spacing w:after="0" w:line="240" w:lineRule="auto"/>
              <w:jc w:val="both"/>
              <w:rPr>
                <w:rFonts w:ascii="Times New Roman" w:eastAsia="Times New Roman" w:hAnsi="Times New Roman" w:cs="Times New Roman"/>
                <w:iCs/>
                <w:sz w:val="24"/>
                <w:szCs w:val="24"/>
                <w:highlight w:val="yellow"/>
                <w:lang w:eastAsia="lv-LV"/>
              </w:rPr>
            </w:pPr>
            <w:r w:rsidRPr="003C50D5">
              <w:rPr>
                <w:rFonts w:ascii="Times New Roman" w:eastAsia="Times New Roman" w:hAnsi="Times New Roman" w:cs="Times New Roman"/>
                <w:iCs/>
                <w:sz w:val="24"/>
                <w:szCs w:val="24"/>
                <w:lang w:eastAsia="lv-LV"/>
              </w:rPr>
              <w:t xml:space="preserve">Lai </w:t>
            </w:r>
            <w:r w:rsidR="002B042C" w:rsidRPr="003C50D5">
              <w:rPr>
                <w:rFonts w:ascii="Times New Roman" w:eastAsia="Times New Roman" w:hAnsi="Times New Roman" w:cs="Times New Roman"/>
                <w:iCs/>
                <w:sz w:val="24"/>
                <w:szCs w:val="24"/>
                <w:lang w:eastAsia="lv-LV"/>
              </w:rPr>
              <w:t>novērtētu</w:t>
            </w:r>
            <w:r w:rsidRPr="003C50D5">
              <w:rPr>
                <w:rFonts w:ascii="Times New Roman" w:eastAsia="Times New Roman" w:hAnsi="Times New Roman" w:cs="Times New Roman"/>
                <w:iCs/>
                <w:sz w:val="24"/>
                <w:szCs w:val="24"/>
                <w:lang w:eastAsia="lv-LV"/>
              </w:rPr>
              <w:t xml:space="preserve"> </w:t>
            </w:r>
            <w:r w:rsidR="002B042C" w:rsidRPr="003C50D5">
              <w:rPr>
                <w:rFonts w:ascii="Times New Roman" w:eastAsia="Times New Roman" w:hAnsi="Times New Roman" w:cs="Times New Roman"/>
                <w:iCs/>
                <w:sz w:val="24"/>
                <w:szCs w:val="24"/>
                <w:lang w:eastAsia="lv-LV"/>
              </w:rPr>
              <w:t>š</w:t>
            </w:r>
            <w:r w:rsidR="004478F7" w:rsidRPr="003C50D5">
              <w:rPr>
                <w:rFonts w:ascii="Times New Roman" w:eastAsia="Times New Roman" w:hAnsi="Times New Roman" w:cs="Times New Roman"/>
                <w:iCs/>
                <w:sz w:val="24"/>
                <w:szCs w:val="24"/>
                <w:lang w:eastAsia="lv-LV"/>
              </w:rPr>
              <w:t>ā</w:t>
            </w:r>
            <w:r w:rsidR="002B042C" w:rsidRPr="003C50D5">
              <w:rPr>
                <w:rFonts w:ascii="Times New Roman" w:eastAsia="Times New Roman" w:hAnsi="Times New Roman" w:cs="Times New Roman"/>
                <w:iCs/>
                <w:sz w:val="24"/>
                <w:szCs w:val="24"/>
                <w:lang w:eastAsia="lv-LV"/>
              </w:rPr>
              <w:t xml:space="preserve"> </w:t>
            </w:r>
            <w:r w:rsidR="0075500A" w:rsidRPr="003C50D5">
              <w:rPr>
                <w:rFonts w:ascii="Times New Roman" w:eastAsia="Times New Roman" w:hAnsi="Times New Roman" w:cs="Times New Roman"/>
                <w:iCs/>
                <w:sz w:val="24"/>
                <w:szCs w:val="24"/>
                <w:lang w:eastAsia="lv-LV"/>
              </w:rPr>
              <w:t>l</w:t>
            </w:r>
            <w:r w:rsidR="00B00E73" w:rsidRPr="003C50D5">
              <w:rPr>
                <w:rFonts w:ascii="Times New Roman" w:eastAsia="Times New Roman" w:hAnsi="Times New Roman" w:cs="Times New Roman"/>
                <w:iCs/>
                <w:sz w:val="24"/>
                <w:szCs w:val="24"/>
                <w:lang w:eastAsia="lv-LV"/>
              </w:rPr>
              <w:t>ikumprojekt</w:t>
            </w:r>
            <w:r w:rsidR="002B042C" w:rsidRPr="003C50D5">
              <w:rPr>
                <w:rFonts w:ascii="Times New Roman" w:eastAsia="Times New Roman" w:hAnsi="Times New Roman" w:cs="Times New Roman"/>
                <w:iCs/>
                <w:sz w:val="24"/>
                <w:szCs w:val="24"/>
                <w:lang w:eastAsia="lv-LV"/>
              </w:rPr>
              <w:t>a</w:t>
            </w:r>
            <w:r w:rsidR="00B00E73" w:rsidRPr="003C50D5">
              <w:rPr>
                <w:rFonts w:ascii="Times New Roman" w:eastAsia="Times New Roman" w:hAnsi="Times New Roman" w:cs="Times New Roman"/>
                <w:iCs/>
                <w:sz w:val="24"/>
                <w:szCs w:val="24"/>
                <w:lang w:eastAsia="lv-LV"/>
              </w:rPr>
              <w:t xml:space="preserve"> un</w:t>
            </w:r>
            <w:r w:rsidRPr="003C50D5">
              <w:rPr>
                <w:rFonts w:ascii="Times New Roman" w:eastAsia="Times New Roman" w:hAnsi="Times New Roman" w:cs="Times New Roman"/>
                <w:iCs/>
                <w:sz w:val="24"/>
                <w:szCs w:val="24"/>
                <w:lang w:eastAsia="lv-LV"/>
              </w:rPr>
              <w:t xml:space="preserve"> </w:t>
            </w:r>
            <w:r w:rsidR="002B042C" w:rsidRPr="003C50D5">
              <w:rPr>
                <w:rFonts w:ascii="Times New Roman" w:eastAsia="Times New Roman" w:hAnsi="Times New Roman" w:cs="Times New Roman"/>
                <w:iCs/>
                <w:sz w:val="24"/>
                <w:szCs w:val="24"/>
                <w:lang w:eastAsia="lv-LV"/>
              </w:rPr>
              <w:t>citu saistīto</w:t>
            </w:r>
            <w:r w:rsidRPr="003C50D5">
              <w:rPr>
                <w:rFonts w:ascii="Times New Roman" w:eastAsia="Times New Roman" w:hAnsi="Times New Roman" w:cs="Times New Roman"/>
                <w:iCs/>
                <w:sz w:val="24"/>
                <w:szCs w:val="24"/>
                <w:lang w:eastAsia="lv-LV"/>
              </w:rPr>
              <w:t xml:space="preserve"> likumprojektu</w:t>
            </w:r>
            <w:r w:rsidR="00B00E73" w:rsidRPr="003C50D5">
              <w:rPr>
                <w:rFonts w:ascii="Times New Roman" w:eastAsia="Times New Roman" w:hAnsi="Times New Roman" w:cs="Times New Roman"/>
                <w:iCs/>
                <w:sz w:val="24"/>
                <w:szCs w:val="24"/>
                <w:lang w:eastAsia="lv-LV"/>
              </w:rPr>
              <w:t xml:space="preserve"> ietekm</w:t>
            </w:r>
            <w:r w:rsidR="0075500A" w:rsidRPr="003C50D5">
              <w:rPr>
                <w:rFonts w:ascii="Times New Roman" w:eastAsia="Times New Roman" w:hAnsi="Times New Roman" w:cs="Times New Roman"/>
                <w:iCs/>
                <w:sz w:val="24"/>
                <w:szCs w:val="24"/>
                <w:lang w:eastAsia="lv-LV"/>
              </w:rPr>
              <w:t xml:space="preserve">i uz nabadzības riska un ienākumu nevienlīdzības mazināšanu, Latvijas Banka, </w:t>
            </w:r>
            <w:r w:rsidR="00B00E73" w:rsidRPr="003C50D5">
              <w:rPr>
                <w:rFonts w:ascii="Times New Roman" w:eastAsia="Times New Roman" w:hAnsi="Times New Roman" w:cs="Times New Roman"/>
                <w:iCs/>
                <w:sz w:val="24"/>
                <w:szCs w:val="24"/>
                <w:lang w:eastAsia="lv-LV"/>
              </w:rPr>
              <w:t>izmantoj</w:t>
            </w:r>
            <w:r w:rsidR="002B042C" w:rsidRPr="003C50D5">
              <w:rPr>
                <w:rFonts w:ascii="Times New Roman" w:eastAsia="Times New Roman" w:hAnsi="Times New Roman" w:cs="Times New Roman"/>
                <w:iCs/>
                <w:sz w:val="24"/>
                <w:szCs w:val="24"/>
                <w:lang w:eastAsia="lv-LV"/>
              </w:rPr>
              <w:t>ot</w:t>
            </w:r>
            <w:r w:rsidR="001E094E" w:rsidRPr="003C50D5">
              <w:rPr>
                <w:rFonts w:ascii="Times New Roman" w:eastAsia="Times New Roman" w:hAnsi="Times New Roman" w:cs="Times New Roman"/>
                <w:iCs/>
                <w:sz w:val="24"/>
                <w:szCs w:val="24"/>
                <w:lang w:eastAsia="lv-LV"/>
              </w:rPr>
              <w:t xml:space="preserve"> EUROMOD </w:t>
            </w:r>
            <w:proofErr w:type="spellStart"/>
            <w:r w:rsidR="001E094E" w:rsidRPr="003C50D5">
              <w:rPr>
                <w:rFonts w:ascii="Times New Roman" w:eastAsia="Times New Roman" w:hAnsi="Times New Roman" w:cs="Times New Roman"/>
                <w:iCs/>
                <w:sz w:val="24"/>
                <w:szCs w:val="24"/>
                <w:lang w:eastAsia="lv-LV"/>
              </w:rPr>
              <w:t>mikrosimulācij</w:t>
            </w:r>
            <w:r w:rsidR="00B00E73" w:rsidRPr="003C50D5">
              <w:rPr>
                <w:rFonts w:ascii="Times New Roman" w:eastAsia="Times New Roman" w:hAnsi="Times New Roman" w:cs="Times New Roman"/>
                <w:iCs/>
                <w:sz w:val="24"/>
                <w:szCs w:val="24"/>
                <w:lang w:eastAsia="lv-LV"/>
              </w:rPr>
              <w:t>as</w:t>
            </w:r>
            <w:proofErr w:type="spellEnd"/>
            <w:r w:rsidR="00B00E73" w:rsidRPr="003C50D5">
              <w:rPr>
                <w:rFonts w:ascii="Times New Roman" w:eastAsia="Times New Roman" w:hAnsi="Times New Roman" w:cs="Times New Roman"/>
                <w:iCs/>
                <w:sz w:val="24"/>
                <w:szCs w:val="24"/>
                <w:lang w:eastAsia="lv-LV"/>
              </w:rPr>
              <w:t xml:space="preserve"> modeli</w:t>
            </w:r>
            <w:r w:rsidR="001E094E" w:rsidRPr="003C50D5">
              <w:rPr>
                <w:rStyle w:val="FootnoteReference"/>
                <w:rFonts w:ascii="Times New Roman" w:eastAsia="Times New Roman" w:hAnsi="Times New Roman" w:cs="Times New Roman"/>
                <w:iCs/>
                <w:sz w:val="24"/>
                <w:szCs w:val="24"/>
                <w:lang w:eastAsia="lv-LV"/>
              </w:rPr>
              <w:footnoteReference w:id="17"/>
            </w:r>
            <w:r w:rsidR="001E094E" w:rsidRPr="003C50D5">
              <w:rPr>
                <w:rFonts w:ascii="Times New Roman" w:eastAsia="Times New Roman" w:hAnsi="Times New Roman" w:cs="Times New Roman"/>
                <w:iCs/>
                <w:sz w:val="24"/>
                <w:szCs w:val="24"/>
                <w:lang w:eastAsia="lv-LV"/>
              </w:rPr>
              <w:t>,</w:t>
            </w:r>
            <w:r w:rsidR="0075500A" w:rsidRPr="003C50D5">
              <w:rPr>
                <w:rFonts w:ascii="Times New Roman" w:eastAsia="Times New Roman" w:hAnsi="Times New Roman" w:cs="Times New Roman"/>
                <w:iCs/>
                <w:sz w:val="24"/>
                <w:szCs w:val="24"/>
                <w:lang w:eastAsia="lv-LV"/>
              </w:rPr>
              <w:t xml:space="preserve"> veica </w:t>
            </w:r>
            <w:r w:rsidR="0075500A" w:rsidRPr="003C50D5">
              <w:rPr>
                <w:rFonts w:ascii="Times New Roman" w:eastAsia="Times New Roman" w:hAnsi="Times New Roman" w:cs="Times New Roman"/>
                <w:iCs/>
                <w:sz w:val="24"/>
                <w:szCs w:val="24"/>
                <w:lang w:eastAsia="lv-LV"/>
              </w:rPr>
              <w:lastRenderedPageBreak/>
              <w:t>piedāvāt</w:t>
            </w:r>
            <w:r w:rsidR="006A70A2" w:rsidRPr="003C50D5">
              <w:rPr>
                <w:rFonts w:ascii="Times New Roman" w:eastAsia="Times New Roman" w:hAnsi="Times New Roman" w:cs="Times New Roman"/>
                <w:iCs/>
                <w:sz w:val="24"/>
                <w:szCs w:val="24"/>
                <w:lang w:eastAsia="lv-LV"/>
              </w:rPr>
              <w:t>ā</w:t>
            </w:r>
            <w:r w:rsidR="0075500A" w:rsidRPr="003C50D5">
              <w:rPr>
                <w:rFonts w:ascii="Times New Roman" w:eastAsia="Times New Roman" w:hAnsi="Times New Roman" w:cs="Times New Roman"/>
                <w:iCs/>
                <w:sz w:val="24"/>
                <w:szCs w:val="24"/>
                <w:lang w:eastAsia="lv-LV"/>
              </w:rPr>
              <w:t xml:space="preserve"> risinājum</w:t>
            </w:r>
            <w:r w:rsidR="006A70A2" w:rsidRPr="003C50D5">
              <w:rPr>
                <w:rFonts w:ascii="Times New Roman" w:eastAsia="Times New Roman" w:hAnsi="Times New Roman" w:cs="Times New Roman"/>
                <w:iCs/>
                <w:sz w:val="24"/>
                <w:szCs w:val="24"/>
                <w:lang w:eastAsia="lv-LV"/>
              </w:rPr>
              <w:t>a</w:t>
            </w:r>
            <w:r w:rsidR="002B042C" w:rsidRPr="003C50D5">
              <w:rPr>
                <w:rStyle w:val="FootnoteReference"/>
                <w:rFonts w:ascii="Times New Roman" w:eastAsia="Times New Roman" w:hAnsi="Times New Roman" w:cs="Times New Roman"/>
                <w:iCs/>
                <w:sz w:val="24"/>
                <w:szCs w:val="24"/>
                <w:lang w:eastAsia="lv-LV"/>
              </w:rPr>
              <w:footnoteReference w:id="18"/>
            </w:r>
            <w:r w:rsidR="0075500A" w:rsidRPr="003C50D5">
              <w:rPr>
                <w:rFonts w:ascii="Times New Roman" w:eastAsia="Times New Roman" w:hAnsi="Times New Roman" w:cs="Times New Roman"/>
                <w:iCs/>
                <w:sz w:val="24"/>
                <w:szCs w:val="24"/>
                <w:lang w:eastAsia="lv-LV"/>
              </w:rPr>
              <w:t xml:space="preserve"> novērtējumu</w:t>
            </w:r>
            <w:r w:rsidR="00B00E73" w:rsidRPr="003C50D5">
              <w:rPr>
                <w:rFonts w:ascii="Times New Roman" w:eastAsia="Times New Roman" w:hAnsi="Times New Roman" w:cs="Times New Roman"/>
                <w:iCs/>
                <w:sz w:val="24"/>
                <w:szCs w:val="24"/>
                <w:lang w:eastAsia="lv-LV"/>
              </w:rPr>
              <w:t>.</w:t>
            </w:r>
            <w:bookmarkStart w:id="6" w:name="_Hlk52195656"/>
            <w:r w:rsidR="00B00E73" w:rsidRPr="003C50D5">
              <w:rPr>
                <w:rFonts w:ascii="Times New Roman" w:eastAsia="Times New Roman" w:hAnsi="Times New Roman" w:cs="Times New Roman"/>
                <w:iCs/>
                <w:sz w:val="24"/>
                <w:szCs w:val="24"/>
                <w:lang w:eastAsia="lv-LV"/>
              </w:rPr>
              <w:t xml:space="preserve"> </w:t>
            </w:r>
            <w:r w:rsidR="001E094E" w:rsidRPr="003C50D5">
              <w:rPr>
                <w:rFonts w:ascii="Times New Roman" w:eastAsia="Times New Roman" w:hAnsi="Times New Roman" w:cs="Times New Roman"/>
                <w:iCs/>
                <w:sz w:val="24"/>
                <w:szCs w:val="24"/>
                <w:lang w:eastAsia="lv-LV"/>
              </w:rPr>
              <w:t>Iegūtie dati rāda, ka piedāvātais risinājums rada tiešu un pozitīvu ietekmi uz personu ienākumiem</w:t>
            </w:r>
            <w:r w:rsidR="007C112F" w:rsidRPr="003C50D5">
              <w:rPr>
                <w:rFonts w:ascii="Times New Roman" w:eastAsia="Times New Roman" w:hAnsi="Times New Roman" w:cs="Times New Roman"/>
                <w:iCs/>
                <w:sz w:val="24"/>
                <w:szCs w:val="24"/>
                <w:lang w:eastAsia="lv-LV"/>
              </w:rPr>
              <w:t>, mazinot nabadzības risku un ienākumu nevienlīdzību</w:t>
            </w:r>
            <w:r w:rsidR="001E094E" w:rsidRPr="003C50D5">
              <w:rPr>
                <w:rFonts w:ascii="Times New Roman" w:eastAsia="Times New Roman" w:hAnsi="Times New Roman" w:cs="Times New Roman"/>
                <w:iCs/>
                <w:sz w:val="24"/>
                <w:szCs w:val="24"/>
                <w:lang w:eastAsia="lv-LV"/>
              </w:rPr>
              <w:t>.</w:t>
            </w:r>
            <w:r w:rsidR="0075500A" w:rsidRPr="003C50D5">
              <w:rPr>
                <w:rFonts w:ascii="Times New Roman" w:eastAsia="Times New Roman" w:hAnsi="Times New Roman" w:cs="Times New Roman"/>
                <w:iCs/>
                <w:sz w:val="24"/>
                <w:szCs w:val="24"/>
                <w:lang w:eastAsia="lv-LV"/>
              </w:rPr>
              <w:t xml:space="preserve"> Ieviešot piedāvāto risinājumu, </w:t>
            </w:r>
            <w:r w:rsidR="001E094E" w:rsidRPr="003C50D5">
              <w:rPr>
                <w:rFonts w:ascii="Times New Roman" w:eastAsia="Times New Roman" w:hAnsi="Times New Roman" w:cs="Times New Roman"/>
                <w:iCs/>
                <w:sz w:val="24"/>
                <w:szCs w:val="24"/>
                <w:lang w:eastAsia="lv-LV"/>
              </w:rPr>
              <w:t>iedzīvotāju īpatsvars mājsaimniecībās ar ienākumiem zem nabadzības riska sliekšņa (pēc OECD modificētās ekvivalences skalas) samazinātos par 8</w:t>
            </w:r>
            <w:r w:rsidR="002B042C" w:rsidRPr="003C50D5">
              <w:rPr>
                <w:rFonts w:ascii="Times New Roman" w:eastAsia="Times New Roman" w:hAnsi="Times New Roman" w:cs="Times New Roman"/>
                <w:iCs/>
                <w:sz w:val="24"/>
                <w:szCs w:val="24"/>
                <w:lang w:eastAsia="lv-LV"/>
              </w:rPr>
              <w:t>,</w:t>
            </w:r>
            <w:r w:rsidR="001E094E" w:rsidRPr="003C50D5">
              <w:rPr>
                <w:rFonts w:ascii="Times New Roman" w:eastAsia="Times New Roman" w:hAnsi="Times New Roman" w:cs="Times New Roman"/>
                <w:iCs/>
                <w:sz w:val="24"/>
                <w:szCs w:val="24"/>
                <w:lang w:eastAsia="lv-LV"/>
              </w:rPr>
              <w:t>3%.</w:t>
            </w:r>
            <w:r w:rsidR="00B00E73" w:rsidRPr="003C50D5">
              <w:rPr>
                <w:rFonts w:ascii="Times New Roman" w:eastAsia="Times New Roman" w:hAnsi="Times New Roman" w:cs="Times New Roman"/>
                <w:iCs/>
                <w:sz w:val="24"/>
                <w:szCs w:val="24"/>
                <w:lang w:eastAsia="lv-LV"/>
              </w:rPr>
              <w:t xml:space="preserve"> </w:t>
            </w:r>
            <w:r w:rsidR="0075500A" w:rsidRPr="003C50D5">
              <w:rPr>
                <w:rFonts w:ascii="Times New Roman" w:eastAsia="Times New Roman" w:hAnsi="Times New Roman" w:cs="Times New Roman"/>
                <w:iCs/>
                <w:sz w:val="24"/>
                <w:szCs w:val="24"/>
                <w:lang w:eastAsia="lv-LV"/>
              </w:rPr>
              <w:t>Tāpat par 27,</w:t>
            </w:r>
            <w:r w:rsidR="006A70A2" w:rsidRPr="003C50D5">
              <w:rPr>
                <w:rFonts w:ascii="Times New Roman" w:eastAsia="Times New Roman" w:hAnsi="Times New Roman" w:cs="Times New Roman"/>
                <w:iCs/>
                <w:sz w:val="24"/>
                <w:szCs w:val="24"/>
                <w:lang w:eastAsia="lv-LV"/>
              </w:rPr>
              <w:t>8</w:t>
            </w:r>
            <w:r w:rsidR="0075500A" w:rsidRPr="003C50D5">
              <w:rPr>
                <w:rFonts w:ascii="Times New Roman" w:eastAsia="Times New Roman" w:hAnsi="Times New Roman" w:cs="Times New Roman"/>
                <w:iCs/>
                <w:sz w:val="24"/>
                <w:szCs w:val="24"/>
                <w:lang w:eastAsia="lv-LV"/>
              </w:rPr>
              <w:t>% samazināto</w:t>
            </w:r>
            <w:r w:rsidR="002B042C" w:rsidRPr="003C50D5">
              <w:rPr>
                <w:rFonts w:ascii="Times New Roman" w:eastAsia="Times New Roman" w:hAnsi="Times New Roman" w:cs="Times New Roman"/>
                <w:iCs/>
                <w:sz w:val="24"/>
                <w:szCs w:val="24"/>
                <w:lang w:eastAsia="lv-LV"/>
              </w:rPr>
              <w:t>s</w:t>
            </w:r>
            <w:r w:rsidR="0075500A" w:rsidRPr="003C50D5">
              <w:rPr>
                <w:rFonts w:ascii="Times New Roman" w:eastAsia="Times New Roman" w:hAnsi="Times New Roman" w:cs="Times New Roman"/>
                <w:iCs/>
                <w:sz w:val="24"/>
                <w:szCs w:val="24"/>
                <w:lang w:eastAsia="lv-LV"/>
              </w:rPr>
              <w:t xml:space="preserve"> bērnu </w:t>
            </w:r>
            <w:r w:rsidR="007E0480" w:rsidRPr="003C50D5">
              <w:rPr>
                <w:rFonts w:ascii="Times New Roman" w:eastAsia="Times New Roman" w:hAnsi="Times New Roman" w:cs="Times New Roman"/>
                <w:iCs/>
                <w:sz w:val="24"/>
                <w:szCs w:val="24"/>
                <w:lang w:eastAsia="lv-LV"/>
              </w:rPr>
              <w:t xml:space="preserve">īpatsvars, kuri pakļauti nabadzības riskam, </w:t>
            </w:r>
            <w:r w:rsidR="00C34B3B" w:rsidRPr="003C50D5">
              <w:rPr>
                <w:rFonts w:ascii="Times New Roman" w:eastAsia="Times New Roman" w:hAnsi="Times New Roman" w:cs="Times New Roman"/>
                <w:iCs/>
                <w:sz w:val="24"/>
                <w:szCs w:val="24"/>
                <w:lang w:eastAsia="lv-LV"/>
              </w:rPr>
              <w:t xml:space="preserve">par 0,8% samazinātos </w:t>
            </w:r>
            <w:r w:rsidR="007E0480" w:rsidRPr="003C50D5">
              <w:rPr>
                <w:rFonts w:ascii="Times New Roman" w:eastAsia="Times New Roman" w:hAnsi="Times New Roman" w:cs="Times New Roman"/>
                <w:iCs/>
                <w:sz w:val="24"/>
                <w:szCs w:val="24"/>
                <w:lang w:eastAsia="lv-LV"/>
              </w:rPr>
              <w:t>pensijas vecumu iedzīvotāju</w:t>
            </w:r>
            <w:r w:rsidR="00C34B3B" w:rsidRPr="003C50D5">
              <w:rPr>
                <w:rFonts w:ascii="Times New Roman" w:eastAsia="Times New Roman" w:hAnsi="Times New Roman" w:cs="Times New Roman"/>
                <w:iCs/>
                <w:sz w:val="24"/>
                <w:szCs w:val="24"/>
                <w:lang w:eastAsia="lv-LV"/>
              </w:rPr>
              <w:t xml:space="preserve"> </w:t>
            </w:r>
            <w:r w:rsidR="007E0480" w:rsidRPr="003C50D5">
              <w:rPr>
                <w:rFonts w:ascii="Times New Roman" w:eastAsia="Times New Roman" w:hAnsi="Times New Roman" w:cs="Times New Roman"/>
                <w:iCs/>
                <w:sz w:val="24"/>
                <w:szCs w:val="24"/>
                <w:lang w:eastAsia="lv-LV"/>
              </w:rPr>
              <w:t>īpatsvars, kuri pakļauti nabadzības riskam</w:t>
            </w:r>
            <w:r w:rsidR="006A70A2" w:rsidRPr="003C50D5">
              <w:rPr>
                <w:rFonts w:ascii="Times New Roman" w:eastAsia="Times New Roman" w:hAnsi="Times New Roman" w:cs="Times New Roman"/>
                <w:iCs/>
                <w:sz w:val="24"/>
                <w:szCs w:val="24"/>
                <w:lang w:eastAsia="lv-LV"/>
              </w:rPr>
              <w:t>,</w:t>
            </w:r>
            <w:r w:rsidR="007E0480" w:rsidRPr="003C50D5">
              <w:rPr>
                <w:rFonts w:ascii="Times New Roman" w:eastAsia="Times New Roman" w:hAnsi="Times New Roman" w:cs="Times New Roman"/>
                <w:iCs/>
                <w:sz w:val="24"/>
                <w:szCs w:val="24"/>
                <w:lang w:eastAsia="lv-LV"/>
              </w:rPr>
              <w:t xml:space="preserve"> un</w:t>
            </w:r>
            <w:r w:rsidR="00C34B3B" w:rsidRPr="003C50D5">
              <w:rPr>
                <w:rFonts w:ascii="Times New Roman" w:eastAsia="Times New Roman" w:hAnsi="Times New Roman" w:cs="Times New Roman"/>
                <w:iCs/>
                <w:sz w:val="24"/>
                <w:szCs w:val="24"/>
                <w:lang w:eastAsia="lv-LV"/>
              </w:rPr>
              <w:t xml:space="preserve"> par </w:t>
            </w:r>
            <w:r w:rsidR="002B042C" w:rsidRPr="003C50D5">
              <w:rPr>
                <w:rFonts w:ascii="Times New Roman" w:eastAsia="Times New Roman" w:hAnsi="Times New Roman" w:cs="Times New Roman"/>
                <w:iCs/>
                <w:sz w:val="24"/>
                <w:szCs w:val="24"/>
                <w:lang w:eastAsia="lv-LV"/>
              </w:rPr>
              <w:t>3,7</w:t>
            </w:r>
            <w:r w:rsidR="00C34B3B" w:rsidRPr="003C50D5">
              <w:rPr>
                <w:rFonts w:ascii="Times New Roman" w:eastAsia="Times New Roman" w:hAnsi="Times New Roman" w:cs="Times New Roman"/>
                <w:iCs/>
                <w:sz w:val="24"/>
                <w:szCs w:val="24"/>
                <w:lang w:eastAsia="lv-LV"/>
              </w:rPr>
              <w:t>% samazin</w:t>
            </w:r>
            <w:r w:rsidR="0022602D" w:rsidRPr="003C50D5">
              <w:rPr>
                <w:rFonts w:ascii="Times New Roman" w:eastAsia="Times New Roman" w:hAnsi="Times New Roman" w:cs="Times New Roman"/>
                <w:iCs/>
                <w:sz w:val="24"/>
                <w:szCs w:val="24"/>
                <w:lang w:eastAsia="lv-LV"/>
              </w:rPr>
              <w:t>ā</w:t>
            </w:r>
            <w:r w:rsidR="00C34B3B" w:rsidRPr="003C50D5">
              <w:rPr>
                <w:rFonts w:ascii="Times New Roman" w:eastAsia="Times New Roman" w:hAnsi="Times New Roman" w:cs="Times New Roman"/>
                <w:iCs/>
                <w:sz w:val="24"/>
                <w:szCs w:val="24"/>
                <w:lang w:eastAsia="lv-LV"/>
              </w:rPr>
              <w:t xml:space="preserve">tos personu ar invaliditāti </w:t>
            </w:r>
            <w:r w:rsidR="007E0480" w:rsidRPr="003C50D5">
              <w:rPr>
                <w:rFonts w:ascii="Times New Roman" w:eastAsia="Times New Roman" w:hAnsi="Times New Roman" w:cs="Times New Roman"/>
                <w:iCs/>
                <w:sz w:val="24"/>
                <w:szCs w:val="24"/>
                <w:lang w:eastAsia="lv-LV"/>
              </w:rPr>
              <w:t>īpatsvars, kur</w:t>
            </w:r>
            <w:r w:rsidR="006A70A2" w:rsidRPr="003C50D5">
              <w:rPr>
                <w:rFonts w:ascii="Times New Roman" w:eastAsia="Times New Roman" w:hAnsi="Times New Roman" w:cs="Times New Roman"/>
                <w:iCs/>
                <w:sz w:val="24"/>
                <w:szCs w:val="24"/>
                <w:lang w:eastAsia="lv-LV"/>
              </w:rPr>
              <w:t>as</w:t>
            </w:r>
            <w:r w:rsidR="007E0480" w:rsidRPr="003C50D5">
              <w:rPr>
                <w:rFonts w:ascii="Times New Roman" w:eastAsia="Times New Roman" w:hAnsi="Times New Roman" w:cs="Times New Roman"/>
                <w:iCs/>
                <w:sz w:val="24"/>
                <w:szCs w:val="24"/>
                <w:lang w:eastAsia="lv-LV"/>
              </w:rPr>
              <w:t xml:space="preserve"> pakļauti </w:t>
            </w:r>
            <w:r w:rsidR="00C34B3B" w:rsidRPr="003C50D5">
              <w:rPr>
                <w:rFonts w:ascii="Times New Roman" w:eastAsia="Times New Roman" w:hAnsi="Times New Roman" w:cs="Times New Roman"/>
                <w:iCs/>
                <w:sz w:val="24"/>
                <w:szCs w:val="24"/>
                <w:lang w:eastAsia="lv-LV"/>
              </w:rPr>
              <w:t>nabadzības</w:t>
            </w:r>
            <w:r w:rsidR="002B042C" w:rsidRPr="003C50D5">
              <w:rPr>
                <w:rFonts w:ascii="Times New Roman" w:eastAsia="Times New Roman" w:hAnsi="Times New Roman" w:cs="Times New Roman"/>
                <w:iCs/>
                <w:sz w:val="24"/>
                <w:szCs w:val="24"/>
                <w:lang w:eastAsia="lv-LV"/>
              </w:rPr>
              <w:t xml:space="preserve"> riskam</w:t>
            </w:r>
            <w:r w:rsidR="00C34B3B" w:rsidRPr="003C50D5">
              <w:rPr>
                <w:rFonts w:ascii="Times New Roman" w:eastAsia="Times New Roman" w:hAnsi="Times New Roman" w:cs="Times New Roman"/>
                <w:iCs/>
                <w:sz w:val="24"/>
                <w:szCs w:val="24"/>
                <w:lang w:eastAsia="lv-LV"/>
              </w:rPr>
              <w:t>.</w:t>
            </w:r>
            <w:r w:rsidR="002B042C" w:rsidRPr="003C50D5">
              <w:rPr>
                <w:rFonts w:ascii="Times New Roman" w:eastAsia="Times New Roman" w:hAnsi="Times New Roman" w:cs="Times New Roman"/>
                <w:iCs/>
                <w:sz w:val="24"/>
                <w:szCs w:val="24"/>
                <w:lang w:eastAsia="lv-LV"/>
              </w:rPr>
              <w:t xml:space="preserve"> </w:t>
            </w:r>
            <w:r w:rsidR="001E094E" w:rsidRPr="003C50D5">
              <w:rPr>
                <w:rFonts w:ascii="Times New Roman" w:eastAsia="Times New Roman" w:hAnsi="Times New Roman" w:cs="Times New Roman"/>
                <w:iCs/>
                <w:sz w:val="24"/>
                <w:szCs w:val="24"/>
                <w:lang w:eastAsia="lv-LV"/>
              </w:rPr>
              <w:t xml:space="preserve">Tāpat </w:t>
            </w:r>
            <w:r w:rsidR="00B00E73" w:rsidRPr="003C50D5">
              <w:rPr>
                <w:rFonts w:ascii="Times New Roman" w:eastAsia="Times New Roman" w:hAnsi="Times New Roman" w:cs="Times New Roman"/>
                <w:iCs/>
                <w:sz w:val="24"/>
                <w:szCs w:val="24"/>
                <w:lang w:eastAsia="lv-LV"/>
              </w:rPr>
              <w:t xml:space="preserve">piedāvātais risinājums </w:t>
            </w:r>
            <w:r w:rsidR="001E094E" w:rsidRPr="003C50D5">
              <w:rPr>
                <w:rFonts w:ascii="Times New Roman" w:eastAsia="Times New Roman" w:hAnsi="Times New Roman" w:cs="Times New Roman"/>
                <w:iCs/>
                <w:sz w:val="24"/>
                <w:szCs w:val="24"/>
                <w:lang w:eastAsia="lv-LV"/>
              </w:rPr>
              <w:t xml:space="preserve">samazinātu ienākumu nevienlīdzību (Džini koeficients) par 4,9%, kā arī ienākumu atšķirības starp sabiedrības turīgāko un nabadzīgāko daļu (S80/S20 </w:t>
            </w:r>
            <w:proofErr w:type="spellStart"/>
            <w:r w:rsidR="001E094E" w:rsidRPr="003C50D5">
              <w:rPr>
                <w:rFonts w:ascii="Times New Roman" w:eastAsia="Times New Roman" w:hAnsi="Times New Roman" w:cs="Times New Roman"/>
                <w:iCs/>
                <w:sz w:val="24"/>
                <w:szCs w:val="24"/>
                <w:lang w:eastAsia="lv-LV"/>
              </w:rPr>
              <w:t>kvintiļu</w:t>
            </w:r>
            <w:proofErr w:type="spellEnd"/>
            <w:r w:rsidR="001E094E" w:rsidRPr="003C50D5">
              <w:rPr>
                <w:rFonts w:ascii="Times New Roman" w:eastAsia="Times New Roman" w:hAnsi="Times New Roman" w:cs="Times New Roman"/>
                <w:iCs/>
                <w:sz w:val="24"/>
                <w:szCs w:val="24"/>
                <w:lang w:eastAsia="lv-LV"/>
              </w:rPr>
              <w:t xml:space="preserve"> attiecību indekss</w:t>
            </w:r>
            <w:r w:rsidR="001E094E" w:rsidRPr="003C50D5">
              <w:rPr>
                <w:rStyle w:val="FootnoteReference"/>
                <w:rFonts w:ascii="Times New Roman" w:eastAsia="Times New Roman" w:hAnsi="Times New Roman" w:cs="Times New Roman"/>
                <w:iCs/>
                <w:sz w:val="24"/>
                <w:szCs w:val="24"/>
                <w:lang w:eastAsia="lv-LV"/>
              </w:rPr>
              <w:footnoteReference w:id="19"/>
            </w:r>
            <w:r w:rsidR="001E094E" w:rsidRPr="003C50D5">
              <w:rPr>
                <w:rFonts w:ascii="Times New Roman" w:eastAsia="Times New Roman" w:hAnsi="Times New Roman" w:cs="Times New Roman"/>
                <w:iCs/>
                <w:sz w:val="24"/>
                <w:szCs w:val="24"/>
                <w:lang w:eastAsia="lv-LV"/>
              </w:rPr>
              <w:t>) par 14,3%. Jūtamu pozitīvu pieaugumu justu mājsaimniecības, kuru ienākumi ir pirmās deciles</w:t>
            </w:r>
            <w:r w:rsidR="001E094E" w:rsidRPr="003C50D5">
              <w:rPr>
                <w:rStyle w:val="FootnoteReference"/>
                <w:rFonts w:ascii="Times New Roman" w:eastAsia="Times New Roman" w:hAnsi="Times New Roman" w:cs="Times New Roman"/>
                <w:iCs/>
                <w:sz w:val="24"/>
                <w:szCs w:val="24"/>
                <w:lang w:eastAsia="lv-LV"/>
              </w:rPr>
              <w:footnoteReference w:id="20"/>
            </w:r>
            <w:r w:rsidR="001E094E" w:rsidRPr="003C50D5">
              <w:rPr>
                <w:rFonts w:ascii="Times New Roman" w:eastAsia="Times New Roman" w:hAnsi="Times New Roman" w:cs="Times New Roman"/>
                <w:iCs/>
                <w:sz w:val="24"/>
                <w:szCs w:val="24"/>
                <w:lang w:eastAsia="lv-LV"/>
              </w:rPr>
              <w:t xml:space="preserve"> ietvaros, proti, viszemāko ienākumu grupā – vidējie mājsaimniecību rīcībā esošie ekvivalentie ienākumi pieaugtu par 41,8%. Tādējādi var secināt, ka</w:t>
            </w:r>
            <w:r w:rsidR="00B7270E" w:rsidRPr="003C50D5">
              <w:rPr>
                <w:rFonts w:ascii="Times New Roman" w:eastAsia="Times New Roman" w:hAnsi="Times New Roman" w:cs="Times New Roman"/>
                <w:iCs/>
                <w:sz w:val="24"/>
                <w:szCs w:val="24"/>
                <w:lang w:eastAsia="lv-LV"/>
              </w:rPr>
              <w:t>,</w:t>
            </w:r>
            <w:r w:rsidR="00B00E73" w:rsidRPr="003C50D5">
              <w:rPr>
                <w:rFonts w:ascii="Times New Roman" w:eastAsia="Times New Roman" w:hAnsi="Times New Roman" w:cs="Times New Roman"/>
                <w:iCs/>
                <w:sz w:val="24"/>
                <w:szCs w:val="24"/>
                <w:lang w:eastAsia="lv-LV"/>
              </w:rPr>
              <w:t xml:space="preserve"> ieviešot</w:t>
            </w:r>
            <w:r w:rsidR="001E094E" w:rsidRPr="003C50D5">
              <w:rPr>
                <w:rFonts w:ascii="Times New Roman" w:eastAsia="Times New Roman" w:hAnsi="Times New Roman" w:cs="Times New Roman"/>
                <w:iCs/>
                <w:sz w:val="24"/>
                <w:szCs w:val="24"/>
                <w:lang w:eastAsia="lv-LV"/>
              </w:rPr>
              <w:t xml:space="preserve"> piedāvāt</w:t>
            </w:r>
            <w:r w:rsidR="00B00E73" w:rsidRPr="003C50D5">
              <w:rPr>
                <w:rFonts w:ascii="Times New Roman" w:eastAsia="Times New Roman" w:hAnsi="Times New Roman" w:cs="Times New Roman"/>
                <w:iCs/>
                <w:sz w:val="24"/>
                <w:szCs w:val="24"/>
                <w:lang w:eastAsia="lv-LV"/>
              </w:rPr>
              <w:t>o</w:t>
            </w:r>
            <w:r w:rsidR="001E094E" w:rsidRPr="003C50D5">
              <w:rPr>
                <w:rFonts w:ascii="Times New Roman" w:eastAsia="Times New Roman" w:hAnsi="Times New Roman" w:cs="Times New Roman"/>
                <w:iCs/>
                <w:sz w:val="24"/>
                <w:szCs w:val="24"/>
                <w:lang w:eastAsia="lv-LV"/>
              </w:rPr>
              <w:t xml:space="preserve"> risinājum</w:t>
            </w:r>
            <w:r w:rsidR="00B00E73" w:rsidRPr="003C50D5">
              <w:rPr>
                <w:rFonts w:ascii="Times New Roman" w:eastAsia="Times New Roman" w:hAnsi="Times New Roman" w:cs="Times New Roman"/>
                <w:iCs/>
                <w:sz w:val="24"/>
                <w:szCs w:val="24"/>
                <w:lang w:eastAsia="lv-LV"/>
              </w:rPr>
              <w:t>u</w:t>
            </w:r>
            <w:r w:rsidR="00B7270E" w:rsidRPr="003C50D5">
              <w:rPr>
                <w:rFonts w:ascii="Times New Roman" w:eastAsia="Times New Roman" w:hAnsi="Times New Roman" w:cs="Times New Roman"/>
                <w:iCs/>
                <w:sz w:val="24"/>
                <w:szCs w:val="24"/>
                <w:lang w:eastAsia="lv-LV"/>
              </w:rPr>
              <w:t>,</w:t>
            </w:r>
            <w:r w:rsidR="00B00E73" w:rsidRPr="003C50D5">
              <w:rPr>
                <w:rFonts w:ascii="Times New Roman" w:eastAsia="Times New Roman" w:hAnsi="Times New Roman" w:cs="Times New Roman"/>
                <w:iCs/>
                <w:sz w:val="24"/>
                <w:szCs w:val="24"/>
                <w:lang w:eastAsia="lv-LV"/>
              </w:rPr>
              <w:t xml:space="preserve"> vislielāko atbalstu saņemtu iedzīvotāji</w:t>
            </w:r>
            <w:r w:rsidR="001E094E" w:rsidRPr="003C50D5">
              <w:rPr>
                <w:rFonts w:ascii="Times New Roman" w:eastAsia="Times New Roman" w:hAnsi="Times New Roman" w:cs="Times New Roman"/>
                <w:iCs/>
                <w:sz w:val="24"/>
                <w:szCs w:val="24"/>
                <w:lang w:eastAsia="lv-LV"/>
              </w:rPr>
              <w:t xml:space="preserve"> ar viszemākajiem ienākumiem. Turklāt datu analīze sniedz ieskatu, ka pieaugtu kopējie mājsaimniecību ekvivalentie ienākumi</w:t>
            </w:r>
            <w:r w:rsidR="00484FC9" w:rsidRPr="003C50D5">
              <w:rPr>
                <w:rFonts w:ascii="Times New Roman" w:eastAsia="Times New Roman" w:hAnsi="Times New Roman" w:cs="Times New Roman"/>
                <w:iCs/>
                <w:sz w:val="24"/>
                <w:szCs w:val="24"/>
                <w:lang w:eastAsia="lv-LV"/>
              </w:rPr>
              <w:t xml:space="preserve"> </w:t>
            </w:r>
            <w:r w:rsidR="001E094E" w:rsidRPr="003C50D5">
              <w:rPr>
                <w:rFonts w:ascii="Times New Roman" w:eastAsia="Times New Roman" w:hAnsi="Times New Roman" w:cs="Times New Roman"/>
                <w:iCs/>
                <w:sz w:val="24"/>
                <w:szCs w:val="24"/>
                <w:lang w:eastAsia="lv-LV"/>
              </w:rPr>
              <w:t xml:space="preserve">– gan </w:t>
            </w:r>
            <w:proofErr w:type="spellStart"/>
            <w:r w:rsidR="001E094E" w:rsidRPr="003C50D5">
              <w:rPr>
                <w:rFonts w:ascii="Times New Roman" w:eastAsia="Times New Roman" w:hAnsi="Times New Roman" w:cs="Times New Roman"/>
                <w:iCs/>
                <w:sz w:val="24"/>
                <w:szCs w:val="24"/>
                <w:lang w:eastAsia="lv-LV"/>
              </w:rPr>
              <w:t>mediānie</w:t>
            </w:r>
            <w:proofErr w:type="spellEnd"/>
            <w:r w:rsidR="001E094E" w:rsidRPr="003C50D5">
              <w:rPr>
                <w:rFonts w:ascii="Times New Roman" w:eastAsia="Times New Roman" w:hAnsi="Times New Roman" w:cs="Times New Roman"/>
                <w:iCs/>
                <w:sz w:val="24"/>
                <w:szCs w:val="24"/>
                <w:lang w:eastAsia="lv-LV"/>
              </w:rPr>
              <w:t>, gan vidējie, attiecīgi par 0,4% un 1,7%.</w:t>
            </w:r>
            <w:bookmarkEnd w:id="6"/>
          </w:p>
        </w:tc>
      </w:tr>
      <w:bookmarkEnd w:id="5"/>
      <w:tr w:rsidR="003C50D5" w:rsidRPr="003C50D5" w14:paraId="2C807A31"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5D786E90" w14:textId="277D65EE"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lastRenderedPageBreak/>
              <w:t>3.</w:t>
            </w:r>
          </w:p>
        </w:tc>
        <w:tc>
          <w:tcPr>
            <w:tcW w:w="1113" w:type="pct"/>
            <w:gridSpan w:val="3"/>
            <w:tcBorders>
              <w:top w:val="outset" w:sz="6" w:space="0" w:color="auto"/>
              <w:left w:val="outset" w:sz="6" w:space="0" w:color="auto"/>
              <w:bottom w:val="outset" w:sz="6" w:space="0" w:color="auto"/>
              <w:right w:val="outset" w:sz="6" w:space="0" w:color="auto"/>
            </w:tcBorders>
            <w:hideMark/>
          </w:tcPr>
          <w:p w14:paraId="70365FBB"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Administratīvo izmaksu monetārs novērtējums</w:t>
            </w:r>
          </w:p>
        </w:tc>
        <w:tc>
          <w:tcPr>
            <w:tcW w:w="3573" w:type="pct"/>
            <w:gridSpan w:val="7"/>
            <w:tcBorders>
              <w:top w:val="outset" w:sz="6" w:space="0" w:color="auto"/>
              <w:left w:val="outset" w:sz="6" w:space="0" w:color="auto"/>
              <w:bottom w:val="outset" w:sz="6" w:space="0" w:color="auto"/>
              <w:right w:val="outset" w:sz="6" w:space="0" w:color="auto"/>
            </w:tcBorders>
            <w:hideMark/>
          </w:tcPr>
          <w:p w14:paraId="710373DB" w14:textId="18D69612" w:rsidR="00F70594" w:rsidRPr="003C50D5" w:rsidRDefault="00F70594" w:rsidP="00DB4E16">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Noteikumu projekts nerada papildu ietekmi uz</w:t>
            </w:r>
            <w:r w:rsidR="00DB4E16"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iCs/>
                <w:sz w:val="24"/>
                <w:szCs w:val="24"/>
                <w:lang w:eastAsia="lv-LV"/>
              </w:rPr>
              <w:t>administratīvajām izmaksām.</w:t>
            </w:r>
          </w:p>
        </w:tc>
      </w:tr>
      <w:tr w:rsidR="003C50D5" w:rsidRPr="003C50D5" w14:paraId="679C8C8C"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57DC775A"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lastRenderedPageBreak/>
              <w:t>4.</w:t>
            </w:r>
          </w:p>
        </w:tc>
        <w:tc>
          <w:tcPr>
            <w:tcW w:w="1113" w:type="pct"/>
            <w:gridSpan w:val="3"/>
            <w:tcBorders>
              <w:top w:val="outset" w:sz="6" w:space="0" w:color="auto"/>
              <w:left w:val="outset" w:sz="6" w:space="0" w:color="auto"/>
              <w:bottom w:val="outset" w:sz="6" w:space="0" w:color="auto"/>
              <w:right w:val="outset" w:sz="6" w:space="0" w:color="auto"/>
            </w:tcBorders>
            <w:hideMark/>
          </w:tcPr>
          <w:p w14:paraId="3FDB9176"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Atbilstības izmaksu monetārs novērtējums</w:t>
            </w:r>
          </w:p>
        </w:tc>
        <w:tc>
          <w:tcPr>
            <w:tcW w:w="3573" w:type="pct"/>
            <w:gridSpan w:val="7"/>
            <w:tcBorders>
              <w:top w:val="outset" w:sz="6" w:space="0" w:color="auto"/>
              <w:left w:val="outset" w:sz="6" w:space="0" w:color="auto"/>
              <w:bottom w:val="outset" w:sz="6" w:space="0" w:color="auto"/>
              <w:right w:val="outset" w:sz="6" w:space="0" w:color="auto"/>
            </w:tcBorders>
            <w:hideMark/>
          </w:tcPr>
          <w:p w14:paraId="65682692"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Nav</w:t>
            </w:r>
          </w:p>
        </w:tc>
      </w:tr>
      <w:tr w:rsidR="003C50D5" w:rsidRPr="003C50D5" w14:paraId="1FD98B81"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7BC8CB12"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5.</w:t>
            </w:r>
          </w:p>
        </w:tc>
        <w:tc>
          <w:tcPr>
            <w:tcW w:w="1113" w:type="pct"/>
            <w:gridSpan w:val="3"/>
            <w:tcBorders>
              <w:top w:val="outset" w:sz="6" w:space="0" w:color="auto"/>
              <w:left w:val="outset" w:sz="6" w:space="0" w:color="auto"/>
              <w:bottom w:val="outset" w:sz="6" w:space="0" w:color="auto"/>
              <w:right w:val="outset" w:sz="6" w:space="0" w:color="auto"/>
            </w:tcBorders>
            <w:hideMark/>
          </w:tcPr>
          <w:p w14:paraId="6123672D"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Cita informācija</w:t>
            </w:r>
          </w:p>
        </w:tc>
        <w:tc>
          <w:tcPr>
            <w:tcW w:w="3573" w:type="pct"/>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14:paraId="1CDED5AC" w14:textId="58CF17C6" w:rsidR="00F70594" w:rsidRPr="003C50D5" w:rsidRDefault="00641B4C" w:rsidP="00F272CD">
            <w:pPr>
              <w:spacing w:after="0" w:line="240" w:lineRule="auto"/>
              <w:jc w:val="both"/>
              <w:rPr>
                <w:rFonts w:ascii="Times New Roman" w:hAnsi="Times New Roman" w:cs="Times New Roman"/>
                <w:sz w:val="24"/>
                <w:szCs w:val="24"/>
              </w:rPr>
            </w:pPr>
            <w:r w:rsidRPr="003C50D5">
              <w:rPr>
                <w:rFonts w:ascii="Times New Roman" w:hAnsi="Times New Roman" w:cs="Times New Roman"/>
                <w:sz w:val="24"/>
                <w:szCs w:val="24"/>
              </w:rPr>
              <w:t>Lai nodrošinātu minimālo ienākumu sliekšņu pārskatīšanu, nepieciešams veikt informācijas sistēmu pielāgošanu jauno apmēru ieviešan</w:t>
            </w:r>
            <w:r w:rsidR="00E2729C" w:rsidRPr="003C50D5">
              <w:rPr>
                <w:rFonts w:ascii="Times New Roman" w:hAnsi="Times New Roman" w:cs="Times New Roman"/>
                <w:sz w:val="24"/>
                <w:szCs w:val="24"/>
              </w:rPr>
              <w:t>ai</w:t>
            </w:r>
            <w:r w:rsidRPr="003C50D5">
              <w:rPr>
                <w:rFonts w:ascii="Times New Roman" w:hAnsi="Times New Roman" w:cs="Times New Roman"/>
                <w:sz w:val="24"/>
                <w:szCs w:val="24"/>
              </w:rPr>
              <w:t>, piešķiršan</w:t>
            </w:r>
            <w:r w:rsidR="00E2729C" w:rsidRPr="003C50D5">
              <w:rPr>
                <w:rFonts w:ascii="Times New Roman" w:hAnsi="Times New Roman" w:cs="Times New Roman"/>
                <w:sz w:val="24"/>
                <w:szCs w:val="24"/>
              </w:rPr>
              <w:t>ai</w:t>
            </w:r>
            <w:r w:rsidRPr="003C50D5">
              <w:rPr>
                <w:rFonts w:ascii="Times New Roman" w:hAnsi="Times New Roman" w:cs="Times New Roman"/>
                <w:sz w:val="24"/>
                <w:szCs w:val="24"/>
              </w:rPr>
              <w:t xml:space="preserve"> un izmaks</w:t>
            </w:r>
            <w:r w:rsidR="00E2729C" w:rsidRPr="003C50D5">
              <w:rPr>
                <w:rFonts w:ascii="Times New Roman" w:hAnsi="Times New Roman" w:cs="Times New Roman"/>
                <w:sz w:val="24"/>
                <w:szCs w:val="24"/>
              </w:rPr>
              <w:t>ai</w:t>
            </w:r>
            <w:r w:rsidR="00960764" w:rsidRPr="003C50D5">
              <w:rPr>
                <w:rFonts w:ascii="Times New Roman" w:hAnsi="Times New Roman" w:cs="Times New Roman"/>
                <w:sz w:val="24"/>
                <w:szCs w:val="24"/>
              </w:rPr>
              <w:t xml:space="preserve"> gan valsts pusē (Valsts sociālās apdrošināšanas aģentūras informācijas sistēmas pielāgojumi), gan pašvaldību pusē (</w:t>
            </w:r>
            <w:r w:rsidR="00960764" w:rsidRPr="003C50D5">
              <w:rPr>
                <w:rFonts w:ascii="Times New Roman" w:eastAsia="Times New Roman" w:hAnsi="Times New Roman" w:cs="Times New Roman"/>
                <w:sz w:val="24"/>
                <w:szCs w:val="24"/>
                <w:lang w:eastAsia="lv-LV"/>
              </w:rPr>
              <w:t>sociālās palīdzības un sociālo pakalpojumu administrēšanas lietojumprogramm</w:t>
            </w:r>
            <w:r w:rsidR="00E2729C" w:rsidRPr="003C50D5">
              <w:rPr>
                <w:rFonts w:ascii="Times New Roman" w:eastAsia="Times New Roman" w:hAnsi="Times New Roman" w:cs="Times New Roman"/>
                <w:sz w:val="24"/>
                <w:szCs w:val="24"/>
                <w:lang w:eastAsia="lv-LV"/>
              </w:rPr>
              <w:t>as</w:t>
            </w:r>
            <w:r w:rsidR="00484FC9" w:rsidRPr="003C50D5">
              <w:rPr>
                <w:rFonts w:ascii="Times New Roman" w:eastAsia="Times New Roman" w:hAnsi="Times New Roman" w:cs="Times New Roman"/>
                <w:sz w:val="24"/>
                <w:szCs w:val="24"/>
                <w:lang w:eastAsia="lv-LV"/>
              </w:rPr>
              <w:t xml:space="preserve"> (</w:t>
            </w:r>
            <w:r w:rsidR="00960764" w:rsidRPr="003C50D5">
              <w:rPr>
                <w:rFonts w:ascii="Times New Roman" w:eastAsia="Times New Roman" w:hAnsi="Times New Roman" w:cs="Times New Roman"/>
                <w:i/>
                <w:iCs/>
                <w:sz w:val="24"/>
                <w:szCs w:val="24"/>
                <w:lang w:eastAsia="lv-LV"/>
              </w:rPr>
              <w:t>SOPA</w:t>
            </w:r>
            <w:r w:rsidR="00484FC9" w:rsidRPr="003C50D5">
              <w:rPr>
                <w:rFonts w:ascii="Times New Roman" w:eastAsia="Times New Roman" w:hAnsi="Times New Roman" w:cs="Times New Roman"/>
                <w:sz w:val="24"/>
                <w:szCs w:val="24"/>
                <w:lang w:eastAsia="lv-LV"/>
              </w:rPr>
              <w:t>)</w:t>
            </w:r>
            <w:r w:rsidR="00960764" w:rsidRPr="003C50D5">
              <w:rPr>
                <w:rFonts w:ascii="Times New Roman" w:eastAsia="Times New Roman" w:hAnsi="Times New Roman" w:cs="Times New Roman"/>
                <w:sz w:val="24"/>
                <w:szCs w:val="24"/>
                <w:lang w:eastAsia="lv-LV"/>
              </w:rPr>
              <w:t xml:space="preserve"> un v</w:t>
            </w:r>
            <w:r w:rsidR="00960764" w:rsidRPr="003C50D5">
              <w:rPr>
                <w:rFonts w:ascii="Times New Roman" w:hAnsi="Times New Roman" w:cs="Times New Roman"/>
                <w:sz w:val="24"/>
                <w:szCs w:val="24"/>
                <w:shd w:val="clear" w:color="auto" w:fill="FFFFFF"/>
              </w:rPr>
              <w:t>ienotās sociālās politikas monitoringa informācijas sistēmas (</w:t>
            </w:r>
            <w:r w:rsidR="00960764" w:rsidRPr="003C50D5">
              <w:rPr>
                <w:rStyle w:val="Emphasis"/>
                <w:rFonts w:ascii="Times New Roman" w:hAnsi="Times New Roman"/>
                <w:bCs/>
                <w:sz w:val="24"/>
                <w:szCs w:val="24"/>
                <w:shd w:val="clear" w:color="auto" w:fill="FFFFFF"/>
              </w:rPr>
              <w:t>SPOLIS)</w:t>
            </w:r>
            <w:r w:rsidR="00006150" w:rsidRPr="003C50D5">
              <w:rPr>
                <w:rStyle w:val="Emphasis"/>
                <w:rFonts w:ascii="Times New Roman" w:hAnsi="Times New Roman"/>
                <w:bCs/>
                <w:sz w:val="24"/>
                <w:szCs w:val="24"/>
                <w:shd w:val="clear" w:color="auto" w:fill="FFFFFF"/>
              </w:rPr>
              <w:t xml:space="preserve"> </w:t>
            </w:r>
            <w:r w:rsidR="00006150" w:rsidRPr="003C50D5">
              <w:rPr>
                <w:rStyle w:val="Emphasis"/>
                <w:rFonts w:ascii="Times New Roman" w:hAnsi="Times New Roman" w:cs="Times New Roman"/>
                <w:bCs/>
                <w:i w:val="0"/>
                <w:iCs w:val="0"/>
                <w:sz w:val="24"/>
                <w:szCs w:val="24"/>
                <w:shd w:val="clear" w:color="auto" w:fill="FFFFFF"/>
              </w:rPr>
              <w:t>pielāgojumi</w:t>
            </w:r>
            <w:r w:rsidR="00960764" w:rsidRPr="003C50D5">
              <w:rPr>
                <w:rStyle w:val="Emphasis"/>
                <w:rFonts w:ascii="Times New Roman" w:hAnsi="Times New Roman"/>
                <w:bCs/>
                <w:i w:val="0"/>
                <w:iCs w:val="0"/>
                <w:sz w:val="24"/>
                <w:szCs w:val="24"/>
                <w:shd w:val="clear" w:color="auto" w:fill="FFFFFF"/>
              </w:rPr>
              <w:t>)</w:t>
            </w:r>
            <w:r w:rsidR="00E2729C" w:rsidRPr="003C50D5">
              <w:rPr>
                <w:lang w:eastAsia="lv-LV"/>
              </w:rPr>
              <w:t>.</w:t>
            </w:r>
            <w:r w:rsidR="00960764" w:rsidRPr="003C50D5">
              <w:rPr>
                <w:rFonts w:ascii="Times New Roman" w:eastAsia="Times New Roman" w:hAnsi="Times New Roman" w:cs="Times New Roman"/>
                <w:sz w:val="24"/>
                <w:szCs w:val="24"/>
                <w:lang w:eastAsia="lv-LV"/>
              </w:rPr>
              <w:t xml:space="preserve"> </w:t>
            </w:r>
            <w:r w:rsidRPr="003C50D5">
              <w:rPr>
                <w:rFonts w:ascii="Times New Roman" w:hAnsi="Times New Roman" w:cs="Times New Roman"/>
                <w:sz w:val="24"/>
                <w:szCs w:val="24"/>
              </w:rPr>
              <w:t xml:space="preserve"> Ņemot vērā, ka informācijas sistēmu pielāgošana un validēšana ir laikietilpīga, nepieciešamības </w:t>
            </w:r>
            <w:r w:rsidR="00E2729C" w:rsidRPr="003C50D5">
              <w:rPr>
                <w:rFonts w:ascii="Times New Roman" w:hAnsi="Times New Roman" w:cs="Times New Roman"/>
                <w:sz w:val="24"/>
                <w:szCs w:val="24"/>
              </w:rPr>
              <w:t xml:space="preserve">gadījumā </w:t>
            </w:r>
            <w:r w:rsidRPr="003C50D5">
              <w:rPr>
                <w:rFonts w:ascii="Times New Roman" w:hAnsi="Times New Roman" w:cs="Times New Roman"/>
                <w:sz w:val="24"/>
                <w:szCs w:val="24"/>
              </w:rPr>
              <w:t>katru atsevišķ</w:t>
            </w:r>
            <w:r w:rsidR="00E2729C" w:rsidRPr="003C50D5">
              <w:rPr>
                <w:rFonts w:ascii="Times New Roman" w:hAnsi="Times New Roman" w:cs="Times New Roman"/>
                <w:sz w:val="24"/>
                <w:szCs w:val="24"/>
              </w:rPr>
              <w:t>o</w:t>
            </w:r>
            <w:r w:rsidRPr="003C50D5">
              <w:rPr>
                <w:rFonts w:ascii="Times New Roman" w:hAnsi="Times New Roman" w:cs="Times New Roman"/>
                <w:sz w:val="24"/>
                <w:szCs w:val="24"/>
              </w:rPr>
              <w:t xml:space="preserve"> minimālo ienākumu slieksni regulējošajā normatīvajā aktā </w:t>
            </w:r>
            <w:r w:rsidR="0020667B" w:rsidRPr="003C50D5">
              <w:rPr>
                <w:rFonts w:ascii="Times New Roman" w:hAnsi="Times New Roman" w:cs="Times New Roman"/>
                <w:sz w:val="24"/>
                <w:szCs w:val="24"/>
              </w:rPr>
              <w:t>ir veikta atruna par pārejas posma noteikšanu jauno apmēru</w:t>
            </w:r>
            <w:r w:rsidRPr="003C50D5">
              <w:rPr>
                <w:rFonts w:ascii="Times New Roman" w:hAnsi="Times New Roman" w:cs="Times New Roman"/>
                <w:sz w:val="24"/>
                <w:szCs w:val="24"/>
              </w:rPr>
              <w:t xml:space="preserve"> </w:t>
            </w:r>
            <w:r w:rsidR="0020667B" w:rsidRPr="003C50D5">
              <w:rPr>
                <w:rFonts w:ascii="Times New Roman" w:hAnsi="Times New Roman" w:cs="Times New Roman"/>
                <w:sz w:val="24"/>
                <w:szCs w:val="24"/>
              </w:rPr>
              <w:t xml:space="preserve">ieviešanai pilnā apmērā. </w:t>
            </w:r>
          </w:p>
          <w:p w14:paraId="1BA18E37" w14:textId="1783D8D7" w:rsidR="00DD168F" w:rsidRPr="003C50D5" w:rsidRDefault="00DD168F" w:rsidP="00F272CD">
            <w:pPr>
              <w:spacing w:after="0" w:line="240" w:lineRule="auto"/>
              <w:jc w:val="both"/>
              <w:rPr>
                <w:rFonts w:ascii="Times New Roman" w:hAnsi="Times New Roman" w:cs="Times New Roman"/>
                <w:sz w:val="24"/>
                <w:szCs w:val="24"/>
              </w:rPr>
            </w:pPr>
          </w:p>
        </w:tc>
      </w:tr>
      <w:tr w:rsidR="003C50D5" w:rsidRPr="003C50D5" w14:paraId="2AC1D175"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tcPr>
          <w:p w14:paraId="1F5C15EC" w14:textId="77777777" w:rsidR="00F70594" w:rsidRPr="003C50D5" w:rsidRDefault="00F70594" w:rsidP="00F272CD">
            <w:pPr>
              <w:spacing w:after="0" w:line="240" w:lineRule="auto"/>
              <w:jc w:val="center"/>
              <w:rPr>
                <w:rFonts w:ascii="Times New Roman" w:eastAsia="Times New Roman" w:hAnsi="Times New Roman" w:cs="Times New Roman"/>
                <w:b/>
                <w:bCs/>
                <w:iCs/>
                <w:sz w:val="18"/>
                <w:szCs w:val="18"/>
                <w:lang w:eastAsia="lv-LV"/>
              </w:rPr>
            </w:pPr>
            <w:r w:rsidRPr="003C50D5">
              <w:rPr>
                <w:rFonts w:ascii="Times New Roman" w:eastAsia="Times New Roman" w:hAnsi="Times New Roman" w:cs="Times New Roman"/>
                <w:b/>
                <w:bCs/>
                <w:iCs/>
                <w:sz w:val="18"/>
                <w:szCs w:val="18"/>
                <w:lang w:eastAsia="lv-LV"/>
              </w:rPr>
              <w:t>III. Tiesību akta projekta ietekme uz valsts budžetu un pašvaldību budžetiem</w:t>
            </w:r>
          </w:p>
        </w:tc>
      </w:tr>
      <w:tr w:rsidR="003C50D5" w:rsidRPr="003C50D5" w14:paraId="34E957A8"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929" w:type="pct"/>
            <w:gridSpan w:val="4"/>
            <w:vMerge w:val="restart"/>
            <w:vAlign w:val="center"/>
          </w:tcPr>
          <w:p w14:paraId="688D3D5C" w14:textId="77777777" w:rsidR="00F70594" w:rsidRPr="003C50D5" w:rsidRDefault="00F70594" w:rsidP="00F272CD">
            <w:pPr>
              <w:spacing w:after="0" w:line="240" w:lineRule="auto"/>
              <w:ind w:right="71"/>
              <w:jc w:val="center"/>
              <w:rPr>
                <w:rFonts w:ascii="Times New Roman" w:eastAsia="Calibri" w:hAnsi="Times New Roman" w:cs="Times New Roman"/>
                <w:b/>
                <w:sz w:val="18"/>
                <w:szCs w:val="18"/>
                <w:lang w:eastAsia="lv-LV"/>
              </w:rPr>
            </w:pPr>
            <w:r w:rsidRPr="003C50D5">
              <w:rPr>
                <w:rFonts w:ascii="Times New Roman" w:eastAsia="Calibri" w:hAnsi="Times New Roman" w:cs="Times New Roman"/>
                <w:b/>
                <w:sz w:val="18"/>
                <w:szCs w:val="18"/>
                <w:lang w:eastAsia="lv-LV"/>
              </w:rPr>
              <w:t>Rādītāji</w:t>
            </w:r>
          </w:p>
        </w:tc>
        <w:tc>
          <w:tcPr>
            <w:tcW w:w="1186" w:type="pct"/>
            <w:gridSpan w:val="3"/>
            <w:vMerge w:val="restart"/>
            <w:vAlign w:val="center"/>
          </w:tcPr>
          <w:p w14:paraId="0D77D3AF" w14:textId="0278625D" w:rsidR="00F70594" w:rsidRPr="003C50D5" w:rsidRDefault="00F70594" w:rsidP="00F272CD">
            <w:pPr>
              <w:spacing w:after="0" w:line="240" w:lineRule="auto"/>
              <w:ind w:right="71"/>
              <w:jc w:val="center"/>
              <w:rPr>
                <w:rFonts w:ascii="Times New Roman" w:eastAsia="Calibri" w:hAnsi="Times New Roman" w:cs="Times New Roman"/>
                <w:b/>
                <w:sz w:val="18"/>
                <w:szCs w:val="18"/>
                <w:lang w:eastAsia="lv-LV"/>
              </w:rPr>
            </w:pPr>
            <w:r w:rsidRPr="003C50D5">
              <w:rPr>
                <w:rFonts w:ascii="Times New Roman" w:eastAsia="Calibri" w:hAnsi="Times New Roman" w:cs="Times New Roman"/>
                <w:b/>
                <w:sz w:val="18"/>
                <w:szCs w:val="18"/>
                <w:lang w:eastAsia="lv-LV"/>
              </w:rPr>
              <w:t>20</w:t>
            </w:r>
            <w:r w:rsidR="0020667B" w:rsidRPr="003C50D5">
              <w:rPr>
                <w:rFonts w:ascii="Times New Roman" w:eastAsia="Calibri" w:hAnsi="Times New Roman" w:cs="Times New Roman"/>
                <w:b/>
                <w:sz w:val="18"/>
                <w:szCs w:val="18"/>
                <w:lang w:eastAsia="lv-LV"/>
              </w:rPr>
              <w:t>20</w:t>
            </w:r>
            <w:r w:rsidRPr="003C50D5">
              <w:rPr>
                <w:rFonts w:ascii="Times New Roman" w:eastAsia="Calibri" w:hAnsi="Times New Roman" w:cs="Times New Roman"/>
                <w:b/>
                <w:sz w:val="18"/>
                <w:szCs w:val="18"/>
                <w:lang w:eastAsia="lv-LV"/>
              </w:rPr>
              <w:t>.gads</w:t>
            </w:r>
          </w:p>
        </w:tc>
        <w:tc>
          <w:tcPr>
            <w:tcW w:w="2822" w:type="pct"/>
            <w:gridSpan w:val="5"/>
          </w:tcPr>
          <w:p w14:paraId="49008B35" w14:textId="77777777" w:rsidR="00F70594" w:rsidRPr="003C50D5" w:rsidRDefault="00F70594" w:rsidP="00F272CD">
            <w:pPr>
              <w:spacing w:after="0" w:line="240" w:lineRule="auto"/>
              <w:ind w:right="71"/>
              <w:jc w:val="center"/>
              <w:rPr>
                <w:rFonts w:ascii="Times New Roman" w:eastAsia="Calibri" w:hAnsi="Times New Roman" w:cs="Times New Roman"/>
                <w:sz w:val="18"/>
                <w:szCs w:val="18"/>
                <w:lang w:eastAsia="lv-LV"/>
              </w:rPr>
            </w:pPr>
            <w:r w:rsidRPr="003C50D5">
              <w:rPr>
                <w:rFonts w:ascii="Times New Roman" w:eastAsia="Calibri" w:hAnsi="Times New Roman" w:cs="Times New Roman"/>
                <w:sz w:val="18"/>
                <w:szCs w:val="18"/>
                <w:lang w:eastAsia="lv-LV"/>
              </w:rPr>
              <w:t>Turpmākie trīs gadi (</w:t>
            </w:r>
            <w:proofErr w:type="spellStart"/>
            <w:r w:rsidRPr="003C50D5">
              <w:rPr>
                <w:rFonts w:ascii="Times New Roman" w:eastAsia="Calibri" w:hAnsi="Times New Roman" w:cs="Times New Roman"/>
                <w:i/>
                <w:sz w:val="18"/>
                <w:szCs w:val="18"/>
                <w:lang w:eastAsia="lv-LV"/>
              </w:rPr>
              <w:t>euro</w:t>
            </w:r>
            <w:proofErr w:type="spellEnd"/>
            <w:r w:rsidRPr="003C50D5">
              <w:rPr>
                <w:rFonts w:ascii="Times New Roman" w:eastAsia="Calibri" w:hAnsi="Times New Roman" w:cs="Times New Roman"/>
                <w:sz w:val="18"/>
                <w:szCs w:val="18"/>
                <w:lang w:eastAsia="lv-LV"/>
              </w:rPr>
              <w:t>)</w:t>
            </w:r>
          </w:p>
        </w:tc>
      </w:tr>
      <w:tr w:rsidR="003C50D5" w:rsidRPr="003C50D5" w14:paraId="0D8B4108"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929" w:type="pct"/>
            <w:gridSpan w:val="4"/>
            <w:vMerge/>
            <w:vAlign w:val="center"/>
          </w:tcPr>
          <w:p w14:paraId="76D494FB" w14:textId="77777777"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p>
        </w:tc>
        <w:tc>
          <w:tcPr>
            <w:tcW w:w="1186" w:type="pct"/>
            <w:gridSpan w:val="3"/>
            <w:vMerge/>
            <w:vAlign w:val="center"/>
          </w:tcPr>
          <w:p w14:paraId="54644FED" w14:textId="77777777"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p>
        </w:tc>
        <w:tc>
          <w:tcPr>
            <w:tcW w:w="982" w:type="pct"/>
            <w:gridSpan w:val="2"/>
            <w:vAlign w:val="center"/>
          </w:tcPr>
          <w:p w14:paraId="275B22EC" w14:textId="582DF57E" w:rsidR="00F70594" w:rsidRPr="003C50D5" w:rsidRDefault="00F70594" w:rsidP="00F272CD">
            <w:pPr>
              <w:spacing w:after="0" w:line="240" w:lineRule="auto"/>
              <w:ind w:right="71"/>
              <w:jc w:val="center"/>
              <w:rPr>
                <w:rFonts w:ascii="Times New Roman" w:eastAsia="Calibri" w:hAnsi="Times New Roman" w:cs="Times New Roman"/>
                <w:b/>
                <w:bCs/>
                <w:sz w:val="18"/>
                <w:szCs w:val="18"/>
                <w:lang w:eastAsia="lv-LV"/>
              </w:rPr>
            </w:pPr>
            <w:r w:rsidRPr="003C50D5">
              <w:rPr>
                <w:rFonts w:ascii="Times New Roman" w:eastAsia="Calibri" w:hAnsi="Times New Roman" w:cs="Times New Roman"/>
                <w:b/>
                <w:bCs/>
                <w:sz w:val="18"/>
                <w:szCs w:val="18"/>
                <w:lang w:eastAsia="lv-LV"/>
              </w:rPr>
              <w:t>202</w:t>
            </w:r>
            <w:r w:rsidR="0020667B" w:rsidRPr="003C50D5">
              <w:rPr>
                <w:rFonts w:ascii="Times New Roman" w:eastAsia="Calibri" w:hAnsi="Times New Roman" w:cs="Times New Roman"/>
                <w:b/>
                <w:bCs/>
                <w:sz w:val="18"/>
                <w:szCs w:val="18"/>
                <w:lang w:eastAsia="lv-LV"/>
              </w:rPr>
              <w:t>1</w:t>
            </w:r>
          </w:p>
        </w:tc>
        <w:tc>
          <w:tcPr>
            <w:tcW w:w="982" w:type="pct"/>
            <w:gridSpan w:val="2"/>
            <w:vAlign w:val="center"/>
          </w:tcPr>
          <w:p w14:paraId="6E5779D2" w14:textId="2465D68A" w:rsidR="00F70594" w:rsidRPr="003C50D5" w:rsidRDefault="00F70594" w:rsidP="00F272CD">
            <w:pPr>
              <w:spacing w:after="0" w:line="240" w:lineRule="auto"/>
              <w:ind w:right="71"/>
              <w:jc w:val="center"/>
              <w:rPr>
                <w:rFonts w:ascii="Times New Roman" w:eastAsia="Calibri" w:hAnsi="Times New Roman" w:cs="Times New Roman"/>
                <w:b/>
                <w:bCs/>
                <w:sz w:val="18"/>
                <w:szCs w:val="18"/>
                <w:lang w:eastAsia="lv-LV"/>
              </w:rPr>
            </w:pPr>
            <w:r w:rsidRPr="003C50D5">
              <w:rPr>
                <w:rFonts w:ascii="Times New Roman" w:eastAsia="Calibri" w:hAnsi="Times New Roman" w:cs="Times New Roman"/>
                <w:b/>
                <w:bCs/>
                <w:sz w:val="18"/>
                <w:szCs w:val="18"/>
                <w:lang w:eastAsia="lv-LV"/>
              </w:rPr>
              <w:t>202</w:t>
            </w:r>
            <w:r w:rsidR="0020667B" w:rsidRPr="003C50D5">
              <w:rPr>
                <w:rFonts w:ascii="Times New Roman" w:eastAsia="Calibri" w:hAnsi="Times New Roman" w:cs="Times New Roman"/>
                <w:b/>
                <w:bCs/>
                <w:sz w:val="18"/>
                <w:szCs w:val="18"/>
                <w:lang w:eastAsia="lv-LV"/>
              </w:rPr>
              <w:t>2</w:t>
            </w:r>
          </w:p>
        </w:tc>
        <w:tc>
          <w:tcPr>
            <w:tcW w:w="825" w:type="pct"/>
            <w:vAlign w:val="center"/>
          </w:tcPr>
          <w:p w14:paraId="2CE94F12" w14:textId="5B4C4AEC"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b/>
                <w:bCs/>
                <w:sz w:val="18"/>
                <w:szCs w:val="18"/>
                <w:lang w:eastAsia="lv-LV"/>
              </w:rPr>
              <w:t>202</w:t>
            </w:r>
            <w:r w:rsidR="0020667B" w:rsidRPr="003C50D5">
              <w:rPr>
                <w:rFonts w:ascii="Times New Roman" w:eastAsia="Calibri" w:hAnsi="Times New Roman" w:cs="Times New Roman"/>
                <w:b/>
                <w:bCs/>
                <w:sz w:val="18"/>
                <w:szCs w:val="18"/>
                <w:lang w:eastAsia="lv-LV"/>
              </w:rPr>
              <w:t>3</w:t>
            </w:r>
          </w:p>
        </w:tc>
      </w:tr>
      <w:tr w:rsidR="003C50D5" w:rsidRPr="003C50D5" w14:paraId="03461EE3"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929" w:type="pct"/>
            <w:gridSpan w:val="4"/>
            <w:vMerge/>
            <w:vAlign w:val="center"/>
          </w:tcPr>
          <w:p w14:paraId="324A7B11" w14:textId="77777777"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p>
        </w:tc>
        <w:tc>
          <w:tcPr>
            <w:tcW w:w="650" w:type="pct"/>
            <w:gridSpan w:val="2"/>
          </w:tcPr>
          <w:p w14:paraId="6E6006A0" w14:textId="77777777"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sz w:val="18"/>
                <w:szCs w:val="18"/>
              </w:rPr>
              <w:t>saskaņā ar valsts budžetu kārtējam gadam</w:t>
            </w:r>
          </w:p>
        </w:tc>
        <w:tc>
          <w:tcPr>
            <w:tcW w:w="520" w:type="pct"/>
          </w:tcPr>
          <w:p w14:paraId="74EB24F4" w14:textId="77777777"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sz w:val="18"/>
                <w:szCs w:val="18"/>
              </w:rPr>
              <w:t>izmaiņas kārtējā gadā, salīdzinot ar valsts budžetu kārtējam gadam</w:t>
            </w:r>
          </w:p>
        </w:tc>
        <w:tc>
          <w:tcPr>
            <w:tcW w:w="446" w:type="pct"/>
          </w:tcPr>
          <w:p w14:paraId="7BF59627" w14:textId="780FD22B"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sz w:val="18"/>
                <w:szCs w:val="18"/>
              </w:rPr>
              <w:t>saskaņā ar vidēja termiņa budžeta ietvaru</w:t>
            </w:r>
          </w:p>
        </w:tc>
        <w:tc>
          <w:tcPr>
            <w:tcW w:w="520" w:type="pct"/>
          </w:tcPr>
          <w:p w14:paraId="178E5D91" w14:textId="6261441F" w:rsidR="00F70594" w:rsidRPr="003C50D5" w:rsidRDefault="00F70594" w:rsidP="00F272CD">
            <w:pPr>
              <w:spacing w:after="0" w:line="240" w:lineRule="auto"/>
              <w:ind w:right="71"/>
              <w:jc w:val="center"/>
              <w:rPr>
                <w:rFonts w:ascii="Times New Roman" w:eastAsia="Calibri" w:hAnsi="Times New Roman" w:cs="Times New Roman"/>
                <w:sz w:val="18"/>
                <w:szCs w:val="18"/>
                <w:lang w:eastAsia="lv-LV"/>
              </w:rPr>
            </w:pPr>
            <w:r w:rsidRPr="003C50D5">
              <w:rPr>
                <w:rFonts w:ascii="Times New Roman" w:eastAsia="Calibri" w:hAnsi="Times New Roman" w:cs="Times New Roman"/>
                <w:sz w:val="18"/>
                <w:szCs w:val="18"/>
              </w:rPr>
              <w:t>izmaiņas, salīdzinot ar vidēja termiņa budžeta ietvaru 202</w:t>
            </w:r>
            <w:r w:rsidR="003170F0" w:rsidRPr="003C50D5">
              <w:rPr>
                <w:rFonts w:ascii="Times New Roman" w:eastAsia="Calibri" w:hAnsi="Times New Roman" w:cs="Times New Roman"/>
                <w:sz w:val="18"/>
                <w:szCs w:val="18"/>
              </w:rPr>
              <w:t>1</w:t>
            </w:r>
            <w:r w:rsidRPr="003C50D5">
              <w:rPr>
                <w:rFonts w:ascii="Times New Roman" w:eastAsia="Calibri" w:hAnsi="Times New Roman" w:cs="Times New Roman"/>
                <w:sz w:val="18"/>
                <w:szCs w:val="18"/>
              </w:rPr>
              <w:t>. gadam</w:t>
            </w:r>
          </w:p>
        </w:tc>
        <w:tc>
          <w:tcPr>
            <w:tcW w:w="446" w:type="pct"/>
          </w:tcPr>
          <w:p w14:paraId="4BA83FD8" w14:textId="11FEB768"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sz w:val="18"/>
                <w:szCs w:val="18"/>
              </w:rPr>
              <w:t>saskaņā ar vidēja termiņa budžeta ietvaru</w:t>
            </w:r>
          </w:p>
        </w:tc>
        <w:tc>
          <w:tcPr>
            <w:tcW w:w="520" w:type="pct"/>
          </w:tcPr>
          <w:p w14:paraId="10A615D7" w14:textId="55D7BB96" w:rsidR="00F70594" w:rsidRPr="003C50D5" w:rsidRDefault="00F70594" w:rsidP="00F272CD">
            <w:pPr>
              <w:spacing w:after="0" w:line="240" w:lineRule="auto"/>
              <w:ind w:right="71"/>
              <w:jc w:val="center"/>
              <w:rPr>
                <w:rFonts w:ascii="Times New Roman" w:eastAsia="Calibri" w:hAnsi="Times New Roman" w:cs="Times New Roman"/>
                <w:sz w:val="18"/>
                <w:szCs w:val="18"/>
                <w:lang w:eastAsia="lv-LV"/>
              </w:rPr>
            </w:pPr>
            <w:r w:rsidRPr="003C50D5">
              <w:rPr>
                <w:rFonts w:ascii="Times New Roman" w:eastAsia="Calibri" w:hAnsi="Times New Roman" w:cs="Times New Roman"/>
                <w:sz w:val="18"/>
                <w:szCs w:val="18"/>
              </w:rPr>
              <w:t>izmaiņas, salīdzinot ar vidēja termiņa budžeta ietvaru  202</w:t>
            </w:r>
            <w:r w:rsidR="003170F0" w:rsidRPr="003C50D5">
              <w:rPr>
                <w:rFonts w:ascii="Times New Roman" w:eastAsia="Calibri" w:hAnsi="Times New Roman" w:cs="Times New Roman"/>
                <w:sz w:val="18"/>
                <w:szCs w:val="18"/>
              </w:rPr>
              <w:t>2</w:t>
            </w:r>
            <w:r w:rsidRPr="003C50D5">
              <w:rPr>
                <w:rFonts w:ascii="Times New Roman" w:eastAsia="Calibri" w:hAnsi="Times New Roman" w:cs="Times New Roman"/>
                <w:sz w:val="18"/>
                <w:szCs w:val="18"/>
              </w:rPr>
              <w:t>. gadam</w:t>
            </w:r>
          </w:p>
        </w:tc>
        <w:tc>
          <w:tcPr>
            <w:tcW w:w="825" w:type="pct"/>
          </w:tcPr>
          <w:p w14:paraId="4EA0A0D0" w14:textId="679B313F" w:rsidR="00F70594" w:rsidRPr="003C50D5" w:rsidRDefault="00F70594" w:rsidP="00F272CD">
            <w:pPr>
              <w:spacing w:after="0" w:line="240" w:lineRule="auto"/>
              <w:ind w:right="71"/>
              <w:jc w:val="center"/>
              <w:rPr>
                <w:rFonts w:ascii="Times New Roman" w:eastAsia="Calibri" w:hAnsi="Times New Roman" w:cs="Times New Roman"/>
                <w:b/>
                <w:i/>
                <w:sz w:val="18"/>
                <w:szCs w:val="18"/>
                <w:lang w:eastAsia="lv-LV"/>
              </w:rPr>
            </w:pPr>
            <w:r w:rsidRPr="003C50D5">
              <w:rPr>
                <w:rFonts w:ascii="Times New Roman" w:eastAsia="Calibri" w:hAnsi="Times New Roman" w:cs="Times New Roman"/>
                <w:sz w:val="18"/>
                <w:szCs w:val="18"/>
              </w:rPr>
              <w:t>izmaiņas, salīdzinot ar vidēja termiņa budžeta ietvaru 202</w:t>
            </w:r>
            <w:r w:rsidR="003170F0" w:rsidRPr="003C50D5">
              <w:rPr>
                <w:rFonts w:ascii="Times New Roman" w:eastAsia="Calibri" w:hAnsi="Times New Roman" w:cs="Times New Roman"/>
                <w:sz w:val="18"/>
                <w:szCs w:val="18"/>
              </w:rPr>
              <w:t>2</w:t>
            </w:r>
            <w:r w:rsidRPr="003C50D5">
              <w:rPr>
                <w:rFonts w:ascii="Times New Roman" w:eastAsia="Calibri" w:hAnsi="Times New Roman" w:cs="Times New Roman"/>
                <w:sz w:val="18"/>
                <w:szCs w:val="18"/>
              </w:rPr>
              <w:t>. gadam</w:t>
            </w:r>
          </w:p>
        </w:tc>
      </w:tr>
      <w:tr w:rsidR="003C50D5" w:rsidRPr="003C50D5" w14:paraId="6F70B206"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929" w:type="pct"/>
            <w:gridSpan w:val="4"/>
            <w:vAlign w:val="center"/>
          </w:tcPr>
          <w:p w14:paraId="341B9D58"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1</w:t>
            </w:r>
          </w:p>
        </w:tc>
        <w:tc>
          <w:tcPr>
            <w:tcW w:w="650" w:type="pct"/>
            <w:gridSpan w:val="2"/>
            <w:vAlign w:val="center"/>
          </w:tcPr>
          <w:p w14:paraId="226FF943"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2</w:t>
            </w:r>
          </w:p>
        </w:tc>
        <w:tc>
          <w:tcPr>
            <w:tcW w:w="520" w:type="pct"/>
            <w:vAlign w:val="center"/>
          </w:tcPr>
          <w:p w14:paraId="3CBA43FA"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3</w:t>
            </w:r>
          </w:p>
        </w:tc>
        <w:tc>
          <w:tcPr>
            <w:tcW w:w="446" w:type="pct"/>
            <w:vAlign w:val="center"/>
          </w:tcPr>
          <w:p w14:paraId="50CE8FFB"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4</w:t>
            </w:r>
          </w:p>
        </w:tc>
        <w:tc>
          <w:tcPr>
            <w:tcW w:w="520" w:type="pct"/>
          </w:tcPr>
          <w:p w14:paraId="1F7678F0"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5</w:t>
            </w:r>
          </w:p>
        </w:tc>
        <w:tc>
          <w:tcPr>
            <w:tcW w:w="446" w:type="pct"/>
            <w:vAlign w:val="center"/>
          </w:tcPr>
          <w:p w14:paraId="1F0A401E"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6</w:t>
            </w:r>
          </w:p>
        </w:tc>
        <w:tc>
          <w:tcPr>
            <w:tcW w:w="520" w:type="pct"/>
          </w:tcPr>
          <w:p w14:paraId="674A89D3"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7</w:t>
            </w:r>
          </w:p>
        </w:tc>
        <w:tc>
          <w:tcPr>
            <w:tcW w:w="825" w:type="pct"/>
            <w:vAlign w:val="center"/>
          </w:tcPr>
          <w:p w14:paraId="31965612" w14:textId="77777777" w:rsidR="00F70594" w:rsidRPr="003C50D5" w:rsidRDefault="00F70594" w:rsidP="00F272CD">
            <w:pPr>
              <w:spacing w:after="0" w:line="240" w:lineRule="auto"/>
              <w:ind w:right="71"/>
              <w:jc w:val="center"/>
              <w:rPr>
                <w:rFonts w:ascii="Times New Roman" w:eastAsia="Calibri" w:hAnsi="Times New Roman" w:cs="Times New Roman"/>
                <w:bCs/>
                <w:sz w:val="18"/>
                <w:szCs w:val="18"/>
                <w:lang w:eastAsia="lv-LV"/>
              </w:rPr>
            </w:pPr>
            <w:r w:rsidRPr="003C50D5">
              <w:rPr>
                <w:rFonts w:ascii="Times New Roman" w:eastAsia="Calibri" w:hAnsi="Times New Roman" w:cs="Times New Roman"/>
                <w:bCs/>
                <w:sz w:val="18"/>
                <w:szCs w:val="18"/>
                <w:lang w:eastAsia="lv-LV"/>
              </w:rPr>
              <w:t>8</w:t>
            </w:r>
          </w:p>
        </w:tc>
      </w:tr>
      <w:tr w:rsidR="003C50D5" w:rsidRPr="003C50D5" w14:paraId="694AD474"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shd w:val="clear" w:color="auto" w:fill="BFBFBF" w:themeFill="background1" w:themeFillShade="BF"/>
          </w:tcPr>
          <w:p w14:paraId="516A86F1" w14:textId="77777777" w:rsidR="009C51AA" w:rsidRPr="003C50D5" w:rsidRDefault="009C51AA" w:rsidP="009C51AA">
            <w:pPr>
              <w:spacing w:after="0" w:line="240" w:lineRule="auto"/>
              <w:ind w:right="71"/>
              <w:jc w:val="both"/>
              <w:rPr>
                <w:rFonts w:ascii="Times New Roman" w:eastAsia="Calibri" w:hAnsi="Times New Roman" w:cs="Times New Roman"/>
                <w:i/>
                <w:sz w:val="18"/>
                <w:szCs w:val="18"/>
                <w:lang w:eastAsia="lv-LV"/>
              </w:rPr>
            </w:pPr>
            <w:r w:rsidRPr="003C50D5">
              <w:rPr>
                <w:rFonts w:ascii="Times New Roman" w:eastAsia="Calibri" w:hAnsi="Times New Roman" w:cs="Times New Roman"/>
                <w:sz w:val="18"/>
                <w:szCs w:val="18"/>
                <w:lang w:eastAsia="lv-LV"/>
              </w:rPr>
              <w:t>1. Budžeta ieņēmumi:</w:t>
            </w:r>
          </w:p>
        </w:tc>
        <w:tc>
          <w:tcPr>
            <w:tcW w:w="650" w:type="pct"/>
            <w:gridSpan w:val="2"/>
            <w:shd w:val="clear" w:color="auto" w:fill="BFBFBF" w:themeFill="background1" w:themeFillShade="BF"/>
            <w:vAlign w:val="center"/>
          </w:tcPr>
          <w:p w14:paraId="7EC7A1A4" w14:textId="122EA624"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4B910577" w14:textId="22A86A9A"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shd w:val="clear" w:color="auto" w:fill="BFBFBF" w:themeFill="background1" w:themeFillShade="BF"/>
            <w:vAlign w:val="center"/>
          </w:tcPr>
          <w:p w14:paraId="158B8DDC" w14:textId="320E6046"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25CDEC6B" w14:textId="6C903E76" w:rsidR="009C51AA" w:rsidRPr="003C50D5" w:rsidDel="009136B7"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shd w:val="clear" w:color="auto" w:fill="BFBFBF" w:themeFill="background1" w:themeFillShade="BF"/>
            <w:vAlign w:val="center"/>
          </w:tcPr>
          <w:p w14:paraId="67F380E3" w14:textId="74B91752"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03A47144" w14:textId="7BC098B3" w:rsidR="009C51AA" w:rsidRPr="003C50D5" w:rsidDel="009136B7"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shd w:val="clear" w:color="auto" w:fill="BFBFBF" w:themeFill="background1" w:themeFillShade="BF"/>
            <w:vAlign w:val="center"/>
          </w:tcPr>
          <w:p w14:paraId="5699E74A" w14:textId="26AF0B3B"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608BFBE4"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1437"/>
          <w:jc w:val="center"/>
        </w:trPr>
        <w:tc>
          <w:tcPr>
            <w:tcW w:w="929" w:type="pct"/>
            <w:gridSpan w:val="4"/>
          </w:tcPr>
          <w:p w14:paraId="76C5466C" w14:textId="77777777" w:rsidR="009C51AA" w:rsidRPr="003C50D5" w:rsidRDefault="009C51AA" w:rsidP="009C51AA">
            <w:pPr>
              <w:spacing w:after="0" w:line="240" w:lineRule="auto"/>
              <w:ind w:right="74"/>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1.1. valsts pamatbudžet, tai skaitā ieņēmumi no maksas pakalpojumiem un citi pašu ieņēmumi</w:t>
            </w:r>
          </w:p>
        </w:tc>
        <w:tc>
          <w:tcPr>
            <w:tcW w:w="650" w:type="pct"/>
            <w:gridSpan w:val="2"/>
            <w:vAlign w:val="center"/>
          </w:tcPr>
          <w:p w14:paraId="092B86BD" w14:textId="5D6665DD"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65DCAA8B" w14:textId="3C5EBDCE"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5D8784F0" w14:textId="19A45E9B"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3303E15A" w14:textId="51CE20D2" w:rsidR="009C51AA" w:rsidRPr="003C50D5" w:rsidDel="009136B7"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36E8FE55" w14:textId="6BCE0130"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2371C50B" w14:textId="591073AA" w:rsidR="009C51AA" w:rsidRPr="003C50D5" w:rsidDel="009136B7"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5EA0F962" w14:textId="673229E1"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4C4CBC8E"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929" w:type="pct"/>
            <w:gridSpan w:val="4"/>
          </w:tcPr>
          <w:p w14:paraId="754B4B1E"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lang w:eastAsia="lv-LV"/>
              </w:rPr>
            </w:pPr>
            <w:r w:rsidRPr="003C50D5">
              <w:rPr>
                <w:rFonts w:ascii="Times New Roman" w:eastAsia="Calibri" w:hAnsi="Times New Roman" w:cs="Times New Roman"/>
                <w:sz w:val="18"/>
                <w:szCs w:val="18"/>
                <w:lang w:eastAsia="lv-LV"/>
              </w:rPr>
              <w:t>1.2. valsts speciālais budžets</w:t>
            </w:r>
          </w:p>
        </w:tc>
        <w:tc>
          <w:tcPr>
            <w:tcW w:w="650" w:type="pct"/>
            <w:gridSpan w:val="2"/>
            <w:vAlign w:val="center"/>
          </w:tcPr>
          <w:p w14:paraId="648DB050" w14:textId="77322308"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2AB1D4FD" w14:textId="3236AB9E"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0344C548" w14:textId="626E0806"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005106B2" w14:textId="4B11A51C"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3F7A7C3C" w14:textId="127E645D"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8FCE2A8" w14:textId="34F4E588"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789020F1" w14:textId="24ED0C12"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4BEF91FA"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36EA68EE"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lang w:eastAsia="lv-LV"/>
              </w:rPr>
            </w:pPr>
            <w:r w:rsidRPr="003C50D5">
              <w:rPr>
                <w:rFonts w:ascii="Times New Roman" w:eastAsia="Calibri" w:hAnsi="Times New Roman" w:cs="Times New Roman"/>
                <w:sz w:val="18"/>
                <w:szCs w:val="18"/>
                <w:lang w:eastAsia="lv-LV"/>
              </w:rPr>
              <w:t>1.3. pašvaldību budžets</w:t>
            </w:r>
          </w:p>
        </w:tc>
        <w:tc>
          <w:tcPr>
            <w:tcW w:w="650" w:type="pct"/>
            <w:gridSpan w:val="2"/>
            <w:vAlign w:val="center"/>
          </w:tcPr>
          <w:p w14:paraId="59C84807" w14:textId="55D8BF5C"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73801F03" w14:textId="76629347"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1532BA91" w14:textId="76BD979B"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62C058C" w14:textId="7EF809F8" w:rsidR="00F70594" w:rsidRPr="003C50D5" w:rsidRDefault="009C51AA" w:rsidP="00F272CD">
            <w:pPr>
              <w:spacing w:after="0" w:line="240" w:lineRule="auto"/>
              <w:ind w:right="71"/>
              <w:jc w:val="center"/>
              <w:rPr>
                <w:rFonts w:ascii="Times New Roman" w:eastAsia="Calibri" w:hAnsi="Times New Roman" w:cs="Times New Roman"/>
                <w:iCs/>
                <w:sz w:val="18"/>
                <w:szCs w:val="18"/>
              </w:rPr>
            </w:pPr>
            <w:r w:rsidRPr="003C50D5">
              <w:rPr>
                <w:rFonts w:ascii="Times New Roman" w:eastAsia="Calibri" w:hAnsi="Times New Roman" w:cs="Times New Roman"/>
                <w:iCs/>
                <w:sz w:val="18"/>
                <w:szCs w:val="18"/>
              </w:rPr>
              <w:t>0</w:t>
            </w:r>
          </w:p>
        </w:tc>
        <w:tc>
          <w:tcPr>
            <w:tcW w:w="446" w:type="pct"/>
            <w:vAlign w:val="center"/>
          </w:tcPr>
          <w:p w14:paraId="71DDA087" w14:textId="3E8514DE"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E643E9F" w14:textId="321667D3" w:rsidR="00F70594" w:rsidRPr="003C50D5" w:rsidRDefault="009C51AA" w:rsidP="00F272CD">
            <w:pPr>
              <w:spacing w:after="0" w:line="240" w:lineRule="auto"/>
              <w:ind w:right="71"/>
              <w:jc w:val="center"/>
              <w:rPr>
                <w:rFonts w:ascii="Times New Roman" w:eastAsia="Calibri" w:hAnsi="Times New Roman" w:cs="Times New Roman"/>
                <w:iCs/>
                <w:sz w:val="18"/>
                <w:szCs w:val="18"/>
              </w:rPr>
            </w:pPr>
            <w:r w:rsidRPr="003C50D5">
              <w:rPr>
                <w:rFonts w:ascii="Times New Roman" w:eastAsia="Calibri" w:hAnsi="Times New Roman" w:cs="Times New Roman"/>
                <w:iCs/>
                <w:sz w:val="18"/>
                <w:szCs w:val="18"/>
              </w:rPr>
              <w:t>0</w:t>
            </w:r>
          </w:p>
        </w:tc>
        <w:tc>
          <w:tcPr>
            <w:tcW w:w="825" w:type="pct"/>
            <w:vAlign w:val="center"/>
          </w:tcPr>
          <w:p w14:paraId="46C34309" w14:textId="0669D3BF"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71704243"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44"/>
          <w:jc w:val="center"/>
        </w:trPr>
        <w:tc>
          <w:tcPr>
            <w:tcW w:w="929" w:type="pct"/>
            <w:gridSpan w:val="4"/>
            <w:shd w:val="clear" w:color="auto" w:fill="BFBFBF" w:themeFill="background1" w:themeFillShade="BF"/>
          </w:tcPr>
          <w:p w14:paraId="40BFF844" w14:textId="77777777" w:rsidR="00F70594" w:rsidRPr="003C50D5" w:rsidRDefault="00F70594"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2. Budžeta izdevumi:</w:t>
            </w:r>
          </w:p>
        </w:tc>
        <w:tc>
          <w:tcPr>
            <w:tcW w:w="650" w:type="pct"/>
            <w:gridSpan w:val="2"/>
            <w:shd w:val="clear" w:color="auto" w:fill="BFBFBF" w:themeFill="background1" w:themeFillShade="BF"/>
            <w:vAlign w:val="center"/>
          </w:tcPr>
          <w:p w14:paraId="1FA41761" w14:textId="5AF07581"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7521B36F" w14:textId="3EB9048D"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shd w:val="clear" w:color="auto" w:fill="BFBFBF" w:themeFill="background1" w:themeFillShade="BF"/>
            <w:vAlign w:val="center"/>
          </w:tcPr>
          <w:p w14:paraId="28EDA94E" w14:textId="7627FA63"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4084D21A" w14:textId="26D94234"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21 235</w:t>
            </w:r>
          </w:p>
        </w:tc>
        <w:tc>
          <w:tcPr>
            <w:tcW w:w="446" w:type="pct"/>
            <w:shd w:val="clear" w:color="auto" w:fill="BFBFBF" w:themeFill="background1" w:themeFillShade="BF"/>
            <w:vAlign w:val="center"/>
          </w:tcPr>
          <w:p w14:paraId="427D1533" w14:textId="4B20A5CA"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53A312A1" w14:textId="2099E631"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shd w:val="clear" w:color="auto" w:fill="BFBFBF" w:themeFill="background1" w:themeFillShade="BF"/>
            <w:vAlign w:val="center"/>
          </w:tcPr>
          <w:p w14:paraId="320E80CF" w14:textId="6669DDAB"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50AA79D7"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7AAB05F6" w14:textId="77777777" w:rsidR="00F70594" w:rsidRPr="003C50D5" w:rsidRDefault="00F70594"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2.1. valsts pamatbudžets</w:t>
            </w:r>
          </w:p>
          <w:p w14:paraId="0E10B7DD" w14:textId="7E794BC7" w:rsidR="00F70594" w:rsidRPr="003C50D5" w:rsidRDefault="00F70594"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t.sk.</w:t>
            </w:r>
          </w:p>
        </w:tc>
        <w:tc>
          <w:tcPr>
            <w:tcW w:w="650" w:type="pct"/>
            <w:gridSpan w:val="2"/>
            <w:vAlign w:val="center"/>
          </w:tcPr>
          <w:p w14:paraId="326A58C0" w14:textId="1182D997"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34DB91D2" w14:textId="63E21F97"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6675F77C" w14:textId="74E2C45C"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6A433DA" w14:textId="5183A8B4"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21 235</w:t>
            </w:r>
          </w:p>
        </w:tc>
        <w:tc>
          <w:tcPr>
            <w:tcW w:w="446" w:type="pct"/>
            <w:vAlign w:val="center"/>
          </w:tcPr>
          <w:p w14:paraId="746609EF" w14:textId="5A30B7F9"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09980A91" w14:textId="1A0EC1FF"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28DA1027" w14:textId="433514C0"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20D29E93"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3711067F" w14:textId="78E2A0D9" w:rsidR="00F70594" w:rsidRPr="003C50D5" w:rsidRDefault="009C51AA" w:rsidP="00F272CD">
            <w:pPr>
              <w:spacing w:after="0" w:line="240" w:lineRule="auto"/>
              <w:ind w:right="71"/>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LM 97.02.00 “Nozares centralizēto funkciju izpilde”</w:t>
            </w:r>
          </w:p>
        </w:tc>
        <w:tc>
          <w:tcPr>
            <w:tcW w:w="650" w:type="pct"/>
            <w:gridSpan w:val="2"/>
            <w:vAlign w:val="center"/>
          </w:tcPr>
          <w:p w14:paraId="2333045D" w14:textId="294199DF"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0</w:t>
            </w:r>
          </w:p>
        </w:tc>
        <w:tc>
          <w:tcPr>
            <w:tcW w:w="520" w:type="pct"/>
            <w:vAlign w:val="center"/>
          </w:tcPr>
          <w:p w14:paraId="773B2F89" w14:textId="54B8CF5C"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0</w:t>
            </w:r>
          </w:p>
        </w:tc>
        <w:tc>
          <w:tcPr>
            <w:tcW w:w="446" w:type="pct"/>
            <w:vAlign w:val="center"/>
          </w:tcPr>
          <w:p w14:paraId="349B8D1C" w14:textId="50F7E3F9"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0</w:t>
            </w:r>
          </w:p>
        </w:tc>
        <w:tc>
          <w:tcPr>
            <w:tcW w:w="520" w:type="pct"/>
            <w:vAlign w:val="center"/>
          </w:tcPr>
          <w:p w14:paraId="4E814C34" w14:textId="22C1C10E"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21 235</w:t>
            </w:r>
          </w:p>
        </w:tc>
        <w:tc>
          <w:tcPr>
            <w:tcW w:w="446" w:type="pct"/>
            <w:vAlign w:val="center"/>
          </w:tcPr>
          <w:p w14:paraId="51554958" w14:textId="7F200438"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 xml:space="preserve">0 </w:t>
            </w:r>
          </w:p>
        </w:tc>
        <w:tc>
          <w:tcPr>
            <w:tcW w:w="520" w:type="pct"/>
            <w:vAlign w:val="center"/>
          </w:tcPr>
          <w:p w14:paraId="4FEBA8BB" w14:textId="0A4EDA93"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0</w:t>
            </w:r>
          </w:p>
        </w:tc>
        <w:tc>
          <w:tcPr>
            <w:tcW w:w="825" w:type="pct"/>
            <w:vAlign w:val="center"/>
          </w:tcPr>
          <w:p w14:paraId="1EB50020" w14:textId="0E23E131" w:rsidR="00F70594" w:rsidRPr="003C50D5" w:rsidRDefault="009C51AA" w:rsidP="00F272CD">
            <w:pPr>
              <w:spacing w:after="0" w:line="240" w:lineRule="auto"/>
              <w:ind w:right="71"/>
              <w:jc w:val="center"/>
              <w:rPr>
                <w:rFonts w:ascii="Times New Roman" w:eastAsia="Calibri" w:hAnsi="Times New Roman" w:cs="Times New Roman"/>
                <w:i/>
                <w:iCs/>
                <w:sz w:val="18"/>
                <w:szCs w:val="18"/>
              </w:rPr>
            </w:pPr>
            <w:r w:rsidRPr="003C50D5">
              <w:rPr>
                <w:rFonts w:ascii="Times New Roman" w:eastAsia="Calibri" w:hAnsi="Times New Roman" w:cs="Times New Roman"/>
                <w:i/>
                <w:iCs/>
                <w:sz w:val="18"/>
                <w:szCs w:val="18"/>
              </w:rPr>
              <w:t>0</w:t>
            </w:r>
          </w:p>
        </w:tc>
      </w:tr>
      <w:tr w:rsidR="003C50D5" w:rsidRPr="003C50D5" w14:paraId="18974C0C"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929" w:type="pct"/>
            <w:gridSpan w:val="4"/>
          </w:tcPr>
          <w:p w14:paraId="4B1A23CD" w14:textId="77777777" w:rsidR="009C51AA" w:rsidRPr="003C50D5" w:rsidRDefault="009C51AA" w:rsidP="009C51AA">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2.2. valsts speciālais budžets</w:t>
            </w:r>
          </w:p>
        </w:tc>
        <w:tc>
          <w:tcPr>
            <w:tcW w:w="650" w:type="pct"/>
            <w:gridSpan w:val="2"/>
            <w:vAlign w:val="center"/>
          </w:tcPr>
          <w:p w14:paraId="44DC445E" w14:textId="50C24190"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1379C45" w14:textId="475A10B2"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5D72DFE7" w14:textId="653F5F45"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1B047CC8" w14:textId="4B36B567"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1633D2A9" w14:textId="0CDA1A5F"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D25543E" w14:textId="26325BD8"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7C1DA6DC" w14:textId="74FA432F"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780247F6"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7F4D213A" w14:textId="77777777" w:rsidR="009C51AA" w:rsidRPr="003C50D5" w:rsidRDefault="009C51AA" w:rsidP="009C51AA">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 xml:space="preserve">2.3. pašvaldību budžets </w:t>
            </w:r>
          </w:p>
        </w:tc>
        <w:tc>
          <w:tcPr>
            <w:tcW w:w="650" w:type="pct"/>
            <w:gridSpan w:val="2"/>
            <w:vAlign w:val="center"/>
          </w:tcPr>
          <w:p w14:paraId="4D00A91A" w14:textId="7174047D"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2D642E2D" w14:textId="0ADD3623"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774C451E" w14:textId="6372809B"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440488C2" w14:textId="3ABC9460" w:rsidR="009C51AA" w:rsidRPr="003C50D5" w:rsidRDefault="009C51AA" w:rsidP="009C51AA">
            <w:pPr>
              <w:spacing w:after="0" w:line="240" w:lineRule="auto"/>
              <w:ind w:right="71"/>
              <w:jc w:val="center"/>
              <w:rPr>
                <w:rFonts w:ascii="Times New Roman" w:eastAsia="Calibri" w:hAnsi="Times New Roman" w:cs="Times New Roman"/>
                <w:iCs/>
                <w:sz w:val="18"/>
                <w:szCs w:val="18"/>
              </w:rPr>
            </w:pPr>
            <w:r w:rsidRPr="003C50D5">
              <w:rPr>
                <w:rFonts w:ascii="Times New Roman" w:eastAsia="Calibri" w:hAnsi="Times New Roman" w:cs="Times New Roman"/>
                <w:sz w:val="18"/>
                <w:szCs w:val="18"/>
              </w:rPr>
              <w:t>0</w:t>
            </w:r>
          </w:p>
        </w:tc>
        <w:tc>
          <w:tcPr>
            <w:tcW w:w="446" w:type="pct"/>
            <w:vAlign w:val="center"/>
          </w:tcPr>
          <w:p w14:paraId="7CFF53DD" w14:textId="6F94E716"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6A4139DF" w14:textId="3E722A62" w:rsidR="009C51AA" w:rsidRPr="003C50D5" w:rsidRDefault="009C51AA" w:rsidP="009C51AA">
            <w:pPr>
              <w:spacing w:after="0" w:line="240" w:lineRule="auto"/>
              <w:ind w:right="71"/>
              <w:jc w:val="center"/>
              <w:rPr>
                <w:rFonts w:ascii="Times New Roman" w:eastAsia="Calibri" w:hAnsi="Times New Roman" w:cs="Times New Roman"/>
                <w:iCs/>
                <w:sz w:val="18"/>
                <w:szCs w:val="18"/>
              </w:rPr>
            </w:pPr>
            <w:r w:rsidRPr="003C50D5">
              <w:rPr>
                <w:rFonts w:ascii="Times New Roman" w:eastAsia="Calibri" w:hAnsi="Times New Roman" w:cs="Times New Roman"/>
                <w:sz w:val="18"/>
                <w:szCs w:val="18"/>
              </w:rPr>
              <w:t>0</w:t>
            </w:r>
          </w:p>
        </w:tc>
        <w:tc>
          <w:tcPr>
            <w:tcW w:w="825" w:type="pct"/>
            <w:vAlign w:val="center"/>
          </w:tcPr>
          <w:p w14:paraId="63561220" w14:textId="3CD0C0F3"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4E8D062A"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44"/>
          <w:jc w:val="center"/>
        </w:trPr>
        <w:tc>
          <w:tcPr>
            <w:tcW w:w="929" w:type="pct"/>
            <w:gridSpan w:val="4"/>
            <w:shd w:val="clear" w:color="auto" w:fill="BFBFBF" w:themeFill="background1" w:themeFillShade="BF"/>
          </w:tcPr>
          <w:p w14:paraId="0A8FAF9E" w14:textId="77777777" w:rsidR="00F70594" w:rsidRPr="003C50D5" w:rsidRDefault="00F70594"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3. Finansiālā ietekme:</w:t>
            </w:r>
          </w:p>
        </w:tc>
        <w:tc>
          <w:tcPr>
            <w:tcW w:w="650" w:type="pct"/>
            <w:gridSpan w:val="2"/>
            <w:shd w:val="clear" w:color="auto" w:fill="BFBFBF" w:themeFill="background1" w:themeFillShade="BF"/>
            <w:vAlign w:val="center"/>
          </w:tcPr>
          <w:p w14:paraId="4550EEA1" w14:textId="2F8711D4"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4CDF7319" w14:textId="6BC3CCE7"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shd w:val="clear" w:color="auto" w:fill="BFBFBF" w:themeFill="background1" w:themeFillShade="BF"/>
            <w:vAlign w:val="center"/>
          </w:tcPr>
          <w:p w14:paraId="334F7367" w14:textId="5198A06B"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0A0B10C9" w14:textId="222D6D33"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-21 235</w:t>
            </w:r>
          </w:p>
        </w:tc>
        <w:tc>
          <w:tcPr>
            <w:tcW w:w="446" w:type="pct"/>
            <w:shd w:val="clear" w:color="auto" w:fill="BFBFBF" w:themeFill="background1" w:themeFillShade="BF"/>
            <w:vAlign w:val="center"/>
          </w:tcPr>
          <w:p w14:paraId="658FA4BE" w14:textId="2B3D91C0"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shd w:val="clear" w:color="auto" w:fill="BFBFBF" w:themeFill="background1" w:themeFillShade="BF"/>
            <w:vAlign w:val="center"/>
          </w:tcPr>
          <w:p w14:paraId="52AFEFEE" w14:textId="0DB671EF"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shd w:val="clear" w:color="auto" w:fill="BFBFBF" w:themeFill="background1" w:themeFillShade="BF"/>
            <w:vAlign w:val="center"/>
          </w:tcPr>
          <w:p w14:paraId="42944E4F" w14:textId="11A8A45E" w:rsidR="00F70594"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7AFF77AE"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13324E74" w14:textId="77777777" w:rsidR="009C51AA" w:rsidRPr="003C50D5" w:rsidRDefault="009C51AA" w:rsidP="009C51AA">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3.1. valsts pamatbudžets</w:t>
            </w:r>
          </w:p>
        </w:tc>
        <w:tc>
          <w:tcPr>
            <w:tcW w:w="650" w:type="pct"/>
            <w:gridSpan w:val="2"/>
            <w:vAlign w:val="center"/>
          </w:tcPr>
          <w:p w14:paraId="0BF87FC7" w14:textId="0E66CEBC"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574A9B48" w14:textId="1915C3F0"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6433F684" w14:textId="730A8628"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38850C3B" w14:textId="77CD8327"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-21 235</w:t>
            </w:r>
          </w:p>
        </w:tc>
        <w:tc>
          <w:tcPr>
            <w:tcW w:w="446" w:type="pct"/>
            <w:vAlign w:val="center"/>
          </w:tcPr>
          <w:p w14:paraId="63330AF3" w14:textId="15802615"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3837EC1D" w14:textId="7041BCD5"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5469D439" w14:textId="24F622FA"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6861D2D2"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359F3A69" w14:textId="77777777" w:rsidR="009C51AA" w:rsidRPr="003C50D5" w:rsidRDefault="009C51AA" w:rsidP="009C51AA">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3.2. speciālais budžets</w:t>
            </w:r>
          </w:p>
        </w:tc>
        <w:tc>
          <w:tcPr>
            <w:tcW w:w="650" w:type="pct"/>
            <w:gridSpan w:val="2"/>
            <w:vAlign w:val="center"/>
          </w:tcPr>
          <w:p w14:paraId="38908CB6" w14:textId="1BE3A52D"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1C72EF4C" w14:textId="07446453"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0052ED89" w14:textId="65C987BC"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tcPr>
          <w:p w14:paraId="086F59B8" w14:textId="233642E9" w:rsidR="009C51AA" w:rsidRPr="003C50D5" w:rsidRDefault="00C4215B"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32D19D1F" w14:textId="3AB1420C"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2E8575BC" w14:textId="3D3FA49F"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510282D4" w14:textId="4D9B2E92"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14460C76"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0BE1B5AF" w14:textId="77777777" w:rsidR="009C51AA" w:rsidRPr="003C50D5" w:rsidRDefault="009C51AA" w:rsidP="009C51AA">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 xml:space="preserve">3.3. pašvaldību budžets </w:t>
            </w:r>
          </w:p>
        </w:tc>
        <w:tc>
          <w:tcPr>
            <w:tcW w:w="650" w:type="pct"/>
            <w:gridSpan w:val="2"/>
            <w:vAlign w:val="center"/>
          </w:tcPr>
          <w:p w14:paraId="6D03A38F" w14:textId="7F69315A"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3FA68C80" w14:textId="019745C8"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7368E589" w14:textId="235CB557"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tcPr>
          <w:p w14:paraId="1A3AAD36" w14:textId="73B1A7ED" w:rsidR="009C51AA" w:rsidRPr="003C50D5" w:rsidRDefault="00C4215B"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5813AE95" w14:textId="679A1FF2"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520" w:type="pct"/>
            <w:vAlign w:val="center"/>
          </w:tcPr>
          <w:p w14:paraId="061D6C4A" w14:textId="0B147CAE"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31D00469" w14:textId="13111B48"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506B1048"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1224"/>
          <w:jc w:val="center"/>
        </w:trPr>
        <w:tc>
          <w:tcPr>
            <w:tcW w:w="929" w:type="pct"/>
            <w:gridSpan w:val="4"/>
          </w:tcPr>
          <w:p w14:paraId="5E58B5F3" w14:textId="77777777" w:rsidR="009C51AA" w:rsidRPr="003C50D5" w:rsidRDefault="009C51AA" w:rsidP="009C51AA">
            <w:pPr>
              <w:spacing w:after="0" w:line="240" w:lineRule="auto"/>
              <w:ind w:right="74"/>
              <w:rPr>
                <w:rFonts w:ascii="Times New Roman" w:eastAsia="Calibri" w:hAnsi="Times New Roman" w:cs="Times New Roman"/>
                <w:sz w:val="18"/>
                <w:szCs w:val="18"/>
              </w:rPr>
            </w:pPr>
            <w:r w:rsidRPr="003C50D5">
              <w:rPr>
                <w:rFonts w:ascii="Times New Roman" w:eastAsia="Calibri" w:hAnsi="Times New Roman" w:cs="Times New Roman"/>
                <w:sz w:val="18"/>
                <w:szCs w:val="18"/>
              </w:rPr>
              <w:lastRenderedPageBreak/>
              <w:t>4. Finanšu līdzekļi papildu izde</w:t>
            </w:r>
            <w:r w:rsidRPr="003C50D5">
              <w:rPr>
                <w:rFonts w:ascii="Times New Roman" w:eastAsia="Calibri" w:hAnsi="Times New Roman" w:cs="Times New Roman"/>
                <w:sz w:val="18"/>
                <w:szCs w:val="18"/>
              </w:rPr>
              <w:softHyphen/>
              <w:t>vumu finansēšanai (kompensējošu izdevumu samazinājumu norāda ar "+" zīmi)</w:t>
            </w:r>
          </w:p>
        </w:tc>
        <w:tc>
          <w:tcPr>
            <w:tcW w:w="650" w:type="pct"/>
            <w:gridSpan w:val="2"/>
            <w:vAlign w:val="center"/>
          </w:tcPr>
          <w:p w14:paraId="0C491621" w14:textId="60DB8BFE"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12A68374" w14:textId="77777777" w:rsidR="009C51AA" w:rsidRPr="003C50D5" w:rsidRDefault="009C51AA" w:rsidP="009C51AA">
            <w:pPr>
              <w:spacing w:after="0" w:line="240" w:lineRule="auto"/>
              <w:ind w:right="74"/>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p w14:paraId="3FD17679" w14:textId="77777777" w:rsidR="00484FC9" w:rsidRPr="003C50D5" w:rsidRDefault="00484FC9" w:rsidP="00484FC9">
            <w:pPr>
              <w:rPr>
                <w:rFonts w:ascii="Times New Roman" w:eastAsia="Calibri" w:hAnsi="Times New Roman" w:cs="Times New Roman"/>
                <w:sz w:val="18"/>
                <w:szCs w:val="18"/>
              </w:rPr>
            </w:pPr>
          </w:p>
          <w:p w14:paraId="55E3B411" w14:textId="77777777" w:rsidR="00484FC9" w:rsidRPr="003C50D5" w:rsidRDefault="00484FC9" w:rsidP="00484FC9">
            <w:pPr>
              <w:rPr>
                <w:rFonts w:ascii="Times New Roman" w:eastAsia="Calibri" w:hAnsi="Times New Roman" w:cs="Times New Roman"/>
                <w:sz w:val="18"/>
                <w:szCs w:val="18"/>
              </w:rPr>
            </w:pPr>
          </w:p>
          <w:p w14:paraId="1438C1CE" w14:textId="77777777" w:rsidR="00484FC9" w:rsidRPr="003C50D5" w:rsidRDefault="00484FC9" w:rsidP="00484FC9">
            <w:pPr>
              <w:rPr>
                <w:rFonts w:ascii="Times New Roman" w:eastAsia="Calibri" w:hAnsi="Times New Roman" w:cs="Times New Roman"/>
                <w:sz w:val="18"/>
                <w:szCs w:val="18"/>
              </w:rPr>
            </w:pPr>
          </w:p>
          <w:p w14:paraId="37A8419B" w14:textId="77777777" w:rsidR="00484FC9" w:rsidRPr="003C50D5" w:rsidRDefault="00484FC9" w:rsidP="00484FC9">
            <w:pPr>
              <w:rPr>
                <w:rFonts w:ascii="Times New Roman" w:eastAsia="Calibri" w:hAnsi="Times New Roman" w:cs="Times New Roman"/>
                <w:sz w:val="18"/>
                <w:szCs w:val="18"/>
              </w:rPr>
            </w:pPr>
          </w:p>
          <w:p w14:paraId="6AE2A436" w14:textId="606FAF63" w:rsidR="00484FC9" w:rsidRPr="003C50D5" w:rsidRDefault="00484FC9" w:rsidP="00484FC9">
            <w:pPr>
              <w:rPr>
                <w:rFonts w:ascii="Times New Roman" w:eastAsia="Calibri" w:hAnsi="Times New Roman" w:cs="Times New Roman"/>
                <w:sz w:val="18"/>
                <w:szCs w:val="18"/>
              </w:rPr>
            </w:pPr>
          </w:p>
        </w:tc>
        <w:tc>
          <w:tcPr>
            <w:tcW w:w="446" w:type="pct"/>
            <w:vAlign w:val="center"/>
          </w:tcPr>
          <w:p w14:paraId="13C29C9D" w14:textId="1FDD3E34"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2BFEE337" w14:textId="73964255"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Align w:val="center"/>
          </w:tcPr>
          <w:p w14:paraId="6C5F86F3" w14:textId="23873A93"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27C90D8B" w14:textId="667B9C08"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67194B4F" w14:textId="2F1DC123" w:rsidR="009C51AA" w:rsidRPr="003C50D5" w:rsidRDefault="009C51AA" w:rsidP="009C51AA">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533426C2"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929" w:type="pct"/>
            <w:gridSpan w:val="4"/>
          </w:tcPr>
          <w:p w14:paraId="365C7A4A" w14:textId="77777777" w:rsidR="009C51AA" w:rsidRPr="003C50D5" w:rsidRDefault="009C51AA"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5. Precizēta finansiālā ietekme:</w:t>
            </w:r>
          </w:p>
        </w:tc>
        <w:tc>
          <w:tcPr>
            <w:tcW w:w="650" w:type="pct"/>
            <w:gridSpan w:val="2"/>
            <w:vMerge w:val="restart"/>
            <w:vAlign w:val="center"/>
          </w:tcPr>
          <w:p w14:paraId="14CC4473" w14:textId="6B2AAA7D"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7B6AA1E7" w14:textId="5EDB6E2D"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restart"/>
            <w:vAlign w:val="center"/>
          </w:tcPr>
          <w:p w14:paraId="44D2089D" w14:textId="394D7D48"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48A145E0" w14:textId="6CCC0041"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restart"/>
            <w:vAlign w:val="center"/>
          </w:tcPr>
          <w:p w14:paraId="6E029038" w14:textId="3D4F5F09"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x</w:t>
            </w:r>
          </w:p>
        </w:tc>
        <w:tc>
          <w:tcPr>
            <w:tcW w:w="520" w:type="pct"/>
            <w:vAlign w:val="center"/>
          </w:tcPr>
          <w:p w14:paraId="7363991F" w14:textId="28FDB643"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4EF61FF0" w14:textId="2A7CEE4C"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2FA2F2F3"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12BFC1E3" w14:textId="77777777" w:rsidR="009C51AA" w:rsidRPr="003C50D5" w:rsidRDefault="009C51AA"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5.1. valsts pamatbudžets</w:t>
            </w:r>
          </w:p>
        </w:tc>
        <w:tc>
          <w:tcPr>
            <w:tcW w:w="650" w:type="pct"/>
            <w:gridSpan w:val="2"/>
            <w:vMerge/>
            <w:vAlign w:val="center"/>
          </w:tcPr>
          <w:p w14:paraId="617DDA09" w14:textId="77777777" w:rsidR="009C51AA" w:rsidRPr="003C50D5" w:rsidRDefault="009C51AA" w:rsidP="00F272CD">
            <w:pPr>
              <w:spacing w:after="0" w:line="240" w:lineRule="auto"/>
              <w:ind w:right="71"/>
              <w:jc w:val="center"/>
              <w:rPr>
                <w:rFonts w:ascii="Times New Roman" w:eastAsia="Calibri" w:hAnsi="Times New Roman" w:cs="Times New Roman"/>
                <w:sz w:val="18"/>
                <w:szCs w:val="18"/>
                <w:lang w:eastAsia="lv-LV"/>
              </w:rPr>
            </w:pPr>
          </w:p>
        </w:tc>
        <w:tc>
          <w:tcPr>
            <w:tcW w:w="520" w:type="pct"/>
            <w:vAlign w:val="center"/>
          </w:tcPr>
          <w:p w14:paraId="34226A6E" w14:textId="55DE37C9"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2759CBAA" w14:textId="3C26130D"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3AE6FA19" w14:textId="6932BA4B"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4A15538B" w14:textId="694127AF"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2F32D9C2" w14:textId="2845E196"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4CD8AE49" w14:textId="15CEA2BE"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6B30287F"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194F123F" w14:textId="77777777" w:rsidR="009C51AA" w:rsidRPr="003C50D5" w:rsidRDefault="009C51AA"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5.2. speciālais budžets</w:t>
            </w:r>
          </w:p>
        </w:tc>
        <w:tc>
          <w:tcPr>
            <w:tcW w:w="650" w:type="pct"/>
            <w:gridSpan w:val="2"/>
            <w:vMerge/>
            <w:vAlign w:val="center"/>
          </w:tcPr>
          <w:p w14:paraId="097BB6AF" w14:textId="77777777" w:rsidR="009C51AA" w:rsidRPr="003C50D5" w:rsidRDefault="009C51AA" w:rsidP="00F272CD">
            <w:pPr>
              <w:spacing w:after="0" w:line="240" w:lineRule="auto"/>
              <w:ind w:right="71"/>
              <w:jc w:val="center"/>
              <w:rPr>
                <w:rFonts w:ascii="Times New Roman" w:eastAsia="Calibri" w:hAnsi="Times New Roman" w:cs="Times New Roman"/>
                <w:sz w:val="18"/>
                <w:szCs w:val="18"/>
                <w:lang w:eastAsia="lv-LV"/>
              </w:rPr>
            </w:pPr>
          </w:p>
        </w:tc>
        <w:tc>
          <w:tcPr>
            <w:tcW w:w="520" w:type="pct"/>
            <w:vAlign w:val="center"/>
          </w:tcPr>
          <w:p w14:paraId="6A1C0919" w14:textId="05A80472"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509606C2" w14:textId="3CDB0197"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268E11ED" w14:textId="5A21B2AD"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33527595" w14:textId="4D03227A"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7D75AFB7" w14:textId="1BEC08A4"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26E2F079" w14:textId="3346114A"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31C6CBF5"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929" w:type="pct"/>
            <w:gridSpan w:val="4"/>
          </w:tcPr>
          <w:p w14:paraId="318E8879" w14:textId="77777777" w:rsidR="009C51AA" w:rsidRPr="003C50D5" w:rsidRDefault="009C51AA" w:rsidP="00F272CD">
            <w:pPr>
              <w:spacing w:after="0" w:line="240" w:lineRule="auto"/>
              <w:ind w:right="71"/>
              <w:rPr>
                <w:rFonts w:ascii="Times New Roman" w:eastAsia="Calibri" w:hAnsi="Times New Roman" w:cs="Times New Roman"/>
                <w:sz w:val="18"/>
                <w:szCs w:val="18"/>
              </w:rPr>
            </w:pPr>
            <w:r w:rsidRPr="003C50D5">
              <w:rPr>
                <w:rFonts w:ascii="Times New Roman" w:eastAsia="Calibri" w:hAnsi="Times New Roman" w:cs="Times New Roman"/>
                <w:sz w:val="18"/>
                <w:szCs w:val="18"/>
              </w:rPr>
              <w:t xml:space="preserve">5.3. pašvaldību budžets </w:t>
            </w:r>
          </w:p>
        </w:tc>
        <w:tc>
          <w:tcPr>
            <w:tcW w:w="650" w:type="pct"/>
            <w:gridSpan w:val="2"/>
            <w:vMerge/>
            <w:vAlign w:val="center"/>
          </w:tcPr>
          <w:p w14:paraId="44165902" w14:textId="77777777" w:rsidR="009C51AA" w:rsidRPr="003C50D5" w:rsidRDefault="009C51AA" w:rsidP="00F272CD">
            <w:pPr>
              <w:spacing w:after="0" w:line="240" w:lineRule="auto"/>
              <w:ind w:right="71"/>
              <w:jc w:val="center"/>
              <w:rPr>
                <w:rFonts w:ascii="Times New Roman" w:eastAsia="Calibri" w:hAnsi="Times New Roman" w:cs="Times New Roman"/>
                <w:sz w:val="18"/>
                <w:szCs w:val="18"/>
                <w:lang w:eastAsia="lv-LV"/>
              </w:rPr>
            </w:pPr>
          </w:p>
        </w:tc>
        <w:tc>
          <w:tcPr>
            <w:tcW w:w="520" w:type="pct"/>
            <w:vAlign w:val="center"/>
          </w:tcPr>
          <w:p w14:paraId="28616D68" w14:textId="19BF3BB2"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3CAEF3CA" w14:textId="5B5B16F1"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1ECB7163" w14:textId="59D0721C"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446" w:type="pct"/>
            <w:vMerge/>
            <w:vAlign w:val="center"/>
          </w:tcPr>
          <w:p w14:paraId="7DC9B71B" w14:textId="4FEDA841" w:rsidR="009C51AA" w:rsidRPr="003C50D5" w:rsidRDefault="009C51AA" w:rsidP="00F272CD">
            <w:pPr>
              <w:spacing w:after="0" w:line="240" w:lineRule="auto"/>
              <w:ind w:right="71"/>
              <w:jc w:val="center"/>
              <w:rPr>
                <w:rFonts w:ascii="Times New Roman" w:eastAsia="Calibri" w:hAnsi="Times New Roman" w:cs="Times New Roman"/>
                <w:sz w:val="18"/>
                <w:szCs w:val="18"/>
              </w:rPr>
            </w:pPr>
          </w:p>
        </w:tc>
        <w:tc>
          <w:tcPr>
            <w:tcW w:w="520" w:type="pct"/>
            <w:vAlign w:val="center"/>
          </w:tcPr>
          <w:p w14:paraId="3E828656" w14:textId="49144A8D"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c>
          <w:tcPr>
            <w:tcW w:w="825" w:type="pct"/>
            <w:vAlign w:val="center"/>
          </w:tcPr>
          <w:p w14:paraId="30687114" w14:textId="22121B8D" w:rsidR="009C51AA" w:rsidRPr="003C50D5" w:rsidRDefault="009C51AA" w:rsidP="00F272CD">
            <w:pPr>
              <w:spacing w:after="0" w:line="240" w:lineRule="auto"/>
              <w:ind w:right="71"/>
              <w:jc w:val="center"/>
              <w:rPr>
                <w:rFonts w:ascii="Times New Roman" w:eastAsia="Calibri" w:hAnsi="Times New Roman" w:cs="Times New Roman"/>
                <w:sz w:val="18"/>
                <w:szCs w:val="18"/>
              </w:rPr>
            </w:pPr>
            <w:r w:rsidRPr="003C50D5">
              <w:rPr>
                <w:rFonts w:ascii="Times New Roman" w:eastAsia="Calibri" w:hAnsi="Times New Roman" w:cs="Times New Roman"/>
                <w:sz w:val="18"/>
                <w:szCs w:val="18"/>
              </w:rPr>
              <w:t>0</w:t>
            </w:r>
          </w:p>
        </w:tc>
      </w:tr>
      <w:tr w:rsidR="003C50D5" w:rsidRPr="003C50D5" w14:paraId="67F27AFA"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4968" w:type="pct"/>
            <w:gridSpan w:val="12"/>
          </w:tcPr>
          <w:p w14:paraId="200C7B5D" w14:textId="5C35B636"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i/>
                <w:sz w:val="18"/>
                <w:szCs w:val="18"/>
              </w:rPr>
              <w:t>*</w:t>
            </w:r>
          </w:p>
          <w:p w14:paraId="19E56BF7"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p>
          <w:p w14:paraId="116B99A8"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p>
        </w:tc>
      </w:tr>
      <w:tr w:rsidR="003C50D5" w:rsidRPr="003C50D5" w14:paraId="6B5BE26C"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70"/>
          <w:jc w:val="center"/>
        </w:trPr>
        <w:tc>
          <w:tcPr>
            <w:tcW w:w="929" w:type="pct"/>
            <w:gridSpan w:val="4"/>
          </w:tcPr>
          <w:p w14:paraId="5C64A475"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6. Detalizēts ieņēmumu un izdevu</w:t>
            </w:r>
            <w:r w:rsidRPr="003C50D5">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023" w:type="pct"/>
            <w:gridSpan w:val="8"/>
            <w:vMerge w:val="restart"/>
          </w:tcPr>
          <w:p w14:paraId="72CDBD35" w14:textId="77777777" w:rsidR="004618FB" w:rsidRPr="003C50D5" w:rsidRDefault="004618FB" w:rsidP="006A2791">
            <w:pPr>
              <w:spacing w:after="0" w:line="240" w:lineRule="auto"/>
              <w:jc w:val="both"/>
              <w:rPr>
                <w:rFonts w:ascii="Times New Roman" w:eastAsia="Times New Roman" w:hAnsi="Times New Roman" w:cs="Times New Roman"/>
                <w:iCs/>
                <w:sz w:val="20"/>
                <w:szCs w:val="20"/>
                <w:lang w:eastAsia="lv-LV"/>
              </w:rPr>
            </w:pPr>
          </w:p>
          <w:p w14:paraId="1653661E" w14:textId="77777777" w:rsidR="004618FB" w:rsidRPr="003C50D5" w:rsidRDefault="004618FB" w:rsidP="006A2791">
            <w:pPr>
              <w:spacing w:after="0" w:line="240" w:lineRule="auto"/>
              <w:jc w:val="both"/>
              <w:rPr>
                <w:rFonts w:ascii="Times New Roman" w:eastAsia="Times New Roman" w:hAnsi="Times New Roman" w:cs="Times New Roman"/>
                <w:iCs/>
                <w:sz w:val="20"/>
                <w:szCs w:val="20"/>
                <w:lang w:eastAsia="lv-LV"/>
              </w:rPr>
            </w:pPr>
          </w:p>
          <w:p w14:paraId="0B3A51B1" w14:textId="0286000A" w:rsidR="004618FB" w:rsidRPr="003C50D5" w:rsidRDefault="004618FB" w:rsidP="004618FB">
            <w:pPr>
              <w:spacing w:after="0" w:line="240" w:lineRule="auto"/>
              <w:jc w:val="both"/>
              <w:rPr>
                <w:rFonts w:ascii="Times New Roman" w:eastAsia="Times New Roman" w:hAnsi="Times New Roman" w:cs="Times New Roman"/>
                <w:sz w:val="20"/>
                <w:szCs w:val="20"/>
                <w:lang w:eastAsia="lv-LV"/>
              </w:rPr>
            </w:pPr>
            <w:r w:rsidRPr="003C50D5">
              <w:rPr>
                <w:rFonts w:ascii="Times New Roman" w:eastAsia="Times New Roman" w:hAnsi="Times New Roman" w:cs="Times New Roman"/>
                <w:sz w:val="20"/>
                <w:szCs w:val="20"/>
                <w:lang w:eastAsia="lv-LV"/>
              </w:rPr>
              <w:t xml:space="preserve">Lai realizētu izmaiņas likumprojektā, Valsts sociālās apdrošināšanas aģentūrai IS izmaiņām 2021.gadā nepieciešami 21 235 </w:t>
            </w:r>
            <w:proofErr w:type="spellStart"/>
            <w:r w:rsidRPr="003C50D5">
              <w:rPr>
                <w:rFonts w:ascii="Times New Roman" w:eastAsia="Times New Roman" w:hAnsi="Times New Roman" w:cs="Times New Roman"/>
                <w:i/>
                <w:sz w:val="20"/>
                <w:szCs w:val="20"/>
                <w:lang w:eastAsia="lv-LV"/>
              </w:rPr>
              <w:t>euro</w:t>
            </w:r>
            <w:proofErr w:type="spellEnd"/>
            <w:r w:rsidRPr="003C50D5">
              <w:rPr>
                <w:rFonts w:ascii="Times New Roman" w:eastAsia="Times New Roman" w:hAnsi="Times New Roman" w:cs="Times New Roman"/>
                <w:sz w:val="20"/>
                <w:szCs w:val="20"/>
                <w:lang w:eastAsia="lv-LV"/>
              </w:rPr>
              <w:t xml:space="preserve"> (45 c/d * 471,90 </w:t>
            </w:r>
            <w:proofErr w:type="spellStart"/>
            <w:r w:rsidRPr="003C50D5">
              <w:rPr>
                <w:rFonts w:ascii="Times New Roman" w:eastAsia="Times New Roman" w:hAnsi="Times New Roman" w:cs="Times New Roman"/>
                <w:i/>
                <w:sz w:val="20"/>
                <w:szCs w:val="20"/>
                <w:lang w:eastAsia="lv-LV"/>
              </w:rPr>
              <w:t>euro</w:t>
            </w:r>
            <w:proofErr w:type="spellEnd"/>
            <w:r w:rsidRPr="003C50D5">
              <w:rPr>
                <w:rFonts w:ascii="Times New Roman" w:eastAsia="Times New Roman" w:hAnsi="Times New Roman" w:cs="Times New Roman"/>
                <w:sz w:val="20"/>
                <w:szCs w:val="20"/>
                <w:lang w:eastAsia="lv-LV"/>
              </w:rPr>
              <w:t xml:space="preserve"> c/d, noapaļojot līdz veseliem </w:t>
            </w:r>
            <w:proofErr w:type="spellStart"/>
            <w:r w:rsidRPr="003C50D5">
              <w:rPr>
                <w:rFonts w:ascii="Times New Roman" w:eastAsia="Times New Roman" w:hAnsi="Times New Roman" w:cs="Times New Roman"/>
                <w:i/>
                <w:sz w:val="20"/>
                <w:szCs w:val="20"/>
                <w:lang w:eastAsia="lv-LV"/>
              </w:rPr>
              <w:t>euro</w:t>
            </w:r>
            <w:proofErr w:type="spellEnd"/>
            <w:r w:rsidRPr="003C50D5">
              <w:rPr>
                <w:rFonts w:ascii="Times New Roman" w:eastAsia="Times New Roman" w:hAnsi="Times New Roman" w:cs="Times New Roman"/>
                <w:sz w:val="20"/>
                <w:szCs w:val="20"/>
                <w:lang w:eastAsia="lv-LV"/>
              </w:rPr>
              <w:t>). Finansējums VSAA IS izmaiņām tiks nodrošināts no L</w:t>
            </w:r>
            <w:r w:rsidR="00D43B93" w:rsidRPr="003C50D5">
              <w:rPr>
                <w:rFonts w:ascii="Times New Roman" w:eastAsia="Times New Roman" w:hAnsi="Times New Roman" w:cs="Times New Roman"/>
                <w:sz w:val="20"/>
                <w:szCs w:val="20"/>
                <w:lang w:eastAsia="lv-LV"/>
              </w:rPr>
              <w:t>abklājības ministrijas</w:t>
            </w:r>
            <w:r w:rsidRPr="003C50D5">
              <w:rPr>
                <w:rFonts w:ascii="Times New Roman" w:eastAsia="Times New Roman" w:hAnsi="Times New Roman" w:cs="Times New Roman"/>
                <w:sz w:val="20"/>
                <w:szCs w:val="20"/>
                <w:lang w:eastAsia="lv-LV"/>
              </w:rPr>
              <w:t xml:space="preserve"> pamatbudžeta apakšprogrammas </w:t>
            </w:r>
            <w:r w:rsidRPr="003C50D5">
              <w:rPr>
                <w:rFonts w:ascii="Times New Roman" w:eastAsia="Times New Roman" w:hAnsi="Times New Roman" w:cs="Times New Roman"/>
                <w:iCs/>
                <w:sz w:val="20"/>
                <w:szCs w:val="20"/>
                <w:lang w:eastAsia="lv-LV"/>
              </w:rPr>
              <w:t>97.02.00 “Nozares centralizēto funkciju izpilde”.</w:t>
            </w:r>
          </w:p>
          <w:p w14:paraId="35526939" w14:textId="77777777" w:rsidR="004618FB" w:rsidRPr="003C50D5" w:rsidRDefault="004618FB" w:rsidP="006A2791">
            <w:pPr>
              <w:spacing w:after="0" w:line="240" w:lineRule="auto"/>
              <w:jc w:val="both"/>
              <w:rPr>
                <w:rFonts w:ascii="Times New Roman" w:eastAsia="Times New Roman" w:hAnsi="Times New Roman" w:cs="Times New Roman"/>
                <w:iCs/>
                <w:sz w:val="20"/>
                <w:szCs w:val="20"/>
                <w:lang w:eastAsia="lv-LV"/>
              </w:rPr>
            </w:pPr>
          </w:p>
          <w:p w14:paraId="5A2A6711" w14:textId="1881597A" w:rsidR="006A2791" w:rsidRPr="003C50D5" w:rsidRDefault="006A2791" w:rsidP="006A2791">
            <w:p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Lai nodrošinātu likumprojektā ietverto normu īstenošanu, nepieciešams veikt grozījumus šādos likumos:</w:t>
            </w:r>
          </w:p>
          <w:p w14:paraId="4EF8F7B6" w14:textId="77777777" w:rsidR="006A2791" w:rsidRPr="003C50D5" w:rsidRDefault="006A2791" w:rsidP="006A2791">
            <w:pPr>
              <w:spacing w:after="0" w:line="240" w:lineRule="auto"/>
              <w:jc w:val="both"/>
              <w:rPr>
                <w:rFonts w:ascii="Times New Roman" w:eastAsia="Times New Roman" w:hAnsi="Times New Roman" w:cs="Times New Roman"/>
                <w:iCs/>
                <w:sz w:val="20"/>
                <w:szCs w:val="20"/>
                <w:lang w:eastAsia="lv-LV"/>
              </w:rPr>
            </w:pPr>
          </w:p>
          <w:p w14:paraId="09734E94" w14:textId="25A7E191" w:rsidR="006A2791" w:rsidRPr="003C50D5" w:rsidRDefault="006A2791" w:rsidP="00D00976">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sz w:val="20"/>
                <w:szCs w:val="20"/>
                <w:lang w:eastAsia="ar-SA"/>
              </w:rPr>
              <w:t>Grozījumi Valsts sociālo pabalstu likumā;</w:t>
            </w:r>
          </w:p>
          <w:p w14:paraId="279A281C"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sz w:val="20"/>
                <w:szCs w:val="20"/>
                <w:lang w:eastAsia="ar-SA"/>
              </w:rPr>
              <w:t>Grozījumi “Par valsts pensijām”</w:t>
            </w:r>
          </w:p>
          <w:p w14:paraId="60017151"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likumā “Par obligāto sociālo apdrošināšanu pret nelaimes gadījumiem darbā un arodslimībām”;</w:t>
            </w:r>
          </w:p>
          <w:p w14:paraId="326524A4"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Valsts fondēto pensiju likumā;</w:t>
            </w:r>
          </w:p>
          <w:p w14:paraId="6D3B76DA"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likumā “Par maternitātes un slimības apdrošināšanu”</w:t>
            </w:r>
          </w:p>
          <w:p w14:paraId="1D4B69C8"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likumā “Par apdrošināšanu bezdarba gadījumam”;</w:t>
            </w:r>
          </w:p>
          <w:p w14:paraId="05DD43A0" w14:textId="77777777" w:rsidR="006A2791"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sz w:val="20"/>
                <w:szCs w:val="20"/>
                <w:lang w:eastAsia="lv-LV"/>
              </w:rPr>
              <w:t>Grozījumi Sociālo pakalpojumu un sociālās palīdzības likumā;</w:t>
            </w:r>
          </w:p>
          <w:p w14:paraId="241D6738" w14:textId="64F560E9" w:rsidR="00F70594" w:rsidRPr="003C50D5" w:rsidRDefault="006A2791" w:rsidP="006A2791">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sz w:val="20"/>
                <w:szCs w:val="20"/>
                <w:lang w:eastAsia="lv-LV"/>
              </w:rPr>
              <w:t>Grozījumi Černobiļas atomelektrostacijas avārijas seku likvidēšanas dalībnieku un Černobiļas atomelektrostacijas avārijas rezultātā cietušo personu sociālās aizsardzības likumā</w:t>
            </w:r>
            <w:r w:rsidR="007206DD" w:rsidRPr="003C50D5">
              <w:rPr>
                <w:rFonts w:ascii="Times New Roman" w:eastAsia="Times New Roman" w:hAnsi="Times New Roman" w:cs="Times New Roman"/>
                <w:sz w:val="20"/>
                <w:szCs w:val="20"/>
                <w:lang w:eastAsia="lv-LV"/>
              </w:rPr>
              <w:t>;</w:t>
            </w:r>
          </w:p>
          <w:p w14:paraId="4F04A7CA" w14:textId="77777777" w:rsidR="007206DD" w:rsidRPr="003C50D5" w:rsidRDefault="007206DD" w:rsidP="007206DD">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likumā “Par palīdzību dzīvokļa jautājumu risināšanā”;</w:t>
            </w:r>
          </w:p>
          <w:p w14:paraId="00A5C475" w14:textId="77777777" w:rsidR="007206DD" w:rsidRPr="003C50D5" w:rsidRDefault="007206DD" w:rsidP="007206DD">
            <w:pPr>
              <w:pStyle w:val="ListParagraph"/>
              <w:numPr>
                <w:ilvl w:val="0"/>
                <w:numId w:val="11"/>
              </w:num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Grozījumi likumā “Par dzīvojamo telpu īri”.</w:t>
            </w:r>
          </w:p>
          <w:p w14:paraId="3493B2F2" w14:textId="77777777" w:rsidR="007206DD" w:rsidRPr="003C50D5" w:rsidRDefault="007206DD" w:rsidP="007206DD">
            <w:pPr>
              <w:pStyle w:val="ListParagraph"/>
              <w:spacing w:after="0" w:line="240" w:lineRule="auto"/>
              <w:jc w:val="both"/>
              <w:rPr>
                <w:rFonts w:ascii="Times New Roman" w:eastAsia="Times New Roman" w:hAnsi="Times New Roman" w:cs="Times New Roman"/>
                <w:iCs/>
                <w:sz w:val="20"/>
                <w:szCs w:val="20"/>
                <w:lang w:eastAsia="lv-LV"/>
              </w:rPr>
            </w:pPr>
          </w:p>
          <w:p w14:paraId="7F394277" w14:textId="77777777" w:rsidR="006A2791" w:rsidRPr="003C50D5" w:rsidRDefault="006A2791" w:rsidP="006A2791">
            <w:pPr>
              <w:spacing w:after="0" w:line="240" w:lineRule="auto"/>
              <w:ind w:left="360"/>
              <w:jc w:val="both"/>
              <w:rPr>
                <w:rFonts w:ascii="Times New Roman" w:eastAsia="Times New Roman" w:hAnsi="Times New Roman" w:cs="Times New Roman"/>
                <w:iCs/>
                <w:sz w:val="20"/>
                <w:szCs w:val="20"/>
                <w:lang w:eastAsia="lv-LV"/>
              </w:rPr>
            </w:pPr>
          </w:p>
          <w:p w14:paraId="35929331" w14:textId="77777777" w:rsidR="006A2791" w:rsidRPr="003C50D5" w:rsidRDefault="006A2791" w:rsidP="00D43B93">
            <w:p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Likumprojektā ietverto normu īstenošanas finansiālā ietekme tiks norādīta katr</w:t>
            </w:r>
            <w:r w:rsidR="00482AC7" w:rsidRPr="003C50D5">
              <w:rPr>
                <w:rFonts w:ascii="Times New Roman" w:eastAsia="Times New Roman" w:hAnsi="Times New Roman" w:cs="Times New Roman"/>
                <w:iCs/>
                <w:sz w:val="20"/>
                <w:szCs w:val="20"/>
                <w:lang w:eastAsia="lv-LV"/>
              </w:rPr>
              <w:t>ā</w:t>
            </w:r>
            <w:r w:rsidRPr="003C50D5">
              <w:rPr>
                <w:rFonts w:ascii="Times New Roman" w:eastAsia="Times New Roman" w:hAnsi="Times New Roman" w:cs="Times New Roman"/>
                <w:iCs/>
                <w:sz w:val="20"/>
                <w:szCs w:val="20"/>
                <w:lang w:eastAsia="lv-LV"/>
              </w:rPr>
              <w:t xml:space="preserve"> atsevišķā </w:t>
            </w:r>
            <w:r w:rsidR="00482AC7" w:rsidRPr="003C50D5">
              <w:rPr>
                <w:rFonts w:ascii="Times New Roman" w:eastAsia="Times New Roman" w:hAnsi="Times New Roman" w:cs="Times New Roman"/>
                <w:iCs/>
                <w:sz w:val="20"/>
                <w:szCs w:val="20"/>
                <w:lang w:eastAsia="lv-LV"/>
              </w:rPr>
              <w:t xml:space="preserve">saistošā </w:t>
            </w:r>
            <w:r w:rsidRPr="003C50D5">
              <w:rPr>
                <w:rFonts w:ascii="Times New Roman" w:eastAsia="Times New Roman" w:hAnsi="Times New Roman" w:cs="Times New Roman"/>
                <w:iCs/>
                <w:sz w:val="20"/>
                <w:szCs w:val="20"/>
                <w:lang w:eastAsia="lv-LV"/>
              </w:rPr>
              <w:t>likumprojekta anotācijā</w:t>
            </w:r>
            <w:r w:rsidR="00482AC7" w:rsidRPr="003C50D5">
              <w:rPr>
                <w:rFonts w:ascii="Times New Roman" w:eastAsia="Times New Roman" w:hAnsi="Times New Roman" w:cs="Times New Roman"/>
                <w:iCs/>
                <w:sz w:val="20"/>
                <w:szCs w:val="20"/>
                <w:lang w:eastAsia="lv-LV"/>
              </w:rPr>
              <w:t>.</w:t>
            </w:r>
          </w:p>
          <w:p w14:paraId="0C92D1AB" w14:textId="0DC5112F" w:rsidR="00482AC7" w:rsidRPr="003C50D5" w:rsidRDefault="00D43B93" w:rsidP="00D43B93">
            <w:pPr>
              <w:spacing w:after="0" w:line="240" w:lineRule="auto"/>
              <w:jc w:val="both"/>
              <w:rPr>
                <w:rFonts w:ascii="Times New Roman" w:eastAsia="Times New Roman" w:hAnsi="Times New Roman" w:cs="Times New Roman"/>
                <w:iCs/>
                <w:sz w:val="20"/>
                <w:szCs w:val="20"/>
                <w:lang w:eastAsia="lv-LV"/>
              </w:rPr>
            </w:pPr>
            <w:r w:rsidRPr="003C50D5">
              <w:rPr>
                <w:rFonts w:ascii="Times New Roman" w:eastAsia="Times New Roman" w:hAnsi="Times New Roman" w:cs="Times New Roman"/>
                <w:iCs/>
                <w:sz w:val="20"/>
                <w:szCs w:val="20"/>
                <w:lang w:eastAsia="lv-LV"/>
              </w:rPr>
              <w:t>I</w:t>
            </w:r>
            <w:r w:rsidR="00482AC7" w:rsidRPr="003C50D5">
              <w:rPr>
                <w:rFonts w:ascii="Times New Roman" w:eastAsia="Times New Roman" w:hAnsi="Times New Roman" w:cs="Times New Roman"/>
                <w:iCs/>
                <w:sz w:val="20"/>
                <w:szCs w:val="20"/>
                <w:lang w:eastAsia="lv-LV"/>
              </w:rPr>
              <w:t>nformācija par kopējiem izdevumiem visos saistošajos likumprojektos ietverto pasākumu īstenošanai pievienota pielikumā anotācijai</w:t>
            </w:r>
            <w:r w:rsidR="00A05C10" w:rsidRPr="003C50D5">
              <w:rPr>
                <w:rFonts w:ascii="Times New Roman" w:eastAsia="Times New Roman" w:hAnsi="Times New Roman" w:cs="Times New Roman"/>
                <w:iCs/>
                <w:sz w:val="20"/>
                <w:szCs w:val="20"/>
                <w:lang w:eastAsia="lv-LV"/>
              </w:rPr>
              <w:t xml:space="preserve"> “Informācija par kopējiem izdevumiem atbalstam minimāl</w:t>
            </w:r>
            <w:r w:rsidR="004478F7" w:rsidRPr="003C50D5">
              <w:rPr>
                <w:rFonts w:ascii="Times New Roman" w:eastAsia="Times New Roman" w:hAnsi="Times New Roman" w:cs="Times New Roman"/>
                <w:iCs/>
                <w:sz w:val="20"/>
                <w:szCs w:val="20"/>
                <w:lang w:eastAsia="lv-LV"/>
              </w:rPr>
              <w:t>o</w:t>
            </w:r>
            <w:r w:rsidR="00A05C10" w:rsidRPr="003C50D5">
              <w:rPr>
                <w:rFonts w:ascii="Times New Roman" w:eastAsia="Times New Roman" w:hAnsi="Times New Roman" w:cs="Times New Roman"/>
                <w:iCs/>
                <w:sz w:val="20"/>
                <w:szCs w:val="20"/>
                <w:lang w:eastAsia="lv-LV"/>
              </w:rPr>
              <w:t xml:space="preserve"> ienākum</w:t>
            </w:r>
            <w:r w:rsidR="004478F7" w:rsidRPr="003C50D5">
              <w:rPr>
                <w:rFonts w:ascii="Times New Roman" w:eastAsia="Times New Roman" w:hAnsi="Times New Roman" w:cs="Times New Roman"/>
                <w:iCs/>
                <w:sz w:val="20"/>
                <w:szCs w:val="20"/>
                <w:lang w:eastAsia="lv-LV"/>
              </w:rPr>
              <w:t>u sliekšņu</w:t>
            </w:r>
            <w:r w:rsidR="00A05C10" w:rsidRPr="003C50D5">
              <w:rPr>
                <w:rFonts w:ascii="Times New Roman" w:eastAsia="Times New Roman" w:hAnsi="Times New Roman" w:cs="Times New Roman"/>
                <w:iCs/>
                <w:sz w:val="20"/>
                <w:szCs w:val="20"/>
                <w:lang w:eastAsia="lv-LV"/>
              </w:rPr>
              <w:t xml:space="preserve"> palielināšanai”</w:t>
            </w:r>
            <w:r w:rsidR="00482AC7" w:rsidRPr="003C50D5">
              <w:rPr>
                <w:rFonts w:ascii="Times New Roman" w:eastAsia="Times New Roman" w:hAnsi="Times New Roman" w:cs="Times New Roman"/>
                <w:iCs/>
                <w:sz w:val="20"/>
                <w:szCs w:val="20"/>
                <w:lang w:eastAsia="lv-LV"/>
              </w:rPr>
              <w:t>.</w:t>
            </w:r>
          </w:p>
          <w:p w14:paraId="6B30A412" w14:textId="77777777" w:rsidR="00666BB5" w:rsidRPr="003C50D5" w:rsidRDefault="00666BB5" w:rsidP="00DB7E0E">
            <w:pPr>
              <w:spacing w:after="0" w:line="240" w:lineRule="auto"/>
              <w:jc w:val="both"/>
              <w:rPr>
                <w:rFonts w:ascii="Times New Roman" w:eastAsia="Times New Roman" w:hAnsi="Times New Roman" w:cs="Times New Roman"/>
                <w:iCs/>
                <w:sz w:val="20"/>
                <w:szCs w:val="20"/>
                <w:lang w:eastAsia="lv-LV"/>
              </w:rPr>
            </w:pPr>
          </w:p>
          <w:p w14:paraId="2D8F3E75" w14:textId="5640FDF7" w:rsidR="00666BB5" w:rsidRPr="003C50D5" w:rsidRDefault="007206DD" w:rsidP="007206DD">
            <w:pPr>
              <w:spacing w:after="0" w:line="240" w:lineRule="auto"/>
              <w:jc w:val="both"/>
              <w:rPr>
                <w:rFonts w:ascii="Times New Roman" w:eastAsia="Times New Roman" w:hAnsi="Times New Roman" w:cs="Times New Roman"/>
                <w:iCs/>
                <w:sz w:val="20"/>
                <w:szCs w:val="20"/>
                <w:lang w:eastAsia="lv-LV"/>
              </w:rPr>
            </w:pPr>
            <w:bookmarkStart w:id="7" w:name="_Hlk51851776"/>
            <w:r w:rsidRPr="003C50D5">
              <w:rPr>
                <w:rFonts w:ascii="Times New Roman" w:eastAsia="Times New Roman" w:hAnsi="Times New Roman" w:cs="Times New Roman"/>
                <w:iCs/>
                <w:sz w:val="20"/>
                <w:szCs w:val="20"/>
                <w:lang w:eastAsia="lv-LV"/>
              </w:rPr>
              <w:t xml:space="preserve">Ministru kabineta 2020.gada 22.septembra sēdē tika atbalstīts LM priekšlikums par papildu finansējuma piešķiršanu LM prioritārā pasākuma “Satversmes tiesas spriedumu izpilde labklājības jomā” īstenošanai. Pasākuma nodrošināšanai ir atbalstīts kopējais papildu finansējums 2021.gadā 70 662 394 </w:t>
            </w:r>
            <w:proofErr w:type="spellStart"/>
            <w:r w:rsidRPr="003C50D5">
              <w:rPr>
                <w:rFonts w:ascii="Times New Roman" w:eastAsia="Times New Roman" w:hAnsi="Times New Roman" w:cs="Times New Roman"/>
                <w:iCs/>
                <w:sz w:val="20"/>
                <w:szCs w:val="20"/>
                <w:lang w:eastAsia="lv-LV"/>
              </w:rPr>
              <w:t>euro</w:t>
            </w:r>
            <w:proofErr w:type="spellEnd"/>
            <w:r w:rsidRPr="003C50D5">
              <w:rPr>
                <w:rFonts w:ascii="Times New Roman" w:eastAsia="Times New Roman" w:hAnsi="Times New Roman" w:cs="Times New Roman"/>
                <w:iCs/>
                <w:sz w:val="20"/>
                <w:szCs w:val="20"/>
                <w:lang w:eastAsia="lv-LV"/>
              </w:rPr>
              <w:t xml:space="preserve"> apmērā, 2022.gadā 70 998 851 </w:t>
            </w:r>
            <w:proofErr w:type="spellStart"/>
            <w:r w:rsidRPr="003C50D5">
              <w:rPr>
                <w:rFonts w:ascii="Times New Roman" w:eastAsia="Times New Roman" w:hAnsi="Times New Roman" w:cs="Times New Roman"/>
                <w:iCs/>
                <w:sz w:val="20"/>
                <w:szCs w:val="20"/>
                <w:lang w:eastAsia="lv-LV"/>
              </w:rPr>
              <w:t>euro</w:t>
            </w:r>
            <w:proofErr w:type="spellEnd"/>
            <w:r w:rsidRPr="003C50D5">
              <w:rPr>
                <w:rFonts w:ascii="Times New Roman" w:eastAsia="Times New Roman" w:hAnsi="Times New Roman" w:cs="Times New Roman"/>
                <w:iCs/>
                <w:sz w:val="20"/>
                <w:szCs w:val="20"/>
                <w:lang w:eastAsia="lv-LV"/>
              </w:rPr>
              <w:t xml:space="preserve"> apmērā un 2023.gadā 71 014 751 </w:t>
            </w:r>
            <w:proofErr w:type="spellStart"/>
            <w:r w:rsidRPr="003C50D5">
              <w:rPr>
                <w:rFonts w:ascii="Times New Roman" w:eastAsia="Times New Roman" w:hAnsi="Times New Roman" w:cs="Times New Roman"/>
                <w:iCs/>
                <w:sz w:val="20"/>
                <w:szCs w:val="20"/>
                <w:lang w:eastAsia="lv-LV"/>
              </w:rPr>
              <w:t>euro</w:t>
            </w:r>
            <w:proofErr w:type="spellEnd"/>
            <w:r w:rsidRPr="003C50D5">
              <w:rPr>
                <w:rFonts w:ascii="Times New Roman" w:eastAsia="Times New Roman" w:hAnsi="Times New Roman" w:cs="Times New Roman"/>
                <w:iCs/>
                <w:sz w:val="20"/>
                <w:szCs w:val="20"/>
                <w:lang w:eastAsia="lv-LV"/>
              </w:rPr>
              <w:t xml:space="preserve"> apmērā, t.sk.</w:t>
            </w:r>
            <w:r w:rsidR="003170F0" w:rsidRPr="003C50D5">
              <w:rPr>
                <w:rFonts w:ascii="Times New Roman" w:eastAsia="Times New Roman" w:hAnsi="Times New Roman" w:cs="Times New Roman"/>
                <w:iCs/>
                <w:sz w:val="20"/>
                <w:szCs w:val="20"/>
                <w:lang w:eastAsia="lv-LV"/>
              </w:rPr>
              <w:t xml:space="preserve">, apakšpasākuma “IT sistēmu pielāgošana” īstenošanai 2021.gadā 21 235 </w:t>
            </w:r>
            <w:proofErr w:type="spellStart"/>
            <w:r w:rsidR="003170F0" w:rsidRPr="003C50D5">
              <w:rPr>
                <w:rFonts w:ascii="Times New Roman" w:eastAsia="Times New Roman" w:hAnsi="Times New Roman" w:cs="Times New Roman"/>
                <w:iCs/>
                <w:sz w:val="20"/>
                <w:szCs w:val="20"/>
                <w:lang w:eastAsia="lv-LV"/>
              </w:rPr>
              <w:t>euro</w:t>
            </w:r>
            <w:proofErr w:type="spellEnd"/>
            <w:r w:rsidR="003170F0" w:rsidRPr="003C50D5">
              <w:rPr>
                <w:rFonts w:ascii="Times New Roman" w:eastAsia="Times New Roman" w:hAnsi="Times New Roman" w:cs="Times New Roman"/>
                <w:iCs/>
                <w:sz w:val="20"/>
                <w:szCs w:val="20"/>
                <w:lang w:eastAsia="lv-LV"/>
              </w:rPr>
              <w:t>.</w:t>
            </w:r>
            <w:bookmarkEnd w:id="7"/>
          </w:p>
        </w:tc>
      </w:tr>
      <w:tr w:rsidR="003C50D5" w:rsidRPr="003C50D5" w14:paraId="587BA52B"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929" w:type="pct"/>
            <w:gridSpan w:val="4"/>
          </w:tcPr>
          <w:p w14:paraId="3F0A33DC"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6.1. detalizēts ieņēmumu aprēķins</w:t>
            </w:r>
          </w:p>
        </w:tc>
        <w:tc>
          <w:tcPr>
            <w:tcW w:w="4023" w:type="pct"/>
            <w:gridSpan w:val="8"/>
            <w:vMerge/>
          </w:tcPr>
          <w:p w14:paraId="057444AF"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p>
        </w:tc>
      </w:tr>
      <w:tr w:rsidR="003C50D5" w:rsidRPr="003C50D5" w14:paraId="3585C402"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929" w:type="pct"/>
            <w:gridSpan w:val="4"/>
          </w:tcPr>
          <w:p w14:paraId="1A7C5A49"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6.2. detalizēts izdevumu aprēķins</w:t>
            </w:r>
          </w:p>
        </w:tc>
        <w:tc>
          <w:tcPr>
            <w:tcW w:w="4023" w:type="pct"/>
            <w:gridSpan w:val="8"/>
            <w:vMerge/>
          </w:tcPr>
          <w:p w14:paraId="2FA05912"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p>
        </w:tc>
      </w:tr>
      <w:tr w:rsidR="003C50D5" w:rsidRPr="003C50D5" w14:paraId="7EA58D3D"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929" w:type="pct"/>
            <w:gridSpan w:val="4"/>
          </w:tcPr>
          <w:p w14:paraId="67BD4A9B"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7. Amata vietu skaita izmaiņas</w:t>
            </w:r>
          </w:p>
        </w:tc>
        <w:tc>
          <w:tcPr>
            <w:tcW w:w="4023" w:type="pct"/>
            <w:gridSpan w:val="8"/>
          </w:tcPr>
          <w:p w14:paraId="63E3F9E4" w14:textId="77777777" w:rsidR="00F70594" w:rsidRPr="003C50D5" w:rsidRDefault="00F70594" w:rsidP="00F272CD">
            <w:pPr>
              <w:tabs>
                <w:tab w:val="left" w:pos="4644"/>
              </w:tabs>
              <w:spacing w:after="0" w:line="240" w:lineRule="auto"/>
              <w:ind w:right="71"/>
              <w:jc w:val="both"/>
              <w:rPr>
                <w:rFonts w:ascii="Times New Roman" w:eastAsia="Calibri" w:hAnsi="Times New Roman" w:cs="Times New Roman"/>
                <w:sz w:val="18"/>
                <w:szCs w:val="18"/>
                <w:lang w:eastAsia="lv-LV"/>
              </w:rPr>
            </w:pPr>
            <w:r w:rsidRPr="003C50D5">
              <w:rPr>
                <w:rFonts w:ascii="Times New Roman" w:eastAsia="Calibri" w:hAnsi="Times New Roman" w:cs="Times New Roman"/>
                <w:sz w:val="18"/>
                <w:szCs w:val="18"/>
                <w:lang w:eastAsia="lv-LV"/>
              </w:rPr>
              <w:t>Nav</w:t>
            </w:r>
          </w:p>
          <w:p w14:paraId="3BF69B03"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p>
        </w:tc>
      </w:tr>
      <w:tr w:rsidR="003C50D5" w:rsidRPr="003C50D5" w14:paraId="356D4D76" w14:textId="77777777" w:rsidTr="00DF0330">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70"/>
          <w:jc w:val="center"/>
        </w:trPr>
        <w:tc>
          <w:tcPr>
            <w:tcW w:w="929" w:type="pct"/>
            <w:gridSpan w:val="4"/>
          </w:tcPr>
          <w:p w14:paraId="3028647B" w14:textId="77777777" w:rsidR="00F70594" w:rsidRPr="003C50D5" w:rsidRDefault="00F70594" w:rsidP="00F272CD">
            <w:pPr>
              <w:spacing w:after="0" w:line="240" w:lineRule="auto"/>
              <w:ind w:right="71"/>
              <w:jc w:val="both"/>
              <w:rPr>
                <w:rFonts w:ascii="Times New Roman" w:eastAsia="Calibri" w:hAnsi="Times New Roman" w:cs="Times New Roman"/>
                <w:i/>
                <w:sz w:val="18"/>
                <w:szCs w:val="18"/>
              </w:rPr>
            </w:pPr>
            <w:r w:rsidRPr="003C50D5">
              <w:rPr>
                <w:rFonts w:ascii="Times New Roman" w:eastAsia="Calibri" w:hAnsi="Times New Roman" w:cs="Times New Roman"/>
                <w:sz w:val="18"/>
                <w:szCs w:val="18"/>
              </w:rPr>
              <w:t>8. Cita informācija</w:t>
            </w:r>
          </w:p>
        </w:tc>
        <w:tc>
          <w:tcPr>
            <w:tcW w:w="4023" w:type="pct"/>
            <w:gridSpan w:val="8"/>
          </w:tcPr>
          <w:p w14:paraId="57FD8F3F" w14:textId="17EAE67A" w:rsidR="007206DD" w:rsidRPr="003C50D5" w:rsidRDefault="00DB7E0E" w:rsidP="004478F7">
            <w:pPr>
              <w:spacing w:after="0" w:line="240" w:lineRule="auto"/>
              <w:jc w:val="both"/>
              <w:rPr>
                <w:rFonts w:ascii="Times New Roman" w:hAnsi="Times New Roman" w:cs="Times New Roman"/>
                <w:sz w:val="20"/>
                <w:szCs w:val="20"/>
                <w:shd w:val="clear" w:color="auto" w:fill="FFFFFF"/>
              </w:rPr>
            </w:pPr>
            <w:r w:rsidRPr="003C50D5">
              <w:rPr>
                <w:rFonts w:ascii="Times New Roman" w:hAnsi="Times New Roman" w:cs="Times New Roman"/>
                <w:sz w:val="20"/>
                <w:szCs w:val="20"/>
                <w:shd w:val="clear" w:color="auto" w:fill="FFFFFF"/>
              </w:rPr>
              <w:t>Papildu finansējums l</w:t>
            </w:r>
            <w:r w:rsidRPr="003C50D5">
              <w:rPr>
                <w:rFonts w:ascii="Times New Roman" w:hAnsi="Times New Roman" w:cs="Times New Roman"/>
                <w:iCs/>
                <w:sz w:val="20"/>
                <w:szCs w:val="20"/>
              </w:rPr>
              <w:t>ikumprojektā ietverto pasākumu īstenošanai saistībā ar prioritārā pasākuma “Satversmes tiesas spriedumu izpilde labklājības jomā” īstenošanu</w:t>
            </w:r>
            <w:r w:rsidRPr="003C50D5">
              <w:rPr>
                <w:rFonts w:ascii="Times New Roman" w:hAnsi="Times New Roman" w:cs="Times New Roman"/>
                <w:sz w:val="20"/>
                <w:szCs w:val="20"/>
                <w:shd w:val="clear" w:color="auto" w:fill="FFFFFF"/>
              </w:rPr>
              <w:t xml:space="preserve"> iekļauts Labklājības ministrijas maksimāli pieļaujamajā valsts pamatbudžeta izdevumu kopējā apjomā 2021., 2022. un 2023.gadam un atbilstoši tiks iestrādāts likumprojektā “Par valsts budžetu </w:t>
            </w:r>
            <w:r w:rsidRPr="003C50D5">
              <w:rPr>
                <w:rFonts w:ascii="Times New Roman" w:hAnsi="Times New Roman" w:cs="Times New Roman"/>
                <w:sz w:val="20"/>
                <w:szCs w:val="20"/>
                <w:shd w:val="clear" w:color="auto" w:fill="FFFFFF"/>
              </w:rPr>
              <w:lastRenderedPageBreak/>
              <w:t>2021.gadam” un likumprojektā “Par vidēja termiņa budžeta ietvaru 2021., 2022. un 2023.gadam”.</w:t>
            </w:r>
          </w:p>
        </w:tc>
      </w:tr>
      <w:tr w:rsidR="003C50D5" w:rsidRPr="003C50D5" w14:paraId="3BA86FE2"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1A9E0813" w14:textId="77777777" w:rsidR="00F70594" w:rsidRPr="003C50D5" w:rsidRDefault="00F70594"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3C50D5" w:rsidRPr="003C50D5" w14:paraId="629BDEBF" w14:textId="77777777" w:rsidTr="00DF0330">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47D906AB"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w:t>
            </w:r>
          </w:p>
        </w:tc>
        <w:tc>
          <w:tcPr>
            <w:tcW w:w="1221" w:type="pct"/>
            <w:gridSpan w:val="4"/>
            <w:tcBorders>
              <w:top w:val="outset" w:sz="6" w:space="0" w:color="auto"/>
              <w:left w:val="outset" w:sz="6" w:space="0" w:color="auto"/>
              <w:bottom w:val="outset" w:sz="6" w:space="0" w:color="auto"/>
              <w:right w:val="outset" w:sz="6" w:space="0" w:color="auto"/>
            </w:tcBorders>
            <w:hideMark/>
          </w:tcPr>
          <w:p w14:paraId="6BE1B898"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Saistītie tiesību aktu projekti</w:t>
            </w:r>
          </w:p>
        </w:tc>
        <w:tc>
          <w:tcPr>
            <w:tcW w:w="3573" w:type="pct"/>
            <w:gridSpan w:val="7"/>
            <w:tcBorders>
              <w:top w:val="outset" w:sz="6" w:space="0" w:color="auto"/>
              <w:left w:val="outset" w:sz="6" w:space="0" w:color="auto"/>
              <w:bottom w:val="outset" w:sz="6" w:space="0" w:color="auto"/>
              <w:right w:val="outset" w:sz="6" w:space="0" w:color="auto"/>
            </w:tcBorders>
            <w:hideMark/>
          </w:tcPr>
          <w:p w14:paraId="3992AB48" w14:textId="4A5CCA25" w:rsidR="00055853" w:rsidRPr="003C50D5" w:rsidRDefault="006A3669" w:rsidP="003200A0">
            <w:pPr>
              <w:spacing w:after="0" w:line="240" w:lineRule="auto"/>
              <w:jc w:val="both"/>
              <w:rPr>
                <w:rFonts w:ascii="Times New Roman" w:eastAsia="Times New Roman" w:hAnsi="Times New Roman"/>
                <w:sz w:val="24"/>
                <w:szCs w:val="24"/>
                <w:lang w:eastAsia="ar-SA"/>
              </w:rPr>
            </w:pPr>
            <w:r w:rsidRPr="003C50D5">
              <w:rPr>
                <w:rFonts w:ascii="Times New Roman" w:eastAsia="Times New Roman" w:hAnsi="Times New Roman"/>
                <w:sz w:val="24"/>
                <w:szCs w:val="24"/>
                <w:lang w:eastAsia="ar-SA"/>
              </w:rPr>
              <w:t>Likumprojekts izskatāms vienotā paketē ar šādiem likumprojektiem:</w:t>
            </w:r>
            <w:bookmarkStart w:id="8" w:name="_Hlk49504261"/>
          </w:p>
          <w:p w14:paraId="2A4E282F" w14:textId="0DF2E04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sz w:val="24"/>
                <w:szCs w:val="24"/>
                <w:lang w:eastAsia="ar-SA"/>
              </w:rPr>
              <w:t>Grozījumi Valsts sociālo pabalstu likumā;</w:t>
            </w:r>
          </w:p>
          <w:p w14:paraId="13686B45" w14:textId="5D994C42"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sz w:val="24"/>
                <w:szCs w:val="24"/>
                <w:lang w:eastAsia="ar-SA"/>
              </w:rPr>
              <w:t>Grozījumi “Par valsts pensijām”</w:t>
            </w:r>
          </w:p>
          <w:p w14:paraId="27E7E187" w14:textId="7777777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Grozījumi likumā “Par obligāto sociālo apdrošināšanu pret nelaimes gadījumiem darbā un arodslimībām”;</w:t>
            </w:r>
          </w:p>
          <w:p w14:paraId="05C3B902" w14:textId="7777777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Grozījumi Valsts fondēto pensiju likumā;</w:t>
            </w:r>
          </w:p>
          <w:p w14:paraId="409D47B6" w14:textId="7777777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Grozījumi likumā “Par maternitātes un slimības apdrošināšanu”</w:t>
            </w:r>
          </w:p>
          <w:p w14:paraId="6CD4DD9E" w14:textId="7777777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Grozījumi likumā “Par apdrošināšanu bezdarba gadījumam”;</w:t>
            </w:r>
          </w:p>
          <w:p w14:paraId="5F701FF4" w14:textId="77777777" w:rsidR="006A3669" w:rsidRPr="003C50D5" w:rsidRDefault="006A3669" w:rsidP="00055853">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sz w:val="24"/>
                <w:szCs w:val="24"/>
                <w:lang w:eastAsia="lv-LV"/>
              </w:rPr>
              <w:t>Grozījumi Sociālo pakalpojumu un sociālās palīdzības likumā;</w:t>
            </w:r>
          </w:p>
          <w:p w14:paraId="6C941641" w14:textId="77777777" w:rsidR="00E63F96" w:rsidRPr="003C50D5" w:rsidRDefault="006A3669" w:rsidP="00E63F96">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sz w:val="24"/>
                <w:szCs w:val="24"/>
                <w:lang w:eastAsia="lv-LV"/>
              </w:rPr>
              <w:t>Grozījumi Černobiļas atomelektrostacijas avārijas seku likvidēšanas dalībnieku un Černobiļas atomelektrostacijas avārijas rezultātā cietušo personu sociālās aizsardzības likumā</w:t>
            </w:r>
            <w:bookmarkEnd w:id="8"/>
            <w:r w:rsidR="00E63F96" w:rsidRPr="003C50D5">
              <w:rPr>
                <w:rFonts w:ascii="Times New Roman" w:eastAsia="Times New Roman" w:hAnsi="Times New Roman" w:cs="Times New Roman"/>
                <w:sz w:val="24"/>
                <w:szCs w:val="24"/>
                <w:lang w:eastAsia="lv-LV"/>
              </w:rPr>
              <w:t>;</w:t>
            </w:r>
          </w:p>
          <w:p w14:paraId="2E316B78" w14:textId="77777777" w:rsidR="009B55E9" w:rsidRPr="003C50D5" w:rsidRDefault="00E63F96" w:rsidP="00E63F96">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hAnsi="Times New Roman" w:cs="Times New Roman"/>
                <w:sz w:val="24"/>
                <w:szCs w:val="24"/>
              </w:rPr>
              <w:t>Grozījumi likumā “Par palīdzību dzīvokļa jautājumu risināšanā”;</w:t>
            </w:r>
          </w:p>
          <w:p w14:paraId="6D311790" w14:textId="1287173F" w:rsidR="00E63F96" w:rsidRPr="003C50D5" w:rsidRDefault="00E63F96" w:rsidP="00E63F96">
            <w:pPr>
              <w:pStyle w:val="ListParagraph"/>
              <w:numPr>
                <w:ilvl w:val="0"/>
                <w:numId w:val="13"/>
              </w:numPr>
              <w:spacing w:after="0" w:line="240" w:lineRule="auto"/>
              <w:ind w:left="484"/>
              <w:jc w:val="both"/>
              <w:rPr>
                <w:rFonts w:ascii="Times New Roman" w:eastAsia="Times New Roman" w:hAnsi="Times New Roman" w:cs="Times New Roman"/>
                <w:iCs/>
                <w:sz w:val="24"/>
                <w:szCs w:val="24"/>
                <w:lang w:eastAsia="lv-LV"/>
              </w:rPr>
            </w:pPr>
            <w:r w:rsidRPr="003C50D5">
              <w:rPr>
                <w:rFonts w:ascii="Times New Roman" w:hAnsi="Times New Roman" w:cs="Times New Roman"/>
                <w:sz w:val="24"/>
                <w:szCs w:val="24"/>
              </w:rPr>
              <w:t>Grozījumi likumā “Par dzīvojamo telpu īri”.</w:t>
            </w:r>
          </w:p>
          <w:p w14:paraId="4D737D54" w14:textId="323A8153" w:rsidR="00E63F96" w:rsidRPr="003C50D5" w:rsidRDefault="00E63F96" w:rsidP="009B55E9">
            <w:pPr>
              <w:spacing w:after="0" w:line="240" w:lineRule="auto"/>
              <w:ind w:left="124"/>
              <w:jc w:val="both"/>
              <w:rPr>
                <w:rFonts w:ascii="Times New Roman" w:eastAsia="Times New Roman" w:hAnsi="Times New Roman" w:cs="Times New Roman"/>
                <w:iCs/>
                <w:sz w:val="24"/>
                <w:szCs w:val="24"/>
                <w:lang w:eastAsia="lv-LV"/>
              </w:rPr>
            </w:pPr>
          </w:p>
        </w:tc>
      </w:tr>
      <w:tr w:rsidR="003C50D5" w:rsidRPr="003C50D5" w14:paraId="1420F190" w14:textId="77777777" w:rsidTr="00DF0330">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10BD406C"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2.</w:t>
            </w:r>
          </w:p>
        </w:tc>
        <w:tc>
          <w:tcPr>
            <w:tcW w:w="1221" w:type="pct"/>
            <w:gridSpan w:val="4"/>
            <w:tcBorders>
              <w:top w:val="outset" w:sz="6" w:space="0" w:color="auto"/>
              <w:left w:val="outset" w:sz="6" w:space="0" w:color="auto"/>
              <w:bottom w:val="outset" w:sz="6" w:space="0" w:color="auto"/>
              <w:right w:val="outset" w:sz="6" w:space="0" w:color="auto"/>
            </w:tcBorders>
            <w:hideMark/>
          </w:tcPr>
          <w:p w14:paraId="475D2C73"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Atbildīgā institūcija</w:t>
            </w:r>
          </w:p>
        </w:tc>
        <w:tc>
          <w:tcPr>
            <w:tcW w:w="3573" w:type="pct"/>
            <w:gridSpan w:val="7"/>
            <w:tcBorders>
              <w:top w:val="outset" w:sz="6" w:space="0" w:color="auto"/>
              <w:left w:val="outset" w:sz="6" w:space="0" w:color="auto"/>
              <w:bottom w:val="outset" w:sz="6" w:space="0" w:color="auto"/>
              <w:right w:val="outset" w:sz="6" w:space="0" w:color="auto"/>
            </w:tcBorders>
            <w:hideMark/>
          </w:tcPr>
          <w:p w14:paraId="5C7F20FA" w14:textId="40BB10E9"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Labklājības ministrija.</w:t>
            </w:r>
          </w:p>
        </w:tc>
      </w:tr>
      <w:tr w:rsidR="003C50D5" w:rsidRPr="003C50D5" w14:paraId="6136E019" w14:textId="77777777" w:rsidTr="00DF0330">
        <w:trPr>
          <w:tblCellSpacing w:w="15" w:type="dxa"/>
        </w:trPr>
        <w:tc>
          <w:tcPr>
            <w:tcW w:w="143" w:type="pct"/>
            <w:tcBorders>
              <w:top w:val="outset" w:sz="6" w:space="0" w:color="auto"/>
              <w:left w:val="outset" w:sz="6" w:space="0" w:color="auto"/>
              <w:bottom w:val="outset" w:sz="6" w:space="0" w:color="auto"/>
              <w:right w:val="outset" w:sz="6" w:space="0" w:color="auto"/>
            </w:tcBorders>
            <w:hideMark/>
          </w:tcPr>
          <w:p w14:paraId="4EDFD384"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3.</w:t>
            </w:r>
          </w:p>
        </w:tc>
        <w:tc>
          <w:tcPr>
            <w:tcW w:w="1221" w:type="pct"/>
            <w:gridSpan w:val="4"/>
            <w:tcBorders>
              <w:top w:val="outset" w:sz="6" w:space="0" w:color="auto"/>
              <w:left w:val="outset" w:sz="6" w:space="0" w:color="auto"/>
              <w:bottom w:val="outset" w:sz="6" w:space="0" w:color="auto"/>
              <w:right w:val="outset" w:sz="6" w:space="0" w:color="auto"/>
            </w:tcBorders>
            <w:hideMark/>
          </w:tcPr>
          <w:p w14:paraId="7BC23D40" w14:textId="77777777" w:rsidR="00F70594" w:rsidRPr="003C50D5" w:rsidRDefault="00F70594"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Cita informācija</w:t>
            </w:r>
          </w:p>
        </w:tc>
        <w:tc>
          <w:tcPr>
            <w:tcW w:w="3573" w:type="pct"/>
            <w:gridSpan w:val="7"/>
            <w:tcBorders>
              <w:top w:val="outset" w:sz="6" w:space="0" w:color="auto"/>
              <w:left w:val="outset" w:sz="6" w:space="0" w:color="auto"/>
              <w:bottom w:val="outset" w:sz="6" w:space="0" w:color="auto"/>
              <w:right w:val="outset" w:sz="6" w:space="0" w:color="auto"/>
            </w:tcBorders>
            <w:hideMark/>
          </w:tcPr>
          <w:p w14:paraId="65B4B955" w14:textId="0ED529DD" w:rsidR="00F70594" w:rsidRPr="003C50D5" w:rsidRDefault="003E5DD9" w:rsidP="00F272CD">
            <w:pPr>
              <w:spacing w:after="0" w:line="240" w:lineRule="auto"/>
              <w:rPr>
                <w:rFonts w:ascii="Times New Roman" w:eastAsia="Times New Roman" w:hAnsi="Times New Roman" w:cs="Times New Roman"/>
                <w:iCs/>
                <w:sz w:val="24"/>
                <w:szCs w:val="24"/>
                <w:lang w:eastAsia="lv-LV"/>
              </w:rPr>
            </w:pPr>
            <w:r w:rsidRPr="003C50D5">
              <w:rPr>
                <w:rFonts w:ascii="Times New Roman" w:hAnsi="Times New Roman" w:cs="Times New Roman"/>
                <w:sz w:val="24"/>
                <w:szCs w:val="24"/>
                <w:shd w:val="clear" w:color="auto" w:fill="FFFFFF"/>
              </w:rPr>
              <w:t>Likumprojekta</w:t>
            </w:r>
            <w:r w:rsidR="00F70594" w:rsidRPr="003C50D5">
              <w:rPr>
                <w:rFonts w:ascii="Times New Roman" w:hAnsi="Times New Roman" w:cs="Times New Roman"/>
                <w:sz w:val="24"/>
                <w:szCs w:val="24"/>
                <w:shd w:val="clear" w:color="auto" w:fill="FFFFFF"/>
              </w:rPr>
              <w:t xml:space="preserve"> virzība ir tieši saistīta ar likumu “Par valsts budžetu 20</w:t>
            </w:r>
            <w:r w:rsidR="006A3669" w:rsidRPr="003C50D5">
              <w:rPr>
                <w:rFonts w:ascii="Times New Roman" w:hAnsi="Times New Roman" w:cs="Times New Roman"/>
                <w:sz w:val="24"/>
                <w:szCs w:val="24"/>
                <w:shd w:val="clear" w:color="auto" w:fill="FFFFFF"/>
              </w:rPr>
              <w:t>21</w:t>
            </w:r>
            <w:r w:rsidR="00F70594" w:rsidRPr="003C50D5">
              <w:rPr>
                <w:rFonts w:ascii="Times New Roman" w:hAnsi="Times New Roman" w:cs="Times New Roman"/>
                <w:sz w:val="24"/>
                <w:szCs w:val="24"/>
                <w:shd w:val="clear" w:color="auto" w:fill="FFFFFF"/>
              </w:rPr>
              <w:t xml:space="preserve">.gadam”. </w:t>
            </w:r>
          </w:p>
        </w:tc>
      </w:tr>
      <w:tr w:rsidR="003C50D5" w:rsidRPr="003C50D5" w14:paraId="07D24895"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58747C52" w14:textId="77777777" w:rsidR="00F70594" w:rsidRPr="003C50D5" w:rsidRDefault="00F70594"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50D5" w:rsidRPr="003C50D5" w14:paraId="46BC8CE0"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tcPr>
          <w:p w14:paraId="29373A19" w14:textId="5E7E4006" w:rsidR="00F70594" w:rsidRPr="003C50D5" w:rsidRDefault="00F70594"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bCs/>
                <w:sz w:val="24"/>
                <w:szCs w:val="24"/>
                <w:lang w:eastAsia="lv-LV"/>
              </w:rPr>
              <w:t>Noteikumu projekts šo jomu neskar.</w:t>
            </w:r>
          </w:p>
        </w:tc>
      </w:tr>
      <w:tr w:rsidR="003C50D5" w:rsidRPr="003C50D5" w14:paraId="0FEF1E05"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4A754544" w14:textId="77777777" w:rsidR="00F70594" w:rsidRPr="003C50D5" w:rsidRDefault="00F70594"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b/>
                <w:bCs/>
                <w:iCs/>
                <w:sz w:val="24"/>
                <w:szCs w:val="24"/>
                <w:lang w:eastAsia="lv-LV"/>
              </w:rPr>
              <w:t>VI. Sabiedrības līdzdalība un komunikācijas aktivitātes</w:t>
            </w:r>
          </w:p>
        </w:tc>
      </w:tr>
      <w:tr w:rsidR="003C50D5" w:rsidRPr="003C50D5" w14:paraId="0E9B289B"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635F50E6"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w:t>
            </w:r>
          </w:p>
        </w:tc>
        <w:tc>
          <w:tcPr>
            <w:tcW w:w="1113" w:type="pct"/>
            <w:gridSpan w:val="3"/>
            <w:tcBorders>
              <w:top w:val="outset" w:sz="6" w:space="0" w:color="auto"/>
              <w:left w:val="outset" w:sz="6" w:space="0" w:color="auto"/>
              <w:bottom w:val="outset" w:sz="6" w:space="0" w:color="auto"/>
              <w:right w:val="outset" w:sz="6" w:space="0" w:color="auto"/>
            </w:tcBorders>
            <w:hideMark/>
          </w:tcPr>
          <w:p w14:paraId="5AAF7267"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73" w:type="pct"/>
            <w:gridSpan w:val="7"/>
            <w:tcBorders>
              <w:top w:val="outset" w:sz="6" w:space="0" w:color="auto"/>
              <w:left w:val="outset" w:sz="6" w:space="0" w:color="auto"/>
              <w:bottom w:val="outset" w:sz="6" w:space="0" w:color="auto"/>
              <w:right w:val="outset" w:sz="6" w:space="0" w:color="auto"/>
            </w:tcBorders>
            <w:hideMark/>
          </w:tcPr>
          <w:p w14:paraId="79636D82" w14:textId="018FFB7B" w:rsidR="00A9704F" w:rsidRPr="003C50D5" w:rsidRDefault="00B74A5E"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Likumprojektā piedāvāti</w:t>
            </w:r>
            <w:r w:rsidR="00E2729C" w:rsidRPr="003C50D5">
              <w:rPr>
                <w:rFonts w:ascii="Times New Roman" w:eastAsia="Times New Roman" w:hAnsi="Times New Roman" w:cs="Times New Roman"/>
                <w:iCs/>
                <w:sz w:val="24"/>
                <w:szCs w:val="24"/>
                <w:lang w:eastAsia="lv-LV"/>
              </w:rPr>
              <w:t>e</w:t>
            </w:r>
            <w:r w:rsidRPr="003C50D5">
              <w:rPr>
                <w:rFonts w:ascii="Times New Roman" w:eastAsia="Times New Roman" w:hAnsi="Times New Roman" w:cs="Times New Roman"/>
                <w:iCs/>
                <w:sz w:val="24"/>
                <w:szCs w:val="24"/>
                <w:lang w:eastAsia="lv-LV"/>
              </w:rPr>
              <w:t xml:space="preserve"> grozījumi ir prezentēti Latvijas Pašvaldību savienībai, Latvijas Pensionāru federācijai, pārrunāti ar biedrīb</w:t>
            </w:r>
            <w:r w:rsidR="00E2729C" w:rsidRPr="003C50D5">
              <w:rPr>
                <w:rFonts w:ascii="Times New Roman" w:eastAsia="Times New Roman" w:hAnsi="Times New Roman" w:cs="Times New Roman"/>
                <w:iCs/>
                <w:sz w:val="24"/>
                <w:szCs w:val="24"/>
                <w:lang w:eastAsia="lv-LV"/>
              </w:rPr>
              <w:t>ām</w:t>
            </w:r>
            <w:r w:rsidRPr="003C50D5">
              <w:rPr>
                <w:rFonts w:ascii="Times New Roman" w:eastAsia="Times New Roman" w:hAnsi="Times New Roman" w:cs="Times New Roman"/>
                <w:iCs/>
                <w:sz w:val="24"/>
                <w:szCs w:val="24"/>
                <w:lang w:eastAsia="lv-LV"/>
              </w:rPr>
              <w:t xml:space="preserve"> “Invalīdu un viņu draugu apvienība Apeirons” un </w:t>
            </w:r>
            <w:r w:rsidR="00E2729C" w:rsidRPr="003C50D5">
              <w:rPr>
                <w:rFonts w:ascii="Times New Roman" w:eastAsia="Times New Roman" w:hAnsi="Times New Roman" w:cs="Times New Roman"/>
                <w:iCs/>
                <w:sz w:val="24"/>
                <w:szCs w:val="24"/>
                <w:lang w:eastAsia="lv-LV"/>
              </w:rPr>
              <w:t>“</w:t>
            </w:r>
            <w:r w:rsidRPr="003C50D5">
              <w:rPr>
                <w:rFonts w:ascii="Times New Roman" w:eastAsia="Times New Roman" w:hAnsi="Times New Roman" w:cs="Times New Roman"/>
                <w:iCs/>
                <w:sz w:val="24"/>
                <w:szCs w:val="24"/>
                <w:lang w:eastAsia="lv-LV"/>
              </w:rPr>
              <w:t>Latvijas cilvēku ar īpašām vajadzībām organizācij</w:t>
            </w:r>
            <w:r w:rsidR="00E2729C" w:rsidRPr="003C50D5">
              <w:rPr>
                <w:rFonts w:ascii="Times New Roman" w:eastAsia="Times New Roman" w:hAnsi="Times New Roman" w:cs="Times New Roman"/>
                <w:iCs/>
                <w:sz w:val="24"/>
                <w:szCs w:val="24"/>
                <w:lang w:eastAsia="lv-LV"/>
              </w:rPr>
              <w:t>a</w:t>
            </w:r>
            <w:r w:rsidRPr="003C50D5">
              <w:rPr>
                <w:rFonts w:ascii="Times New Roman" w:eastAsia="Times New Roman" w:hAnsi="Times New Roman" w:cs="Times New Roman"/>
                <w:iCs/>
                <w:sz w:val="24"/>
                <w:szCs w:val="24"/>
                <w:lang w:eastAsia="lv-LV"/>
              </w:rPr>
              <w:t xml:space="preserve"> SUSTENTO</w:t>
            </w:r>
            <w:r w:rsidR="00E2729C" w:rsidRPr="003C50D5">
              <w:rPr>
                <w:rFonts w:ascii="Times New Roman" w:eastAsia="Times New Roman" w:hAnsi="Times New Roman" w:cs="Times New Roman"/>
                <w:iCs/>
                <w:sz w:val="24"/>
                <w:szCs w:val="24"/>
                <w:lang w:eastAsia="lv-LV"/>
              </w:rPr>
              <w:t>”</w:t>
            </w:r>
            <w:r w:rsidRPr="003C50D5">
              <w:rPr>
                <w:rFonts w:ascii="Times New Roman" w:eastAsia="Times New Roman" w:hAnsi="Times New Roman" w:cs="Times New Roman"/>
                <w:iCs/>
                <w:sz w:val="24"/>
                <w:szCs w:val="24"/>
                <w:lang w:eastAsia="lv-LV"/>
              </w:rPr>
              <w:t>.</w:t>
            </w:r>
          </w:p>
          <w:p w14:paraId="703A7B5A" w14:textId="64C3C27C" w:rsidR="00B74A5E" w:rsidRPr="003C50D5" w:rsidRDefault="00B74A5E" w:rsidP="00F272CD">
            <w:pPr>
              <w:spacing w:after="0" w:line="240" w:lineRule="auto"/>
              <w:jc w:val="both"/>
              <w:rPr>
                <w:rFonts w:ascii="Times New Roman" w:hAnsi="Times New Roman" w:cs="Times New Roman"/>
                <w:bCs/>
                <w:sz w:val="24"/>
                <w:szCs w:val="24"/>
                <w:shd w:val="clear" w:color="auto" w:fill="FFFFFF"/>
              </w:rPr>
            </w:pPr>
            <w:r w:rsidRPr="003C50D5">
              <w:rPr>
                <w:rFonts w:ascii="Times New Roman" w:eastAsia="Times New Roman" w:hAnsi="Times New Roman" w:cs="Times New Roman"/>
                <w:iCs/>
                <w:sz w:val="24"/>
                <w:szCs w:val="24"/>
                <w:lang w:eastAsia="lv-LV"/>
              </w:rPr>
              <w:t>Atsevišķa sabiedrības līdzdalība un komunikācija par likumprojektu nav paredzēta. Stājoties spēkā likumprojekta</w:t>
            </w:r>
            <w:r w:rsidR="003200A0" w:rsidRPr="003C50D5">
              <w:rPr>
                <w:rFonts w:ascii="Times New Roman" w:eastAsia="Times New Roman" w:hAnsi="Times New Roman" w:cs="Times New Roman"/>
                <w:iCs/>
                <w:sz w:val="24"/>
                <w:szCs w:val="24"/>
                <w:lang w:eastAsia="lv-LV"/>
              </w:rPr>
              <w:t>m</w:t>
            </w:r>
            <w:r w:rsidRPr="003C50D5">
              <w:rPr>
                <w:rFonts w:ascii="Times New Roman" w:eastAsia="Times New Roman" w:hAnsi="Times New Roman" w:cs="Times New Roman"/>
                <w:iCs/>
                <w:sz w:val="24"/>
                <w:szCs w:val="24"/>
                <w:lang w:eastAsia="lv-LV"/>
              </w:rPr>
              <w:t xml:space="preserve"> un ar likumprojektu saistīto normatīvo aktu grozījumiem, sabiedrība kompleksi tiks informēta par izmaiņām normatīvajos regulējumos un to ietekmi uz tās ikdienu</w:t>
            </w:r>
            <w:r w:rsidR="0097293C" w:rsidRPr="003C50D5">
              <w:rPr>
                <w:rFonts w:ascii="Times New Roman" w:eastAsia="Times New Roman" w:hAnsi="Times New Roman" w:cs="Times New Roman"/>
                <w:iCs/>
                <w:sz w:val="24"/>
                <w:szCs w:val="24"/>
                <w:lang w:eastAsia="lv-LV"/>
              </w:rPr>
              <w:t xml:space="preserve">, gan izmantojot publisko informatīvo telpu, gan publicējot aktuālo informāciju Labklājības ministrijas un Valsts sociālās apdrošināšanas aģentūras tīmekļa vietnēs, gan sniedzot aktuālo informāciju nevalstisko organizāciju pārstāvjiem un </w:t>
            </w:r>
            <w:r w:rsidR="00E2729C" w:rsidRPr="003C50D5">
              <w:rPr>
                <w:rFonts w:ascii="Times New Roman" w:eastAsia="Times New Roman" w:hAnsi="Times New Roman" w:cs="Times New Roman"/>
                <w:iCs/>
                <w:sz w:val="24"/>
                <w:szCs w:val="24"/>
                <w:lang w:eastAsia="lv-LV"/>
              </w:rPr>
              <w:t xml:space="preserve">ieinteresētajām konsultatīvajām </w:t>
            </w:r>
            <w:r w:rsidR="0097293C" w:rsidRPr="003C50D5">
              <w:rPr>
                <w:rFonts w:ascii="Times New Roman" w:eastAsia="Times New Roman" w:hAnsi="Times New Roman" w:cs="Times New Roman"/>
                <w:iCs/>
                <w:sz w:val="24"/>
                <w:szCs w:val="24"/>
                <w:lang w:eastAsia="lv-LV"/>
              </w:rPr>
              <w:t>komitejām.</w:t>
            </w:r>
          </w:p>
        </w:tc>
      </w:tr>
      <w:tr w:rsidR="003C50D5" w:rsidRPr="003C50D5" w14:paraId="5B19BB2E"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71716DFD" w14:textId="77777777" w:rsidR="002641C9" w:rsidRPr="003C50D5" w:rsidRDefault="002641C9"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2.</w:t>
            </w:r>
          </w:p>
        </w:tc>
        <w:tc>
          <w:tcPr>
            <w:tcW w:w="1113" w:type="pct"/>
            <w:gridSpan w:val="3"/>
            <w:tcBorders>
              <w:top w:val="outset" w:sz="6" w:space="0" w:color="auto"/>
              <w:left w:val="outset" w:sz="6" w:space="0" w:color="auto"/>
              <w:bottom w:val="outset" w:sz="6" w:space="0" w:color="auto"/>
              <w:right w:val="outset" w:sz="6" w:space="0" w:color="auto"/>
            </w:tcBorders>
            <w:hideMark/>
          </w:tcPr>
          <w:p w14:paraId="27957F25" w14:textId="77777777" w:rsidR="002641C9" w:rsidRPr="003C50D5" w:rsidRDefault="002641C9"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Sabiedrības līdzdalība projekta izstrādē</w:t>
            </w:r>
          </w:p>
        </w:tc>
        <w:tc>
          <w:tcPr>
            <w:tcW w:w="3573" w:type="pct"/>
            <w:gridSpan w:val="7"/>
            <w:tcBorders>
              <w:top w:val="outset" w:sz="6" w:space="0" w:color="auto"/>
              <w:left w:val="outset" w:sz="6" w:space="0" w:color="auto"/>
              <w:bottom w:val="outset" w:sz="6" w:space="0" w:color="auto"/>
              <w:right w:val="outset" w:sz="6" w:space="0" w:color="auto"/>
            </w:tcBorders>
            <w:hideMark/>
          </w:tcPr>
          <w:p w14:paraId="2D3B6836" w14:textId="225D3934" w:rsidR="002641C9" w:rsidRPr="003C50D5" w:rsidRDefault="00B74A5E"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Nav attiecināms.</w:t>
            </w:r>
          </w:p>
        </w:tc>
      </w:tr>
      <w:tr w:rsidR="003C50D5" w:rsidRPr="003C50D5" w14:paraId="538623B4"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052EAC35"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3.</w:t>
            </w:r>
          </w:p>
        </w:tc>
        <w:tc>
          <w:tcPr>
            <w:tcW w:w="1113" w:type="pct"/>
            <w:gridSpan w:val="3"/>
            <w:tcBorders>
              <w:top w:val="outset" w:sz="6" w:space="0" w:color="auto"/>
              <w:left w:val="outset" w:sz="6" w:space="0" w:color="auto"/>
              <w:bottom w:val="outset" w:sz="6" w:space="0" w:color="auto"/>
              <w:right w:val="outset" w:sz="6" w:space="0" w:color="auto"/>
            </w:tcBorders>
            <w:hideMark/>
          </w:tcPr>
          <w:p w14:paraId="6A910E38"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Sabiedrības līdzdalības rezultāti</w:t>
            </w:r>
          </w:p>
        </w:tc>
        <w:tc>
          <w:tcPr>
            <w:tcW w:w="3573" w:type="pct"/>
            <w:gridSpan w:val="7"/>
            <w:tcBorders>
              <w:top w:val="outset" w:sz="6" w:space="0" w:color="auto"/>
              <w:left w:val="outset" w:sz="6" w:space="0" w:color="auto"/>
              <w:bottom w:val="outset" w:sz="6" w:space="0" w:color="auto"/>
              <w:right w:val="outset" w:sz="6" w:space="0" w:color="auto"/>
            </w:tcBorders>
            <w:hideMark/>
          </w:tcPr>
          <w:p w14:paraId="59DB778C" w14:textId="58E7E9E4" w:rsidR="00A9704F" w:rsidRPr="003C50D5" w:rsidRDefault="00A9704F"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Nav</w:t>
            </w:r>
          </w:p>
        </w:tc>
      </w:tr>
      <w:tr w:rsidR="003C50D5" w:rsidRPr="003C50D5" w14:paraId="42B8C45B" w14:textId="77777777" w:rsidTr="00DF0330">
        <w:trPr>
          <w:tblCellSpacing w:w="15" w:type="dxa"/>
        </w:trPr>
        <w:tc>
          <w:tcPr>
            <w:tcW w:w="250" w:type="pct"/>
            <w:gridSpan w:val="2"/>
            <w:tcBorders>
              <w:top w:val="outset" w:sz="6" w:space="0" w:color="auto"/>
              <w:left w:val="outset" w:sz="6" w:space="0" w:color="auto"/>
              <w:bottom w:val="outset" w:sz="6" w:space="0" w:color="auto"/>
              <w:right w:val="outset" w:sz="6" w:space="0" w:color="auto"/>
            </w:tcBorders>
            <w:hideMark/>
          </w:tcPr>
          <w:p w14:paraId="5C14952B"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4.</w:t>
            </w:r>
          </w:p>
        </w:tc>
        <w:tc>
          <w:tcPr>
            <w:tcW w:w="1113" w:type="pct"/>
            <w:gridSpan w:val="3"/>
            <w:tcBorders>
              <w:top w:val="outset" w:sz="6" w:space="0" w:color="auto"/>
              <w:left w:val="outset" w:sz="6" w:space="0" w:color="auto"/>
              <w:bottom w:val="outset" w:sz="6" w:space="0" w:color="auto"/>
              <w:right w:val="outset" w:sz="6" w:space="0" w:color="auto"/>
            </w:tcBorders>
            <w:hideMark/>
          </w:tcPr>
          <w:p w14:paraId="1CAB783A"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Cita informācija</w:t>
            </w:r>
          </w:p>
        </w:tc>
        <w:tc>
          <w:tcPr>
            <w:tcW w:w="3573" w:type="pct"/>
            <w:gridSpan w:val="7"/>
            <w:tcBorders>
              <w:top w:val="outset" w:sz="6" w:space="0" w:color="auto"/>
              <w:left w:val="outset" w:sz="6" w:space="0" w:color="auto"/>
              <w:bottom w:val="outset" w:sz="6" w:space="0" w:color="auto"/>
              <w:right w:val="outset" w:sz="6" w:space="0" w:color="auto"/>
            </w:tcBorders>
            <w:hideMark/>
          </w:tcPr>
          <w:p w14:paraId="7930083B" w14:textId="77777777" w:rsidR="00A9704F" w:rsidRPr="003C50D5" w:rsidRDefault="00A9704F"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sz w:val="24"/>
                <w:szCs w:val="24"/>
                <w:lang w:eastAsia="lv-LV"/>
              </w:rPr>
              <w:t>Nav</w:t>
            </w:r>
          </w:p>
        </w:tc>
      </w:tr>
      <w:tr w:rsidR="003C50D5" w:rsidRPr="003C50D5" w14:paraId="6B5529B5" w14:textId="77777777" w:rsidTr="00DF0330">
        <w:trPr>
          <w:tblCellSpacing w:w="15" w:type="dxa"/>
        </w:trPr>
        <w:tc>
          <w:tcPr>
            <w:tcW w:w="4968" w:type="pct"/>
            <w:gridSpan w:val="12"/>
            <w:tcBorders>
              <w:top w:val="outset" w:sz="6" w:space="0" w:color="auto"/>
              <w:left w:val="outset" w:sz="6" w:space="0" w:color="auto"/>
              <w:bottom w:val="outset" w:sz="6" w:space="0" w:color="auto"/>
              <w:right w:val="outset" w:sz="6" w:space="0" w:color="auto"/>
            </w:tcBorders>
            <w:vAlign w:val="center"/>
            <w:hideMark/>
          </w:tcPr>
          <w:p w14:paraId="4551B9E4" w14:textId="77777777" w:rsidR="00A9704F" w:rsidRPr="003C50D5" w:rsidRDefault="00A9704F" w:rsidP="00F272CD">
            <w:pPr>
              <w:spacing w:after="0" w:line="240" w:lineRule="auto"/>
              <w:rPr>
                <w:rFonts w:ascii="Times New Roman" w:eastAsia="Times New Roman" w:hAnsi="Times New Roman" w:cs="Times New Roman"/>
                <w:b/>
                <w:bCs/>
                <w:iCs/>
                <w:sz w:val="24"/>
                <w:szCs w:val="24"/>
                <w:lang w:eastAsia="lv-LV"/>
              </w:rPr>
            </w:pPr>
            <w:r w:rsidRPr="003C50D5">
              <w:rPr>
                <w:rFonts w:ascii="Times New Roman" w:eastAsia="Times New Roman" w:hAnsi="Times New Roman" w:cs="Times New Roman"/>
                <w:iCs/>
                <w:sz w:val="24"/>
                <w:szCs w:val="24"/>
                <w:lang w:eastAsia="lv-LV"/>
              </w:rPr>
              <w:t xml:space="preserve">  </w:t>
            </w:r>
            <w:r w:rsidRPr="003C50D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50D5" w:rsidRPr="003C50D5" w14:paraId="086F689A" w14:textId="77777777" w:rsidTr="00DF0330">
        <w:trPr>
          <w:tblCellSpacing w:w="15" w:type="dxa"/>
        </w:trPr>
        <w:tc>
          <w:tcPr>
            <w:tcW w:w="515" w:type="pct"/>
            <w:gridSpan w:val="3"/>
            <w:tcBorders>
              <w:top w:val="outset" w:sz="6" w:space="0" w:color="auto"/>
              <w:left w:val="outset" w:sz="6" w:space="0" w:color="auto"/>
              <w:bottom w:val="outset" w:sz="6" w:space="0" w:color="auto"/>
              <w:right w:val="outset" w:sz="6" w:space="0" w:color="auto"/>
            </w:tcBorders>
            <w:hideMark/>
          </w:tcPr>
          <w:p w14:paraId="3D2DE257"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1.</w:t>
            </w:r>
          </w:p>
        </w:tc>
        <w:tc>
          <w:tcPr>
            <w:tcW w:w="848" w:type="pct"/>
            <w:gridSpan w:val="2"/>
            <w:tcBorders>
              <w:top w:val="outset" w:sz="6" w:space="0" w:color="auto"/>
              <w:left w:val="outset" w:sz="6" w:space="0" w:color="auto"/>
              <w:bottom w:val="outset" w:sz="6" w:space="0" w:color="auto"/>
              <w:right w:val="outset" w:sz="6" w:space="0" w:color="auto"/>
            </w:tcBorders>
            <w:hideMark/>
          </w:tcPr>
          <w:p w14:paraId="2450F880"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Projekta izpildē iesaistītās institūcijas</w:t>
            </w:r>
          </w:p>
        </w:tc>
        <w:tc>
          <w:tcPr>
            <w:tcW w:w="3573" w:type="pct"/>
            <w:gridSpan w:val="7"/>
            <w:tcBorders>
              <w:top w:val="outset" w:sz="6" w:space="0" w:color="auto"/>
              <w:left w:val="outset" w:sz="6" w:space="0" w:color="auto"/>
              <w:bottom w:val="outset" w:sz="6" w:space="0" w:color="auto"/>
              <w:right w:val="outset" w:sz="6" w:space="0" w:color="auto"/>
            </w:tcBorders>
            <w:hideMark/>
          </w:tcPr>
          <w:p w14:paraId="515A189F" w14:textId="0DA1E58E" w:rsidR="00A9704F" w:rsidRPr="003C50D5" w:rsidRDefault="00B74A5E"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Valsts sociālās apdrošināšanas aģentūra</w:t>
            </w:r>
          </w:p>
        </w:tc>
      </w:tr>
      <w:tr w:rsidR="003C50D5" w:rsidRPr="003C50D5" w14:paraId="4E88DE2F" w14:textId="77777777" w:rsidTr="00DF0330">
        <w:trPr>
          <w:tblCellSpacing w:w="15" w:type="dxa"/>
        </w:trPr>
        <w:tc>
          <w:tcPr>
            <w:tcW w:w="515" w:type="pct"/>
            <w:gridSpan w:val="3"/>
            <w:tcBorders>
              <w:top w:val="outset" w:sz="6" w:space="0" w:color="auto"/>
              <w:left w:val="outset" w:sz="6" w:space="0" w:color="auto"/>
              <w:bottom w:val="outset" w:sz="6" w:space="0" w:color="auto"/>
              <w:right w:val="outset" w:sz="6" w:space="0" w:color="auto"/>
            </w:tcBorders>
            <w:hideMark/>
          </w:tcPr>
          <w:p w14:paraId="350C9172"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2.</w:t>
            </w:r>
          </w:p>
        </w:tc>
        <w:tc>
          <w:tcPr>
            <w:tcW w:w="848" w:type="pct"/>
            <w:gridSpan w:val="2"/>
            <w:tcBorders>
              <w:top w:val="outset" w:sz="6" w:space="0" w:color="auto"/>
              <w:left w:val="outset" w:sz="6" w:space="0" w:color="auto"/>
              <w:bottom w:val="outset" w:sz="6" w:space="0" w:color="auto"/>
              <w:right w:val="outset" w:sz="6" w:space="0" w:color="auto"/>
            </w:tcBorders>
            <w:hideMark/>
          </w:tcPr>
          <w:p w14:paraId="3E34906A"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 xml:space="preserve">Projekta izpildes </w:t>
            </w:r>
            <w:r w:rsidRPr="003C50D5">
              <w:rPr>
                <w:rFonts w:ascii="Times New Roman" w:eastAsia="Times New Roman" w:hAnsi="Times New Roman" w:cs="Times New Roman"/>
                <w:iCs/>
                <w:sz w:val="24"/>
                <w:szCs w:val="24"/>
                <w:lang w:eastAsia="lv-LV"/>
              </w:rPr>
              <w:lastRenderedPageBreak/>
              <w:t>ietekme uz pārvaldes funkcijām un institucionālo struktūru.</w:t>
            </w:r>
            <w:r w:rsidRPr="003C50D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3" w:type="pct"/>
            <w:gridSpan w:val="7"/>
            <w:tcBorders>
              <w:top w:val="outset" w:sz="6" w:space="0" w:color="auto"/>
              <w:left w:val="outset" w:sz="6" w:space="0" w:color="auto"/>
              <w:bottom w:val="outset" w:sz="6" w:space="0" w:color="auto"/>
              <w:right w:val="outset" w:sz="6" w:space="0" w:color="auto"/>
            </w:tcBorders>
            <w:hideMark/>
          </w:tcPr>
          <w:p w14:paraId="01950FB9" w14:textId="25E6A62F" w:rsidR="00A9704F" w:rsidRPr="003C50D5" w:rsidRDefault="00B74A5E" w:rsidP="00F272CD">
            <w:pPr>
              <w:spacing w:after="0" w:line="240" w:lineRule="auto"/>
              <w:jc w:val="both"/>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bCs/>
                <w:sz w:val="24"/>
                <w:szCs w:val="24"/>
                <w:lang w:eastAsia="lv-LV"/>
              </w:rPr>
              <w:lastRenderedPageBreak/>
              <w:t>Minimālo ienākumu sliekšņu noteikšan</w:t>
            </w:r>
            <w:r w:rsidR="00666360" w:rsidRPr="003C50D5">
              <w:rPr>
                <w:rFonts w:ascii="Times New Roman" w:eastAsia="Times New Roman" w:hAnsi="Times New Roman" w:cs="Times New Roman"/>
                <w:bCs/>
                <w:sz w:val="24"/>
                <w:szCs w:val="24"/>
                <w:lang w:eastAsia="lv-LV"/>
              </w:rPr>
              <w:t>u, piemērošanu un izmaksu</w:t>
            </w:r>
            <w:r w:rsidRPr="003C50D5">
              <w:rPr>
                <w:rFonts w:ascii="Times New Roman" w:eastAsia="Times New Roman" w:hAnsi="Times New Roman" w:cs="Times New Roman"/>
                <w:bCs/>
                <w:sz w:val="24"/>
                <w:szCs w:val="24"/>
                <w:lang w:eastAsia="lv-LV"/>
              </w:rPr>
              <w:t xml:space="preserve"> </w:t>
            </w:r>
            <w:r w:rsidR="00666360" w:rsidRPr="003C50D5">
              <w:rPr>
                <w:rFonts w:ascii="Times New Roman" w:eastAsia="Times New Roman" w:hAnsi="Times New Roman" w:cs="Times New Roman"/>
                <w:bCs/>
                <w:sz w:val="24"/>
                <w:szCs w:val="24"/>
                <w:lang w:eastAsia="lv-LV"/>
              </w:rPr>
              <w:t xml:space="preserve">Likumā un citos normatīvajos aktos noteiktajā kārtībā veiks </w:t>
            </w:r>
            <w:r w:rsidRPr="003C50D5">
              <w:rPr>
                <w:rFonts w:ascii="Times New Roman" w:eastAsia="Times New Roman" w:hAnsi="Times New Roman" w:cs="Times New Roman"/>
                <w:bCs/>
                <w:sz w:val="24"/>
                <w:szCs w:val="24"/>
                <w:lang w:eastAsia="lv-LV"/>
              </w:rPr>
              <w:t xml:space="preserve">Valsts </w:t>
            </w:r>
            <w:r w:rsidRPr="003C50D5">
              <w:rPr>
                <w:rFonts w:ascii="Times New Roman" w:eastAsia="Times New Roman" w:hAnsi="Times New Roman" w:cs="Times New Roman"/>
                <w:bCs/>
                <w:sz w:val="24"/>
                <w:szCs w:val="24"/>
                <w:lang w:eastAsia="lv-LV"/>
              </w:rPr>
              <w:lastRenderedPageBreak/>
              <w:t>sociālā</w:t>
            </w:r>
            <w:r w:rsidR="006848BC" w:rsidRPr="003C50D5">
              <w:rPr>
                <w:rFonts w:ascii="Times New Roman" w:eastAsia="Times New Roman" w:hAnsi="Times New Roman" w:cs="Times New Roman"/>
                <w:bCs/>
                <w:sz w:val="24"/>
                <w:szCs w:val="24"/>
                <w:lang w:eastAsia="lv-LV"/>
              </w:rPr>
              <w:t>s</w:t>
            </w:r>
            <w:r w:rsidRPr="003C50D5">
              <w:rPr>
                <w:rFonts w:ascii="Times New Roman" w:eastAsia="Times New Roman" w:hAnsi="Times New Roman" w:cs="Times New Roman"/>
                <w:bCs/>
                <w:sz w:val="24"/>
                <w:szCs w:val="24"/>
                <w:lang w:eastAsia="lv-LV"/>
              </w:rPr>
              <w:t xml:space="preserve"> apdrošināšanas aģentūra un pašvaldību sociāl</w:t>
            </w:r>
            <w:r w:rsidR="00666360" w:rsidRPr="003C50D5">
              <w:rPr>
                <w:rFonts w:ascii="Times New Roman" w:eastAsia="Times New Roman" w:hAnsi="Times New Roman" w:cs="Times New Roman"/>
                <w:bCs/>
                <w:sz w:val="24"/>
                <w:szCs w:val="24"/>
                <w:lang w:eastAsia="lv-LV"/>
              </w:rPr>
              <w:t>ie</w:t>
            </w:r>
            <w:r w:rsidRPr="003C50D5">
              <w:rPr>
                <w:rFonts w:ascii="Times New Roman" w:eastAsia="Times New Roman" w:hAnsi="Times New Roman" w:cs="Times New Roman"/>
                <w:bCs/>
                <w:sz w:val="24"/>
                <w:szCs w:val="24"/>
                <w:lang w:eastAsia="lv-LV"/>
              </w:rPr>
              <w:t xml:space="preserve"> dienest</w:t>
            </w:r>
            <w:r w:rsidR="00666360" w:rsidRPr="003C50D5">
              <w:rPr>
                <w:rFonts w:ascii="Times New Roman" w:eastAsia="Times New Roman" w:hAnsi="Times New Roman" w:cs="Times New Roman"/>
                <w:bCs/>
                <w:sz w:val="24"/>
                <w:szCs w:val="24"/>
                <w:lang w:eastAsia="lv-LV"/>
              </w:rPr>
              <w:t xml:space="preserve">i. </w:t>
            </w:r>
            <w:r w:rsidRPr="003C50D5">
              <w:rPr>
                <w:rFonts w:ascii="Times New Roman" w:eastAsia="Times New Roman" w:hAnsi="Times New Roman" w:cs="Times New Roman"/>
                <w:bCs/>
                <w:sz w:val="24"/>
                <w:szCs w:val="24"/>
                <w:lang w:eastAsia="lv-LV"/>
              </w:rPr>
              <w:t xml:space="preserve">Jaunas institūcijas izveide nav nepieciešama. </w:t>
            </w:r>
          </w:p>
        </w:tc>
      </w:tr>
      <w:tr w:rsidR="003C50D5" w:rsidRPr="003C50D5" w14:paraId="3B7516B1" w14:textId="77777777" w:rsidTr="00DF0330">
        <w:trPr>
          <w:tblCellSpacing w:w="15" w:type="dxa"/>
        </w:trPr>
        <w:tc>
          <w:tcPr>
            <w:tcW w:w="515" w:type="pct"/>
            <w:gridSpan w:val="3"/>
            <w:tcBorders>
              <w:top w:val="outset" w:sz="6" w:space="0" w:color="auto"/>
              <w:left w:val="outset" w:sz="6" w:space="0" w:color="auto"/>
              <w:bottom w:val="outset" w:sz="6" w:space="0" w:color="auto"/>
              <w:right w:val="outset" w:sz="6" w:space="0" w:color="auto"/>
            </w:tcBorders>
            <w:hideMark/>
          </w:tcPr>
          <w:p w14:paraId="73C090D5"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lastRenderedPageBreak/>
              <w:t>3.</w:t>
            </w:r>
          </w:p>
        </w:tc>
        <w:tc>
          <w:tcPr>
            <w:tcW w:w="848" w:type="pct"/>
            <w:gridSpan w:val="2"/>
            <w:tcBorders>
              <w:top w:val="outset" w:sz="6" w:space="0" w:color="auto"/>
              <w:left w:val="outset" w:sz="6" w:space="0" w:color="auto"/>
              <w:bottom w:val="outset" w:sz="6" w:space="0" w:color="auto"/>
              <w:right w:val="outset" w:sz="6" w:space="0" w:color="auto"/>
            </w:tcBorders>
            <w:hideMark/>
          </w:tcPr>
          <w:p w14:paraId="3D8125ED"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r w:rsidRPr="003C50D5">
              <w:rPr>
                <w:rFonts w:ascii="Times New Roman" w:eastAsia="Times New Roman" w:hAnsi="Times New Roman" w:cs="Times New Roman"/>
                <w:iCs/>
                <w:sz w:val="24"/>
                <w:szCs w:val="24"/>
                <w:lang w:eastAsia="lv-LV"/>
              </w:rPr>
              <w:t>Cita informācija</w:t>
            </w:r>
          </w:p>
        </w:tc>
        <w:tc>
          <w:tcPr>
            <w:tcW w:w="3573" w:type="pct"/>
            <w:gridSpan w:val="7"/>
            <w:tcBorders>
              <w:top w:val="outset" w:sz="6" w:space="0" w:color="auto"/>
              <w:left w:val="outset" w:sz="6" w:space="0" w:color="auto"/>
              <w:bottom w:val="outset" w:sz="6" w:space="0" w:color="auto"/>
              <w:right w:val="outset" w:sz="6" w:space="0" w:color="auto"/>
            </w:tcBorders>
            <w:hideMark/>
          </w:tcPr>
          <w:p w14:paraId="1E98DA54" w14:textId="77777777" w:rsidR="00A9704F" w:rsidRPr="003C50D5" w:rsidRDefault="00A9704F" w:rsidP="00F272CD">
            <w:pPr>
              <w:spacing w:after="0" w:line="240" w:lineRule="auto"/>
              <w:rPr>
                <w:rFonts w:ascii="Times New Roman" w:hAnsi="Times New Roman" w:cs="Times New Roman"/>
              </w:rPr>
            </w:pPr>
            <w:r w:rsidRPr="003C50D5">
              <w:rPr>
                <w:rFonts w:ascii="Times New Roman" w:hAnsi="Times New Roman" w:cs="Times New Roman"/>
                <w:sz w:val="24"/>
                <w:szCs w:val="24"/>
              </w:rPr>
              <w:t xml:space="preserve">Nav </w:t>
            </w:r>
          </w:p>
          <w:p w14:paraId="68FC8B33" w14:textId="77777777" w:rsidR="00A9704F" w:rsidRPr="003C50D5" w:rsidRDefault="00A9704F" w:rsidP="00F272CD">
            <w:pPr>
              <w:spacing w:after="0" w:line="240" w:lineRule="auto"/>
              <w:rPr>
                <w:rFonts w:ascii="Times New Roman" w:eastAsia="Times New Roman" w:hAnsi="Times New Roman" w:cs="Times New Roman"/>
                <w:iCs/>
                <w:sz w:val="24"/>
                <w:szCs w:val="24"/>
                <w:lang w:eastAsia="lv-LV"/>
              </w:rPr>
            </w:pPr>
          </w:p>
        </w:tc>
      </w:tr>
    </w:tbl>
    <w:p w14:paraId="10D64106" w14:textId="77777777" w:rsidR="002469E1" w:rsidRPr="003C50D5" w:rsidRDefault="002469E1" w:rsidP="00F272CD">
      <w:pPr>
        <w:pStyle w:val="naisf"/>
        <w:tabs>
          <w:tab w:val="left" w:pos="6237"/>
          <w:tab w:val="right" w:pos="8820"/>
        </w:tabs>
        <w:spacing w:before="0" w:beforeAutospacing="0" w:after="0" w:afterAutospacing="0"/>
        <w:ind w:firstLine="709"/>
        <w:rPr>
          <w:sz w:val="28"/>
          <w:szCs w:val="28"/>
        </w:rPr>
      </w:pPr>
    </w:p>
    <w:p w14:paraId="5B5E588C" w14:textId="77777777" w:rsidR="002469E1" w:rsidRPr="003C50D5" w:rsidRDefault="002469E1" w:rsidP="00F272CD">
      <w:pPr>
        <w:pStyle w:val="naisf"/>
        <w:tabs>
          <w:tab w:val="left" w:pos="6237"/>
          <w:tab w:val="right" w:pos="8820"/>
        </w:tabs>
        <w:spacing w:before="0" w:beforeAutospacing="0" w:after="0" w:afterAutospacing="0"/>
        <w:rPr>
          <w:sz w:val="28"/>
          <w:szCs w:val="28"/>
        </w:rPr>
      </w:pPr>
    </w:p>
    <w:p w14:paraId="4D77D41E" w14:textId="42DB8D16" w:rsidR="002469E1" w:rsidRPr="003C50D5" w:rsidRDefault="002469E1" w:rsidP="00F272CD">
      <w:pPr>
        <w:pStyle w:val="naisf"/>
        <w:tabs>
          <w:tab w:val="left" w:pos="6237"/>
          <w:tab w:val="right" w:pos="8820"/>
        </w:tabs>
        <w:spacing w:before="0" w:beforeAutospacing="0" w:after="0" w:afterAutospacing="0"/>
        <w:ind w:firstLine="709"/>
        <w:rPr>
          <w:sz w:val="28"/>
          <w:szCs w:val="28"/>
        </w:rPr>
      </w:pPr>
      <w:r w:rsidRPr="003C50D5">
        <w:rPr>
          <w:sz w:val="28"/>
          <w:szCs w:val="28"/>
        </w:rPr>
        <w:t>Labklājības ministre</w:t>
      </w:r>
      <w:r w:rsidRPr="003C50D5">
        <w:rPr>
          <w:sz w:val="28"/>
          <w:szCs w:val="28"/>
        </w:rPr>
        <w:tab/>
      </w:r>
      <w:r w:rsidR="00836663" w:rsidRPr="003C50D5">
        <w:rPr>
          <w:sz w:val="28"/>
          <w:szCs w:val="28"/>
        </w:rPr>
        <w:t xml:space="preserve">            </w:t>
      </w:r>
      <w:r w:rsidRPr="003C50D5">
        <w:rPr>
          <w:sz w:val="28"/>
          <w:szCs w:val="28"/>
        </w:rPr>
        <w:t>R. Petraviča</w:t>
      </w:r>
    </w:p>
    <w:p w14:paraId="2431F8E8" w14:textId="2C26A231" w:rsidR="00FA4764" w:rsidRPr="003C50D5" w:rsidRDefault="00FA4764" w:rsidP="00F272CD">
      <w:pPr>
        <w:pStyle w:val="naisf"/>
        <w:tabs>
          <w:tab w:val="left" w:pos="6237"/>
          <w:tab w:val="right" w:pos="8820"/>
        </w:tabs>
        <w:spacing w:before="0" w:beforeAutospacing="0" w:after="0" w:afterAutospacing="0"/>
        <w:ind w:firstLine="709"/>
        <w:rPr>
          <w:sz w:val="28"/>
          <w:szCs w:val="28"/>
        </w:rPr>
      </w:pPr>
    </w:p>
    <w:p w14:paraId="2F976C6D" w14:textId="7BC05AA2" w:rsidR="00FA4764" w:rsidRPr="003C50D5" w:rsidRDefault="00FA4764" w:rsidP="00F272CD">
      <w:pPr>
        <w:pStyle w:val="naisf"/>
        <w:tabs>
          <w:tab w:val="left" w:pos="6237"/>
          <w:tab w:val="right" w:pos="8820"/>
        </w:tabs>
        <w:spacing w:before="0" w:beforeAutospacing="0" w:after="0" w:afterAutospacing="0"/>
        <w:rPr>
          <w:sz w:val="28"/>
          <w:szCs w:val="28"/>
        </w:rPr>
      </w:pPr>
    </w:p>
    <w:p w14:paraId="1D61EA4C" w14:textId="5F77156D" w:rsidR="00836663" w:rsidRPr="003C50D5" w:rsidRDefault="00836663" w:rsidP="00F272CD">
      <w:pPr>
        <w:pStyle w:val="naisf"/>
        <w:tabs>
          <w:tab w:val="left" w:pos="6237"/>
          <w:tab w:val="right" w:pos="8820"/>
        </w:tabs>
        <w:spacing w:before="0" w:beforeAutospacing="0" w:after="0" w:afterAutospacing="0"/>
        <w:rPr>
          <w:sz w:val="28"/>
          <w:szCs w:val="28"/>
        </w:rPr>
      </w:pPr>
    </w:p>
    <w:p w14:paraId="1497B289" w14:textId="1AA8EA91" w:rsidR="004451FB" w:rsidRPr="003C50D5" w:rsidRDefault="004451FB" w:rsidP="00F272CD">
      <w:pPr>
        <w:pStyle w:val="naisf"/>
        <w:tabs>
          <w:tab w:val="left" w:pos="6237"/>
          <w:tab w:val="right" w:pos="8820"/>
        </w:tabs>
        <w:spacing w:before="0" w:beforeAutospacing="0" w:after="0" w:afterAutospacing="0"/>
        <w:rPr>
          <w:sz w:val="28"/>
          <w:szCs w:val="28"/>
        </w:rPr>
      </w:pPr>
    </w:p>
    <w:p w14:paraId="3062621E" w14:textId="495AD4C4" w:rsidR="004451FB" w:rsidRPr="003C50D5" w:rsidRDefault="004451FB" w:rsidP="00F272CD">
      <w:pPr>
        <w:pStyle w:val="naisf"/>
        <w:tabs>
          <w:tab w:val="left" w:pos="6237"/>
          <w:tab w:val="right" w:pos="8820"/>
        </w:tabs>
        <w:spacing w:before="0" w:beforeAutospacing="0" w:after="0" w:afterAutospacing="0"/>
        <w:rPr>
          <w:sz w:val="28"/>
          <w:szCs w:val="28"/>
        </w:rPr>
      </w:pPr>
    </w:p>
    <w:p w14:paraId="3CA14210" w14:textId="11703802" w:rsidR="004451FB" w:rsidRPr="003C50D5" w:rsidRDefault="004451FB" w:rsidP="00F272CD">
      <w:pPr>
        <w:pStyle w:val="naisf"/>
        <w:tabs>
          <w:tab w:val="left" w:pos="6237"/>
          <w:tab w:val="right" w:pos="8820"/>
        </w:tabs>
        <w:spacing w:before="0" w:beforeAutospacing="0" w:after="0" w:afterAutospacing="0"/>
        <w:rPr>
          <w:sz w:val="28"/>
          <w:szCs w:val="28"/>
        </w:rPr>
      </w:pPr>
    </w:p>
    <w:p w14:paraId="19215030" w14:textId="77777777" w:rsidR="004451FB" w:rsidRPr="003C50D5" w:rsidRDefault="004451FB" w:rsidP="00F272CD">
      <w:pPr>
        <w:pStyle w:val="naisf"/>
        <w:tabs>
          <w:tab w:val="left" w:pos="6237"/>
          <w:tab w:val="right" w:pos="8820"/>
        </w:tabs>
        <w:spacing w:before="0" w:beforeAutospacing="0" w:after="0" w:afterAutospacing="0"/>
        <w:rPr>
          <w:sz w:val="28"/>
          <w:szCs w:val="28"/>
        </w:rPr>
      </w:pPr>
    </w:p>
    <w:p w14:paraId="04157319" w14:textId="479ABFF4" w:rsidR="00FA4764" w:rsidRPr="003C50D5" w:rsidRDefault="000C791F" w:rsidP="00F272CD">
      <w:pPr>
        <w:pStyle w:val="naisf"/>
        <w:tabs>
          <w:tab w:val="left" w:pos="6237"/>
          <w:tab w:val="right" w:pos="8820"/>
        </w:tabs>
        <w:spacing w:before="0" w:beforeAutospacing="0" w:after="0" w:afterAutospacing="0"/>
        <w:rPr>
          <w:sz w:val="20"/>
          <w:szCs w:val="20"/>
        </w:rPr>
      </w:pPr>
      <w:r w:rsidRPr="003C50D5">
        <w:rPr>
          <w:sz w:val="20"/>
          <w:szCs w:val="20"/>
        </w:rPr>
        <w:t>A.Lukašenoka</w:t>
      </w:r>
    </w:p>
    <w:p w14:paraId="5287048B" w14:textId="1DABDE0A" w:rsidR="00E36703" w:rsidRPr="003C50D5" w:rsidRDefault="00587891" w:rsidP="00F272CD">
      <w:pPr>
        <w:tabs>
          <w:tab w:val="left" w:pos="6237"/>
        </w:tabs>
        <w:spacing w:after="0" w:line="240" w:lineRule="auto"/>
        <w:rPr>
          <w:rFonts w:ascii="Times New Roman" w:hAnsi="Times New Roman" w:cs="Times New Roman"/>
          <w:sz w:val="20"/>
          <w:szCs w:val="20"/>
        </w:rPr>
      </w:pPr>
      <w:hyperlink r:id="rId8" w:history="1">
        <w:r w:rsidR="00E36703" w:rsidRPr="003C50D5">
          <w:rPr>
            <w:rStyle w:val="Hyperlink"/>
            <w:rFonts w:ascii="Times New Roman" w:hAnsi="Times New Roman" w:cs="Times New Roman"/>
            <w:color w:val="auto"/>
            <w:sz w:val="20"/>
            <w:szCs w:val="20"/>
          </w:rPr>
          <w:t>Aiga.Lukasenoka@lm.gov.lv</w:t>
        </w:r>
      </w:hyperlink>
    </w:p>
    <w:p w14:paraId="2C1B9187" w14:textId="0922D8D7" w:rsidR="002469E1" w:rsidRPr="003C50D5" w:rsidRDefault="00E36703" w:rsidP="00F272CD">
      <w:pPr>
        <w:tabs>
          <w:tab w:val="left" w:pos="6237"/>
        </w:tabs>
        <w:spacing w:after="0" w:line="240" w:lineRule="auto"/>
        <w:rPr>
          <w:rFonts w:ascii="Times New Roman" w:hAnsi="Times New Roman" w:cs="Times New Roman"/>
          <w:sz w:val="20"/>
          <w:szCs w:val="20"/>
        </w:rPr>
      </w:pPr>
      <w:r w:rsidRPr="003C50D5">
        <w:rPr>
          <w:rFonts w:ascii="Times New Roman" w:hAnsi="Times New Roman" w:cs="Times New Roman"/>
          <w:sz w:val="20"/>
          <w:szCs w:val="20"/>
        </w:rPr>
        <w:t>67021691</w:t>
      </w:r>
    </w:p>
    <w:sectPr w:rsidR="002469E1" w:rsidRPr="003C50D5" w:rsidSect="00836663">
      <w:headerReference w:type="default" r:id="rId9"/>
      <w:footerReference w:type="default" r:id="rId10"/>
      <w:footerReference w:type="first" r:id="rId11"/>
      <w:pgSz w:w="11906" w:h="16838"/>
      <w:pgMar w:top="993"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D97A" w14:textId="77777777" w:rsidR="00FD5ADC" w:rsidRDefault="00FD5ADC" w:rsidP="00894C55">
      <w:pPr>
        <w:spacing w:after="0" w:line="240" w:lineRule="auto"/>
      </w:pPr>
      <w:r>
        <w:separator/>
      </w:r>
    </w:p>
  </w:endnote>
  <w:endnote w:type="continuationSeparator" w:id="0">
    <w:p w14:paraId="6E3BBAC3" w14:textId="77777777" w:rsidR="00FD5ADC" w:rsidRDefault="00FD5A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C806" w14:textId="574E4160" w:rsidR="00B522C8" w:rsidRPr="008B6E0D" w:rsidRDefault="00B522C8" w:rsidP="002A4516">
    <w:pPr>
      <w:pStyle w:val="Footer"/>
      <w:rPr>
        <w:lang w:val="en-US"/>
      </w:rPr>
    </w:pPr>
    <w:r>
      <w:rPr>
        <w:rFonts w:ascii="Times New Roman" w:hAnsi="Times New Roman" w:cs="Times New Roman"/>
        <w:sz w:val="20"/>
        <w:szCs w:val="20"/>
        <w:lang w:val="en-US"/>
      </w:rPr>
      <w:t>LManot_Par_sociālo_drošību_2</w:t>
    </w:r>
    <w:r w:rsidR="00FD66DB">
      <w:rPr>
        <w:rFonts w:ascii="Times New Roman" w:hAnsi="Times New Roman" w:cs="Times New Roman"/>
        <w:sz w:val="20"/>
        <w:szCs w:val="20"/>
        <w:lang w:val="en-US"/>
      </w:rPr>
      <w:t>8</w:t>
    </w:r>
    <w:r>
      <w:rPr>
        <w:rFonts w:ascii="Times New Roman" w:hAnsi="Times New Roman" w:cs="Times New Roman"/>
        <w:sz w:val="20"/>
        <w:szCs w:val="20"/>
        <w:lang w:val="en-US"/>
      </w:rPr>
      <w:t>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675C" w14:textId="4696E5AF" w:rsidR="00B522C8" w:rsidRPr="008B6E0D" w:rsidRDefault="00B522C8" w:rsidP="00992108">
    <w:pPr>
      <w:pStyle w:val="Footer"/>
      <w:jc w:val="both"/>
      <w:rPr>
        <w:rFonts w:ascii="Times New Roman" w:hAnsi="Times New Roman" w:cs="Times New Roman"/>
        <w:sz w:val="20"/>
        <w:szCs w:val="20"/>
        <w:lang w:val="en-US"/>
      </w:rPr>
    </w:pPr>
    <w:r>
      <w:rPr>
        <w:rFonts w:ascii="Times New Roman" w:hAnsi="Times New Roman" w:cs="Times New Roman"/>
        <w:sz w:val="20"/>
        <w:szCs w:val="20"/>
        <w:lang w:val="en-US"/>
      </w:rPr>
      <w:t>LManot_Par_sociālo_drošību_2</w:t>
    </w:r>
    <w:r w:rsidR="00FD66DB">
      <w:rPr>
        <w:rFonts w:ascii="Times New Roman" w:hAnsi="Times New Roman" w:cs="Times New Roman"/>
        <w:sz w:val="20"/>
        <w:szCs w:val="20"/>
        <w:lang w:val="en-US"/>
      </w:rPr>
      <w:t>8</w:t>
    </w:r>
    <w:r>
      <w:rPr>
        <w:rFonts w:ascii="Times New Roman" w:hAnsi="Times New Roman" w:cs="Times New Roman"/>
        <w:sz w:val="20"/>
        <w:szCs w:val="20"/>
        <w:lang w:val="en-US"/>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8F2B" w14:textId="77777777" w:rsidR="00FD5ADC" w:rsidRDefault="00FD5ADC" w:rsidP="00894C55">
      <w:pPr>
        <w:spacing w:after="0" w:line="240" w:lineRule="auto"/>
      </w:pPr>
      <w:r>
        <w:separator/>
      </w:r>
    </w:p>
  </w:footnote>
  <w:footnote w:type="continuationSeparator" w:id="0">
    <w:p w14:paraId="1A570FF7" w14:textId="77777777" w:rsidR="00FD5ADC" w:rsidRDefault="00FD5ADC" w:rsidP="00894C55">
      <w:pPr>
        <w:spacing w:after="0" w:line="240" w:lineRule="auto"/>
      </w:pPr>
      <w:r>
        <w:continuationSeparator/>
      </w:r>
    </w:p>
  </w:footnote>
  <w:footnote w:id="1">
    <w:p w14:paraId="2A0EBD3F"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Ienākumu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w:t>
      </w:r>
    </w:p>
  </w:footnote>
  <w:footnote w:id="2">
    <w:p w14:paraId="06084E07"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Spriedums lietā Nr. 2019-24-03 pieejams šeit: </w:t>
      </w:r>
      <w:hyperlink r:id="rId1" w:history="1">
        <w:r w:rsidRPr="006D0934">
          <w:rPr>
            <w:rStyle w:val="Hyperlink"/>
            <w:rFonts w:ascii="Times New Roman" w:hAnsi="Times New Roman"/>
          </w:rPr>
          <w:t>https://www.satv.tiesa.gov.lv/cases/?case-filter-years=&amp;case-filter-status=&amp;case-filter-types=&amp;case-filter-result=&amp;searchtext=2019-24-03</w:t>
        </w:r>
      </w:hyperlink>
      <w:r w:rsidRPr="006D0934">
        <w:rPr>
          <w:rFonts w:ascii="Times New Roman" w:hAnsi="Times New Roman"/>
        </w:rPr>
        <w:t xml:space="preserve"> </w:t>
      </w:r>
    </w:p>
  </w:footnote>
  <w:footnote w:id="3">
    <w:p w14:paraId="07A60563"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Spriedums lietā Nr. 2019-27-03 pieejams šeit: </w:t>
      </w:r>
      <w:hyperlink r:id="rId2" w:history="1">
        <w:r w:rsidRPr="006D0934">
          <w:rPr>
            <w:rStyle w:val="Hyperlink"/>
            <w:rFonts w:ascii="Times New Roman" w:hAnsi="Times New Roman"/>
          </w:rPr>
          <w:t>https://www.satv.tiesa.gov.lv/cases/?case-filter-years=&amp;case-filter-status=&amp;case-filter-types=&amp;case-filter-result=&amp;searchtext=2019-27-03</w:t>
        </w:r>
      </w:hyperlink>
      <w:r w:rsidRPr="006D0934">
        <w:rPr>
          <w:rFonts w:ascii="Times New Roman" w:hAnsi="Times New Roman"/>
        </w:rPr>
        <w:t xml:space="preserve"> </w:t>
      </w:r>
    </w:p>
  </w:footnote>
  <w:footnote w:id="4">
    <w:p w14:paraId="07296C34"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Spriedums lietā Nr. 2019-25-03 pieejams šeit: </w:t>
      </w:r>
      <w:hyperlink r:id="rId3" w:history="1">
        <w:r w:rsidRPr="006D0934">
          <w:rPr>
            <w:rStyle w:val="Hyperlink"/>
            <w:rFonts w:ascii="Times New Roman" w:hAnsi="Times New Roman"/>
          </w:rPr>
          <w:t>https://www.satv.tiesa.gov.lv/cases/?case-filter-years=&amp;case-filter-status=&amp;case-filter-types=&amp;case-filter-result=&amp;searchtext=2019-25-03</w:t>
        </w:r>
      </w:hyperlink>
      <w:r w:rsidRPr="006D0934">
        <w:rPr>
          <w:rFonts w:ascii="Times New Roman" w:hAnsi="Times New Roman"/>
        </w:rPr>
        <w:t xml:space="preserve"> </w:t>
      </w:r>
    </w:p>
  </w:footnote>
  <w:footnote w:id="5">
    <w:p w14:paraId="0B454D08"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Likums “Par sociālo drošību”.</w:t>
      </w:r>
    </w:p>
  </w:footnote>
  <w:footnote w:id="6">
    <w:p w14:paraId="7CA8D929"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Likums “Par sociālo apdrošināšanu”.</w:t>
      </w:r>
    </w:p>
  </w:footnote>
  <w:footnote w:id="7">
    <w:p w14:paraId="749FFA82"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Valsts sociālo pabalstu likums.</w:t>
      </w:r>
    </w:p>
  </w:footnote>
  <w:footnote w:id="8">
    <w:p w14:paraId="385A3228"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Sociālo pakalpojumu un sociālās palīdzības likums.</w:t>
      </w:r>
    </w:p>
  </w:footnote>
  <w:footnote w:id="9">
    <w:p w14:paraId="5212A577" w14:textId="786D9BE1"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Džini koeficients - tas variē no 0 līdz 100. Džini koeficients ir 0, ja pastāv absolūta ienākumu vienlīdzība (t. i., visiem iedzīvotājiem ir vienādi ienākumi), bet, jo vairāk tas tuvojas 100, jo lielāka ir ienākumu nevienlīdzība. https://www.csb.gov.lv/lv/statistika/statistikas-temas/socialie-procesi/nabadziba/tabulas/metadati-monetaras-nabadzibas-ienakumu-nevienlidzibas</w:t>
      </w:r>
    </w:p>
  </w:footnote>
  <w:footnote w:id="10">
    <w:p w14:paraId="29D33839" w14:textId="4AB84B19" w:rsidR="00DA1246" w:rsidRPr="006D0934" w:rsidRDefault="00DA1246"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Nodibinājums “</w:t>
      </w:r>
      <w:proofErr w:type="spellStart"/>
      <w:r w:rsidRPr="006D0934">
        <w:rPr>
          <w:rFonts w:ascii="Times New Roman" w:hAnsi="Times New Roman"/>
        </w:rPr>
        <w:t>Baltic</w:t>
      </w:r>
      <w:proofErr w:type="spellEnd"/>
      <w:r w:rsidRPr="006D0934">
        <w:rPr>
          <w:rFonts w:ascii="Times New Roman" w:hAnsi="Times New Roman"/>
        </w:rPr>
        <w:t xml:space="preserve"> </w:t>
      </w:r>
      <w:proofErr w:type="spellStart"/>
      <w:r w:rsidRPr="006D0934">
        <w:rPr>
          <w:rFonts w:ascii="Times New Roman" w:hAnsi="Times New Roman"/>
        </w:rPr>
        <w:t>Institute</w:t>
      </w:r>
      <w:proofErr w:type="spellEnd"/>
      <w:r w:rsidRPr="006D0934">
        <w:rPr>
          <w:rFonts w:ascii="Times New Roman" w:hAnsi="Times New Roman"/>
        </w:rPr>
        <w:t xml:space="preserve"> </w:t>
      </w:r>
      <w:proofErr w:type="spellStart"/>
      <w:r w:rsidRPr="006D0934">
        <w:rPr>
          <w:rFonts w:ascii="Times New Roman" w:hAnsi="Times New Roman"/>
        </w:rPr>
        <w:t>of</w:t>
      </w:r>
      <w:proofErr w:type="spellEnd"/>
      <w:r w:rsidRPr="006D0934">
        <w:rPr>
          <w:rFonts w:ascii="Times New Roman" w:hAnsi="Times New Roman"/>
        </w:rPr>
        <w:t xml:space="preserve"> </w:t>
      </w:r>
      <w:proofErr w:type="spellStart"/>
      <w:r w:rsidRPr="006D0934">
        <w:rPr>
          <w:rFonts w:ascii="Times New Roman" w:hAnsi="Times New Roman"/>
        </w:rPr>
        <w:t>Social</w:t>
      </w:r>
      <w:proofErr w:type="spellEnd"/>
      <w:r w:rsidRPr="006D0934">
        <w:rPr>
          <w:rFonts w:ascii="Times New Roman" w:hAnsi="Times New Roman"/>
        </w:rPr>
        <w:t xml:space="preserve"> </w:t>
      </w:r>
      <w:proofErr w:type="spellStart"/>
      <w:r w:rsidRPr="006D0934">
        <w:rPr>
          <w:rFonts w:ascii="Times New Roman" w:hAnsi="Times New Roman"/>
        </w:rPr>
        <w:t>Sciences</w:t>
      </w:r>
      <w:proofErr w:type="spellEnd"/>
      <w:r w:rsidRPr="006D0934">
        <w:rPr>
          <w:rFonts w:ascii="Times New Roman" w:hAnsi="Times New Roman"/>
        </w:rPr>
        <w:t>”, „Ikgadējs nabadzības un sociālās atstumtības mazināšanas rīcībpolitikas izvērtējums (t.sk. izvērtējums par nevienlīdzību sabiedriskā transporta pieejamības jomā)”, 2020., Eiropas Sociālā fonda projekts „Iekļaujoša darba tirgus un nabadzības risku pētījumi un monitorings” (projekta identifikācijas Nr. 9.2.1.2./15/I/001)</w:t>
      </w:r>
      <w:r w:rsidR="005B224E">
        <w:rPr>
          <w:rFonts w:ascii="Times New Roman" w:hAnsi="Times New Roman"/>
        </w:rPr>
        <w:t xml:space="preserve">, pieejams šeit: </w:t>
      </w:r>
      <w:r w:rsidR="005B224E" w:rsidRPr="005B224E">
        <w:rPr>
          <w:rFonts w:ascii="Times New Roman" w:hAnsi="Times New Roman"/>
        </w:rPr>
        <w:t>http://www.lm.gov.lv/lv/publikacijas-petijumi-un-statistika/petijumi/0-sociala-ieklausana</w:t>
      </w:r>
    </w:p>
  </w:footnote>
  <w:footnote w:id="11">
    <w:p w14:paraId="7742F5C7" w14:textId="7777777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EU-SILC apsekojuma metodoloģija paredz iegūt ienākumu datus par fiksētu 12 mēnešu periodu no mājsaimniecībām, kuras piedalās apsekojumā un veic savu ienākumu uzskaiti. Tas nozīmē, ka, piemēram, par visu 2018. gadu tiek vākti dati, savukārt to apstrāde, korelēšana un analīze notiek 2019. gadā, bet publikācija tiek nodrošināta 2020. gadā I ceturksnī. Līdz ar to situācijas analīzei par nabadzības un sociālās atstumtības rādītājiem tiek izmantoti maksimāli jaunākie dati.</w:t>
      </w:r>
    </w:p>
  </w:footnote>
  <w:footnote w:id="12">
    <w:p w14:paraId="5EDBDDE9" w14:textId="2B723CA1"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Avots:</w:t>
      </w:r>
      <w:hyperlink r:id="rId4" w:history="1">
        <w:r w:rsidRPr="006D0934">
          <w:rPr>
            <w:rStyle w:val="Hyperlink"/>
            <w:rFonts w:ascii="Times New Roman" w:hAnsi="Times New Roman"/>
          </w:rPr>
          <w:t>http://data1.csb.gov.lv/pxweb/lv/sociala/sociala__mb__ienakumi/IIG040.px/table/tableViewLayout1/</w:t>
        </w:r>
      </w:hyperlink>
    </w:p>
  </w:footnote>
  <w:footnote w:id="13">
    <w:p w14:paraId="33DD0EFC" w14:textId="5192E08C"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Avots: </w:t>
      </w:r>
      <w:hyperlink r:id="rId5" w:history="1">
        <w:r w:rsidRPr="006D0934">
          <w:rPr>
            <w:rStyle w:val="Hyperlink"/>
            <w:rFonts w:ascii="Times New Roman" w:hAnsi="Times New Roman"/>
          </w:rPr>
          <w:t>https://data1.csb.gov.lv/pxweb/lv/sociala/sociala__nabadz_nevienl__monetara_nab/NIG020.px/table/tableViewLayout1/</w:t>
        </w:r>
      </w:hyperlink>
    </w:p>
  </w:footnote>
  <w:footnote w:id="14">
    <w:p w14:paraId="0AFA25DA" w14:textId="3D3F7712" w:rsidR="00B522C8" w:rsidRPr="006D0934" w:rsidRDefault="00B522C8" w:rsidP="006D0934">
      <w:pPr>
        <w:pStyle w:val="FootnoteText"/>
        <w:jc w:val="both"/>
        <w:rPr>
          <w:rFonts w:ascii="Times New Roman" w:hAnsi="Times New Roman"/>
          <w:lang w:val="en-US"/>
        </w:rPr>
      </w:pPr>
      <w:r w:rsidRPr="006D0934">
        <w:rPr>
          <w:rStyle w:val="FootnoteReference"/>
          <w:rFonts w:ascii="Times New Roman" w:hAnsi="Times New Roman"/>
        </w:rPr>
        <w:footnoteRef/>
      </w:r>
      <w:r w:rsidRPr="006D0934">
        <w:rPr>
          <w:rFonts w:ascii="Times New Roman" w:hAnsi="Times New Roman"/>
        </w:rPr>
        <w:t xml:space="preserve"> </w:t>
      </w:r>
      <w:proofErr w:type="spellStart"/>
      <w:r w:rsidRPr="006D0934">
        <w:rPr>
          <w:rFonts w:ascii="Times New Roman" w:eastAsia="Times New Roman" w:hAnsi="Times New Roman"/>
          <w:bCs/>
          <w:kern w:val="36"/>
        </w:rPr>
        <w:t>The</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Effect</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of</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Taxes</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and</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Benefits</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Reforms</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on</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Poverty</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and</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Inequality</w:t>
      </w:r>
      <w:proofErr w:type="spellEnd"/>
      <w:r w:rsidRPr="006D0934">
        <w:rPr>
          <w:rFonts w:ascii="Times New Roman" w:eastAsia="Times New Roman" w:hAnsi="Times New Roman"/>
          <w:bCs/>
          <w:kern w:val="36"/>
        </w:rPr>
        <w:t xml:space="preserve"> </w:t>
      </w:r>
      <w:proofErr w:type="spellStart"/>
      <w:r w:rsidRPr="006D0934">
        <w:rPr>
          <w:rFonts w:ascii="Times New Roman" w:eastAsia="Times New Roman" w:hAnsi="Times New Roman"/>
          <w:bCs/>
          <w:kern w:val="36"/>
        </w:rPr>
        <w:t>in</w:t>
      </w:r>
      <w:proofErr w:type="spellEnd"/>
      <w:r w:rsidRPr="006D0934">
        <w:rPr>
          <w:rFonts w:ascii="Times New Roman" w:eastAsia="Times New Roman" w:hAnsi="Times New Roman"/>
          <w:bCs/>
          <w:kern w:val="36"/>
        </w:rPr>
        <w:t xml:space="preserve"> Latvia: </w:t>
      </w:r>
      <w:hyperlink r:id="rId6" w:history="1">
        <w:r w:rsidRPr="006D0934">
          <w:rPr>
            <w:rStyle w:val="Hyperlink"/>
            <w:rFonts w:ascii="Times New Roman" w:hAnsi="Times New Roman"/>
          </w:rPr>
          <w:t>https://ec.europa.eu/info/publications/economy-finance/effect-taxes-and-benefits-reforms-poverty-and-inequality-latvia_en</w:t>
        </w:r>
      </w:hyperlink>
    </w:p>
  </w:footnote>
  <w:footnote w:id="15">
    <w:p w14:paraId="79B12438" w14:textId="77777777" w:rsidR="00FD66DB" w:rsidRPr="006D0934" w:rsidRDefault="00FD66DB" w:rsidP="00FD66DB">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Skatīt arī Ludmilas Fadejevas publikāciju “Ienākumu nevienlīdzība un nabadzība: kur esam un kā uzlabot situāciju”: </w:t>
      </w:r>
      <w:hyperlink r:id="rId7" w:history="1">
        <w:r w:rsidRPr="006D0934">
          <w:rPr>
            <w:rStyle w:val="Hyperlink"/>
            <w:rFonts w:ascii="Times New Roman" w:hAnsi="Times New Roman"/>
          </w:rPr>
          <w:t>https://www.makroekonomika.lv/ienakumu-nevienlidziba-un-nabadziba-kur-esam-un-ka-uzlabot-situaciju</w:t>
        </w:r>
      </w:hyperlink>
      <w:r w:rsidRPr="006D0934">
        <w:rPr>
          <w:rFonts w:ascii="Times New Roman" w:hAnsi="Times New Roman"/>
        </w:rPr>
        <w:t xml:space="preserve"> </w:t>
      </w:r>
    </w:p>
  </w:footnote>
  <w:footnote w:id="16">
    <w:p w14:paraId="63F55B07" w14:textId="120AC569"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Šā Likuma 13.pants nosaka, ka sociālie pakalpojumi šā Likuma izpratnē ir pasākumi, kurus nodrošina valsts vai pašvaldība naudas vai mantisko pabalstu vai citu pakalpojumu veidā.</w:t>
      </w:r>
    </w:p>
  </w:footnote>
  <w:footnote w:id="17">
    <w:p w14:paraId="3C6ABC64" w14:textId="141391A3"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EUROMOD ir Eiropas nodokļu-pabalstu </w:t>
      </w:r>
      <w:proofErr w:type="spellStart"/>
      <w:r w:rsidRPr="006D0934">
        <w:rPr>
          <w:rFonts w:ascii="Times New Roman" w:hAnsi="Times New Roman"/>
        </w:rPr>
        <w:t>mikrosimulācijas</w:t>
      </w:r>
      <w:proofErr w:type="spellEnd"/>
      <w:r w:rsidRPr="006D0934">
        <w:rPr>
          <w:rFonts w:ascii="Times New Roman" w:hAnsi="Times New Roman"/>
        </w:rPr>
        <w:t xml:space="preserve"> modelis, kas veidots un tiek uzturēts Sociālo un ekonomikas pētījumu institūtā (</w:t>
      </w:r>
      <w:proofErr w:type="spellStart"/>
      <w:r w:rsidRPr="006D0934">
        <w:rPr>
          <w:rFonts w:ascii="Times New Roman" w:hAnsi="Times New Roman"/>
        </w:rPr>
        <w:t>Institute</w:t>
      </w:r>
      <w:proofErr w:type="spellEnd"/>
      <w:r w:rsidRPr="006D0934">
        <w:rPr>
          <w:rFonts w:ascii="Times New Roman" w:hAnsi="Times New Roman"/>
        </w:rPr>
        <w:t xml:space="preserve"> </w:t>
      </w:r>
      <w:proofErr w:type="spellStart"/>
      <w:r w:rsidRPr="006D0934">
        <w:rPr>
          <w:rFonts w:ascii="Times New Roman" w:hAnsi="Times New Roman"/>
        </w:rPr>
        <w:t>for</w:t>
      </w:r>
      <w:proofErr w:type="spellEnd"/>
      <w:r w:rsidRPr="006D0934">
        <w:rPr>
          <w:rFonts w:ascii="Times New Roman" w:hAnsi="Times New Roman"/>
        </w:rPr>
        <w:t xml:space="preserve"> </w:t>
      </w:r>
      <w:proofErr w:type="spellStart"/>
      <w:r w:rsidRPr="006D0934">
        <w:rPr>
          <w:rFonts w:ascii="Times New Roman" w:hAnsi="Times New Roman"/>
        </w:rPr>
        <w:t>Social</w:t>
      </w:r>
      <w:proofErr w:type="spellEnd"/>
      <w:r w:rsidRPr="006D0934">
        <w:rPr>
          <w:rFonts w:ascii="Times New Roman" w:hAnsi="Times New Roman"/>
        </w:rPr>
        <w:t xml:space="preserve"> &amp; </w:t>
      </w:r>
      <w:proofErr w:type="spellStart"/>
      <w:r w:rsidRPr="006D0934">
        <w:rPr>
          <w:rFonts w:ascii="Times New Roman" w:hAnsi="Times New Roman"/>
        </w:rPr>
        <w:t>Economic</w:t>
      </w:r>
      <w:proofErr w:type="spellEnd"/>
      <w:r w:rsidRPr="006D0934">
        <w:rPr>
          <w:rFonts w:ascii="Times New Roman" w:hAnsi="Times New Roman"/>
        </w:rPr>
        <w:t xml:space="preserve"> </w:t>
      </w:r>
      <w:proofErr w:type="spellStart"/>
      <w:r w:rsidRPr="006D0934">
        <w:rPr>
          <w:rFonts w:ascii="Times New Roman" w:hAnsi="Times New Roman"/>
        </w:rPr>
        <w:t>Research</w:t>
      </w:r>
      <w:proofErr w:type="spellEnd"/>
      <w:r w:rsidRPr="006D0934">
        <w:rPr>
          <w:rFonts w:ascii="Times New Roman" w:hAnsi="Times New Roman"/>
        </w:rPr>
        <w:t xml:space="preserve"> (ISER, </w:t>
      </w:r>
      <w:proofErr w:type="spellStart"/>
      <w:r w:rsidRPr="006D0934">
        <w:rPr>
          <w:rFonts w:ascii="Times New Roman" w:hAnsi="Times New Roman"/>
        </w:rPr>
        <w:t>University</w:t>
      </w:r>
      <w:proofErr w:type="spellEnd"/>
      <w:r w:rsidRPr="006D0934">
        <w:rPr>
          <w:rFonts w:ascii="Times New Roman" w:hAnsi="Times New Roman"/>
        </w:rPr>
        <w:t xml:space="preserve"> </w:t>
      </w:r>
      <w:proofErr w:type="spellStart"/>
      <w:r w:rsidRPr="006D0934">
        <w:rPr>
          <w:rFonts w:ascii="Times New Roman" w:hAnsi="Times New Roman"/>
        </w:rPr>
        <w:t>of</w:t>
      </w:r>
      <w:proofErr w:type="spellEnd"/>
      <w:r w:rsidRPr="006D0934">
        <w:rPr>
          <w:rFonts w:ascii="Times New Roman" w:hAnsi="Times New Roman"/>
        </w:rPr>
        <w:t xml:space="preserve"> </w:t>
      </w:r>
      <w:proofErr w:type="spellStart"/>
      <w:r w:rsidRPr="006D0934">
        <w:rPr>
          <w:rFonts w:ascii="Times New Roman" w:hAnsi="Times New Roman"/>
        </w:rPr>
        <w:t>Essex</w:t>
      </w:r>
      <w:proofErr w:type="spellEnd"/>
      <w:r w:rsidRPr="006D0934">
        <w:rPr>
          <w:rFonts w:ascii="Times New Roman" w:hAnsi="Times New Roman"/>
        </w:rPr>
        <w:t>)) sadarbībā ar nacionālām ekspertu grupām. Latvijas nacionālā ekspertu grupa ir BICEPS. https://www.EURmod.ac.uk/about/country-by-country/latvia</w:t>
      </w:r>
    </w:p>
  </w:footnote>
  <w:footnote w:id="18">
    <w:p w14:paraId="749C3C26" w14:textId="212DC90F"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 </w:t>
      </w:r>
      <w:r w:rsidRPr="0005601D">
        <w:rPr>
          <w:rFonts w:ascii="Times New Roman" w:hAnsi="Times New Roman"/>
        </w:rPr>
        <w:t>Piedāvātais risinājums paredz noteikt: GMI slieksni - 20% no ienākumu mediānas; trūcīgas mājsaimniecības ienākumu slieksni – 50% no ienākumu mediānas; valsts sociālā nodrošinājuma pabalsta apmēru personām ar invaliditāti 20% apmērā/personām ar invaliditāti kopš bērnības 25% apmērā no ienākumu mediānas (personām ar I invaliditātes grupu</w:t>
      </w:r>
      <w:r w:rsidR="004214FE" w:rsidRPr="0005601D">
        <w:rPr>
          <w:rFonts w:ascii="Times New Roman" w:hAnsi="Times New Roman"/>
        </w:rPr>
        <w:t xml:space="preserve"> valsts sociālā</w:t>
      </w:r>
      <w:r w:rsidRPr="0005601D">
        <w:rPr>
          <w:rFonts w:ascii="Times New Roman" w:hAnsi="Times New Roman"/>
        </w:rPr>
        <w:t xml:space="preserve"> nodrošinājuma pabalsta aprēķinā piemērojot koeficientu 1.4, personām ar II invaliditātes grupu – 1.2; nenodarbinātām personām ar I un II invaliditātes grupu veikt piemaksu no </w:t>
      </w:r>
      <w:r w:rsidR="00612649" w:rsidRPr="0005601D">
        <w:rPr>
          <w:rFonts w:ascii="Times New Roman" w:hAnsi="Times New Roman"/>
        </w:rPr>
        <w:t xml:space="preserve">valsts sociālā nodrošinājuma pabalsta </w:t>
      </w:r>
      <w:r w:rsidRPr="0005601D">
        <w:rPr>
          <w:rFonts w:ascii="Times New Roman" w:hAnsi="Times New Roman"/>
        </w:rPr>
        <w:t>apmēra - personām ar I invaliditātes grupu 30% apmērā, personām ar II invaliditātes grupu 20% apmērā no attiecīgās grupas</w:t>
      </w:r>
      <w:r w:rsidR="00612649" w:rsidRPr="0005601D">
        <w:rPr>
          <w:rFonts w:ascii="Times New Roman" w:hAnsi="Times New Roman"/>
        </w:rPr>
        <w:t xml:space="preserve"> valsts sociālā nodrošinājuma pabalsta</w:t>
      </w:r>
      <w:r w:rsidRPr="0005601D">
        <w:rPr>
          <w:rFonts w:ascii="Times New Roman" w:hAnsi="Times New Roman"/>
        </w:rPr>
        <w:t xml:space="preserve"> apmēra); valsts sociālā nodrošinājuma pabalsta apmēru pensijas vecuma personām – 20% no ienākumu mediānas; minimālo vecuma pensiju (bāze) - 25% no ienākumu mediānas; personām ar invaliditāti kopš bērnības – 30% no ienākumu mediānas (par katru apdrošināšanas stāža gadu noteikt, piemērojot vecuma pensijas aprēķina bāzei koeficientu – 1,1); minimālo invaliditātes pensiju (bāze) - 25% no ienākumu mediānas/personām ar invaliditāti kopš bērnības - 30% no ienākumu mediānas; apgādnieka zaudējuma gadījumā (apgādnieka zaudējuma pensija, apdrošināšanas atlīdzība par apgādnieka zaudējumu, valsts sociālā nodrošinājuma pabalsts apgādnieka zaudējuma gadījumā) -  25% apmērā no ienākumu mediānas bērniem līdz 7 gadu vecumam; 30% apmērā no ienākumu mediānas bērniem no 7 gadu vecuma; bāreņiem vienreizēju pabalstu patstāvīgas dzīves uzsākšanai 40% apmērā no ienākumu mediānas/ jauniešiem ar invaliditāti kopš bērnības 60% apmērā; bāreņiem pabalstu ikmēneša</w:t>
      </w:r>
      <w:r w:rsidRPr="006D0934">
        <w:rPr>
          <w:rFonts w:ascii="Times New Roman" w:hAnsi="Times New Roman"/>
        </w:rPr>
        <w:t xml:space="preserve"> izdevumiem 20% apmērā no ienākumu mediānas/ jauniešiem ar invaliditāti kopš bērnības 30% apmērā.</w:t>
      </w:r>
    </w:p>
  </w:footnote>
  <w:footnote w:id="19">
    <w:p w14:paraId="228DC6C9" w14:textId="539C7017" w:rsidR="00B522C8" w:rsidRPr="006D0934" w:rsidRDefault="00B522C8" w:rsidP="006D0934">
      <w:pPr>
        <w:pStyle w:val="FootnoteText"/>
        <w:jc w:val="both"/>
        <w:rPr>
          <w:rFonts w:ascii="Times New Roman" w:hAnsi="Times New Roman"/>
        </w:rPr>
      </w:pPr>
      <w:r w:rsidRPr="006D0934">
        <w:rPr>
          <w:rStyle w:val="FootnoteReference"/>
          <w:rFonts w:ascii="Times New Roman" w:hAnsi="Times New Roman"/>
        </w:rPr>
        <w:footnoteRef/>
      </w:r>
      <w:r w:rsidRPr="006D0934">
        <w:rPr>
          <w:rFonts w:ascii="Times New Roman" w:hAnsi="Times New Roman"/>
        </w:rPr>
        <w:t xml:space="preserve">Monetārās nabadzības, ienākumu nevienlīdzības indikatori (EU-SILC apsekojums): </w:t>
      </w:r>
      <w:hyperlink r:id="rId8" w:history="1">
        <w:r w:rsidRPr="006D0934">
          <w:rPr>
            <w:rStyle w:val="Hyperlink"/>
            <w:rFonts w:ascii="Times New Roman" w:hAnsi="Times New Roman"/>
          </w:rPr>
          <w:t>https://www.csb.gov.lv/lv/statistika/statistikas-temas/socialie-procesi/nabadziba/tabulas/metadati-monetaras-nabadzibas-ienakumu-nevienlidzibas</w:t>
        </w:r>
      </w:hyperlink>
      <w:r w:rsidRPr="006D0934">
        <w:rPr>
          <w:rFonts w:ascii="Times New Roman" w:hAnsi="Times New Roman"/>
        </w:rPr>
        <w:t xml:space="preserve"> .</w:t>
      </w:r>
    </w:p>
  </w:footnote>
  <w:footnote w:id="20">
    <w:p w14:paraId="1A0FEBF5" w14:textId="2B89B86F" w:rsidR="00B522C8" w:rsidRPr="006D0934" w:rsidRDefault="00B522C8" w:rsidP="006D0934">
      <w:pPr>
        <w:pStyle w:val="FootnoteText"/>
        <w:jc w:val="both"/>
        <w:rPr>
          <w:rFonts w:ascii="Times New Roman" w:hAnsi="Times New Roman"/>
          <w:lang w:val="en-US"/>
        </w:rPr>
      </w:pPr>
      <w:r w:rsidRPr="006D0934">
        <w:rPr>
          <w:rStyle w:val="FootnoteReference"/>
          <w:rFonts w:ascii="Times New Roman" w:hAnsi="Times New Roman"/>
        </w:rPr>
        <w:footnoteRef/>
      </w:r>
      <w:r w:rsidRPr="006D0934">
        <w:rPr>
          <w:rFonts w:ascii="Times New Roman" w:hAnsi="Times New Roman"/>
        </w:rPr>
        <w:t xml:space="preserve"> Iedzīvotāju ekvivalento rīcībā esošo ienākumu sadalījums pa decilēm nozīmē, ka visi iedzīvotāji tiek sakārtoti pēc ekvivalentajiem rīcībā esošajiem ienākumiem augošā secībā un secīgi sadalīti desmit vienādās grupās pēc iedzīvotāju skaita. Katrā grupā tiek iekļauti 10% no visiem iedzīvotājiem. Deciles ir šo desmit grupu augstākās ienākumu vērtības. Pirmā decile parāda to, ka 10% iedzīvotāju ekvivalentie rīcībā esošie ienākumi ir mazāki vai vienādi ar pirmās deciles augstāko vērtību. Otrā decile parāda to, ka 20% iedzīvotāju ekvivalentie rīcībā esošie ienākumi ir mazāki vai vienādi ar otrās deciles augstāko vērtību, u.t.t. ar pārējām ekvivalento rīcībā esošo ienākumu decilēm. Desmitā decile ir vienāda ar desmitās deciles augstāko ienākumu vērtību.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900589"/>
      <w:docPartObj>
        <w:docPartGallery w:val="Page Numbers (Top of Page)"/>
        <w:docPartUnique/>
      </w:docPartObj>
    </w:sdtPr>
    <w:sdtEndPr>
      <w:rPr>
        <w:rFonts w:ascii="Times New Roman" w:hAnsi="Times New Roman" w:cs="Times New Roman"/>
        <w:noProof/>
        <w:sz w:val="24"/>
        <w:szCs w:val="20"/>
      </w:rPr>
    </w:sdtEndPr>
    <w:sdtContent>
      <w:p w14:paraId="4A04C090" w14:textId="7863ACDF" w:rsidR="00B522C8" w:rsidRPr="00C25B49" w:rsidRDefault="00B522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61"/>
    <w:multiLevelType w:val="hybridMultilevel"/>
    <w:tmpl w:val="9A0E7818"/>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3" w15:restartNumberingAfterBreak="0">
    <w:nsid w:val="16C658F0"/>
    <w:multiLevelType w:val="hybridMultilevel"/>
    <w:tmpl w:val="74EA8E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597A09"/>
    <w:multiLevelType w:val="hybridMultilevel"/>
    <w:tmpl w:val="C83C21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377485"/>
    <w:multiLevelType w:val="hybridMultilevel"/>
    <w:tmpl w:val="D3ECBED4"/>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6" w15:restartNumberingAfterBreak="0">
    <w:nsid w:val="32EE04C5"/>
    <w:multiLevelType w:val="hybridMultilevel"/>
    <w:tmpl w:val="319EEE76"/>
    <w:lvl w:ilvl="0" w:tplc="3CF4ED2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354AE9"/>
    <w:multiLevelType w:val="hybridMultilevel"/>
    <w:tmpl w:val="3F7A8402"/>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8" w15:restartNumberingAfterBreak="0">
    <w:nsid w:val="40D57D3A"/>
    <w:multiLevelType w:val="hybridMultilevel"/>
    <w:tmpl w:val="F0C087E2"/>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9" w15:restartNumberingAfterBreak="0">
    <w:nsid w:val="4601684C"/>
    <w:multiLevelType w:val="hybridMultilevel"/>
    <w:tmpl w:val="FF2CFF9A"/>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0"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32008D"/>
    <w:multiLevelType w:val="hybridMultilevel"/>
    <w:tmpl w:val="790C5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3B559C"/>
    <w:multiLevelType w:val="hybridMultilevel"/>
    <w:tmpl w:val="097EAB46"/>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3"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14" w15:restartNumberingAfterBreak="0">
    <w:nsid w:val="500629EC"/>
    <w:multiLevelType w:val="hybridMultilevel"/>
    <w:tmpl w:val="194CE7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25843C1"/>
    <w:multiLevelType w:val="hybridMultilevel"/>
    <w:tmpl w:val="3B569B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0B18EB"/>
    <w:multiLevelType w:val="hybridMultilevel"/>
    <w:tmpl w:val="5EAC5408"/>
    <w:lvl w:ilvl="0" w:tplc="76DC3F78">
      <w:start w:val="6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4B41F4"/>
    <w:multiLevelType w:val="hybridMultilevel"/>
    <w:tmpl w:val="F1C82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DB3472"/>
    <w:multiLevelType w:val="hybridMultilevel"/>
    <w:tmpl w:val="51488A7C"/>
    <w:lvl w:ilvl="0" w:tplc="3CF4ED2A">
      <w:start w:val="3"/>
      <w:numFmt w:val="bullet"/>
      <w:lvlText w:val="-"/>
      <w:lvlJc w:val="left"/>
      <w:pPr>
        <w:ind w:left="850" w:hanging="360"/>
      </w:pPr>
      <w:rPr>
        <w:rFonts w:ascii="Times New Roman" w:eastAsia="Calibri"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21"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6"/>
  </w:num>
  <w:num w:numId="5">
    <w:abstractNumId w:val="13"/>
  </w:num>
  <w:num w:numId="6">
    <w:abstractNumId w:val="21"/>
  </w:num>
  <w:num w:numId="7">
    <w:abstractNumId w:val="4"/>
  </w:num>
  <w:num w:numId="8">
    <w:abstractNumId w:val="19"/>
  </w:num>
  <w:num w:numId="9">
    <w:abstractNumId w:val="14"/>
  </w:num>
  <w:num w:numId="10">
    <w:abstractNumId w:val="11"/>
  </w:num>
  <w:num w:numId="11">
    <w:abstractNumId w:val="17"/>
  </w:num>
  <w:num w:numId="12">
    <w:abstractNumId w:val="15"/>
  </w:num>
  <w:num w:numId="13">
    <w:abstractNumId w:val="3"/>
  </w:num>
  <w:num w:numId="14">
    <w:abstractNumId w:val="18"/>
  </w:num>
  <w:num w:numId="15">
    <w:abstractNumId w:val="8"/>
  </w:num>
  <w:num w:numId="16">
    <w:abstractNumId w:val="12"/>
  </w:num>
  <w:num w:numId="17">
    <w:abstractNumId w:val="6"/>
  </w:num>
  <w:num w:numId="18">
    <w:abstractNumId w:val="20"/>
  </w:num>
  <w:num w:numId="19">
    <w:abstractNumId w:val="7"/>
  </w:num>
  <w:num w:numId="20">
    <w:abstractNumId w:val="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C6"/>
    <w:rsid w:val="00006150"/>
    <w:rsid w:val="000110C6"/>
    <w:rsid w:val="00013A54"/>
    <w:rsid w:val="0002564C"/>
    <w:rsid w:val="00027E3B"/>
    <w:rsid w:val="00031690"/>
    <w:rsid w:val="000364B1"/>
    <w:rsid w:val="00043970"/>
    <w:rsid w:val="0004689D"/>
    <w:rsid w:val="0005107A"/>
    <w:rsid w:val="000510DB"/>
    <w:rsid w:val="00054BCA"/>
    <w:rsid w:val="00055853"/>
    <w:rsid w:val="0005601D"/>
    <w:rsid w:val="000571AC"/>
    <w:rsid w:val="00067614"/>
    <w:rsid w:val="000677C8"/>
    <w:rsid w:val="000738FD"/>
    <w:rsid w:val="00074731"/>
    <w:rsid w:val="000808C2"/>
    <w:rsid w:val="00090A9B"/>
    <w:rsid w:val="00092CF9"/>
    <w:rsid w:val="00092FC4"/>
    <w:rsid w:val="000A362D"/>
    <w:rsid w:val="000A51BD"/>
    <w:rsid w:val="000B6D7C"/>
    <w:rsid w:val="000C791F"/>
    <w:rsid w:val="000D01E9"/>
    <w:rsid w:val="000D0857"/>
    <w:rsid w:val="000D0A53"/>
    <w:rsid w:val="000D0D03"/>
    <w:rsid w:val="000D4CAC"/>
    <w:rsid w:val="000D612F"/>
    <w:rsid w:val="000D6841"/>
    <w:rsid w:val="000D73BE"/>
    <w:rsid w:val="000D7561"/>
    <w:rsid w:val="000E235A"/>
    <w:rsid w:val="000E31A6"/>
    <w:rsid w:val="000F0064"/>
    <w:rsid w:val="000F37D3"/>
    <w:rsid w:val="000F42F3"/>
    <w:rsid w:val="000F47F0"/>
    <w:rsid w:val="000F68D1"/>
    <w:rsid w:val="000F70EB"/>
    <w:rsid w:val="001000B2"/>
    <w:rsid w:val="00102714"/>
    <w:rsid w:val="00103935"/>
    <w:rsid w:val="00110802"/>
    <w:rsid w:val="00112A17"/>
    <w:rsid w:val="001208E4"/>
    <w:rsid w:val="0012094D"/>
    <w:rsid w:val="00124CFF"/>
    <w:rsid w:val="001250AC"/>
    <w:rsid w:val="0012752D"/>
    <w:rsid w:val="00127910"/>
    <w:rsid w:val="001312D0"/>
    <w:rsid w:val="00135E75"/>
    <w:rsid w:val="0013698D"/>
    <w:rsid w:val="00137481"/>
    <w:rsid w:val="001409A0"/>
    <w:rsid w:val="00140BB8"/>
    <w:rsid w:val="001449B4"/>
    <w:rsid w:val="00144ECF"/>
    <w:rsid w:val="00145877"/>
    <w:rsid w:val="00152A83"/>
    <w:rsid w:val="00155D75"/>
    <w:rsid w:val="0015724A"/>
    <w:rsid w:val="00162F1C"/>
    <w:rsid w:val="00163208"/>
    <w:rsid w:val="00163B0D"/>
    <w:rsid w:val="001657F3"/>
    <w:rsid w:val="0017014F"/>
    <w:rsid w:val="0017589F"/>
    <w:rsid w:val="001830B4"/>
    <w:rsid w:val="0018425C"/>
    <w:rsid w:val="00186AF8"/>
    <w:rsid w:val="00187E2A"/>
    <w:rsid w:val="00190E3C"/>
    <w:rsid w:val="001934F4"/>
    <w:rsid w:val="0019492B"/>
    <w:rsid w:val="00196CAC"/>
    <w:rsid w:val="001A2DCF"/>
    <w:rsid w:val="001A69AD"/>
    <w:rsid w:val="001B4557"/>
    <w:rsid w:val="001C31F3"/>
    <w:rsid w:val="001C34F2"/>
    <w:rsid w:val="001C4118"/>
    <w:rsid w:val="001D390C"/>
    <w:rsid w:val="001D3F3D"/>
    <w:rsid w:val="001D59B1"/>
    <w:rsid w:val="001D65B0"/>
    <w:rsid w:val="001D75AB"/>
    <w:rsid w:val="001E089A"/>
    <w:rsid w:val="001E094E"/>
    <w:rsid w:val="001E0E90"/>
    <w:rsid w:val="001E1A5F"/>
    <w:rsid w:val="001E1C50"/>
    <w:rsid w:val="001E2AE9"/>
    <w:rsid w:val="001E3524"/>
    <w:rsid w:val="001E414C"/>
    <w:rsid w:val="001E6781"/>
    <w:rsid w:val="001E7B7C"/>
    <w:rsid w:val="001F46EF"/>
    <w:rsid w:val="001F4B82"/>
    <w:rsid w:val="001F4F9A"/>
    <w:rsid w:val="001F67F9"/>
    <w:rsid w:val="001F733C"/>
    <w:rsid w:val="00200290"/>
    <w:rsid w:val="0020291F"/>
    <w:rsid w:val="00203B3E"/>
    <w:rsid w:val="0020667B"/>
    <w:rsid w:val="00206DFB"/>
    <w:rsid w:val="002110AB"/>
    <w:rsid w:val="002115E3"/>
    <w:rsid w:val="002133E3"/>
    <w:rsid w:val="00221954"/>
    <w:rsid w:val="002241AF"/>
    <w:rsid w:val="00225CC4"/>
    <w:rsid w:val="0022602D"/>
    <w:rsid w:val="0023044F"/>
    <w:rsid w:val="00230A56"/>
    <w:rsid w:val="00232890"/>
    <w:rsid w:val="00235E92"/>
    <w:rsid w:val="00236EE5"/>
    <w:rsid w:val="00242FE7"/>
    <w:rsid w:val="00243426"/>
    <w:rsid w:val="00243D95"/>
    <w:rsid w:val="00246346"/>
    <w:rsid w:val="002469E1"/>
    <w:rsid w:val="00246B45"/>
    <w:rsid w:val="00250898"/>
    <w:rsid w:val="00252390"/>
    <w:rsid w:val="0025641F"/>
    <w:rsid w:val="00256ABE"/>
    <w:rsid w:val="00256B1F"/>
    <w:rsid w:val="00262E87"/>
    <w:rsid w:val="002641C9"/>
    <w:rsid w:val="002643C1"/>
    <w:rsid w:val="00272B32"/>
    <w:rsid w:val="002730A7"/>
    <w:rsid w:val="00273D8B"/>
    <w:rsid w:val="00274C4A"/>
    <w:rsid w:val="00274D46"/>
    <w:rsid w:val="00275A33"/>
    <w:rsid w:val="002772A8"/>
    <w:rsid w:val="00280937"/>
    <w:rsid w:val="00281F9E"/>
    <w:rsid w:val="0028293C"/>
    <w:rsid w:val="00285AF9"/>
    <w:rsid w:val="00292C52"/>
    <w:rsid w:val="00292EEC"/>
    <w:rsid w:val="0029356A"/>
    <w:rsid w:val="002A08DF"/>
    <w:rsid w:val="002A10FC"/>
    <w:rsid w:val="002A4516"/>
    <w:rsid w:val="002A538A"/>
    <w:rsid w:val="002A6ED1"/>
    <w:rsid w:val="002B042C"/>
    <w:rsid w:val="002B1537"/>
    <w:rsid w:val="002B168B"/>
    <w:rsid w:val="002B3B1F"/>
    <w:rsid w:val="002C07AA"/>
    <w:rsid w:val="002D0534"/>
    <w:rsid w:val="002D0618"/>
    <w:rsid w:val="002D0D2E"/>
    <w:rsid w:val="002D2569"/>
    <w:rsid w:val="002D2A1D"/>
    <w:rsid w:val="002D3A14"/>
    <w:rsid w:val="002D4A57"/>
    <w:rsid w:val="002D6F07"/>
    <w:rsid w:val="002E1C05"/>
    <w:rsid w:val="002E5DD6"/>
    <w:rsid w:val="002F02B1"/>
    <w:rsid w:val="002F2686"/>
    <w:rsid w:val="002F624E"/>
    <w:rsid w:val="003006AE"/>
    <w:rsid w:val="00300F2A"/>
    <w:rsid w:val="0030281C"/>
    <w:rsid w:val="003034FF"/>
    <w:rsid w:val="00316147"/>
    <w:rsid w:val="003170F0"/>
    <w:rsid w:val="003200A0"/>
    <w:rsid w:val="00320E9C"/>
    <w:rsid w:val="00323C05"/>
    <w:rsid w:val="00333044"/>
    <w:rsid w:val="00336E2B"/>
    <w:rsid w:val="00337EDE"/>
    <w:rsid w:val="0034106E"/>
    <w:rsid w:val="003426AB"/>
    <w:rsid w:val="00345350"/>
    <w:rsid w:val="003460CA"/>
    <w:rsid w:val="00347434"/>
    <w:rsid w:val="00360490"/>
    <w:rsid w:val="00360555"/>
    <w:rsid w:val="00362EB5"/>
    <w:rsid w:val="00371693"/>
    <w:rsid w:val="00372814"/>
    <w:rsid w:val="00372E12"/>
    <w:rsid w:val="0037372B"/>
    <w:rsid w:val="00376A77"/>
    <w:rsid w:val="00382139"/>
    <w:rsid w:val="0038413F"/>
    <w:rsid w:val="0038488A"/>
    <w:rsid w:val="00384A74"/>
    <w:rsid w:val="00384FE5"/>
    <w:rsid w:val="00387450"/>
    <w:rsid w:val="00393B3F"/>
    <w:rsid w:val="003941BA"/>
    <w:rsid w:val="00395859"/>
    <w:rsid w:val="003A36E9"/>
    <w:rsid w:val="003B0BF9"/>
    <w:rsid w:val="003B57B9"/>
    <w:rsid w:val="003B67F1"/>
    <w:rsid w:val="003B713B"/>
    <w:rsid w:val="003B7A2E"/>
    <w:rsid w:val="003B7D0E"/>
    <w:rsid w:val="003C50D5"/>
    <w:rsid w:val="003C52B4"/>
    <w:rsid w:val="003C7AD8"/>
    <w:rsid w:val="003D028F"/>
    <w:rsid w:val="003D4332"/>
    <w:rsid w:val="003E04EC"/>
    <w:rsid w:val="003E0791"/>
    <w:rsid w:val="003E1AB2"/>
    <w:rsid w:val="003E263F"/>
    <w:rsid w:val="003E5DD9"/>
    <w:rsid w:val="003E6A98"/>
    <w:rsid w:val="003F2798"/>
    <w:rsid w:val="003F28AC"/>
    <w:rsid w:val="003F4CD5"/>
    <w:rsid w:val="003F6BC8"/>
    <w:rsid w:val="00403B29"/>
    <w:rsid w:val="00407AFF"/>
    <w:rsid w:val="004133D8"/>
    <w:rsid w:val="004214FE"/>
    <w:rsid w:val="004303A9"/>
    <w:rsid w:val="004333DF"/>
    <w:rsid w:val="004340B0"/>
    <w:rsid w:val="00437F1C"/>
    <w:rsid w:val="00437FB5"/>
    <w:rsid w:val="00441A84"/>
    <w:rsid w:val="004434FA"/>
    <w:rsid w:val="00444836"/>
    <w:rsid w:val="004451FB"/>
    <w:rsid w:val="004454FE"/>
    <w:rsid w:val="004478F7"/>
    <w:rsid w:val="00452B03"/>
    <w:rsid w:val="004560D4"/>
    <w:rsid w:val="00456E40"/>
    <w:rsid w:val="004575F7"/>
    <w:rsid w:val="00457FC4"/>
    <w:rsid w:val="004612F8"/>
    <w:rsid w:val="0046168A"/>
    <w:rsid w:val="004618FB"/>
    <w:rsid w:val="00463664"/>
    <w:rsid w:val="00463750"/>
    <w:rsid w:val="004652EA"/>
    <w:rsid w:val="00465D94"/>
    <w:rsid w:val="00466926"/>
    <w:rsid w:val="00467B5B"/>
    <w:rsid w:val="004716A0"/>
    <w:rsid w:val="00471F27"/>
    <w:rsid w:val="00477B0D"/>
    <w:rsid w:val="00482AC7"/>
    <w:rsid w:val="00482C57"/>
    <w:rsid w:val="00484FC9"/>
    <w:rsid w:val="00490EC7"/>
    <w:rsid w:val="004952EB"/>
    <w:rsid w:val="004975F8"/>
    <w:rsid w:val="004A1678"/>
    <w:rsid w:val="004A1FE2"/>
    <w:rsid w:val="004A2108"/>
    <w:rsid w:val="004A3979"/>
    <w:rsid w:val="004B429F"/>
    <w:rsid w:val="004B7125"/>
    <w:rsid w:val="004C5310"/>
    <w:rsid w:val="004C6625"/>
    <w:rsid w:val="004C67BC"/>
    <w:rsid w:val="004D0A52"/>
    <w:rsid w:val="004D3599"/>
    <w:rsid w:val="004D3FEB"/>
    <w:rsid w:val="004D6C59"/>
    <w:rsid w:val="004D7264"/>
    <w:rsid w:val="004F5018"/>
    <w:rsid w:val="004F663C"/>
    <w:rsid w:val="004F786B"/>
    <w:rsid w:val="004F7C21"/>
    <w:rsid w:val="0050178F"/>
    <w:rsid w:val="00505EE3"/>
    <w:rsid w:val="005066AC"/>
    <w:rsid w:val="00507D32"/>
    <w:rsid w:val="00510778"/>
    <w:rsid w:val="005216CD"/>
    <w:rsid w:val="00527B9A"/>
    <w:rsid w:val="00530D8C"/>
    <w:rsid w:val="005333BE"/>
    <w:rsid w:val="0054037F"/>
    <w:rsid w:val="00541876"/>
    <w:rsid w:val="00542A58"/>
    <w:rsid w:val="0054465D"/>
    <w:rsid w:val="0054525E"/>
    <w:rsid w:val="005452EC"/>
    <w:rsid w:val="00554A6C"/>
    <w:rsid w:val="00562170"/>
    <w:rsid w:val="0056425F"/>
    <w:rsid w:val="00564D06"/>
    <w:rsid w:val="00571FB5"/>
    <w:rsid w:val="005749A7"/>
    <w:rsid w:val="00583CC3"/>
    <w:rsid w:val="005843A6"/>
    <w:rsid w:val="00584A99"/>
    <w:rsid w:val="00584F91"/>
    <w:rsid w:val="005872CF"/>
    <w:rsid w:val="00587891"/>
    <w:rsid w:val="005A7941"/>
    <w:rsid w:val="005B224E"/>
    <w:rsid w:val="005B3099"/>
    <w:rsid w:val="005B3322"/>
    <w:rsid w:val="005B5324"/>
    <w:rsid w:val="005C0BC9"/>
    <w:rsid w:val="005C4F50"/>
    <w:rsid w:val="005C7614"/>
    <w:rsid w:val="005D2B9C"/>
    <w:rsid w:val="005D2D2D"/>
    <w:rsid w:val="005E6315"/>
    <w:rsid w:val="005F5FB5"/>
    <w:rsid w:val="005F71D8"/>
    <w:rsid w:val="005F71EE"/>
    <w:rsid w:val="00605571"/>
    <w:rsid w:val="006070DC"/>
    <w:rsid w:val="00612158"/>
    <w:rsid w:val="00612649"/>
    <w:rsid w:val="006261EF"/>
    <w:rsid w:val="006313EA"/>
    <w:rsid w:val="00635CC0"/>
    <w:rsid w:val="00637E95"/>
    <w:rsid w:val="00641B4C"/>
    <w:rsid w:val="00643FB9"/>
    <w:rsid w:val="00652B54"/>
    <w:rsid w:val="00655C7E"/>
    <w:rsid w:val="00655F2C"/>
    <w:rsid w:val="0065740F"/>
    <w:rsid w:val="0065787D"/>
    <w:rsid w:val="00657AA3"/>
    <w:rsid w:val="006645B1"/>
    <w:rsid w:val="00666220"/>
    <w:rsid w:val="00666360"/>
    <w:rsid w:val="00666BB5"/>
    <w:rsid w:val="006670C5"/>
    <w:rsid w:val="00673A8C"/>
    <w:rsid w:val="006751A2"/>
    <w:rsid w:val="00677010"/>
    <w:rsid w:val="00681463"/>
    <w:rsid w:val="00682628"/>
    <w:rsid w:val="006848BC"/>
    <w:rsid w:val="0068494E"/>
    <w:rsid w:val="00687FAF"/>
    <w:rsid w:val="0069399A"/>
    <w:rsid w:val="00694781"/>
    <w:rsid w:val="0069594E"/>
    <w:rsid w:val="00697593"/>
    <w:rsid w:val="006A2791"/>
    <w:rsid w:val="006A2FB2"/>
    <w:rsid w:val="006A3669"/>
    <w:rsid w:val="006A480C"/>
    <w:rsid w:val="006A70A2"/>
    <w:rsid w:val="006B1EDF"/>
    <w:rsid w:val="006B2697"/>
    <w:rsid w:val="006B66A4"/>
    <w:rsid w:val="006C1B7F"/>
    <w:rsid w:val="006C1C70"/>
    <w:rsid w:val="006D0934"/>
    <w:rsid w:val="006D097D"/>
    <w:rsid w:val="006D2F0D"/>
    <w:rsid w:val="006D7F0C"/>
    <w:rsid w:val="006E0D68"/>
    <w:rsid w:val="006E0EBD"/>
    <w:rsid w:val="006E1081"/>
    <w:rsid w:val="006E251D"/>
    <w:rsid w:val="006E6BFF"/>
    <w:rsid w:val="006E6E7B"/>
    <w:rsid w:val="006F1EC0"/>
    <w:rsid w:val="006F6780"/>
    <w:rsid w:val="00705633"/>
    <w:rsid w:val="0070705A"/>
    <w:rsid w:val="00707FE3"/>
    <w:rsid w:val="007125AC"/>
    <w:rsid w:val="00715505"/>
    <w:rsid w:val="0071573D"/>
    <w:rsid w:val="00715AE6"/>
    <w:rsid w:val="007170F6"/>
    <w:rsid w:val="00720585"/>
    <w:rsid w:val="007206DD"/>
    <w:rsid w:val="00721607"/>
    <w:rsid w:val="00723A3B"/>
    <w:rsid w:val="00726557"/>
    <w:rsid w:val="00731D87"/>
    <w:rsid w:val="00732911"/>
    <w:rsid w:val="0073592C"/>
    <w:rsid w:val="00735BA7"/>
    <w:rsid w:val="00744737"/>
    <w:rsid w:val="00745093"/>
    <w:rsid w:val="00747D80"/>
    <w:rsid w:val="007519ED"/>
    <w:rsid w:val="00754B97"/>
    <w:rsid w:val="00754BED"/>
    <w:rsid w:val="0075500A"/>
    <w:rsid w:val="007612EC"/>
    <w:rsid w:val="007622D0"/>
    <w:rsid w:val="007626E7"/>
    <w:rsid w:val="00762D2E"/>
    <w:rsid w:val="0076440F"/>
    <w:rsid w:val="00771A69"/>
    <w:rsid w:val="00773AF6"/>
    <w:rsid w:val="00774EB9"/>
    <w:rsid w:val="00775F76"/>
    <w:rsid w:val="0077658F"/>
    <w:rsid w:val="00780797"/>
    <w:rsid w:val="00781C87"/>
    <w:rsid w:val="00783435"/>
    <w:rsid w:val="00790ACB"/>
    <w:rsid w:val="00791ECF"/>
    <w:rsid w:val="007920DB"/>
    <w:rsid w:val="007934AB"/>
    <w:rsid w:val="00795F71"/>
    <w:rsid w:val="007963A0"/>
    <w:rsid w:val="007A1A23"/>
    <w:rsid w:val="007A3A0D"/>
    <w:rsid w:val="007A4AB3"/>
    <w:rsid w:val="007A61DF"/>
    <w:rsid w:val="007B4FF7"/>
    <w:rsid w:val="007B6254"/>
    <w:rsid w:val="007C112F"/>
    <w:rsid w:val="007C29A6"/>
    <w:rsid w:val="007C5252"/>
    <w:rsid w:val="007C622B"/>
    <w:rsid w:val="007D0684"/>
    <w:rsid w:val="007D17A9"/>
    <w:rsid w:val="007D1A8B"/>
    <w:rsid w:val="007D2AB7"/>
    <w:rsid w:val="007D4643"/>
    <w:rsid w:val="007D5B49"/>
    <w:rsid w:val="007D5BE1"/>
    <w:rsid w:val="007D647F"/>
    <w:rsid w:val="007E0480"/>
    <w:rsid w:val="007E5F7A"/>
    <w:rsid w:val="007E6FF6"/>
    <w:rsid w:val="007E73AB"/>
    <w:rsid w:val="007E78EA"/>
    <w:rsid w:val="007F3B89"/>
    <w:rsid w:val="007F40E8"/>
    <w:rsid w:val="007F4C32"/>
    <w:rsid w:val="007F5976"/>
    <w:rsid w:val="00803119"/>
    <w:rsid w:val="008068CA"/>
    <w:rsid w:val="0080700B"/>
    <w:rsid w:val="00816C11"/>
    <w:rsid w:val="00817D39"/>
    <w:rsid w:val="008206B4"/>
    <w:rsid w:val="00820E9E"/>
    <w:rsid w:val="0082244A"/>
    <w:rsid w:val="0083078D"/>
    <w:rsid w:val="008313BB"/>
    <w:rsid w:val="00833BE8"/>
    <w:rsid w:val="00836663"/>
    <w:rsid w:val="008377B2"/>
    <w:rsid w:val="00845565"/>
    <w:rsid w:val="008466DE"/>
    <w:rsid w:val="00846E4A"/>
    <w:rsid w:val="00846EFB"/>
    <w:rsid w:val="0085014B"/>
    <w:rsid w:val="00852685"/>
    <w:rsid w:val="00853AC4"/>
    <w:rsid w:val="00853DD6"/>
    <w:rsid w:val="00856667"/>
    <w:rsid w:val="00860003"/>
    <w:rsid w:val="008616DD"/>
    <w:rsid w:val="00863FFF"/>
    <w:rsid w:val="00866038"/>
    <w:rsid w:val="0087008A"/>
    <w:rsid w:val="0088075E"/>
    <w:rsid w:val="00894C55"/>
    <w:rsid w:val="008978DF"/>
    <w:rsid w:val="008A1C35"/>
    <w:rsid w:val="008A317D"/>
    <w:rsid w:val="008A350B"/>
    <w:rsid w:val="008A7BEE"/>
    <w:rsid w:val="008B1765"/>
    <w:rsid w:val="008B1B93"/>
    <w:rsid w:val="008B2100"/>
    <w:rsid w:val="008B390F"/>
    <w:rsid w:val="008B6E0D"/>
    <w:rsid w:val="008C0844"/>
    <w:rsid w:val="008C1C57"/>
    <w:rsid w:val="008C2BD2"/>
    <w:rsid w:val="008C2F82"/>
    <w:rsid w:val="008C323C"/>
    <w:rsid w:val="008C385F"/>
    <w:rsid w:val="008C3EFC"/>
    <w:rsid w:val="008C5346"/>
    <w:rsid w:val="008D1B93"/>
    <w:rsid w:val="008F01FF"/>
    <w:rsid w:val="008F1C68"/>
    <w:rsid w:val="00905A94"/>
    <w:rsid w:val="00916A91"/>
    <w:rsid w:val="0091729A"/>
    <w:rsid w:val="00922772"/>
    <w:rsid w:val="0093175C"/>
    <w:rsid w:val="00936C04"/>
    <w:rsid w:val="009442E3"/>
    <w:rsid w:val="00951076"/>
    <w:rsid w:val="00952880"/>
    <w:rsid w:val="00952B9D"/>
    <w:rsid w:val="00952C66"/>
    <w:rsid w:val="00960764"/>
    <w:rsid w:val="009617F2"/>
    <w:rsid w:val="00964D64"/>
    <w:rsid w:val="0096731A"/>
    <w:rsid w:val="00967480"/>
    <w:rsid w:val="00967827"/>
    <w:rsid w:val="00967D70"/>
    <w:rsid w:val="00967F83"/>
    <w:rsid w:val="0097293C"/>
    <w:rsid w:val="009739AB"/>
    <w:rsid w:val="009778DD"/>
    <w:rsid w:val="00980EC3"/>
    <w:rsid w:val="0098535B"/>
    <w:rsid w:val="009873B2"/>
    <w:rsid w:val="00992108"/>
    <w:rsid w:val="009933BD"/>
    <w:rsid w:val="00993CBE"/>
    <w:rsid w:val="00995470"/>
    <w:rsid w:val="009A2654"/>
    <w:rsid w:val="009B0729"/>
    <w:rsid w:val="009B3C83"/>
    <w:rsid w:val="009B55E9"/>
    <w:rsid w:val="009C217B"/>
    <w:rsid w:val="009C51AA"/>
    <w:rsid w:val="009C75AD"/>
    <w:rsid w:val="009D311B"/>
    <w:rsid w:val="009D3C9B"/>
    <w:rsid w:val="009D6394"/>
    <w:rsid w:val="009D712B"/>
    <w:rsid w:val="009D736F"/>
    <w:rsid w:val="009D7DC4"/>
    <w:rsid w:val="009E3583"/>
    <w:rsid w:val="009E479D"/>
    <w:rsid w:val="009E53A2"/>
    <w:rsid w:val="009F29C6"/>
    <w:rsid w:val="009F4DF4"/>
    <w:rsid w:val="009F4E59"/>
    <w:rsid w:val="009F5EDD"/>
    <w:rsid w:val="00A04DC1"/>
    <w:rsid w:val="00A05C10"/>
    <w:rsid w:val="00A10FC3"/>
    <w:rsid w:val="00A11109"/>
    <w:rsid w:val="00A113D4"/>
    <w:rsid w:val="00A12EB5"/>
    <w:rsid w:val="00A138D7"/>
    <w:rsid w:val="00A14AD2"/>
    <w:rsid w:val="00A16328"/>
    <w:rsid w:val="00A168E0"/>
    <w:rsid w:val="00A23EAD"/>
    <w:rsid w:val="00A25231"/>
    <w:rsid w:val="00A30008"/>
    <w:rsid w:val="00A321DF"/>
    <w:rsid w:val="00A4187D"/>
    <w:rsid w:val="00A42206"/>
    <w:rsid w:val="00A42EBF"/>
    <w:rsid w:val="00A43FD1"/>
    <w:rsid w:val="00A44628"/>
    <w:rsid w:val="00A45E3E"/>
    <w:rsid w:val="00A57D48"/>
    <w:rsid w:val="00A6073E"/>
    <w:rsid w:val="00A664BF"/>
    <w:rsid w:val="00A67C1A"/>
    <w:rsid w:val="00A73E25"/>
    <w:rsid w:val="00A83F82"/>
    <w:rsid w:val="00A90077"/>
    <w:rsid w:val="00A9594D"/>
    <w:rsid w:val="00A9704F"/>
    <w:rsid w:val="00AA186B"/>
    <w:rsid w:val="00AA1F63"/>
    <w:rsid w:val="00AA23D5"/>
    <w:rsid w:val="00AA25F8"/>
    <w:rsid w:val="00AA26A6"/>
    <w:rsid w:val="00AA6A5E"/>
    <w:rsid w:val="00AA7E9F"/>
    <w:rsid w:val="00AA7F37"/>
    <w:rsid w:val="00AB1FEE"/>
    <w:rsid w:val="00AC16B0"/>
    <w:rsid w:val="00AD711F"/>
    <w:rsid w:val="00AE481E"/>
    <w:rsid w:val="00AE5567"/>
    <w:rsid w:val="00AF1239"/>
    <w:rsid w:val="00B00E73"/>
    <w:rsid w:val="00B01217"/>
    <w:rsid w:val="00B01BE7"/>
    <w:rsid w:val="00B05157"/>
    <w:rsid w:val="00B05582"/>
    <w:rsid w:val="00B06341"/>
    <w:rsid w:val="00B067EF"/>
    <w:rsid w:val="00B14567"/>
    <w:rsid w:val="00B16480"/>
    <w:rsid w:val="00B21603"/>
    <w:rsid w:val="00B2165C"/>
    <w:rsid w:val="00B2189A"/>
    <w:rsid w:val="00B23302"/>
    <w:rsid w:val="00B24A4F"/>
    <w:rsid w:val="00B26409"/>
    <w:rsid w:val="00B3267E"/>
    <w:rsid w:val="00B32DE7"/>
    <w:rsid w:val="00B3317B"/>
    <w:rsid w:val="00B35C36"/>
    <w:rsid w:val="00B40764"/>
    <w:rsid w:val="00B40B0B"/>
    <w:rsid w:val="00B522C8"/>
    <w:rsid w:val="00B53726"/>
    <w:rsid w:val="00B54C77"/>
    <w:rsid w:val="00B6131E"/>
    <w:rsid w:val="00B61651"/>
    <w:rsid w:val="00B61C42"/>
    <w:rsid w:val="00B6584B"/>
    <w:rsid w:val="00B67592"/>
    <w:rsid w:val="00B70212"/>
    <w:rsid w:val="00B70CB7"/>
    <w:rsid w:val="00B7201B"/>
    <w:rsid w:val="00B7270E"/>
    <w:rsid w:val="00B74A5E"/>
    <w:rsid w:val="00B83462"/>
    <w:rsid w:val="00B87005"/>
    <w:rsid w:val="00B907AD"/>
    <w:rsid w:val="00B929BF"/>
    <w:rsid w:val="00B95C44"/>
    <w:rsid w:val="00BA20AA"/>
    <w:rsid w:val="00BA6C89"/>
    <w:rsid w:val="00BB1DA0"/>
    <w:rsid w:val="00BC12B6"/>
    <w:rsid w:val="00BC1A1B"/>
    <w:rsid w:val="00BD1529"/>
    <w:rsid w:val="00BD2104"/>
    <w:rsid w:val="00BD2D71"/>
    <w:rsid w:val="00BD4298"/>
    <w:rsid w:val="00BD4425"/>
    <w:rsid w:val="00BE0066"/>
    <w:rsid w:val="00BE0627"/>
    <w:rsid w:val="00BE43B4"/>
    <w:rsid w:val="00BF247D"/>
    <w:rsid w:val="00BF2D42"/>
    <w:rsid w:val="00BF42F2"/>
    <w:rsid w:val="00BF48F6"/>
    <w:rsid w:val="00BF5FAA"/>
    <w:rsid w:val="00C03A5D"/>
    <w:rsid w:val="00C050F5"/>
    <w:rsid w:val="00C07F2A"/>
    <w:rsid w:val="00C1157B"/>
    <w:rsid w:val="00C12C7D"/>
    <w:rsid w:val="00C12F0C"/>
    <w:rsid w:val="00C12FD4"/>
    <w:rsid w:val="00C1389A"/>
    <w:rsid w:val="00C14E08"/>
    <w:rsid w:val="00C20011"/>
    <w:rsid w:val="00C21F60"/>
    <w:rsid w:val="00C25454"/>
    <w:rsid w:val="00C25B49"/>
    <w:rsid w:val="00C25F16"/>
    <w:rsid w:val="00C267CD"/>
    <w:rsid w:val="00C32EB6"/>
    <w:rsid w:val="00C34B3B"/>
    <w:rsid w:val="00C36AC5"/>
    <w:rsid w:val="00C41480"/>
    <w:rsid w:val="00C4215B"/>
    <w:rsid w:val="00C50587"/>
    <w:rsid w:val="00C535B8"/>
    <w:rsid w:val="00C60521"/>
    <w:rsid w:val="00C60806"/>
    <w:rsid w:val="00C61A07"/>
    <w:rsid w:val="00C62CAC"/>
    <w:rsid w:val="00C7031B"/>
    <w:rsid w:val="00C80566"/>
    <w:rsid w:val="00C816B4"/>
    <w:rsid w:val="00C82C31"/>
    <w:rsid w:val="00C853FA"/>
    <w:rsid w:val="00C91D0C"/>
    <w:rsid w:val="00C924A0"/>
    <w:rsid w:val="00C92944"/>
    <w:rsid w:val="00C957E2"/>
    <w:rsid w:val="00C96A78"/>
    <w:rsid w:val="00CA2FCC"/>
    <w:rsid w:val="00CB0E75"/>
    <w:rsid w:val="00CC0D2D"/>
    <w:rsid w:val="00CC497D"/>
    <w:rsid w:val="00CC6ECE"/>
    <w:rsid w:val="00CD333B"/>
    <w:rsid w:val="00CD345D"/>
    <w:rsid w:val="00CD41AD"/>
    <w:rsid w:val="00CD5B95"/>
    <w:rsid w:val="00CD6E3F"/>
    <w:rsid w:val="00CE0B7E"/>
    <w:rsid w:val="00CE10D5"/>
    <w:rsid w:val="00CE2075"/>
    <w:rsid w:val="00CE44C3"/>
    <w:rsid w:val="00CE47B0"/>
    <w:rsid w:val="00CE5657"/>
    <w:rsid w:val="00CE58F3"/>
    <w:rsid w:val="00CF2258"/>
    <w:rsid w:val="00CF391D"/>
    <w:rsid w:val="00CF5477"/>
    <w:rsid w:val="00D00976"/>
    <w:rsid w:val="00D00BF6"/>
    <w:rsid w:val="00D04A18"/>
    <w:rsid w:val="00D05AA3"/>
    <w:rsid w:val="00D05B15"/>
    <w:rsid w:val="00D05B29"/>
    <w:rsid w:val="00D113E2"/>
    <w:rsid w:val="00D133F8"/>
    <w:rsid w:val="00D14A3E"/>
    <w:rsid w:val="00D16F45"/>
    <w:rsid w:val="00D21B53"/>
    <w:rsid w:val="00D43B93"/>
    <w:rsid w:val="00D46FD5"/>
    <w:rsid w:val="00D500BD"/>
    <w:rsid w:val="00D50CF6"/>
    <w:rsid w:val="00D5226E"/>
    <w:rsid w:val="00D658B7"/>
    <w:rsid w:val="00D65E06"/>
    <w:rsid w:val="00D675C5"/>
    <w:rsid w:val="00D77E9A"/>
    <w:rsid w:val="00D80EFE"/>
    <w:rsid w:val="00D876A3"/>
    <w:rsid w:val="00D92DD1"/>
    <w:rsid w:val="00DA1246"/>
    <w:rsid w:val="00DA4DD8"/>
    <w:rsid w:val="00DB116B"/>
    <w:rsid w:val="00DB4E16"/>
    <w:rsid w:val="00DB7034"/>
    <w:rsid w:val="00DB7AA8"/>
    <w:rsid w:val="00DB7E0E"/>
    <w:rsid w:val="00DC0AAF"/>
    <w:rsid w:val="00DC422C"/>
    <w:rsid w:val="00DC4A86"/>
    <w:rsid w:val="00DC620C"/>
    <w:rsid w:val="00DD168F"/>
    <w:rsid w:val="00DD39E9"/>
    <w:rsid w:val="00DD542F"/>
    <w:rsid w:val="00DE11E3"/>
    <w:rsid w:val="00DE1612"/>
    <w:rsid w:val="00DE2BB8"/>
    <w:rsid w:val="00DE3C62"/>
    <w:rsid w:val="00DE7AD5"/>
    <w:rsid w:val="00DF0330"/>
    <w:rsid w:val="00DF589D"/>
    <w:rsid w:val="00DF61D1"/>
    <w:rsid w:val="00DF77B0"/>
    <w:rsid w:val="00E01404"/>
    <w:rsid w:val="00E11CC7"/>
    <w:rsid w:val="00E13BB4"/>
    <w:rsid w:val="00E22535"/>
    <w:rsid w:val="00E238EC"/>
    <w:rsid w:val="00E2729C"/>
    <w:rsid w:val="00E36703"/>
    <w:rsid w:val="00E3716B"/>
    <w:rsid w:val="00E4181A"/>
    <w:rsid w:val="00E46744"/>
    <w:rsid w:val="00E473B8"/>
    <w:rsid w:val="00E5323B"/>
    <w:rsid w:val="00E53D4C"/>
    <w:rsid w:val="00E53E0A"/>
    <w:rsid w:val="00E5573F"/>
    <w:rsid w:val="00E63F24"/>
    <w:rsid w:val="00E63F96"/>
    <w:rsid w:val="00E65A9A"/>
    <w:rsid w:val="00E663B5"/>
    <w:rsid w:val="00E66BAC"/>
    <w:rsid w:val="00E70CB8"/>
    <w:rsid w:val="00E7101D"/>
    <w:rsid w:val="00E71864"/>
    <w:rsid w:val="00E71B97"/>
    <w:rsid w:val="00E735D1"/>
    <w:rsid w:val="00E74A4B"/>
    <w:rsid w:val="00E849CD"/>
    <w:rsid w:val="00E8749E"/>
    <w:rsid w:val="00E879E4"/>
    <w:rsid w:val="00E90C01"/>
    <w:rsid w:val="00E93CFC"/>
    <w:rsid w:val="00E950E0"/>
    <w:rsid w:val="00E954DB"/>
    <w:rsid w:val="00EA0131"/>
    <w:rsid w:val="00EA13FD"/>
    <w:rsid w:val="00EA1C33"/>
    <w:rsid w:val="00EA2C67"/>
    <w:rsid w:val="00EA486E"/>
    <w:rsid w:val="00EA4F08"/>
    <w:rsid w:val="00EB48D0"/>
    <w:rsid w:val="00EB5D81"/>
    <w:rsid w:val="00EC4813"/>
    <w:rsid w:val="00EC76E2"/>
    <w:rsid w:val="00ED1965"/>
    <w:rsid w:val="00ED6B57"/>
    <w:rsid w:val="00ED6C6A"/>
    <w:rsid w:val="00EE167C"/>
    <w:rsid w:val="00EE353E"/>
    <w:rsid w:val="00EF617E"/>
    <w:rsid w:val="00F00CA7"/>
    <w:rsid w:val="00F01A8D"/>
    <w:rsid w:val="00F0317C"/>
    <w:rsid w:val="00F05CF2"/>
    <w:rsid w:val="00F06D7B"/>
    <w:rsid w:val="00F1628C"/>
    <w:rsid w:val="00F17E43"/>
    <w:rsid w:val="00F17FA3"/>
    <w:rsid w:val="00F20370"/>
    <w:rsid w:val="00F213B9"/>
    <w:rsid w:val="00F272CD"/>
    <w:rsid w:val="00F30D85"/>
    <w:rsid w:val="00F367B9"/>
    <w:rsid w:val="00F37B35"/>
    <w:rsid w:val="00F407B9"/>
    <w:rsid w:val="00F42BC3"/>
    <w:rsid w:val="00F42FF1"/>
    <w:rsid w:val="00F444F0"/>
    <w:rsid w:val="00F44E21"/>
    <w:rsid w:val="00F473BD"/>
    <w:rsid w:val="00F475C4"/>
    <w:rsid w:val="00F56C30"/>
    <w:rsid w:val="00F57B0C"/>
    <w:rsid w:val="00F70594"/>
    <w:rsid w:val="00F71118"/>
    <w:rsid w:val="00F728EE"/>
    <w:rsid w:val="00F75243"/>
    <w:rsid w:val="00F75EEF"/>
    <w:rsid w:val="00F814E9"/>
    <w:rsid w:val="00F93D71"/>
    <w:rsid w:val="00F93E00"/>
    <w:rsid w:val="00F96139"/>
    <w:rsid w:val="00F97855"/>
    <w:rsid w:val="00FA0A45"/>
    <w:rsid w:val="00FA1EA2"/>
    <w:rsid w:val="00FA3F73"/>
    <w:rsid w:val="00FA41C4"/>
    <w:rsid w:val="00FA4264"/>
    <w:rsid w:val="00FA4764"/>
    <w:rsid w:val="00FB2323"/>
    <w:rsid w:val="00FB5C81"/>
    <w:rsid w:val="00FC15C2"/>
    <w:rsid w:val="00FC4176"/>
    <w:rsid w:val="00FC4E9D"/>
    <w:rsid w:val="00FC69FA"/>
    <w:rsid w:val="00FD0898"/>
    <w:rsid w:val="00FD2761"/>
    <w:rsid w:val="00FD5ADC"/>
    <w:rsid w:val="00FD66DB"/>
    <w:rsid w:val="00FE3AF5"/>
    <w:rsid w:val="00FE3B24"/>
    <w:rsid w:val="00FE4443"/>
    <w:rsid w:val="00FE5437"/>
    <w:rsid w:val="00FE77C7"/>
    <w:rsid w:val="00FF0587"/>
    <w:rsid w:val="00FF371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7F1F0"/>
  <w15:docId w15:val="{BC68540D-D31C-495A-85F5-6350676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0D6841"/>
    <w:rPr>
      <w:vertAlign w:val="superscript"/>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Char"/>
    <w:basedOn w:val="Normal"/>
    <w:link w:val="FootnoteTextChar"/>
    <w:uiPriority w:val="99"/>
    <w:qFormat/>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Char Char"/>
    <w:basedOn w:val="DefaultParagraphFont"/>
    <w:link w:val="FootnoteText"/>
    <w:uiPriority w:val="99"/>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F70594"/>
    <w:pPr>
      <w:spacing w:line="240" w:lineRule="exact"/>
      <w:jc w:val="both"/>
    </w:pPr>
    <w:rPr>
      <w:vertAlign w:val="superscript"/>
    </w:rPr>
  </w:style>
  <w:style w:type="character" w:customStyle="1" w:styleId="hps">
    <w:name w:val="hps"/>
    <w:uiPriority w:val="99"/>
    <w:rsid w:val="00F70594"/>
  </w:style>
  <w:style w:type="character" w:styleId="Emphasis">
    <w:name w:val="Emphasis"/>
    <w:basedOn w:val="DefaultParagraphFont"/>
    <w:uiPriority w:val="20"/>
    <w:qFormat/>
    <w:rsid w:val="00960764"/>
    <w:rPr>
      <w:i/>
      <w:iCs/>
    </w:rPr>
  </w:style>
  <w:style w:type="character" w:styleId="UnresolvedMention">
    <w:name w:val="Unresolved Mention"/>
    <w:basedOn w:val="DefaultParagraphFont"/>
    <w:uiPriority w:val="99"/>
    <w:semiHidden/>
    <w:unhideWhenUsed/>
    <w:rsid w:val="0070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642">
      <w:bodyDiv w:val="1"/>
      <w:marLeft w:val="0"/>
      <w:marRight w:val="0"/>
      <w:marTop w:val="0"/>
      <w:marBottom w:val="0"/>
      <w:divBdr>
        <w:top w:val="none" w:sz="0" w:space="0" w:color="auto"/>
        <w:left w:val="none" w:sz="0" w:space="0" w:color="auto"/>
        <w:bottom w:val="none" w:sz="0" w:space="0" w:color="auto"/>
        <w:right w:val="none" w:sz="0" w:space="0" w:color="auto"/>
      </w:divBdr>
    </w:div>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6291063">
      <w:bodyDiv w:val="1"/>
      <w:marLeft w:val="0"/>
      <w:marRight w:val="0"/>
      <w:marTop w:val="0"/>
      <w:marBottom w:val="0"/>
      <w:divBdr>
        <w:top w:val="none" w:sz="0" w:space="0" w:color="auto"/>
        <w:left w:val="none" w:sz="0" w:space="0" w:color="auto"/>
        <w:bottom w:val="none" w:sz="0" w:space="0" w:color="auto"/>
        <w:right w:val="none" w:sz="0" w:space="0" w:color="auto"/>
      </w:divBdr>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090932969">
      <w:bodyDiv w:val="1"/>
      <w:marLeft w:val="0"/>
      <w:marRight w:val="0"/>
      <w:marTop w:val="0"/>
      <w:marBottom w:val="0"/>
      <w:divBdr>
        <w:top w:val="none" w:sz="0" w:space="0" w:color="auto"/>
        <w:left w:val="none" w:sz="0" w:space="0" w:color="auto"/>
        <w:bottom w:val="none" w:sz="0" w:space="0" w:color="auto"/>
        <w:right w:val="none" w:sz="0" w:space="0" w:color="auto"/>
      </w:divBdr>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11381982">
      <w:bodyDiv w:val="1"/>
      <w:marLeft w:val="0"/>
      <w:marRight w:val="0"/>
      <w:marTop w:val="0"/>
      <w:marBottom w:val="0"/>
      <w:divBdr>
        <w:top w:val="none" w:sz="0" w:space="0" w:color="auto"/>
        <w:left w:val="none" w:sz="0" w:space="0" w:color="auto"/>
        <w:bottom w:val="none" w:sz="0" w:space="0" w:color="auto"/>
        <w:right w:val="none" w:sz="0" w:space="0" w:color="auto"/>
      </w:divBdr>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 w:id="20617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sb.gov.lv/lv/statistika/statistikas-temas/socialie-procesi/nabadziba/tabulas/metadati-monetaras-nabadzibas-ienakumu-nevienlidzibas" TargetMode="External"/><Relationship Id="rId3" Type="http://schemas.openxmlformats.org/officeDocument/2006/relationships/hyperlink" Target="https://www.satv.tiesa.gov.lv/cases/?case-filter-years=&amp;case-filter-status=&amp;case-filter-types=&amp;case-filter-result=&amp;searchtext=2019-25-03" TargetMode="External"/><Relationship Id="rId7" Type="http://schemas.openxmlformats.org/officeDocument/2006/relationships/hyperlink" Target="https://www.makroekonomika.lv/ienakumu-nevienlidziba-un-nabadziba-kur-esam-un-ka-uzlabot-situaciju" TargetMode="External"/><Relationship Id="rId2" Type="http://schemas.openxmlformats.org/officeDocument/2006/relationships/hyperlink" Target="https://www.satv.tiesa.gov.lv/cases/?case-filter-years=&amp;case-filter-status=&amp;case-filter-types=&amp;case-filter-result=&amp;searchtext=2019-27-03" TargetMode="External"/><Relationship Id="rId1" Type="http://schemas.openxmlformats.org/officeDocument/2006/relationships/hyperlink" Target="https://www.satv.tiesa.gov.lv/cases/?case-filter-years=&amp;case-filter-status=&amp;case-filter-types=&amp;case-filter-result=&amp;searchtext=2019-24-03" TargetMode="External"/><Relationship Id="rId6" Type="http://schemas.openxmlformats.org/officeDocument/2006/relationships/hyperlink" Target="https://ec.europa.eu/info/publications/economy-finance/effect-taxes-and-benefits-reforms-poverty-and-inequality-latvia_en" TargetMode="External"/><Relationship Id="rId5" Type="http://schemas.openxmlformats.org/officeDocument/2006/relationships/hyperlink" Target="https://data1.csb.gov.lv/pxweb/lv/sociala/sociala__nabadz_nevienl__monetara_nab/NIG020.px/table/tableViewLayout1/" TargetMode="External"/><Relationship Id="rId4" Type="http://schemas.openxmlformats.org/officeDocument/2006/relationships/hyperlink" Target="http://data1.csb.gov.lv/pxweb/lv/sociala/sociala__mb__ienakumi/IIG040.px/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50B2-BA43-4D80-B1B2-B10DB76D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21586</Words>
  <Characters>12305</Characters>
  <Application>Microsoft Office Word</Application>
  <DocSecurity>4</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sociālo drošību</vt:lpstr>
      <vt:lpstr>Ministru kabineta noteikumu projekta “Grozījumi Ministru kabineta 2009. gada 22. decembra noteikumos Nr. 1608 “Noteikumi par pabalsta piešķiršanas un izmaksas kārtību invalīdam, kuram nepieciešama kopšana, pabalsta apmēru, kā arī pabalsta apmēra pārskatīš</vt:lpstr>
    </vt:vector>
  </TitlesOfParts>
  <Company>Labklājības ministrija</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sociālo drošību</dc:title>
  <dc:subject>Anotācija</dc:subject>
  <dc:creator>Aiga Lukašenoka</dc:creator>
  <dc:description>67021691, Aiga.Lukasenoka@lm.gov.lv</dc:description>
  <cp:lastModifiedBy>Aiga Lukasenoka</cp:lastModifiedBy>
  <cp:revision>2</cp:revision>
  <cp:lastPrinted>2019-04-10T08:24:00Z</cp:lastPrinted>
  <dcterms:created xsi:type="dcterms:W3CDTF">2020-09-29T06:09:00Z</dcterms:created>
  <dcterms:modified xsi:type="dcterms:W3CDTF">2020-09-29T06:09:00Z</dcterms:modified>
</cp:coreProperties>
</file>