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523D5" w14:textId="77777777" w:rsidR="0013047D" w:rsidRPr="00E83441" w:rsidRDefault="0013047D" w:rsidP="0013047D">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Hlk48038817"/>
    </w:p>
    <w:bookmarkStart w:id="1" w:name="_Hlk50645916"/>
    <w:p w14:paraId="3FAC5089" w14:textId="77777777" w:rsidR="0013047D" w:rsidRPr="007F7734" w:rsidRDefault="004E6129" w:rsidP="0013047D">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8"/>
            <w:lang w:eastAsia="lv-LV"/>
          </w:rPr>
          <w:id w:val="882755678"/>
          <w:placeholder>
            <w:docPart w:val="6B841F80A61544069BAD71BB43DBF515"/>
          </w:placeholder>
        </w:sdtPr>
        <w:sdtEndPr>
          <w:rPr>
            <w:szCs w:val="24"/>
          </w:rPr>
        </w:sdtEndPr>
        <w:sdtContent>
          <w:r w:rsidR="0013047D" w:rsidRPr="007F7734">
            <w:rPr>
              <w:rFonts w:ascii="Times New Roman" w:eastAsia="Times New Roman" w:hAnsi="Times New Roman" w:cs="Times New Roman"/>
              <w:b/>
              <w:bCs/>
              <w:sz w:val="28"/>
              <w:szCs w:val="28"/>
              <w:lang w:eastAsia="lv-LV"/>
            </w:rPr>
            <w:t>Likumprojekta “</w:t>
          </w:r>
          <w:r w:rsidR="0013047D" w:rsidRPr="007F7734">
            <w:rPr>
              <w:rFonts w:ascii="Times New Roman" w:eastAsia="Times New Roman" w:hAnsi="Times New Roman" w:cs="Times New Roman"/>
              <w:b/>
              <w:sz w:val="28"/>
              <w:szCs w:val="28"/>
              <w:lang w:eastAsia="lv-LV"/>
            </w:rPr>
            <w:t>Grozījumi Černobiļas atomelektrostacijas avārijas seku likvidēšanas dalībnieku un Černobiļas atomelektrostacijas avārijas rezultātā cietušo personu sociālās aizsardzības likumā</w:t>
          </w:r>
          <w:r w:rsidR="0013047D" w:rsidRPr="007F7734">
            <w:rPr>
              <w:rFonts w:ascii="Times New Roman" w:eastAsia="Times New Roman" w:hAnsi="Times New Roman" w:cs="Times New Roman"/>
              <w:b/>
              <w:bCs/>
              <w:sz w:val="28"/>
              <w:szCs w:val="28"/>
              <w:lang w:eastAsia="lv-LV"/>
            </w:rPr>
            <w:t>”</w:t>
          </w:r>
          <w:r w:rsidR="0013047D" w:rsidRPr="007F7734">
            <w:rPr>
              <w:rFonts w:ascii="Times New Roman" w:eastAsia="Times New Roman" w:hAnsi="Times New Roman" w:cs="Times New Roman"/>
              <w:b/>
              <w:bCs/>
              <w:sz w:val="28"/>
              <w:szCs w:val="24"/>
              <w:lang w:eastAsia="lv-LV"/>
            </w:rPr>
            <w:t xml:space="preserve"> </w:t>
          </w:r>
          <w:bookmarkEnd w:id="1"/>
          <w:r w:rsidR="0013047D" w:rsidRPr="007F7734">
            <w:rPr>
              <w:rFonts w:ascii="Times New Roman" w:eastAsia="Times New Roman" w:hAnsi="Times New Roman" w:cs="Times New Roman"/>
              <w:b/>
              <w:bCs/>
              <w:sz w:val="28"/>
              <w:szCs w:val="24"/>
              <w:lang w:eastAsia="lv-LV"/>
            </w:rPr>
            <w:t xml:space="preserve">sākotnējās ietekmes novērtējuma ziņojums (anotācija) </w:t>
          </w:r>
        </w:sdtContent>
      </w:sdt>
      <w:r w:rsidR="0013047D" w:rsidRPr="007F7734">
        <w:rPr>
          <w:rFonts w:ascii="Times New Roman" w:eastAsia="Times New Roman" w:hAnsi="Times New Roman" w:cs="Times New Roman"/>
          <w:b/>
          <w:bCs/>
          <w:sz w:val="28"/>
          <w:szCs w:val="24"/>
          <w:lang w:eastAsia="lv-LV"/>
        </w:rPr>
        <w:t xml:space="preserve"> </w:t>
      </w:r>
    </w:p>
    <w:bookmarkEnd w:id="0"/>
    <w:p w14:paraId="509A6D69" w14:textId="77777777" w:rsidR="0013047D" w:rsidRPr="007F7734" w:rsidRDefault="0013047D" w:rsidP="0013047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8"/>
        <w:gridCol w:w="5377"/>
      </w:tblGrid>
      <w:tr w:rsidR="0013047D" w:rsidRPr="007F7734" w14:paraId="54F4C27B" w14:textId="77777777" w:rsidTr="009A362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644696" w14:textId="77777777" w:rsidR="0013047D" w:rsidRPr="007F7734" w:rsidRDefault="0013047D" w:rsidP="009A362C">
            <w:pPr>
              <w:spacing w:after="0" w:line="240" w:lineRule="auto"/>
              <w:rPr>
                <w:rFonts w:ascii="Times New Roman" w:eastAsia="Times New Roman" w:hAnsi="Times New Roman" w:cs="Times New Roman"/>
                <w:b/>
                <w:bCs/>
                <w:iCs/>
                <w:color w:val="414142"/>
                <w:sz w:val="24"/>
                <w:szCs w:val="24"/>
                <w:lang w:eastAsia="lv-LV"/>
              </w:rPr>
            </w:pPr>
            <w:r w:rsidRPr="007F7734">
              <w:rPr>
                <w:rFonts w:ascii="Times New Roman" w:eastAsia="Times New Roman" w:hAnsi="Times New Roman" w:cs="Times New Roman"/>
                <w:b/>
                <w:bCs/>
                <w:iCs/>
                <w:color w:val="414142"/>
                <w:sz w:val="24"/>
                <w:szCs w:val="24"/>
                <w:lang w:eastAsia="lv-LV"/>
              </w:rPr>
              <w:t>Tiesību akta projekta anotācijas kopsavilkums</w:t>
            </w:r>
          </w:p>
        </w:tc>
      </w:tr>
      <w:tr w:rsidR="0013047D" w:rsidRPr="007F7734" w14:paraId="7E3CCF81" w14:textId="77777777" w:rsidTr="009A362C">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14:paraId="4CD5C84B"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14:paraId="4071B665" w14:textId="77777777" w:rsidR="0013047D" w:rsidRPr="007F7734" w:rsidRDefault="0013047D" w:rsidP="009A362C">
            <w:pPr>
              <w:spacing w:after="0" w:line="240" w:lineRule="auto"/>
              <w:jc w:val="both"/>
              <w:rPr>
                <w:rFonts w:ascii="Times New Roman" w:hAnsi="Times New Roman" w:cs="Times New Roman"/>
                <w:iCs/>
                <w:sz w:val="24"/>
                <w:szCs w:val="24"/>
              </w:rPr>
            </w:pPr>
            <w:bookmarkStart w:id="2" w:name="_Hlk48047580"/>
            <w:r w:rsidRPr="007F7734">
              <w:rPr>
                <w:rFonts w:ascii="Times New Roman" w:eastAsia="Times New Roman" w:hAnsi="Times New Roman" w:cs="Times New Roman"/>
                <w:sz w:val="24"/>
                <w:szCs w:val="24"/>
                <w:lang w:eastAsia="lv-LV"/>
              </w:rPr>
              <w:t xml:space="preserve">Likumprojekts “Grozījumi Černobiļas atomelektrostacijas avārijas seku likvidēšanas dalībnieku un Černobiļas atomelektrostacijas avārijas rezultātā cietušo personu sociālās aizsardzības likumā” (turpmāk – likumprojekts) mērķis ir noteikt </w:t>
            </w:r>
            <w:bookmarkEnd w:id="2"/>
            <w:r w:rsidRPr="007F7734">
              <w:rPr>
                <w:rFonts w:ascii="Times New Roman" w:eastAsia="Times New Roman" w:hAnsi="Times New Roman" w:cs="Times New Roman"/>
                <w:sz w:val="24"/>
                <w:szCs w:val="24"/>
                <w:lang w:eastAsia="lv-LV"/>
              </w:rPr>
              <w:t>v</w:t>
            </w:r>
            <w:r w:rsidRPr="007F7734">
              <w:rPr>
                <w:rFonts w:ascii="Times New Roman" w:hAnsi="Times New Roman" w:cs="Times New Roman"/>
                <w:sz w:val="24"/>
                <w:szCs w:val="24"/>
                <w:shd w:val="clear" w:color="auto" w:fill="FFFFFF"/>
              </w:rPr>
              <w:t xml:space="preserve">alsts sociālā pabalsta Černobiļas </w:t>
            </w:r>
            <w:r w:rsidRPr="007F7734">
              <w:rPr>
                <w:rFonts w:ascii="Times New Roman" w:eastAsia="Times New Roman" w:hAnsi="Times New Roman" w:cs="Times New Roman"/>
                <w:sz w:val="24"/>
                <w:szCs w:val="24"/>
                <w:lang w:eastAsia="lv-LV"/>
              </w:rPr>
              <w:t>atomelektrostacijas</w:t>
            </w:r>
            <w:r w:rsidRPr="007F7734">
              <w:rPr>
                <w:rFonts w:ascii="Times New Roman" w:hAnsi="Times New Roman" w:cs="Times New Roman"/>
                <w:sz w:val="24"/>
                <w:szCs w:val="24"/>
                <w:shd w:val="clear" w:color="auto" w:fill="FFFFFF"/>
              </w:rPr>
              <w:t xml:space="preserve"> avārijas seku likvidēšanas dalībniekam un mirušā Černobiļas </w:t>
            </w:r>
            <w:r w:rsidRPr="007F7734">
              <w:rPr>
                <w:rFonts w:ascii="Times New Roman" w:eastAsia="Times New Roman" w:hAnsi="Times New Roman" w:cs="Times New Roman"/>
                <w:sz w:val="24"/>
                <w:szCs w:val="24"/>
                <w:lang w:eastAsia="lv-LV"/>
              </w:rPr>
              <w:t>atomelektrostacijas</w:t>
            </w:r>
            <w:r w:rsidRPr="007F7734">
              <w:rPr>
                <w:rFonts w:ascii="Times New Roman" w:hAnsi="Times New Roman" w:cs="Times New Roman"/>
                <w:sz w:val="24"/>
                <w:szCs w:val="24"/>
                <w:shd w:val="clear" w:color="auto" w:fill="FFFFFF"/>
              </w:rPr>
              <w:t xml:space="preserve"> avārijas seku likvidēšanas dalībnieka ģimenei apmēru, </w:t>
            </w:r>
            <w:r w:rsidRPr="007F7734">
              <w:rPr>
                <w:rFonts w:ascii="Times New Roman" w:hAnsi="Times New Roman" w:cs="Times New Roman"/>
                <w:iCs/>
                <w:sz w:val="24"/>
                <w:szCs w:val="24"/>
              </w:rPr>
              <w:t>ņemot vērā izmaiņas valsts sociālā nodrošinājuma pabalstā no 2021.gada 1.janvāra saistībā ar Satversmes tiesas  spriedumu izpildi.</w:t>
            </w:r>
          </w:p>
          <w:p w14:paraId="656F0FAA" w14:textId="77777777" w:rsidR="0013047D" w:rsidRPr="007F7734" w:rsidRDefault="0013047D" w:rsidP="009A362C">
            <w:pPr>
              <w:spacing w:after="0" w:line="240" w:lineRule="auto"/>
              <w:jc w:val="both"/>
              <w:rPr>
                <w:rFonts w:ascii="Times New Roman" w:eastAsia="Times New Roman" w:hAnsi="Times New Roman" w:cs="Times New Roman"/>
                <w:sz w:val="24"/>
                <w:szCs w:val="24"/>
                <w:lang w:eastAsia="lv-LV"/>
              </w:rPr>
            </w:pPr>
            <w:r w:rsidRPr="007F7734">
              <w:rPr>
                <w:rFonts w:ascii="Times New Roman" w:eastAsia="Times New Roman" w:hAnsi="Times New Roman" w:cs="Times New Roman"/>
                <w:sz w:val="24"/>
                <w:szCs w:val="24"/>
                <w:lang w:eastAsia="lv-LV"/>
              </w:rPr>
              <w:t>Likumprojekts stājas spēkā 2021.gada 1.janvārī.</w:t>
            </w:r>
          </w:p>
          <w:p w14:paraId="70B8D7D4" w14:textId="77777777" w:rsidR="0013047D" w:rsidRPr="007F7734" w:rsidRDefault="0013047D" w:rsidP="009A362C">
            <w:pPr>
              <w:spacing w:after="0" w:line="240" w:lineRule="auto"/>
              <w:jc w:val="both"/>
              <w:rPr>
                <w:rFonts w:ascii="Times New Roman" w:eastAsia="Times New Roman" w:hAnsi="Times New Roman" w:cs="Times New Roman"/>
                <w:sz w:val="24"/>
                <w:szCs w:val="24"/>
                <w:lang w:eastAsia="lv-LV"/>
              </w:rPr>
            </w:pPr>
          </w:p>
        </w:tc>
      </w:tr>
    </w:tbl>
    <w:p w14:paraId="7DF192DA"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047D" w:rsidRPr="007F7734" w14:paraId="6B3A5F6C" w14:textId="77777777" w:rsidTr="009A36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BB34D" w14:textId="77777777" w:rsidR="0013047D" w:rsidRPr="007F7734" w:rsidRDefault="0013047D" w:rsidP="009A362C">
            <w:pPr>
              <w:spacing w:after="0" w:line="240" w:lineRule="auto"/>
              <w:rPr>
                <w:rFonts w:ascii="Times New Roman" w:eastAsia="Times New Roman" w:hAnsi="Times New Roman" w:cs="Times New Roman"/>
                <w:b/>
                <w:bCs/>
                <w:iCs/>
                <w:color w:val="414142"/>
                <w:sz w:val="24"/>
                <w:szCs w:val="24"/>
                <w:lang w:eastAsia="lv-LV"/>
              </w:rPr>
            </w:pPr>
            <w:r w:rsidRPr="007F7734">
              <w:rPr>
                <w:rFonts w:ascii="Times New Roman" w:eastAsia="Times New Roman" w:hAnsi="Times New Roman" w:cs="Times New Roman"/>
                <w:b/>
                <w:bCs/>
                <w:iCs/>
                <w:color w:val="414142"/>
                <w:sz w:val="24"/>
                <w:szCs w:val="24"/>
                <w:lang w:eastAsia="lv-LV"/>
              </w:rPr>
              <w:t>I. Tiesību akta projekta izstrādes nepieciešamība</w:t>
            </w:r>
          </w:p>
        </w:tc>
      </w:tr>
      <w:tr w:rsidR="0013047D" w:rsidRPr="007F7734" w14:paraId="2EDCE19A" w14:textId="77777777" w:rsidTr="009A36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B92E5"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EF1AF4"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5E9F295" w14:textId="77777777" w:rsidR="0013047D" w:rsidRPr="007F7734" w:rsidRDefault="0013047D" w:rsidP="009A362C">
            <w:pPr>
              <w:spacing w:after="0" w:line="240" w:lineRule="auto"/>
              <w:jc w:val="both"/>
              <w:rPr>
                <w:rFonts w:ascii="Times New Roman" w:eastAsia="Times New Roman" w:hAnsi="Times New Roman" w:cs="Times New Roman"/>
                <w:iCs/>
                <w:sz w:val="24"/>
                <w:szCs w:val="24"/>
                <w:lang w:eastAsia="lv-LV"/>
              </w:rPr>
            </w:pPr>
            <w:bookmarkStart w:id="3" w:name="_Hlk48047485"/>
            <w:r w:rsidRPr="007F7734">
              <w:rPr>
                <w:rFonts w:ascii="Times New Roman" w:eastAsia="Times New Roman" w:hAnsi="Times New Roman" w:cs="Times New Roman"/>
                <w:sz w:val="24"/>
                <w:szCs w:val="24"/>
                <w:lang w:eastAsia="lv-LV"/>
              </w:rPr>
              <w:t xml:space="preserve">Likumprojekts </w:t>
            </w:r>
            <w:r w:rsidRPr="007F7734">
              <w:rPr>
                <w:rFonts w:ascii="Times New Roman" w:eastAsia="Times New Roman" w:hAnsi="Times New Roman" w:cs="Times New Roman"/>
                <w:iCs/>
                <w:sz w:val="24"/>
                <w:szCs w:val="24"/>
                <w:lang w:eastAsia="lv-LV"/>
              </w:rPr>
              <w:t>sagatavots, pamatojoties uz:</w:t>
            </w:r>
          </w:p>
          <w:p w14:paraId="5B0C265A" w14:textId="77777777" w:rsidR="0013047D" w:rsidRPr="007F7734" w:rsidRDefault="0013047D" w:rsidP="0013047D">
            <w:pPr>
              <w:pStyle w:val="ListParagraph"/>
              <w:numPr>
                <w:ilvl w:val="0"/>
                <w:numId w:val="2"/>
              </w:num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F7734">
              <w:rPr>
                <w:rFonts w:ascii="Times New Roman" w:eastAsia="Times New Roman" w:hAnsi="Times New Roman" w:cs="Times New Roman"/>
                <w:iCs/>
                <w:sz w:val="24"/>
                <w:szCs w:val="24"/>
                <w:lang w:eastAsia="lv-LV"/>
              </w:rPr>
              <w:t>grozījumiem Valsts sociālo pabalstu likuma 13.pantā, kas sagatavoti, lai nodrošinātu 2020.gada 9.jūlija Latvijas Republikas Satversmes tiesas spriedumu lietā Nr.2019-27-03</w:t>
            </w:r>
            <w:bookmarkEnd w:id="3"/>
            <w:r w:rsidRPr="007F7734">
              <w:rPr>
                <w:rFonts w:ascii="Times New Roman" w:eastAsia="Times New Roman" w:hAnsi="Times New Roman" w:cs="Times New Roman"/>
                <w:iCs/>
                <w:sz w:val="24"/>
                <w:szCs w:val="24"/>
                <w:lang w:eastAsia="lv-LV"/>
              </w:rPr>
              <w:t xml:space="preserve"> </w:t>
            </w:r>
            <w:r w:rsidRPr="007F7734">
              <w:rPr>
                <w:rFonts w:ascii="Times New Roman" w:hAnsi="Times New Roman" w:cs="Times New Roman"/>
                <w:iCs/>
                <w:sz w:val="24"/>
                <w:szCs w:val="24"/>
              </w:rPr>
              <w:t>“Par Ministru kabineta 2009.gada 22.decembra noteikumu Nr.1605 "Noteikumi par valsts sociālā nodrošinājuma pabalsta un apbedīšanas pabalsta apmēru, tā pārskatīšanas kārtību un pabalstu piešķiršanas un izmaksas kārtību" 2.punkta atbilstību Latvijas Republikas Satversmes 1.pantam, 91.panta otrajam teikumam un 109.pantam” (turpmāk – Satversmes tiesas spriedums</w:t>
            </w:r>
            <w:r w:rsidRPr="007F7734">
              <w:rPr>
                <w:rFonts w:eastAsia="Calibri"/>
                <w:sz w:val="24"/>
                <w:szCs w:val="24"/>
              </w:rPr>
              <w:t xml:space="preserve"> </w:t>
            </w:r>
            <w:r w:rsidRPr="007F7734">
              <w:rPr>
                <w:rFonts w:ascii="Times New Roman" w:eastAsia="Calibri" w:hAnsi="Times New Roman" w:cs="Times New Roman"/>
                <w:sz w:val="24"/>
                <w:szCs w:val="24"/>
              </w:rPr>
              <w:t>lieta Nr.2019-27-03</w:t>
            </w:r>
            <w:r w:rsidRPr="007F7734">
              <w:rPr>
                <w:rFonts w:ascii="Times New Roman" w:hAnsi="Times New Roman" w:cs="Times New Roman"/>
                <w:iCs/>
                <w:sz w:val="24"/>
                <w:szCs w:val="24"/>
              </w:rPr>
              <w:t xml:space="preserve">), </w:t>
            </w:r>
            <w:r w:rsidRPr="007F7734">
              <w:rPr>
                <w:rFonts w:ascii="Times New Roman" w:eastAsia="Times New Roman" w:hAnsi="Times New Roman" w:cs="Times New Roman"/>
                <w:iCs/>
                <w:sz w:val="24"/>
                <w:szCs w:val="24"/>
                <w:lang w:eastAsia="lv-LV"/>
              </w:rPr>
              <w:t>ar kuru Ministru kabineta 2009.gada 22.decembra noteikumu Nr.1605 “Noteikumi par valsts sociālā nodrošinājuma pabalsta un apbedīšanas pabalsta apmēru, tā pārskatīšanas kārtību un pabalstu piešķiršanas un izmaksas kārtību” 2.punktu, ciktāl tas nosaka valsts sociālā nodrošinājuma pabalsta apmēru nenodarbinātām personām ar invaliditāti un senioriem, atzīts par neatbilstošu Latvijas Republikas Satversmes 1., 91. un 109.pantam un spēkā neesošu no 2021. gada 1.janvāra;</w:t>
            </w:r>
          </w:p>
          <w:p w14:paraId="7C283DEF" w14:textId="23B03948" w:rsidR="0013047D" w:rsidRPr="007F7734" w:rsidRDefault="0013047D" w:rsidP="0013047D">
            <w:pPr>
              <w:pStyle w:val="ListParagraph"/>
              <w:numPr>
                <w:ilvl w:val="0"/>
                <w:numId w:val="2"/>
              </w:num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F7734">
              <w:rPr>
                <w:rFonts w:ascii="Times New Roman" w:eastAsia="Times New Roman" w:hAnsi="Times New Roman" w:cs="Times New Roman"/>
                <w:sz w:val="24"/>
                <w:szCs w:val="24"/>
                <w:lang w:eastAsia="lv-LV"/>
              </w:rPr>
              <w:lastRenderedPageBreak/>
              <w:t>Ministru kabineta 2020.gada 22.septembra sēdē atbalstīto informatīvo ziņojumu “Informatīvais ziņojums “Par priekšlikumiem valsts budžeta ieņēmumiem un izdevumiem 2021.gadam un ietvaram 2021.–2023.gadam”</w:t>
            </w:r>
            <w:r w:rsidR="00C3788F" w:rsidRPr="007F7734">
              <w:rPr>
                <w:rFonts w:ascii="Times New Roman" w:eastAsia="Times New Roman" w:hAnsi="Times New Roman" w:cs="Times New Roman"/>
                <w:sz w:val="24"/>
                <w:szCs w:val="24"/>
                <w:lang w:eastAsia="lv-LV"/>
              </w:rPr>
              <w:t>.</w:t>
            </w:r>
          </w:p>
        </w:tc>
      </w:tr>
      <w:tr w:rsidR="0013047D" w:rsidRPr="007F7734" w14:paraId="60B06361" w14:textId="77777777" w:rsidTr="009A36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C79A73" w14:textId="715C5E0D"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lastRenderedPageBreak/>
              <w:t xml:space="preserve"> </w:t>
            </w:r>
            <w:r w:rsidR="00DB2B18" w:rsidRPr="007F7734">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7D0EE3"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06B0DD88"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4A2F4D53"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13B6355C"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5029B37B" w14:textId="77777777" w:rsidR="0013047D" w:rsidRPr="007F7734" w:rsidRDefault="0013047D" w:rsidP="009A362C">
            <w:pPr>
              <w:tabs>
                <w:tab w:val="left" w:pos="2085"/>
              </w:tabs>
              <w:spacing w:line="240" w:lineRule="auto"/>
              <w:rPr>
                <w:rFonts w:ascii="Times New Roman" w:eastAsia="Times New Roman" w:hAnsi="Times New Roman" w:cs="Times New Roman"/>
                <w:sz w:val="24"/>
                <w:szCs w:val="24"/>
                <w:lang w:eastAsia="lv-LV"/>
              </w:rPr>
            </w:pPr>
            <w:r w:rsidRPr="007F7734">
              <w:rPr>
                <w:rFonts w:ascii="Times New Roman" w:eastAsia="Times New Roman" w:hAnsi="Times New Roman" w:cs="Times New Roman"/>
                <w:sz w:val="24"/>
                <w:szCs w:val="24"/>
                <w:lang w:eastAsia="lv-LV"/>
              </w:rPr>
              <w:tab/>
            </w:r>
          </w:p>
          <w:p w14:paraId="6AD76433" w14:textId="77777777" w:rsidR="0013047D" w:rsidRPr="007F7734" w:rsidRDefault="0013047D" w:rsidP="009A362C">
            <w:pPr>
              <w:tabs>
                <w:tab w:val="left" w:pos="2085"/>
              </w:tabs>
              <w:spacing w:line="240" w:lineRule="auto"/>
              <w:rPr>
                <w:rFonts w:ascii="Times New Roman" w:eastAsia="Times New Roman" w:hAnsi="Times New Roman" w:cs="Times New Roman"/>
                <w:sz w:val="24"/>
                <w:szCs w:val="24"/>
                <w:lang w:eastAsia="lv-LV"/>
              </w:rPr>
            </w:pPr>
            <w:r w:rsidRPr="007F7734">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642BF5A8" w14:textId="77777777" w:rsidR="0013047D" w:rsidRPr="007F7734" w:rsidRDefault="0013047D" w:rsidP="009A362C">
            <w:pPr>
              <w:tabs>
                <w:tab w:val="left" w:pos="567"/>
              </w:tabs>
              <w:spacing w:after="120" w:line="240" w:lineRule="auto"/>
              <w:contextualSpacing/>
              <w:jc w:val="both"/>
              <w:rPr>
                <w:rFonts w:ascii="Times New Roman" w:eastAsia="Times New Roman" w:hAnsi="Times New Roman" w:cs="Times New Roman"/>
                <w:sz w:val="24"/>
                <w:szCs w:val="24"/>
                <w:lang w:eastAsia="lv-LV"/>
              </w:rPr>
            </w:pPr>
            <w:r w:rsidRPr="007F7734">
              <w:rPr>
                <w:rFonts w:ascii="Times New Roman" w:eastAsia="Times New Roman" w:hAnsi="Times New Roman" w:cs="Times New Roman"/>
                <w:sz w:val="24"/>
                <w:szCs w:val="24"/>
                <w:lang w:eastAsia="lv-LV"/>
              </w:rPr>
              <w:t xml:space="preserve">Černobiļas atomelektrostacijas un Černobiļas atomelektrostacijas avārijas rezultātā cietušo personu sociālās aizsardzības likums (turpmāk - ČAES likums) nosaka, ka Černobiļas atomelektrostacijas (turpmāk – ČAES) avārijas seku likvidēšanas dalībniekam — ja viņam ir noteikta invaliditātes cēloņsakarība ar Černobiļas atomelektrostacijas avārijas seku likvidēšanas darbu veikšanu, un viņa nāves gadījumā,  ČAES avārijas seku likvidēšanas dalībnieku ģimenei, ir tiesības uz valsts sociālo pabalstu.  Saskaņā ar ČAES likuma 11.panta otro daļu valsts sociālā pabalsta apmēru, tā pārskatīšanas un saņemšanas kārtību nosaka šis likums un Ministru kabinets, savukārt šā panta ceturtā daļa  nosaka, ka valsts sociālā pabalsta apmērs nedrīkst būt mazāks par valsts sociālā nodrošinājuma pabalstu. Šobrīd valsts sociālā pabalsta apmērs atbilstoši Ministru kabineta 2010.gada 30.novembra </w:t>
            </w:r>
            <w:r w:rsidRPr="007F7734">
              <w:rPr>
                <w:rFonts w:ascii="Times New Roman" w:eastAsia="Calibri" w:hAnsi="Times New Roman" w:cs="Times New Roman"/>
                <w:sz w:val="24"/>
                <w:szCs w:val="24"/>
              </w:rPr>
              <w:t xml:space="preserve">noteikumiem </w:t>
            </w:r>
            <w:hyperlink r:id="rId7" w:history="1">
              <w:r w:rsidRPr="007F7734">
                <w:rPr>
                  <w:rFonts w:ascii="Times New Roman" w:eastAsia="Calibri" w:hAnsi="Times New Roman" w:cs="Times New Roman"/>
                  <w:sz w:val="24"/>
                  <w:szCs w:val="24"/>
                </w:rPr>
                <w:t>Nr.1077 “Noteikumi par valsts sociālo pabalstu Černobiļas atomelektrostacijas avārijas seku likvidēšanas dalībniekiem un mirušo Černobiļas atomelektrostacijas avārijas seku likvidēšanas dalībnieku ģimenēm</w:t>
              </w:r>
            </w:hyperlink>
            <w:r w:rsidRPr="007F7734">
              <w:rPr>
                <w:rFonts w:ascii="Times New Roman" w:eastAsia="Calibri" w:hAnsi="Times New Roman" w:cs="Times New Roman"/>
                <w:sz w:val="24"/>
                <w:szCs w:val="24"/>
              </w:rPr>
              <w:t>” (turpmāk – MK noteikumi Nr.1077)</w:t>
            </w:r>
            <w:r w:rsidRPr="007F7734">
              <w:rPr>
                <w:rFonts w:ascii="Times New Roman" w:eastAsia="Times New Roman" w:hAnsi="Times New Roman" w:cs="Times New Roman"/>
                <w:sz w:val="24"/>
                <w:szCs w:val="24"/>
                <w:lang w:eastAsia="lv-LV"/>
              </w:rPr>
              <w:t xml:space="preserve"> ir 100 </w:t>
            </w:r>
            <w:proofErr w:type="spellStart"/>
            <w:r w:rsidRPr="007F7734">
              <w:rPr>
                <w:rFonts w:ascii="Times New Roman" w:eastAsia="Times New Roman" w:hAnsi="Times New Roman" w:cs="Times New Roman"/>
                <w:i/>
                <w:sz w:val="24"/>
                <w:szCs w:val="24"/>
                <w:lang w:eastAsia="lv-LV"/>
              </w:rPr>
              <w:t>euro</w:t>
            </w:r>
            <w:proofErr w:type="spellEnd"/>
            <w:r w:rsidRPr="007F7734">
              <w:rPr>
                <w:rFonts w:ascii="Times New Roman" w:eastAsia="Times New Roman" w:hAnsi="Times New Roman" w:cs="Times New Roman"/>
                <w:sz w:val="24"/>
                <w:szCs w:val="24"/>
                <w:lang w:eastAsia="lv-LV"/>
              </w:rPr>
              <w:t xml:space="preserve"> mēnesī. Valsts sociālā pabalsta izmaksu veic Valsts sociālās apdrošināšanas aģentūra (turpmāk – VSAA).</w:t>
            </w:r>
          </w:p>
          <w:p w14:paraId="057C1510" w14:textId="77777777" w:rsidR="0013047D" w:rsidRPr="007F7734" w:rsidRDefault="0013047D" w:rsidP="009A362C">
            <w:pPr>
              <w:spacing w:after="0" w:line="240" w:lineRule="auto"/>
              <w:jc w:val="both"/>
              <w:rPr>
                <w:rFonts w:ascii="Times New Roman" w:eastAsia="Times New Roman" w:hAnsi="Times New Roman" w:cs="Times New Roman"/>
                <w:bCs/>
                <w:sz w:val="24"/>
                <w:szCs w:val="24"/>
                <w:lang w:eastAsia="ar-SA"/>
              </w:rPr>
            </w:pPr>
            <w:r w:rsidRPr="007F7734">
              <w:rPr>
                <w:rFonts w:ascii="Times New Roman" w:eastAsia="Times New Roman" w:hAnsi="Times New Roman" w:cs="Times New Roman"/>
                <w:bCs/>
                <w:sz w:val="24"/>
                <w:szCs w:val="24"/>
                <w:lang w:eastAsia="ar-SA"/>
              </w:rPr>
              <w:t xml:space="preserve">Atbilstoši Labklājības ministrijas sagatavotajam likumprojektam “Grozījumi Valsts sociālo pabalstu likumā”, ar 2021.gadu plānots paaugstināt valsts sociālā nodrošinājuma pabalsta apmēru, piesaistot to Centrālās statistikas pārvaldes pārskata gadā tīmekļa vietnē  publicētās mājsaimniecību rīcībā esošās ienākumu mediānai uz vienu ekvivalento patērētāju. Līdz ar to minimālie ienākumu sliekšņi tiks noteikti procentuālā izteiksmē pret Latvijas iedzīvotāju ienākumu mediānu, kas 2018.gadā bija 544,41 </w:t>
            </w:r>
            <w:proofErr w:type="spellStart"/>
            <w:r w:rsidRPr="007F7734">
              <w:rPr>
                <w:rFonts w:ascii="Times New Roman" w:eastAsia="Times New Roman" w:hAnsi="Times New Roman" w:cs="Times New Roman"/>
                <w:bCs/>
                <w:i/>
                <w:sz w:val="24"/>
                <w:szCs w:val="24"/>
                <w:lang w:eastAsia="ar-SA"/>
              </w:rPr>
              <w:t>euro</w:t>
            </w:r>
            <w:proofErr w:type="spellEnd"/>
            <w:r w:rsidRPr="007F7734">
              <w:rPr>
                <w:rFonts w:ascii="Times New Roman" w:eastAsia="Times New Roman" w:hAnsi="Times New Roman" w:cs="Times New Roman"/>
                <w:bCs/>
                <w:sz w:val="24"/>
                <w:szCs w:val="24"/>
                <w:lang w:eastAsia="ar-SA"/>
              </w:rPr>
              <w:t xml:space="preserve"> un tie būs atšķirīgi personām, kuras sasniegušas vecuma pensijas piešķiršanai nepieciešamo vecumu un kurām nav tiesību uz valsts pensiju, un personām ar invaliditāti, t.sk., atkarībā no nodarbinātības fakta.</w:t>
            </w:r>
          </w:p>
          <w:p w14:paraId="0440B0ED" w14:textId="77777777" w:rsidR="0013047D" w:rsidRPr="007F7734" w:rsidRDefault="0013047D" w:rsidP="009A362C">
            <w:pPr>
              <w:spacing w:line="240" w:lineRule="auto"/>
              <w:contextualSpacing/>
              <w:jc w:val="both"/>
              <w:rPr>
                <w:rFonts w:ascii="Times New Roman" w:eastAsia="Calibri" w:hAnsi="Times New Roman" w:cs="Times New Roman"/>
                <w:iCs/>
                <w:sz w:val="24"/>
                <w:szCs w:val="24"/>
              </w:rPr>
            </w:pPr>
            <w:r w:rsidRPr="007F7734">
              <w:rPr>
                <w:rFonts w:ascii="Times New Roman" w:eastAsia="Calibri" w:hAnsi="Times New Roman" w:cs="Times New Roman"/>
                <w:sz w:val="24"/>
                <w:szCs w:val="24"/>
              </w:rPr>
              <w:t xml:space="preserve">Valsts sociālā </w:t>
            </w:r>
            <w:r w:rsidRPr="007F7734">
              <w:rPr>
                <w:rFonts w:ascii="Times New Roman" w:eastAsia="Calibri" w:hAnsi="Times New Roman" w:cs="Times New Roman"/>
                <w:iCs/>
                <w:sz w:val="24"/>
                <w:szCs w:val="24"/>
              </w:rPr>
              <w:t xml:space="preserve">nodrošinājuma pabalsta apmērs vecuma gadījumā un personām ar invaliditāti vispārējā gadījumā, būs 20 % no ienākumu mediānas (109 </w:t>
            </w:r>
            <w:proofErr w:type="spellStart"/>
            <w:r w:rsidRPr="007F7734">
              <w:rPr>
                <w:rFonts w:ascii="Times New Roman" w:eastAsia="Calibri" w:hAnsi="Times New Roman" w:cs="Times New Roman"/>
                <w:i/>
                <w:iCs/>
                <w:sz w:val="24"/>
                <w:szCs w:val="24"/>
              </w:rPr>
              <w:t>euro</w:t>
            </w:r>
            <w:proofErr w:type="spellEnd"/>
            <w:r w:rsidRPr="007F7734">
              <w:rPr>
                <w:rFonts w:ascii="Times New Roman" w:eastAsia="Calibri" w:hAnsi="Times New Roman" w:cs="Times New Roman"/>
                <w:iCs/>
                <w:sz w:val="24"/>
                <w:szCs w:val="24"/>
              </w:rPr>
              <w:t>), attiecīgi personām ar I un II invaliditātes grupu valsts sociālā nodrošinājuma pabalstam piemērojot  koeficientu 1,4 - I grupai un 1,2 - II grupai.</w:t>
            </w:r>
          </w:p>
          <w:p w14:paraId="40D02AB8" w14:textId="77777777" w:rsidR="0013047D" w:rsidRPr="007F7734" w:rsidRDefault="0013047D" w:rsidP="009A362C">
            <w:pPr>
              <w:spacing w:after="0" w:line="240" w:lineRule="auto"/>
              <w:jc w:val="both"/>
              <w:rPr>
                <w:rFonts w:ascii="Times New Roman" w:hAnsi="Times New Roman" w:cs="Times New Roman"/>
                <w:sz w:val="24"/>
                <w:szCs w:val="24"/>
                <w:shd w:val="clear" w:color="auto" w:fill="FFFFFF"/>
              </w:rPr>
            </w:pPr>
            <w:r w:rsidRPr="007F7734">
              <w:rPr>
                <w:rFonts w:ascii="Times New Roman" w:eastAsia="Times New Roman" w:hAnsi="Times New Roman" w:cs="Times New Roman"/>
                <w:bCs/>
                <w:sz w:val="24"/>
                <w:szCs w:val="24"/>
                <w:lang w:eastAsia="ar-SA"/>
              </w:rPr>
              <w:lastRenderedPageBreak/>
              <w:t xml:space="preserve">Lai arī  ČAES </w:t>
            </w:r>
            <w:r w:rsidRPr="007F7734">
              <w:rPr>
                <w:rFonts w:ascii="Times New Roman" w:eastAsia="Times New Roman" w:hAnsi="Times New Roman" w:cs="Times New Roman"/>
                <w:sz w:val="24"/>
                <w:szCs w:val="24"/>
                <w:lang w:eastAsia="lv-LV"/>
              </w:rPr>
              <w:t xml:space="preserve">avārijas seku likvidēšanas dalībniekam tiesības uz valsts sociālo pabalstu ir tikai gadījumā, ja viņam ir noteikta invaliditāte, tad </w:t>
            </w:r>
            <w:r w:rsidRPr="007F7734">
              <w:rPr>
                <w:rFonts w:ascii="Times New Roman" w:hAnsi="Times New Roman" w:cs="Times New Roman"/>
                <w:sz w:val="24"/>
                <w:szCs w:val="24"/>
                <w:shd w:val="clear" w:color="auto" w:fill="FFFFFF"/>
              </w:rPr>
              <w:t xml:space="preserve">mirušā ČAES avārijas seku likvidēšanas dalībnieka ģimenei šāda prasība nav noteikta. </w:t>
            </w:r>
          </w:p>
          <w:p w14:paraId="0D03BEA5" w14:textId="77777777" w:rsidR="0013047D" w:rsidRPr="007F7734" w:rsidRDefault="0013047D" w:rsidP="009A362C">
            <w:pPr>
              <w:spacing w:after="0" w:line="240" w:lineRule="auto"/>
              <w:jc w:val="both"/>
              <w:rPr>
                <w:rFonts w:ascii="Times New Roman" w:eastAsia="Times New Roman" w:hAnsi="Times New Roman" w:cs="Times New Roman"/>
                <w:bCs/>
                <w:sz w:val="24"/>
                <w:szCs w:val="24"/>
                <w:lang w:eastAsia="ar-SA"/>
              </w:rPr>
            </w:pPr>
            <w:r w:rsidRPr="007F7734">
              <w:rPr>
                <w:rFonts w:ascii="Times New Roman" w:eastAsia="Times New Roman" w:hAnsi="Times New Roman" w:cs="Times New Roman"/>
                <w:bCs/>
                <w:sz w:val="24"/>
                <w:szCs w:val="24"/>
                <w:lang w:eastAsia="ar-SA"/>
              </w:rPr>
              <w:t xml:space="preserve">Ņemot vērā iepriekš minēto, likumprojekts paredz noteikt, ka no 2021.gada 1.janvāra </w:t>
            </w:r>
            <w:r w:rsidRPr="007F7734">
              <w:rPr>
                <w:rFonts w:ascii="Times New Roman" w:eastAsia="Times New Roman" w:hAnsi="Times New Roman" w:cs="Times New Roman"/>
                <w:sz w:val="24"/>
                <w:szCs w:val="24"/>
                <w:lang w:eastAsia="lv-LV"/>
              </w:rPr>
              <w:t>v</w:t>
            </w:r>
            <w:r w:rsidRPr="007F7734">
              <w:rPr>
                <w:rFonts w:ascii="Times New Roman" w:hAnsi="Times New Roman" w:cs="Times New Roman"/>
                <w:sz w:val="24"/>
                <w:szCs w:val="24"/>
                <w:shd w:val="clear" w:color="auto" w:fill="FFFFFF"/>
              </w:rPr>
              <w:t>alsts sociālā pabalsta ČAES avārijas seku likvidēšanas dalībniekam un mirušā ČAES avārijas seku likvidēšanas dalībnieka ģimenei apmērs ir valsts sociālā nodrošinājuma pabalsta apmērā, kāds tas ir noteikts Valsts sociālo pabalstu likuma 13.panta pirmās daļas 1.punktā minētajām personām</w:t>
            </w:r>
            <w:r w:rsidRPr="007F7734">
              <w:rPr>
                <w:rFonts w:ascii="Times New Roman" w:eastAsia="Times New Roman" w:hAnsi="Times New Roman" w:cs="Times New Roman"/>
                <w:bCs/>
                <w:sz w:val="24"/>
                <w:szCs w:val="24"/>
                <w:lang w:eastAsia="ar-SA"/>
              </w:rPr>
              <w:t xml:space="preserve"> (109 </w:t>
            </w:r>
            <w:proofErr w:type="spellStart"/>
            <w:r w:rsidRPr="007F7734">
              <w:rPr>
                <w:rFonts w:ascii="Times New Roman" w:eastAsia="Times New Roman" w:hAnsi="Times New Roman" w:cs="Times New Roman"/>
                <w:bCs/>
                <w:i/>
                <w:sz w:val="24"/>
                <w:szCs w:val="24"/>
                <w:lang w:eastAsia="ar-SA"/>
              </w:rPr>
              <w:t>euro</w:t>
            </w:r>
            <w:proofErr w:type="spellEnd"/>
            <w:r w:rsidRPr="007F7734">
              <w:rPr>
                <w:rFonts w:ascii="Times New Roman" w:eastAsia="Times New Roman" w:hAnsi="Times New Roman" w:cs="Times New Roman"/>
                <w:bCs/>
                <w:sz w:val="24"/>
                <w:szCs w:val="24"/>
                <w:lang w:eastAsia="ar-SA"/>
              </w:rPr>
              <w:t>).</w:t>
            </w:r>
          </w:p>
          <w:p w14:paraId="63B585B3" w14:textId="29B1A6F9" w:rsidR="0013047D" w:rsidRPr="007F7734" w:rsidRDefault="0013047D" w:rsidP="009A362C">
            <w:pPr>
              <w:spacing w:after="0" w:line="240" w:lineRule="auto"/>
              <w:jc w:val="both"/>
              <w:rPr>
                <w:rFonts w:ascii="Times New Roman" w:hAnsi="Times New Roman" w:cs="Times New Roman"/>
                <w:sz w:val="24"/>
                <w:szCs w:val="24"/>
              </w:rPr>
            </w:pPr>
            <w:r w:rsidRPr="007F7734">
              <w:rPr>
                <w:rFonts w:ascii="Times New Roman" w:eastAsia="Times New Roman" w:hAnsi="Times New Roman" w:cs="Times New Roman"/>
                <w:iCs/>
                <w:sz w:val="24"/>
                <w:szCs w:val="24"/>
                <w:lang w:eastAsia="lv-LV"/>
              </w:rPr>
              <w:t>Lai nodrošinātu</w:t>
            </w:r>
            <w:r w:rsidR="006D0536" w:rsidRPr="007F7734">
              <w:rPr>
                <w:rFonts w:ascii="Times New Roman" w:eastAsia="Times New Roman" w:hAnsi="Times New Roman" w:cs="Times New Roman"/>
                <w:iCs/>
                <w:sz w:val="24"/>
                <w:szCs w:val="24"/>
                <w:lang w:eastAsia="lv-LV"/>
              </w:rPr>
              <w:t xml:space="preserve"> valsts sociālā pabalsta </w:t>
            </w:r>
            <w:r w:rsidRPr="007F7734">
              <w:rPr>
                <w:rFonts w:ascii="Times New Roman" w:eastAsia="Times New Roman" w:hAnsi="Times New Roman" w:cs="Times New Roman"/>
                <w:iCs/>
                <w:sz w:val="24"/>
                <w:szCs w:val="24"/>
                <w:lang w:eastAsia="lv-LV"/>
              </w:rPr>
              <w:t xml:space="preserve">izmaksu jaunajā apmērā, </w:t>
            </w:r>
            <w:r w:rsidRPr="007F7734">
              <w:rPr>
                <w:rFonts w:ascii="Times New Roman" w:hAnsi="Times New Roman" w:cs="Times New Roman"/>
                <w:sz w:val="24"/>
                <w:szCs w:val="24"/>
              </w:rPr>
              <w:t>VSAA ir nepieciešams veikt izmaiņas informācijas sistēmā (IS), ka</w:t>
            </w:r>
            <w:r w:rsidR="00BD4157" w:rsidRPr="007F7734">
              <w:rPr>
                <w:rFonts w:ascii="Times New Roman" w:hAnsi="Times New Roman" w:cs="Times New Roman"/>
                <w:sz w:val="24"/>
                <w:szCs w:val="24"/>
              </w:rPr>
              <w:t>m</w:t>
            </w:r>
            <w:r w:rsidRPr="007F7734">
              <w:rPr>
                <w:rFonts w:ascii="Times New Roman" w:hAnsi="Times New Roman" w:cs="Times New Roman"/>
                <w:sz w:val="24"/>
                <w:szCs w:val="24"/>
              </w:rPr>
              <w:t xml:space="preserve"> ir nepieciešams laiks. </w:t>
            </w:r>
            <w:r w:rsidRPr="007F7734">
              <w:t xml:space="preserve"> </w:t>
            </w:r>
            <w:r w:rsidRPr="007F7734">
              <w:rPr>
                <w:rFonts w:ascii="Times New Roman" w:hAnsi="Times New Roman" w:cs="Times New Roman"/>
                <w:sz w:val="24"/>
                <w:szCs w:val="24"/>
              </w:rPr>
              <w:t>Līdz ar to likumprojekts paredz, ka no 2021.gada 1.janvāra līdz 2021.gada 30.aprīlim valsts sociālā pabalstu piešķirs un izmaksās tādā apmērā, kā to noteica normatīvais regulējums līdz 2020.gada 31.decembrim, savukārt pārrēķinu un valsts sociālā pabalsta starpības izmaksu par periodu no 1.janvāra līdz 30.aprīlim VSAA nodrošinās līdz 2021.gada 1.jūnijam.</w:t>
            </w:r>
          </w:p>
          <w:p w14:paraId="45D701FD" w14:textId="77777777" w:rsidR="0013047D" w:rsidRPr="007F7734" w:rsidRDefault="0013047D" w:rsidP="009A362C">
            <w:pPr>
              <w:spacing w:after="0" w:line="240" w:lineRule="auto"/>
              <w:jc w:val="both"/>
              <w:rPr>
                <w:rFonts w:ascii="Times New Roman" w:eastAsia="Times New Roman" w:hAnsi="Times New Roman" w:cs="Times New Roman"/>
                <w:bCs/>
                <w:sz w:val="24"/>
                <w:szCs w:val="24"/>
                <w:lang w:eastAsia="ar-SA"/>
              </w:rPr>
            </w:pPr>
            <w:r w:rsidRPr="007F7734">
              <w:rPr>
                <w:rFonts w:ascii="Times New Roman" w:eastAsia="Times New Roman" w:hAnsi="Times New Roman" w:cs="Times New Roman"/>
                <w:bCs/>
                <w:sz w:val="24"/>
                <w:szCs w:val="24"/>
                <w:lang w:eastAsia="ar-SA"/>
              </w:rPr>
              <w:t>MK noteikumu Nr.1077 3.punkts nosaka, ka valsts sociālo pabalsta apmēru pārskata Ministru kabinets pēc labklājības ministra ierosinājuma atbilstoši valsts budžeta iespējām, izvērtējot ekonomisko situāciju valstī un ņemot vērā Centrālās statistikas pārvaldes aprēķināto strādājošo mēneša vidējās bruto darba samaksas pieaugumu.</w:t>
            </w:r>
          </w:p>
          <w:p w14:paraId="64741835" w14:textId="236BB511" w:rsidR="0013047D" w:rsidRPr="007F7734" w:rsidRDefault="0013047D" w:rsidP="009A362C">
            <w:pPr>
              <w:spacing w:after="0" w:line="240" w:lineRule="auto"/>
              <w:jc w:val="both"/>
              <w:rPr>
                <w:rFonts w:ascii="Times New Roman" w:hAnsi="Times New Roman" w:cs="Times New Roman"/>
                <w:sz w:val="24"/>
                <w:szCs w:val="24"/>
              </w:rPr>
            </w:pPr>
            <w:r w:rsidRPr="007F7734">
              <w:rPr>
                <w:rFonts w:ascii="Times New Roman" w:eastAsia="Times New Roman" w:hAnsi="Times New Roman" w:cs="Times New Roman"/>
                <w:iCs/>
                <w:sz w:val="24"/>
                <w:szCs w:val="24"/>
                <w:lang w:eastAsia="lv-LV"/>
              </w:rPr>
              <w:t xml:space="preserve">Lai nodrošinātu Satversmes tiesas sprieduma lietā Nr.2019-27-03 īstenošanu, vienlaikus tiek veikti  grozījumi likumā “Par sociālo drošību”, kuri paredz noteikt metodoloģisko ietvaru minimālo ienākumu sliekšņu noteikšanā, tostarp </w:t>
            </w:r>
            <w:r w:rsidR="00EB35E2" w:rsidRPr="007F7734">
              <w:rPr>
                <w:rFonts w:ascii="Times New Roman" w:eastAsia="Times New Roman" w:hAnsi="Times New Roman" w:cs="Times New Roman"/>
                <w:iCs/>
                <w:sz w:val="24"/>
                <w:szCs w:val="24"/>
                <w:lang w:eastAsia="lv-LV"/>
              </w:rPr>
              <w:t xml:space="preserve">valsts sociālā </w:t>
            </w:r>
            <w:r w:rsidRPr="007F7734">
              <w:rPr>
                <w:rFonts w:ascii="Times New Roman" w:eastAsia="Times New Roman" w:hAnsi="Times New Roman" w:cs="Times New Roman"/>
                <w:iCs/>
                <w:sz w:val="24"/>
                <w:szCs w:val="24"/>
                <w:lang w:eastAsia="lv-LV"/>
              </w:rPr>
              <w:t>nodrošinājuma pabalsta noteikšanā, paredzot vienotu pieeju to apmēru noteikšanā un pārskatīšanas kārtībā.</w:t>
            </w:r>
            <w:r w:rsidRPr="007F7734">
              <w:rPr>
                <w:rFonts w:ascii="Times New Roman" w:hAnsi="Times New Roman" w:cs="Times New Roman"/>
                <w:sz w:val="24"/>
                <w:szCs w:val="24"/>
              </w:rPr>
              <w:t xml:space="preserve"> Likumprojekts paredz noteikt</w:t>
            </w:r>
            <w:r w:rsidR="00EB35E2" w:rsidRPr="007F7734">
              <w:rPr>
                <w:rFonts w:ascii="Times New Roman" w:hAnsi="Times New Roman" w:cs="Times New Roman"/>
                <w:sz w:val="24"/>
                <w:szCs w:val="24"/>
              </w:rPr>
              <w:t xml:space="preserve"> valsts sociālā</w:t>
            </w:r>
            <w:r w:rsidRPr="007F7734">
              <w:rPr>
                <w:rFonts w:ascii="Times New Roman" w:hAnsi="Times New Roman" w:cs="Times New Roman"/>
                <w:sz w:val="24"/>
                <w:szCs w:val="24"/>
              </w:rPr>
              <w:t xml:space="preserve"> pabalsta pārskatīšanu atbilstoši likum</w:t>
            </w:r>
            <w:r w:rsidR="00EB35E2" w:rsidRPr="007F7734">
              <w:rPr>
                <w:rFonts w:ascii="Times New Roman" w:hAnsi="Times New Roman" w:cs="Times New Roman"/>
                <w:sz w:val="24"/>
                <w:szCs w:val="24"/>
              </w:rPr>
              <w:t>projektā</w:t>
            </w:r>
            <w:r w:rsidRPr="007F7734">
              <w:rPr>
                <w:rFonts w:ascii="Times New Roman" w:hAnsi="Times New Roman" w:cs="Times New Roman"/>
                <w:sz w:val="24"/>
                <w:szCs w:val="24"/>
              </w:rPr>
              <w:t xml:space="preserve"> </w:t>
            </w:r>
            <w:r w:rsidRPr="007F7734">
              <w:rPr>
                <w:rFonts w:ascii="Times New Roman" w:eastAsia="Times New Roman" w:hAnsi="Times New Roman" w:cs="Times New Roman"/>
                <w:iCs/>
                <w:sz w:val="24"/>
                <w:szCs w:val="24"/>
                <w:lang w:eastAsia="lv-LV"/>
              </w:rPr>
              <w:t xml:space="preserve">“Grozījumi likumā </w:t>
            </w:r>
            <w:r w:rsidRPr="007F7734">
              <w:rPr>
                <w:rFonts w:ascii="Times New Roman" w:hAnsi="Times New Roman" w:cs="Times New Roman"/>
                <w:iCs/>
                <w:sz w:val="24"/>
                <w:szCs w:val="24"/>
              </w:rPr>
              <w:t>Par sociālo drošību</w:t>
            </w:r>
            <w:r w:rsidRPr="007F7734">
              <w:rPr>
                <w:rFonts w:ascii="Times New Roman" w:hAnsi="Times New Roman" w:cs="Times New Roman"/>
                <w:i/>
                <w:iCs/>
                <w:sz w:val="24"/>
                <w:szCs w:val="24"/>
              </w:rPr>
              <w:t>”</w:t>
            </w:r>
            <w:r w:rsidRPr="007F7734">
              <w:rPr>
                <w:rFonts w:ascii="Times New Roman" w:hAnsi="Times New Roman" w:cs="Times New Roman"/>
                <w:sz w:val="24"/>
                <w:szCs w:val="24"/>
              </w:rPr>
              <w:t xml:space="preserve"> noteiktajai kārtībai, tādējādi nodrošinot, ka </w:t>
            </w:r>
            <w:r w:rsidR="00BD4157" w:rsidRPr="007F7734">
              <w:rPr>
                <w:rFonts w:ascii="Times New Roman" w:hAnsi="Times New Roman" w:cs="Times New Roman"/>
                <w:sz w:val="24"/>
                <w:szCs w:val="24"/>
              </w:rPr>
              <w:t>valsts sociālais</w:t>
            </w:r>
            <w:r w:rsidRPr="007F7734">
              <w:rPr>
                <w:rFonts w:ascii="Times New Roman" w:hAnsi="Times New Roman" w:cs="Times New Roman"/>
                <w:sz w:val="24"/>
                <w:szCs w:val="24"/>
              </w:rPr>
              <w:t xml:space="preserve"> pabalsts tiks pārskatīts pēc vienotas pieejas un atbilstības sociālekonomiskajai situācijai valstī, sekmējot iedzīvotāju ar zemiem un ļoti zemiem ienākumiem pakāpenisku materiālās situācijas uzlabošanos. </w:t>
            </w:r>
          </w:p>
          <w:p w14:paraId="54D1862A" w14:textId="53ABE847" w:rsidR="0013047D" w:rsidRPr="007F7734" w:rsidRDefault="0013047D" w:rsidP="009A362C">
            <w:pPr>
              <w:spacing w:after="0" w:line="240" w:lineRule="auto"/>
              <w:jc w:val="both"/>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Ņemot vērā iepriekš minēto</w:t>
            </w:r>
            <w:r w:rsidR="006D0536" w:rsidRPr="007F7734">
              <w:rPr>
                <w:rFonts w:ascii="Times New Roman" w:eastAsia="Times New Roman" w:hAnsi="Times New Roman" w:cs="Times New Roman"/>
                <w:iCs/>
                <w:sz w:val="24"/>
                <w:szCs w:val="24"/>
                <w:lang w:eastAsia="lv-LV"/>
              </w:rPr>
              <w:t>,</w:t>
            </w:r>
            <w:r w:rsidRPr="007F7734">
              <w:rPr>
                <w:rFonts w:ascii="Times New Roman" w:eastAsia="Times New Roman" w:hAnsi="Times New Roman" w:cs="Times New Roman"/>
                <w:iCs/>
                <w:sz w:val="24"/>
                <w:szCs w:val="24"/>
                <w:lang w:eastAsia="lv-LV"/>
              </w:rPr>
              <w:t xml:space="preserve"> likumprojekts paredz noteikt, ka valsts sociālo pabalstu  pārskata likumā “Par sociālo drošību” noteiktajā kārtībā. </w:t>
            </w:r>
          </w:p>
          <w:p w14:paraId="0514DC18" w14:textId="04FAC2A4" w:rsidR="0013047D" w:rsidRPr="007F7734" w:rsidRDefault="0013047D" w:rsidP="009A362C">
            <w:pPr>
              <w:spacing w:after="0" w:line="240" w:lineRule="auto"/>
              <w:jc w:val="both"/>
              <w:rPr>
                <w:rFonts w:ascii="Times New Roman" w:hAnsi="Times New Roman" w:cs="Times New Roman"/>
                <w:sz w:val="24"/>
                <w:szCs w:val="24"/>
              </w:rPr>
            </w:pPr>
            <w:r w:rsidRPr="007F7734">
              <w:rPr>
                <w:rFonts w:ascii="Times New Roman" w:eastAsia="Times New Roman" w:hAnsi="Times New Roman" w:cs="Times New Roman"/>
                <w:iCs/>
                <w:sz w:val="24"/>
                <w:szCs w:val="24"/>
                <w:lang w:eastAsia="lv-LV"/>
              </w:rPr>
              <w:t>Tādejādi pēc likumprojekta pieņemšanas Saeimā</w:t>
            </w:r>
            <w:r w:rsidR="006D0536" w:rsidRPr="007F7734">
              <w:rPr>
                <w:rFonts w:ascii="Times New Roman" w:eastAsia="Times New Roman" w:hAnsi="Times New Roman" w:cs="Times New Roman"/>
                <w:iCs/>
                <w:sz w:val="24"/>
                <w:szCs w:val="24"/>
                <w:lang w:eastAsia="lv-LV"/>
              </w:rPr>
              <w:t>,</w:t>
            </w:r>
            <w:r w:rsidRPr="007F7734">
              <w:rPr>
                <w:rFonts w:ascii="Times New Roman" w:eastAsia="Times New Roman" w:hAnsi="Times New Roman" w:cs="Times New Roman"/>
                <w:iCs/>
                <w:sz w:val="24"/>
                <w:szCs w:val="24"/>
                <w:lang w:eastAsia="lv-LV"/>
              </w:rPr>
              <w:t xml:space="preserve"> nepieciešami grozījumi </w:t>
            </w:r>
            <w:r w:rsidR="006D0536" w:rsidRPr="007F7734">
              <w:rPr>
                <w:rFonts w:ascii="Times New Roman" w:eastAsia="Times New Roman" w:hAnsi="Times New Roman" w:cs="Times New Roman"/>
                <w:iCs/>
                <w:sz w:val="24"/>
                <w:szCs w:val="24"/>
                <w:lang w:eastAsia="lv-LV"/>
              </w:rPr>
              <w:t>MK</w:t>
            </w:r>
            <w:r w:rsidRPr="007F7734">
              <w:rPr>
                <w:rFonts w:ascii="Times New Roman" w:eastAsia="Times New Roman" w:hAnsi="Times New Roman" w:cs="Times New Roman"/>
                <w:iCs/>
                <w:sz w:val="24"/>
                <w:szCs w:val="24"/>
                <w:lang w:eastAsia="lv-LV"/>
              </w:rPr>
              <w:t xml:space="preserve">  noteikumos Nr.1077.</w:t>
            </w:r>
          </w:p>
          <w:p w14:paraId="0C4C283D" w14:textId="77777777" w:rsidR="0013047D" w:rsidRPr="007F7734" w:rsidRDefault="0013047D" w:rsidP="009A362C">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13047D" w:rsidRPr="007F7734" w14:paraId="6EA3443A" w14:textId="77777777" w:rsidTr="009A36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17B6B"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48A964"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971BED" w14:textId="77777777" w:rsidR="0013047D" w:rsidRPr="007F7734" w:rsidRDefault="0013047D" w:rsidP="009A362C">
            <w:pPr>
              <w:spacing w:after="0" w:line="240" w:lineRule="auto"/>
              <w:jc w:val="both"/>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Valsts sociālās apdrošināšanas aģentūra (turpmāk VSAA).</w:t>
            </w:r>
          </w:p>
          <w:p w14:paraId="60170838" w14:textId="77777777" w:rsidR="0013047D" w:rsidRPr="007F7734" w:rsidRDefault="0013047D" w:rsidP="009A362C">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3047D" w:rsidRPr="007F7734" w14:paraId="2D7B28EE" w14:textId="77777777" w:rsidTr="009A362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D56E4"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B7B1902"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C7B33B3" w14:textId="77777777" w:rsidR="0013047D" w:rsidRPr="007F7734" w:rsidRDefault="0013047D" w:rsidP="009A362C">
            <w:pPr>
              <w:spacing w:after="0" w:line="240" w:lineRule="auto"/>
              <w:rPr>
                <w:rFonts w:ascii="Times New Roman" w:eastAsia="Times New Roman" w:hAnsi="Times New Roman" w:cs="Times New Roman"/>
                <w:iCs/>
                <w:color w:val="A6A6A6" w:themeColor="background1" w:themeShade="A6"/>
                <w:sz w:val="24"/>
                <w:szCs w:val="24"/>
                <w:lang w:eastAsia="lv-LV"/>
              </w:rPr>
            </w:pPr>
            <w:r w:rsidRPr="007F7734">
              <w:rPr>
                <w:rFonts w:ascii="Times New Roman" w:eastAsia="Times New Roman" w:hAnsi="Times New Roman" w:cs="Times New Roman"/>
                <w:iCs/>
                <w:sz w:val="24"/>
                <w:szCs w:val="24"/>
                <w:lang w:eastAsia="lv-LV"/>
              </w:rPr>
              <w:t>Nav</w:t>
            </w:r>
          </w:p>
        </w:tc>
      </w:tr>
    </w:tbl>
    <w:p w14:paraId="68DDF033"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047D" w:rsidRPr="007F7734" w14:paraId="408EF155" w14:textId="77777777" w:rsidTr="009A36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54C825" w14:textId="77777777" w:rsidR="0013047D" w:rsidRPr="007F7734" w:rsidRDefault="0013047D" w:rsidP="009A362C">
            <w:pPr>
              <w:spacing w:after="0" w:line="240" w:lineRule="auto"/>
              <w:rPr>
                <w:rFonts w:ascii="Times New Roman" w:eastAsia="Times New Roman" w:hAnsi="Times New Roman" w:cs="Times New Roman"/>
                <w:b/>
                <w:bCs/>
                <w:iCs/>
                <w:color w:val="414142"/>
                <w:sz w:val="24"/>
                <w:szCs w:val="24"/>
                <w:lang w:eastAsia="lv-LV"/>
              </w:rPr>
            </w:pPr>
            <w:r w:rsidRPr="007F7734">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13047D" w:rsidRPr="007F7734" w14:paraId="62E62C43"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CD2511"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13D930"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5F7FE25F" w14:textId="77777777" w:rsidR="0013047D" w:rsidRPr="007F7734" w:rsidRDefault="0013047D" w:rsidP="009A362C">
            <w:pPr>
              <w:spacing w:after="0" w:line="240" w:lineRule="auto"/>
              <w:jc w:val="both"/>
              <w:rPr>
                <w:rFonts w:ascii="Times New Roman" w:hAnsi="Times New Roman" w:cs="Times New Roman"/>
                <w:sz w:val="24"/>
                <w:szCs w:val="24"/>
                <w:shd w:val="clear" w:color="auto" w:fill="FFFFFF"/>
              </w:rPr>
            </w:pPr>
            <w:r w:rsidRPr="007F7734">
              <w:rPr>
                <w:rFonts w:ascii="Times New Roman" w:hAnsi="Times New Roman" w:cs="Times New Roman"/>
                <w:sz w:val="24"/>
                <w:szCs w:val="24"/>
                <w:shd w:val="clear" w:color="auto" w:fill="FFFFFF"/>
              </w:rPr>
              <w:t>ČAES seku likvidēšanas dalībnieki un mirušā ČAES avārijas seku likvidēšanas dalībnieka ģimene.</w:t>
            </w:r>
          </w:p>
          <w:p w14:paraId="481C51D8" w14:textId="77777777" w:rsidR="0013047D" w:rsidRPr="007F7734" w:rsidRDefault="0013047D" w:rsidP="009A362C">
            <w:pPr>
              <w:spacing w:after="0" w:line="240" w:lineRule="auto"/>
              <w:jc w:val="both"/>
              <w:rPr>
                <w:rFonts w:ascii="Times New Roman" w:hAnsi="Times New Roman" w:cs="Times New Roman"/>
                <w:sz w:val="24"/>
                <w:szCs w:val="24"/>
                <w:shd w:val="clear" w:color="auto" w:fill="FFFFFF"/>
              </w:rPr>
            </w:pPr>
            <w:r w:rsidRPr="007F7734">
              <w:rPr>
                <w:rFonts w:ascii="Times New Roman" w:eastAsia="Times New Roman" w:hAnsi="Times New Roman" w:cs="Times New Roman"/>
                <w:iCs/>
                <w:noProof/>
                <w:sz w:val="24"/>
                <w:szCs w:val="24"/>
                <w:lang w:eastAsia="lv-LV"/>
              </w:rPr>
              <w:t xml:space="preserve">Saskaņā ar VSAA datiem 2020.gada jūnijā ČAES pabalsts piešķirts 2975 </w:t>
            </w:r>
            <w:r w:rsidRPr="007F7734">
              <w:rPr>
                <w:rFonts w:ascii="Times New Roman" w:hAnsi="Times New Roman" w:cs="Times New Roman"/>
                <w:sz w:val="24"/>
                <w:szCs w:val="24"/>
                <w:shd w:val="clear" w:color="auto" w:fill="FFFFFF"/>
              </w:rPr>
              <w:t xml:space="preserve">ČAES seku likvidēšanas dalībniekiem un </w:t>
            </w:r>
            <w:r w:rsidRPr="007F7734">
              <w:rPr>
                <w:rFonts w:ascii="Times New Roman" w:eastAsia="Times New Roman" w:hAnsi="Times New Roman" w:cs="Times New Roman"/>
                <w:iCs/>
                <w:noProof/>
                <w:sz w:val="24"/>
                <w:szCs w:val="24"/>
                <w:lang w:eastAsia="lv-LV"/>
              </w:rPr>
              <w:t xml:space="preserve"> 146 </w:t>
            </w:r>
            <w:r w:rsidRPr="007F7734">
              <w:rPr>
                <w:rFonts w:ascii="Times New Roman" w:hAnsi="Times New Roman" w:cs="Times New Roman"/>
                <w:sz w:val="24"/>
                <w:szCs w:val="24"/>
                <w:shd w:val="clear" w:color="auto" w:fill="FFFFFF"/>
              </w:rPr>
              <w:t>mirušā ČAES avārijas seku likvidēšanas dalībnieka ģimenes locekļiem.</w:t>
            </w:r>
          </w:p>
          <w:p w14:paraId="017CA490" w14:textId="77777777" w:rsidR="0013047D" w:rsidRPr="007F7734" w:rsidRDefault="0013047D" w:rsidP="009A362C">
            <w:pPr>
              <w:spacing w:after="0" w:line="240" w:lineRule="auto"/>
              <w:jc w:val="both"/>
              <w:rPr>
                <w:rFonts w:ascii="Times New Roman" w:hAnsi="Times New Roman" w:cs="Times New Roman"/>
                <w:sz w:val="24"/>
                <w:szCs w:val="24"/>
                <w:shd w:val="clear" w:color="auto" w:fill="FFFFFF"/>
              </w:rPr>
            </w:pPr>
          </w:p>
          <w:tbl>
            <w:tblPr>
              <w:tblW w:w="0" w:type="auto"/>
              <w:tblInd w:w="605" w:type="dxa"/>
              <w:tblCellMar>
                <w:left w:w="0" w:type="dxa"/>
                <w:right w:w="0" w:type="dxa"/>
              </w:tblCellMar>
              <w:tblLook w:val="04A0" w:firstRow="1" w:lastRow="0" w:firstColumn="1" w:lastColumn="0" w:noHBand="0" w:noVBand="1"/>
            </w:tblPr>
            <w:tblGrid>
              <w:gridCol w:w="1725"/>
              <w:gridCol w:w="2200"/>
            </w:tblGrid>
            <w:tr w:rsidR="0013047D" w:rsidRPr="007F7734" w14:paraId="11E4179F" w14:textId="77777777" w:rsidTr="009A362C">
              <w:trPr>
                <w:trHeight w:val="675"/>
              </w:trPr>
              <w:tc>
                <w:tcPr>
                  <w:tcW w:w="1725" w:type="dxa"/>
                  <w:tcBorders>
                    <w:top w:val="single" w:sz="8" w:space="0" w:color="DDDDDD"/>
                    <w:left w:val="single" w:sz="8" w:space="0" w:color="DDDDDD"/>
                    <w:bottom w:val="single" w:sz="8" w:space="0" w:color="DDDDDD"/>
                    <w:right w:val="single" w:sz="8" w:space="0" w:color="DDDDDD"/>
                  </w:tcBorders>
                  <w:shd w:val="clear" w:color="auto" w:fill="F7F7F7"/>
                  <w:vAlign w:val="center"/>
                  <w:hideMark/>
                </w:tcPr>
                <w:p w14:paraId="25C1DAAB" w14:textId="77777777" w:rsidR="0013047D" w:rsidRPr="007F7734" w:rsidRDefault="0013047D" w:rsidP="009A362C">
                  <w:pPr>
                    <w:spacing w:line="240" w:lineRule="auto"/>
                    <w:jc w:val="center"/>
                    <w:rPr>
                      <w:rFonts w:ascii="Times New Roman" w:hAnsi="Times New Roman" w:cs="Times New Roman"/>
                      <w:color w:val="333333"/>
                      <w:lang w:eastAsia="lv-LV"/>
                    </w:rPr>
                  </w:pPr>
                  <w:r w:rsidRPr="007F7734">
                    <w:rPr>
                      <w:rFonts w:ascii="Times New Roman" w:hAnsi="Times New Roman" w:cs="Times New Roman"/>
                      <w:color w:val="333333"/>
                      <w:lang w:eastAsia="lv-LV"/>
                    </w:rPr>
                    <w:t>Invaliditātes</w:t>
                  </w:r>
                  <w:r w:rsidRPr="007F7734">
                    <w:rPr>
                      <w:rFonts w:ascii="Times New Roman" w:hAnsi="Times New Roman" w:cs="Times New Roman"/>
                      <w:color w:val="333333"/>
                      <w:lang w:eastAsia="lv-LV"/>
                    </w:rPr>
                    <w:br/>
                    <w:t>grupa</w:t>
                  </w:r>
                </w:p>
              </w:tc>
              <w:tc>
                <w:tcPr>
                  <w:tcW w:w="2200" w:type="dxa"/>
                  <w:tcBorders>
                    <w:top w:val="single" w:sz="8" w:space="0" w:color="DDDDDD"/>
                    <w:left w:val="nil"/>
                    <w:bottom w:val="single" w:sz="8" w:space="0" w:color="DDDDDD"/>
                    <w:right w:val="single" w:sz="8" w:space="0" w:color="DDDDDD"/>
                  </w:tcBorders>
                  <w:shd w:val="clear" w:color="auto" w:fill="F7F7F7"/>
                  <w:vAlign w:val="center"/>
                  <w:hideMark/>
                </w:tcPr>
                <w:p w14:paraId="18EE8800" w14:textId="77777777" w:rsidR="0013047D" w:rsidRPr="007F7734" w:rsidRDefault="0013047D" w:rsidP="009A362C">
                  <w:pPr>
                    <w:spacing w:line="240" w:lineRule="auto"/>
                    <w:jc w:val="center"/>
                    <w:rPr>
                      <w:rFonts w:ascii="Times New Roman" w:hAnsi="Times New Roman" w:cs="Times New Roman"/>
                      <w:color w:val="333333"/>
                      <w:lang w:eastAsia="lv-LV"/>
                    </w:rPr>
                  </w:pPr>
                  <w:r w:rsidRPr="007F7734">
                    <w:rPr>
                      <w:rFonts w:ascii="Times New Roman" w:hAnsi="Times New Roman" w:cs="Times New Roman"/>
                      <w:shd w:val="clear" w:color="auto" w:fill="FFFFFF"/>
                    </w:rPr>
                    <w:t>ČAES seku likvidēšanas dalībnieku s</w:t>
                  </w:r>
                  <w:r w:rsidRPr="007F7734">
                    <w:rPr>
                      <w:rFonts w:ascii="Times New Roman" w:hAnsi="Times New Roman" w:cs="Times New Roman"/>
                      <w:color w:val="333333"/>
                      <w:lang w:eastAsia="lv-LV"/>
                    </w:rPr>
                    <w:t>kaits</w:t>
                  </w:r>
                </w:p>
              </w:tc>
            </w:tr>
            <w:tr w:rsidR="0013047D" w:rsidRPr="007F7734" w14:paraId="58CCF294" w14:textId="77777777" w:rsidTr="009A362C">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766ADFA6" w14:textId="77777777" w:rsidR="0013047D" w:rsidRPr="007F7734" w:rsidRDefault="0013047D" w:rsidP="009A362C">
                  <w:pPr>
                    <w:spacing w:line="240" w:lineRule="auto"/>
                    <w:jc w:val="center"/>
                    <w:rPr>
                      <w:rFonts w:ascii="Times New Roman" w:hAnsi="Times New Roman" w:cs="Times New Roman"/>
                      <w:b/>
                      <w:color w:val="333333"/>
                      <w:sz w:val="20"/>
                      <w:szCs w:val="20"/>
                      <w:lang w:eastAsia="lv-LV"/>
                    </w:rPr>
                  </w:pPr>
                  <w:r w:rsidRPr="007F7734">
                    <w:rPr>
                      <w:rFonts w:ascii="Times New Roman" w:hAnsi="Times New Roman" w:cs="Times New Roman"/>
                      <w:b/>
                      <w:color w:val="333333"/>
                      <w:sz w:val="20"/>
                      <w:szCs w:val="20"/>
                      <w:lang w:eastAsia="lv-LV"/>
                    </w:rPr>
                    <w:t>I</w:t>
                  </w:r>
                </w:p>
              </w:tc>
              <w:tc>
                <w:tcPr>
                  <w:tcW w:w="2200" w:type="dxa"/>
                  <w:tcBorders>
                    <w:top w:val="nil"/>
                    <w:left w:val="nil"/>
                    <w:bottom w:val="single" w:sz="8" w:space="0" w:color="DDDDDD"/>
                    <w:right w:val="single" w:sz="8" w:space="0" w:color="DDDDDD"/>
                  </w:tcBorders>
                  <w:shd w:val="clear" w:color="auto" w:fill="FFFFFF"/>
                  <w:vAlign w:val="center"/>
                  <w:hideMark/>
                </w:tcPr>
                <w:p w14:paraId="7D12E44A" w14:textId="77777777" w:rsidR="0013047D" w:rsidRPr="007F7734" w:rsidRDefault="0013047D" w:rsidP="009A362C">
                  <w:pPr>
                    <w:spacing w:line="240" w:lineRule="auto"/>
                    <w:jc w:val="center"/>
                    <w:rPr>
                      <w:rFonts w:ascii="Times New Roman" w:hAnsi="Times New Roman" w:cs="Times New Roman"/>
                      <w:color w:val="333333"/>
                      <w:lang w:eastAsia="lv-LV"/>
                    </w:rPr>
                  </w:pPr>
                  <w:r w:rsidRPr="007F7734">
                    <w:rPr>
                      <w:rFonts w:ascii="Times New Roman" w:hAnsi="Times New Roman" w:cs="Times New Roman"/>
                      <w:color w:val="333333"/>
                      <w:lang w:eastAsia="lv-LV"/>
                    </w:rPr>
                    <w:t>107</w:t>
                  </w:r>
                </w:p>
              </w:tc>
            </w:tr>
            <w:tr w:rsidR="0013047D" w:rsidRPr="007F7734" w14:paraId="2D0EC133" w14:textId="77777777" w:rsidTr="009A362C">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4982EFCE" w14:textId="77777777" w:rsidR="0013047D" w:rsidRPr="007F7734" w:rsidRDefault="0013047D" w:rsidP="009A362C">
                  <w:pPr>
                    <w:spacing w:line="240" w:lineRule="auto"/>
                    <w:jc w:val="center"/>
                    <w:rPr>
                      <w:rFonts w:ascii="Times New Roman" w:hAnsi="Times New Roman" w:cs="Times New Roman"/>
                      <w:b/>
                      <w:color w:val="333333"/>
                      <w:sz w:val="20"/>
                      <w:szCs w:val="20"/>
                      <w:lang w:eastAsia="lv-LV"/>
                    </w:rPr>
                  </w:pPr>
                  <w:r w:rsidRPr="007F7734">
                    <w:rPr>
                      <w:rFonts w:ascii="Times New Roman" w:hAnsi="Times New Roman" w:cs="Times New Roman"/>
                      <w:b/>
                      <w:color w:val="333333"/>
                      <w:sz w:val="20"/>
                      <w:szCs w:val="20"/>
                      <w:lang w:eastAsia="lv-LV"/>
                    </w:rPr>
                    <w:t>II</w:t>
                  </w:r>
                </w:p>
              </w:tc>
              <w:tc>
                <w:tcPr>
                  <w:tcW w:w="2200" w:type="dxa"/>
                  <w:tcBorders>
                    <w:top w:val="nil"/>
                    <w:left w:val="nil"/>
                    <w:bottom w:val="single" w:sz="8" w:space="0" w:color="DDDDDD"/>
                    <w:right w:val="single" w:sz="8" w:space="0" w:color="DDDDDD"/>
                  </w:tcBorders>
                  <w:shd w:val="clear" w:color="auto" w:fill="FFFFFF"/>
                  <w:vAlign w:val="center"/>
                  <w:hideMark/>
                </w:tcPr>
                <w:p w14:paraId="3F369C16" w14:textId="77777777" w:rsidR="0013047D" w:rsidRPr="007F7734" w:rsidRDefault="0013047D" w:rsidP="009A362C">
                  <w:pPr>
                    <w:spacing w:line="240" w:lineRule="auto"/>
                    <w:jc w:val="center"/>
                    <w:rPr>
                      <w:rFonts w:ascii="Times New Roman" w:hAnsi="Times New Roman" w:cs="Times New Roman"/>
                      <w:color w:val="333333"/>
                      <w:lang w:eastAsia="lv-LV"/>
                    </w:rPr>
                  </w:pPr>
                  <w:r w:rsidRPr="007F7734">
                    <w:rPr>
                      <w:rFonts w:ascii="Times New Roman" w:hAnsi="Times New Roman" w:cs="Times New Roman"/>
                      <w:color w:val="333333"/>
                      <w:lang w:eastAsia="lv-LV"/>
                    </w:rPr>
                    <w:t>1 248</w:t>
                  </w:r>
                </w:p>
              </w:tc>
            </w:tr>
            <w:tr w:rsidR="0013047D" w:rsidRPr="007F7734" w14:paraId="5DC72FBF" w14:textId="77777777" w:rsidTr="009A362C">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2A1686C3" w14:textId="77777777" w:rsidR="0013047D" w:rsidRPr="007F7734" w:rsidRDefault="0013047D" w:rsidP="009A362C">
                  <w:pPr>
                    <w:spacing w:line="240" w:lineRule="auto"/>
                    <w:jc w:val="center"/>
                    <w:rPr>
                      <w:rFonts w:ascii="Times New Roman" w:hAnsi="Times New Roman" w:cs="Times New Roman"/>
                      <w:b/>
                      <w:color w:val="333333"/>
                      <w:sz w:val="20"/>
                      <w:szCs w:val="20"/>
                      <w:lang w:eastAsia="lv-LV"/>
                    </w:rPr>
                  </w:pPr>
                  <w:r w:rsidRPr="007F7734">
                    <w:rPr>
                      <w:rFonts w:ascii="Times New Roman" w:hAnsi="Times New Roman" w:cs="Times New Roman"/>
                      <w:b/>
                      <w:color w:val="333333"/>
                      <w:sz w:val="20"/>
                      <w:szCs w:val="20"/>
                      <w:lang w:eastAsia="lv-LV"/>
                    </w:rPr>
                    <w:t>III</w:t>
                  </w:r>
                </w:p>
              </w:tc>
              <w:tc>
                <w:tcPr>
                  <w:tcW w:w="2200" w:type="dxa"/>
                  <w:tcBorders>
                    <w:top w:val="nil"/>
                    <w:left w:val="nil"/>
                    <w:bottom w:val="single" w:sz="8" w:space="0" w:color="DDDDDD"/>
                    <w:right w:val="single" w:sz="8" w:space="0" w:color="DDDDDD"/>
                  </w:tcBorders>
                  <w:shd w:val="clear" w:color="auto" w:fill="FFFFFF"/>
                  <w:vAlign w:val="center"/>
                  <w:hideMark/>
                </w:tcPr>
                <w:p w14:paraId="3D3CBA63" w14:textId="77777777" w:rsidR="0013047D" w:rsidRPr="007F7734" w:rsidRDefault="0013047D" w:rsidP="009A362C">
                  <w:pPr>
                    <w:spacing w:line="240" w:lineRule="auto"/>
                    <w:jc w:val="center"/>
                    <w:rPr>
                      <w:rFonts w:ascii="Times New Roman" w:hAnsi="Times New Roman" w:cs="Times New Roman"/>
                      <w:color w:val="333333"/>
                      <w:lang w:eastAsia="lv-LV"/>
                    </w:rPr>
                  </w:pPr>
                  <w:r w:rsidRPr="007F7734">
                    <w:rPr>
                      <w:rFonts w:ascii="Times New Roman" w:hAnsi="Times New Roman" w:cs="Times New Roman"/>
                      <w:color w:val="333333"/>
                      <w:lang w:eastAsia="lv-LV"/>
                    </w:rPr>
                    <w:t>1 620</w:t>
                  </w:r>
                </w:p>
              </w:tc>
            </w:tr>
            <w:tr w:rsidR="0013047D" w:rsidRPr="007F7734" w14:paraId="206CF3C2" w14:textId="77777777" w:rsidTr="009A362C">
              <w:trPr>
                <w:trHeight w:val="390"/>
              </w:trPr>
              <w:tc>
                <w:tcPr>
                  <w:tcW w:w="1725" w:type="dxa"/>
                  <w:tcBorders>
                    <w:top w:val="nil"/>
                    <w:left w:val="single" w:sz="8" w:space="0" w:color="DDDDDD"/>
                    <w:bottom w:val="single" w:sz="8" w:space="0" w:color="DDDDDD"/>
                    <w:right w:val="single" w:sz="8" w:space="0" w:color="DDDDDD"/>
                  </w:tcBorders>
                  <w:shd w:val="clear" w:color="auto" w:fill="FFFFFF"/>
                  <w:vAlign w:val="center"/>
                  <w:hideMark/>
                </w:tcPr>
                <w:p w14:paraId="3D7F8CAD" w14:textId="77777777" w:rsidR="0013047D" w:rsidRPr="007F7734" w:rsidRDefault="0013047D" w:rsidP="009A362C">
                  <w:pPr>
                    <w:spacing w:line="240" w:lineRule="auto"/>
                    <w:jc w:val="center"/>
                    <w:rPr>
                      <w:rFonts w:ascii="Times New Roman" w:hAnsi="Times New Roman" w:cs="Times New Roman"/>
                      <w:b/>
                      <w:bCs/>
                      <w:color w:val="333333"/>
                      <w:lang w:eastAsia="lv-LV"/>
                    </w:rPr>
                  </w:pPr>
                  <w:r w:rsidRPr="007F7734">
                    <w:rPr>
                      <w:rFonts w:ascii="Times New Roman" w:hAnsi="Times New Roman" w:cs="Times New Roman"/>
                      <w:b/>
                      <w:bCs/>
                      <w:color w:val="333333"/>
                      <w:lang w:eastAsia="lv-LV"/>
                    </w:rPr>
                    <w:t>Kopā</w:t>
                  </w:r>
                </w:p>
              </w:tc>
              <w:tc>
                <w:tcPr>
                  <w:tcW w:w="2200" w:type="dxa"/>
                  <w:tcBorders>
                    <w:top w:val="nil"/>
                    <w:left w:val="nil"/>
                    <w:bottom w:val="single" w:sz="8" w:space="0" w:color="DDDDDD"/>
                    <w:right w:val="single" w:sz="8" w:space="0" w:color="DDDDDD"/>
                  </w:tcBorders>
                  <w:shd w:val="clear" w:color="auto" w:fill="FFFFFF"/>
                  <w:vAlign w:val="center"/>
                  <w:hideMark/>
                </w:tcPr>
                <w:p w14:paraId="61449DF7" w14:textId="77777777" w:rsidR="0013047D" w:rsidRPr="007F7734" w:rsidRDefault="0013047D" w:rsidP="009A362C">
                  <w:pPr>
                    <w:spacing w:line="240" w:lineRule="auto"/>
                    <w:jc w:val="center"/>
                    <w:rPr>
                      <w:rFonts w:ascii="Times New Roman" w:hAnsi="Times New Roman" w:cs="Times New Roman"/>
                      <w:b/>
                      <w:bCs/>
                      <w:color w:val="333333"/>
                      <w:lang w:eastAsia="lv-LV"/>
                    </w:rPr>
                  </w:pPr>
                  <w:r w:rsidRPr="007F7734">
                    <w:rPr>
                      <w:rFonts w:ascii="Times New Roman" w:hAnsi="Times New Roman" w:cs="Times New Roman"/>
                      <w:b/>
                      <w:bCs/>
                      <w:color w:val="333333"/>
                      <w:lang w:eastAsia="lv-LV"/>
                    </w:rPr>
                    <w:t>2 975</w:t>
                  </w:r>
                </w:p>
              </w:tc>
            </w:tr>
          </w:tbl>
          <w:p w14:paraId="0ED029F4" w14:textId="77777777" w:rsidR="0013047D" w:rsidRPr="007F7734" w:rsidRDefault="0013047D" w:rsidP="009A362C">
            <w:pPr>
              <w:spacing w:after="0" w:line="240" w:lineRule="auto"/>
              <w:jc w:val="both"/>
              <w:rPr>
                <w:rFonts w:ascii="Times New Roman" w:eastAsia="Times New Roman" w:hAnsi="Times New Roman" w:cs="Times New Roman"/>
                <w:iCs/>
                <w:noProof/>
                <w:sz w:val="24"/>
                <w:szCs w:val="24"/>
                <w:lang w:eastAsia="lv-LV"/>
              </w:rPr>
            </w:pPr>
          </w:p>
        </w:tc>
      </w:tr>
      <w:tr w:rsidR="0013047D" w:rsidRPr="007F7734" w14:paraId="11EA47B1"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3CF024"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3D55AD6"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6B0AA1B3" w14:textId="77777777" w:rsidR="0013047D" w:rsidRPr="007F7734" w:rsidRDefault="0013047D" w:rsidP="009A362C">
            <w:pPr>
              <w:spacing w:before="100" w:beforeAutospacing="1" w:after="100" w:afterAutospacing="1" w:line="240" w:lineRule="auto"/>
              <w:jc w:val="both"/>
              <w:rPr>
                <w:rFonts w:ascii="Times New Roman" w:eastAsia="Times New Roman" w:hAnsi="Times New Roman"/>
                <w:sz w:val="24"/>
                <w:szCs w:val="24"/>
                <w:lang w:eastAsia="lv-LV"/>
              </w:rPr>
            </w:pPr>
            <w:r w:rsidRPr="007F7734">
              <w:rPr>
                <w:rFonts w:ascii="Times New Roman" w:eastAsia="Times New Roman" w:hAnsi="Times New Roman"/>
                <w:sz w:val="24"/>
                <w:szCs w:val="24"/>
                <w:lang w:eastAsia="lv-LV"/>
              </w:rPr>
              <w:t>Likumprojekta tiesiskais regulējums nemaina sabiedrības pienākumus, kā arī veicamās darbības. Likumprojekts nerada papildus administratīvo slogu.</w:t>
            </w:r>
          </w:p>
        </w:tc>
      </w:tr>
      <w:tr w:rsidR="0013047D" w:rsidRPr="007F7734" w14:paraId="4373F401"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CD07EC"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B5D288"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95A9788" w14:textId="77777777" w:rsidR="0013047D" w:rsidRPr="007F7734" w:rsidRDefault="0013047D" w:rsidP="009A362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F7734">
              <w:rPr>
                <w:rFonts w:ascii="Times New Roman" w:hAnsi="Times New Roman" w:cs="Times New Roman"/>
                <w:sz w:val="24"/>
                <w:szCs w:val="24"/>
              </w:rPr>
              <w:t>Likumprojekts šo jomu neskar.</w:t>
            </w:r>
          </w:p>
        </w:tc>
      </w:tr>
      <w:tr w:rsidR="0013047D" w:rsidRPr="007F7734" w14:paraId="614D5993"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649BA9"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8B47F4D"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F84B62B" w14:textId="77777777" w:rsidR="0013047D" w:rsidRPr="007F7734" w:rsidRDefault="0013047D" w:rsidP="009A362C">
            <w:pPr>
              <w:spacing w:after="0" w:line="240" w:lineRule="auto"/>
              <w:rPr>
                <w:rFonts w:ascii="Times New Roman" w:eastAsia="Times New Roman" w:hAnsi="Times New Roman" w:cs="Times New Roman"/>
                <w:iCs/>
                <w:color w:val="A6A6A6" w:themeColor="background1" w:themeShade="A6"/>
                <w:sz w:val="24"/>
                <w:szCs w:val="24"/>
                <w:lang w:eastAsia="lv-LV"/>
              </w:rPr>
            </w:pPr>
            <w:r w:rsidRPr="007F7734">
              <w:rPr>
                <w:rFonts w:ascii="Times New Roman" w:hAnsi="Times New Roman" w:cs="Times New Roman"/>
                <w:sz w:val="24"/>
                <w:szCs w:val="24"/>
              </w:rPr>
              <w:t>Likumprojekts šo jomu neskar.</w:t>
            </w:r>
          </w:p>
        </w:tc>
      </w:tr>
      <w:tr w:rsidR="0013047D" w:rsidRPr="007F7734" w14:paraId="328667AE"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7240F4"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D32C7B5"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240FFE" w14:textId="77777777" w:rsidR="0013047D" w:rsidRPr="007F7734" w:rsidRDefault="0013047D" w:rsidP="009A362C">
            <w:pPr>
              <w:spacing w:after="0" w:line="240" w:lineRule="auto"/>
              <w:rPr>
                <w:rFonts w:ascii="Times New Roman" w:eastAsia="Times New Roman" w:hAnsi="Times New Roman" w:cs="Times New Roman"/>
                <w:iCs/>
                <w:color w:val="A6A6A6" w:themeColor="background1" w:themeShade="A6"/>
                <w:sz w:val="24"/>
                <w:szCs w:val="24"/>
                <w:lang w:eastAsia="lv-LV"/>
              </w:rPr>
            </w:pPr>
            <w:r w:rsidRPr="007F7734">
              <w:rPr>
                <w:rFonts w:ascii="Times New Roman" w:eastAsia="Times New Roman" w:hAnsi="Times New Roman" w:cs="Times New Roman"/>
                <w:iCs/>
                <w:sz w:val="24"/>
                <w:szCs w:val="24"/>
                <w:lang w:eastAsia="lv-LV"/>
              </w:rPr>
              <w:t>Nav</w:t>
            </w:r>
          </w:p>
        </w:tc>
      </w:tr>
    </w:tbl>
    <w:p w14:paraId="694440F8"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p>
    <w:tbl>
      <w:tblPr>
        <w:tblpPr w:leftFromText="180" w:rightFromText="180" w:vertAnchor="text" w:tblpXSpec="right" w:tblpY="1"/>
        <w:tblOverlap w:val="never"/>
        <w:tblW w:w="499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41"/>
        <w:gridCol w:w="926"/>
        <w:gridCol w:w="996"/>
        <w:gridCol w:w="1041"/>
        <w:gridCol w:w="1125"/>
        <w:gridCol w:w="1127"/>
        <w:gridCol w:w="1127"/>
        <w:gridCol w:w="1173"/>
      </w:tblGrid>
      <w:tr w:rsidR="0013047D" w:rsidRPr="007F7734" w14:paraId="377AE1C2" w14:textId="77777777" w:rsidTr="009A362C">
        <w:trPr>
          <w:trHeight w:val="227"/>
        </w:trPr>
        <w:tc>
          <w:tcPr>
            <w:tcW w:w="5000" w:type="pct"/>
            <w:gridSpan w:val="8"/>
            <w:vAlign w:val="center"/>
          </w:tcPr>
          <w:p w14:paraId="7A7D6439" w14:textId="77777777" w:rsidR="0013047D" w:rsidRPr="007F7734" w:rsidRDefault="0013047D" w:rsidP="009A362C">
            <w:pPr>
              <w:spacing w:after="0" w:line="240" w:lineRule="auto"/>
              <w:ind w:right="71"/>
              <w:jc w:val="center"/>
              <w:rPr>
                <w:rFonts w:ascii="Times New Roman" w:eastAsia="Calibri" w:hAnsi="Times New Roman" w:cs="Times New Roman"/>
                <w:sz w:val="24"/>
                <w:szCs w:val="24"/>
                <w:lang w:eastAsia="lv-LV"/>
              </w:rPr>
            </w:pPr>
            <w:r w:rsidRPr="007F7734">
              <w:rPr>
                <w:rFonts w:ascii="Times New Roman" w:eastAsia="Times New Roman" w:hAnsi="Times New Roman" w:cs="Times New Roman"/>
                <w:b/>
                <w:bCs/>
                <w:iCs/>
                <w:sz w:val="24"/>
                <w:szCs w:val="24"/>
                <w:lang w:eastAsia="lv-LV"/>
              </w:rPr>
              <w:t>III. Tiesību akta projekta ietekme uz valsts budžetu un pašvaldību budžetiem</w:t>
            </w:r>
          </w:p>
        </w:tc>
      </w:tr>
      <w:tr w:rsidR="0013047D" w:rsidRPr="007F7734" w14:paraId="04206089" w14:textId="77777777" w:rsidTr="009A362C">
        <w:trPr>
          <w:trHeight w:val="227"/>
        </w:trPr>
        <w:tc>
          <w:tcPr>
            <w:tcW w:w="851" w:type="pct"/>
            <w:vMerge w:val="restart"/>
            <w:vAlign w:val="center"/>
          </w:tcPr>
          <w:p w14:paraId="00339D7B" w14:textId="77777777" w:rsidR="0013047D" w:rsidRPr="007F7734" w:rsidRDefault="0013047D" w:rsidP="009A362C">
            <w:pPr>
              <w:spacing w:after="0" w:line="240" w:lineRule="auto"/>
              <w:ind w:right="71"/>
              <w:jc w:val="center"/>
              <w:rPr>
                <w:rFonts w:ascii="Times New Roman" w:eastAsia="Calibri" w:hAnsi="Times New Roman" w:cs="Times New Roman"/>
                <w:b/>
                <w:sz w:val="18"/>
                <w:szCs w:val="18"/>
                <w:lang w:eastAsia="lv-LV"/>
              </w:rPr>
            </w:pPr>
            <w:r w:rsidRPr="007F7734">
              <w:rPr>
                <w:rFonts w:ascii="Times New Roman" w:eastAsia="Calibri" w:hAnsi="Times New Roman" w:cs="Times New Roman"/>
                <w:b/>
                <w:sz w:val="18"/>
                <w:szCs w:val="18"/>
                <w:lang w:eastAsia="lv-LV"/>
              </w:rPr>
              <w:t>Rādītāji</w:t>
            </w:r>
          </w:p>
        </w:tc>
        <w:tc>
          <w:tcPr>
            <w:tcW w:w="1071" w:type="pct"/>
            <w:gridSpan w:val="2"/>
            <w:vMerge w:val="restart"/>
            <w:vAlign w:val="center"/>
          </w:tcPr>
          <w:p w14:paraId="572D2E88" w14:textId="77777777" w:rsidR="0013047D" w:rsidRPr="007F7734" w:rsidRDefault="0013047D" w:rsidP="009A362C">
            <w:pPr>
              <w:spacing w:after="0" w:line="240" w:lineRule="auto"/>
              <w:ind w:right="71"/>
              <w:jc w:val="center"/>
              <w:rPr>
                <w:rFonts w:ascii="Times New Roman" w:eastAsia="Calibri" w:hAnsi="Times New Roman" w:cs="Times New Roman"/>
                <w:b/>
                <w:sz w:val="18"/>
                <w:szCs w:val="18"/>
                <w:lang w:eastAsia="lv-LV"/>
              </w:rPr>
            </w:pPr>
            <w:r w:rsidRPr="007F7734">
              <w:rPr>
                <w:rFonts w:ascii="Times New Roman" w:eastAsia="Calibri" w:hAnsi="Times New Roman" w:cs="Times New Roman"/>
                <w:b/>
                <w:sz w:val="18"/>
                <w:szCs w:val="18"/>
                <w:lang w:eastAsia="lv-LV"/>
              </w:rPr>
              <w:t>2020.gads</w:t>
            </w:r>
          </w:p>
        </w:tc>
        <w:tc>
          <w:tcPr>
            <w:tcW w:w="3078" w:type="pct"/>
            <w:gridSpan w:val="5"/>
          </w:tcPr>
          <w:p w14:paraId="7B5EEFBF" w14:textId="77777777" w:rsidR="0013047D" w:rsidRPr="007F7734" w:rsidRDefault="0013047D" w:rsidP="009A362C">
            <w:pPr>
              <w:spacing w:after="0" w:line="240" w:lineRule="auto"/>
              <w:ind w:right="71"/>
              <w:jc w:val="center"/>
              <w:rPr>
                <w:rFonts w:ascii="Times New Roman" w:eastAsia="Calibri" w:hAnsi="Times New Roman" w:cs="Times New Roman"/>
                <w:sz w:val="18"/>
                <w:szCs w:val="18"/>
                <w:lang w:eastAsia="lv-LV"/>
              </w:rPr>
            </w:pPr>
            <w:r w:rsidRPr="007F7734">
              <w:rPr>
                <w:rFonts w:ascii="Times New Roman" w:eastAsia="Calibri" w:hAnsi="Times New Roman" w:cs="Times New Roman"/>
                <w:sz w:val="18"/>
                <w:szCs w:val="18"/>
                <w:lang w:eastAsia="lv-LV"/>
              </w:rPr>
              <w:t>Turpmākie trīs gadi (</w:t>
            </w:r>
            <w:proofErr w:type="spellStart"/>
            <w:r w:rsidRPr="007F7734">
              <w:rPr>
                <w:rFonts w:ascii="Times New Roman" w:eastAsia="Calibri" w:hAnsi="Times New Roman" w:cs="Times New Roman"/>
                <w:i/>
                <w:sz w:val="18"/>
                <w:szCs w:val="18"/>
                <w:lang w:eastAsia="lv-LV"/>
              </w:rPr>
              <w:t>euro</w:t>
            </w:r>
            <w:proofErr w:type="spellEnd"/>
            <w:r w:rsidRPr="007F7734">
              <w:rPr>
                <w:rFonts w:ascii="Times New Roman" w:eastAsia="Calibri" w:hAnsi="Times New Roman" w:cs="Times New Roman"/>
                <w:sz w:val="18"/>
                <w:szCs w:val="18"/>
                <w:lang w:eastAsia="lv-LV"/>
              </w:rPr>
              <w:t>)</w:t>
            </w:r>
          </w:p>
        </w:tc>
      </w:tr>
      <w:tr w:rsidR="0013047D" w:rsidRPr="007F7734" w14:paraId="7ECF8994" w14:textId="77777777" w:rsidTr="009A362C">
        <w:trPr>
          <w:trHeight w:val="227"/>
        </w:trPr>
        <w:tc>
          <w:tcPr>
            <w:tcW w:w="851" w:type="pct"/>
            <w:vMerge/>
            <w:vAlign w:val="center"/>
          </w:tcPr>
          <w:p w14:paraId="69241BD8"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p>
        </w:tc>
        <w:tc>
          <w:tcPr>
            <w:tcW w:w="1071" w:type="pct"/>
            <w:gridSpan w:val="2"/>
            <w:vMerge/>
            <w:vAlign w:val="center"/>
          </w:tcPr>
          <w:p w14:paraId="294D1087"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p>
        </w:tc>
        <w:tc>
          <w:tcPr>
            <w:tcW w:w="1206" w:type="pct"/>
            <w:gridSpan w:val="2"/>
            <w:vAlign w:val="center"/>
          </w:tcPr>
          <w:p w14:paraId="0C7FC378" w14:textId="77777777" w:rsidR="0013047D" w:rsidRPr="007F7734" w:rsidRDefault="0013047D" w:rsidP="009A362C">
            <w:pPr>
              <w:spacing w:after="0" w:line="240" w:lineRule="auto"/>
              <w:ind w:right="71"/>
              <w:jc w:val="center"/>
              <w:rPr>
                <w:rFonts w:ascii="Times New Roman" w:eastAsia="Calibri" w:hAnsi="Times New Roman" w:cs="Times New Roman"/>
                <w:b/>
                <w:bCs/>
                <w:sz w:val="18"/>
                <w:szCs w:val="18"/>
                <w:lang w:eastAsia="lv-LV"/>
              </w:rPr>
            </w:pPr>
            <w:r w:rsidRPr="007F7734">
              <w:rPr>
                <w:rFonts w:ascii="Times New Roman" w:eastAsia="Calibri" w:hAnsi="Times New Roman" w:cs="Times New Roman"/>
                <w:b/>
                <w:bCs/>
                <w:sz w:val="18"/>
                <w:szCs w:val="18"/>
                <w:lang w:eastAsia="lv-LV"/>
              </w:rPr>
              <w:t>2021</w:t>
            </w:r>
          </w:p>
        </w:tc>
        <w:tc>
          <w:tcPr>
            <w:tcW w:w="1254" w:type="pct"/>
            <w:gridSpan w:val="2"/>
            <w:vAlign w:val="center"/>
          </w:tcPr>
          <w:p w14:paraId="1C7A7D75" w14:textId="77777777" w:rsidR="0013047D" w:rsidRPr="007F7734" w:rsidRDefault="0013047D" w:rsidP="009A362C">
            <w:pPr>
              <w:spacing w:after="0" w:line="240" w:lineRule="auto"/>
              <w:ind w:right="71"/>
              <w:jc w:val="center"/>
              <w:rPr>
                <w:rFonts w:ascii="Times New Roman" w:eastAsia="Calibri" w:hAnsi="Times New Roman" w:cs="Times New Roman"/>
                <w:b/>
                <w:bCs/>
                <w:sz w:val="18"/>
                <w:szCs w:val="18"/>
                <w:lang w:eastAsia="lv-LV"/>
              </w:rPr>
            </w:pPr>
            <w:r w:rsidRPr="007F7734">
              <w:rPr>
                <w:rFonts w:ascii="Times New Roman" w:eastAsia="Calibri" w:hAnsi="Times New Roman" w:cs="Times New Roman"/>
                <w:b/>
                <w:bCs/>
                <w:sz w:val="18"/>
                <w:szCs w:val="18"/>
                <w:lang w:eastAsia="lv-LV"/>
              </w:rPr>
              <w:t>2022</w:t>
            </w:r>
          </w:p>
        </w:tc>
        <w:tc>
          <w:tcPr>
            <w:tcW w:w="618" w:type="pct"/>
            <w:vAlign w:val="center"/>
          </w:tcPr>
          <w:p w14:paraId="222BA116"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r w:rsidRPr="007F7734">
              <w:rPr>
                <w:rFonts w:ascii="Times New Roman" w:eastAsia="Calibri" w:hAnsi="Times New Roman" w:cs="Times New Roman"/>
                <w:b/>
                <w:bCs/>
                <w:sz w:val="18"/>
                <w:szCs w:val="18"/>
                <w:lang w:eastAsia="lv-LV"/>
              </w:rPr>
              <w:t>2023</w:t>
            </w:r>
          </w:p>
        </w:tc>
      </w:tr>
      <w:tr w:rsidR="0013047D" w:rsidRPr="007F7734" w14:paraId="7FE28F8A" w14:textId="77777777" w:rsidTr="009A362C">
        <w:trPr>
          <w:trHeight w:val="227"/>
        </w:trPr>
        <w:tc>
          <w:tcPr>
            <w:tcW w:w="851" w:type="pct"/>
            <w:vMerge/>
            <w:vAlign w:val="center"/>
          </w:tcPr>
          <w:p w14:paraId="7ADDE2A1"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p>
        </w:tc>
        <w:tc>
          <w:tcPr>
            <w:tcW w:w="516" w:type="pct"/>
          </w:tcPr>
          <w:p w14:paraId="2D4C4209"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r w:rsidRPr="007F7734">
              <w:rPr>
                <w:rFonts w:ascii="Times New Roman" w:eastAsia="Calibri" w:hAnsi="Times New Roman" w:cs="Times New Roman"/>
                <w:sz w:val="18"/>
                <w:szCs w:val="18"/>
              </w:rPr>
              <w:t>saskaņā ar valsts budžetu kārtējam gadam</w:t>
            </w:r>
          </w:p>
        </w:tc>
        <w:tc>
          <w:tcPr>
            <w:tcW w:w="555" w:type="pct"/>
          </w:tcPr>
          <w:p w14:paraId="618E1D5F"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r w:rsidRPr="007F7734">
              <w:rPr>
                <w:rFonts w:ascii="Times New Roman" w:eastAsia="Calibri" w:hAnsi="Times New Roman" w:cs="Times New Roman"/>
                <w:sz w:val="18"/>
                <w:szCs w:val="18"/>
              </w:rPr>
              <w:t>izmaiņas kārtējā gadā, salīdzinot ar valsts budžetu kārtējam gadam</w:t>
            </w:r>
          </w:p>
        </w:tc>
        <w:tc>
          <w:tcPr>
            <w:tcW w:w="580" w:type="pct"/>
          </w:tcPr>
          <w:p w14:paraId="2409B801"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r w:rsidRPr="007F7734">
              <w:rPr>
                <w:rFonts w:ascii="Times New Roman" w:eastAsia="Calibri" w:hAnsi="Times New Roman" w:cs="Times New Roman"/>
                <w:sz w:val="18"/>
                <w:szCs w:val="18"/>
              </w:rPr>
              <w:t>saskaņā ar vidēja termiņa budžeta ietvaru</w:t>
            </w:r>
          </w:p>
        </w:tc>
        <w:tc>
          <w:tcPr>
            <w:tcW w:w="626" w:type="pct"/>
          </w:tcPr>
          <w:p w14:paraId="23E4C6D2" w14:textId="7E91C786" w:rsidR="0013047D" w:rsidRPr="007F7734" w:rsidRDefault="0013047D" w:rsidP="009A362C">
            <w:pPr>
              <w:spacing w:after="0" w:line="240" w:lineRule="auto"/>
              <w:ind w:right="71"/>
              <w:jc w:val="center"/>
              <w:rPr>
                <w:rFonts w:ascii="Times New Roman" w:eastAsia="Calibri" w:hAnsi="Times New Roman" w:cs="Times New Roman"/>
                <w:sz w:val="18"/>
                <w:szCs w:val="18"/>
                <w:lang w:eastAsia="lv-LV"/>
              </w:rPr>
            </w:pPr>
            <w:r w:rsidRPr="007F7734">
              <w:rPr>
                <w:rFonts w:ascii="Times New Roman" w:eastAsia="Calibri" w:hAnsi="Times New Roman" w:cs="Times New Roman"/>
                <w:sz w:val="18"/>
                <w:szCs w:val="18"/>
              </w:rPr>
              <w:t>izmaiņas, salīdzinot ar vidēja termiņa budžeta ietvaru 202</w:t>
            </w:r>
            <w:r w:rsidR="00DB2B18" w:rsidRPr="007F7734">
              <w:rPr>
                <w:rFonts w:ascii="Times New Roman" w:eastAsia="Calibri" w:hAnsi="Times New Roman" w:cs="Times New Roman"/>
                <w:sz w:val="18"/>
                <w:szCs w:val="18"/>
              </w:rPr>
              <w:t>1.</w:t>
            </w:r>
            <w:r w:rsidRPr="007F7734">
              <w:rPr>
                <w:rFonts w:ascii="Times New Roman" w:eastAsia="Calibri" w:hAnsi="Times New Roman" w:cs="Times New Roman"/>
                <w:sz w:val="18"/>
                <w:szCs w:val="18"/>
              </w:rPr>
              <w:t xml:space="preserve"> gadam</w:t>
            </w:r>
          </w:p>
        </w:tc>
        <w:tc>
          <w:tcPr>
            <w:tcW w:w="627" w:type="pct"/>
          </w:tcPr>
          <w:p w14:paraId="1AAC3292" w14:textId="77777777"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r w:rsidRPr="007F7734">
              <w:rPr>
                <w:rFonts w:ascii="Times New Roman" w:eastAsia="Calibri" w:hAnsi="Times New Roman" w:cs="Times New Roman"/>
                <w:sz w:val="18"/>
                <w:szCs w:val="18"/>
              </w:rPr>
              <w:t>saskaņā ar vidēja termiņa budžeta ietvaru</w:t>
            </w:r>
          </w:p>
        </w:tc>
        <w:tc>
          <w:tcPr>
            <w:tcW w:w="627" w:type="pct"/>
          </w:tcPr>
          <w:p w14:paraId="5B1CBB11" w14:textId="2309AEB3" w:rsidR="0013047D" w:rsidRPr="007F7734" w:rsidRDefault="0013047D" w:rsidP="009A362C">
            <w:pPr>
              <w:spacing w:after="0" w:line="240" w:lineRule="auto"/>
              <w:ind w:right="71"/>
              <w:jc w:val="center"/>
              <w:rPr>
                <w:rFonts w:ascii="Times New Roman" w:eastAsia="Calibri" w:hAnsi="Times New Roman" w:cs="Times New Roman"/>
                <w:sz w:val="18"/>
                <w:szCs w:val="18"/>
                <w:lang w:eastAsia="lv-LV"/>
              </w:rPr>
            </w:pPr>
            <w:r w:rsidRPr="007F7734">
              <w:rPr>
                <w:rFonts w:ascii="Times New Roman" w:eastAsia="Calibri" w:hAnsi="Times New Roman" w:cs="Times New Roman"/>
                <w:sz w:val="18"/>
                <w:szCs w:val="18"/>
              </w:rPr>
              <w:t>izmaiņas, salīdzinot ar vidēja termiņa budžeta ietvaru 202</w:t>
            </w:r>
            <w:r w:rsidR="00DB2B18" w:rsidRPr="007F7734">
              <w:rPr>
                <w:rFonts w:ascii="Times New Roman" w:eastAsia="Calibri" w:hAnsi="Times New Roman" w:cs="Times New Roman"/>
                <w:sz w:val="18"/>
                <w:szCs w:val="18"/>
              </w:rPr>
              <w:t>2</w:t>
            </w:r>
            <w:r w:rsidRPr="007F7734">
              <w:rPr>
                <w:rFonts w:ascii="Times New Roman" w:eastAsia="Calibri" w:hAnsi="Times New Roman" w:cs="Times New Roman"/>
                <w:sz w:val="18"/>
                <w:szCs w:val="18"/>
              </w:rPr>
              <w:t>. gadam</w:t>
            </w:r>
          </w:p>
        </w:tc>
        <w:tc>
          <w:tcPr>
            <w:tcW w:w="618" w:type="pct"/>
          </w:tcPr>
          <w:p w14:paraId="78416592" w14:textId="4904E16F" w:rsidR="0013047D" w:rsidRPr="007F7734" w:rsidRDefault="0013047D" w:rsidP="009A362C">
            <w:pPr>
              <w:spacing w:after="0" w:line="240" w:lineRule="auto"/>
              <w:ind w:right="71"/>
              <w:jc w:val="center"/>
              <w:rPr>
                <w:rFonts w:ascii="Times New Roman" w:eastAsia="Calibri" w:hAnsi="Times New Roman" w:cs="Times New Roman"/>
                <w:b/>
                <w:i/>
                <w:sz w:val="18"/>
                <w:szCs w:val="18"/>
                <w:lang w:eastAsia="lv-LV"/>
              </w:rPr>
            </w:pPr>
            <w:r w:rsidRPr="007F7734">
              <w:rPr>
                <w:rFonts w:ascii="Times New Roman" w:eastAsia="Calibri" w:hAnsi="Times New Roman" w:cs="Times New Roman"/>
                <w:sz w:val="18"/>
                <w:szCs w:val="18"/>
              </w:rPr>
              <w:t>izmaiņas, salīdzinot ar vidēja termiņa budžeta ietvaru 202</w:t>
            </w:r>
            <w:r w:rsidR="00DB2B18" w:rsidRPr="007F7734">
              <w:rPr>
                <w:rFonts w:ascii="Times New Roman" w:eastAsia="Calibri" w:hAnsi="Times New Roman" w:cs="Times New Roman"/>
                <w:sz w:val="18"/>
                <w:szCs w:val="18"/>
              </w:rPr>
              <w:t>2.</w:t>
            </w:r>
            <w:r w:rsidRPr="007F7734">
              <w:rPr>
                <w:rFonts w:ascii="Times New Roman" w:eastAsia="Calibri" w:hAnsi="Times New Roman" w:cs="Times New Roman"/>
                <w:sz w:val="18"/>
                <w:szCs w:val="18"/>
              </w:rPr>
              <w:t>gadam</w:t>
            </w:r>
          </w:p>
        </w:tc>
      </w:tr>
      <w:tr w:rsidR="0013047D" w:rsidRPr="007F7734" w14:paraId="44425E8E" w14:textId="77777777" w:rsidTr="009A362C">
        <w:trPr>
          <w:trHeight w:val="227"/>
        </w:trPr>
        <w:tc>
          <w:tcPr>
            <w:tcW w:w="851" w:type="pct"/>
            <w:vAlign w:val="center"/>
          </w:tcPr>
          <w:p w14:paraId="31A9AAED"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1</w:t>
            </w:r>
          </w:p>
        </w:tc>
        <w:tc>
          <w:tcPr>
            <w:tcW w:w="516" w:type="pct"/>
            <w:vAlign w:val="center"/>
          </w:tcPr>
          <w:p w14:paraId="550F216F"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2</w:t>
            </w:r>
          </w:p>
        </w:tc>
        <w:tc>
          <w:tcPr>
            <w:tcW w:w="555" w:type="pct"/>
            <w:vAlign w:val="center"/>
          </w:tcPr>
          <w:p w14:paraId="40828946"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3</w:t>
            </w:r>
          </w:p>
        </w:tc>
        <w:tc>
          <w:tcPr>
            <w:tcW w:w="580" w:type="pct"/>
            <w:vAlign w:val="center"/>
          </w:tcPr>
          <w:p w14:paraId="6AD9161F"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4</w:t>
            </w:r>
          </w:p>
        </w:tc>
        <w:tc>
          <w:tcPr>
            <w:tcW w:w="626" w:type="pct"/>
          </w:tcPr>
          <w:p w14:paraId="25329F58"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5</w:t>
            </w:r>
          </w:p>
        </w:tc>
        <w:tc>
          <w:tcPr>
            <w:tcW w:w="627" w:type="pct"/>
            <w:vAlign w:val="center"/>
          </w:tcPr>
          <w:p w14:paraId="2217C504"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6</w:t>
            </w:r>
          </w:p>
        </w:tc>
        <w:tc>
          <w:tcPr>
            <w:tcW w:w="627" w:type="pct"/>
          </w:tcPr>
          <w:p w14:paraId="04EE0053"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7</w:t>
            </w:r>
          </w:p>
        </w:tc>
        <w:tc>
          <w:tcPr>
            <w:tcW w:w="618" w:type="pct"/>
            <w:vAlign w:val="center"/>
          </w:tcPr>
          <w:p w14:paraId="398F29C6" w14:textId="77777777" w:rsidR="0013047D" w:rsidRPr="007F7734" w:rsidRDefault="0013047D" w:rsidP="009A362C">
            <w:pPr>
              <w:spacing w:after="0" w:line="240" w:lineRule="auto"/>
              <w:ind w:right="71"/>
              <w:jc w:val="center"/>
              <w:rPr>
                <w:rFonts w:ascii="Times New Roman" w:eastAsia="Calibri" w:hAnsi="Times New Roman" w:cs="Times New Roman"/>
                <w:bCs/>
                <w:sz w:val="18"/>
                <w:szCs w:val="18"/>
                <w:lang w:eastAsia="lv-LV"/>
              </w:rPr>
            </w:pPr>
            <w:r w:rsidRPr="007F7734">
              <w:rPr>
                <w:rFonts w:ascii="Times New Roman" w:eastAsia="Calibri" w:hAnsi="Times New Roman" w:cs="Times New Roman"/>
                <w:bCs/>
                <w:sz w:val="18"/>
                <w:szCs w:val="18"/>
                <w:lang w:eastAsia="lv-LV"/>
              </w:rPr>
              <w:t>8</w:t>
            </w:r>
          </w:p>
        </w:tc>
      </w:tr>
      <w:tr w:rsidR="0013047D" w:rsidRPr="007F7734" w14:paraId="24353D61" w14:textId="77777777" w:rsidTr="009A362C">
        <w:trPr>
          <w:trHeight w:val="456"/>
        </w:trPr>
        <w:tc>
          <w:tcPr>
            <w:tcW w:w="851" w:type="pct"/>
            <w:shd w:val="clear" w:color="auto" w:fill="BFBFBF" w:themeFill="background1" w:themeFillShade="BF"/>
          </w:tcPr>
          <w:p w14:paraId="41324E52"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lang w:eastAsia="lv-LV"/>
              </w:rPr>
            </w:pPr>
            <w:r w:rsidRPr="007F7734">
              <w:rPr>
                <w:rFonts w:ascii="Times New Roman" w:eastAsia="Calibri" w:hAnsi="Times New Roman" w:cs="Times New Roman"/>
                <w:sz w:val="18"/>
                <w:szCs w:val="18"/>
                <w:lang w:eastAsia="lv-LV"/>
              </w:rPr>
              <w:t>1. Budžeta ieņēmumi:</w:t>
            </w:r>
          </w:p>
        </w:tc>
        <w:tc>
          <w:tcPr>
            <w:tcW w:w="516" w:type="pct"/>
            <w:shd w:val="clear" w:color="auto" w:fill="BFBFBF" w:themeFill="background1" w:themeFillShade="BF"/>
            <w:vAlign w:val="center"/>
          </w:tcPr>
          <w:p w14:paraId="41F3665F"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3 982 060</w:t>
            </w:r>
          </w:p>
        </w:tc>
        <w:tc>
          <w:tcPr>
            <w:tcW w:w="555" w:type="pct"/>
            <w:shd w:val="clear" w:color="auto" w:fill="BFBFBF" w:themeFill="background1" w:themeFillShade="BF"/>
            <w:vAlign w:val="center"/>
          </w:tcPr>
          <w:p w14:paraId="31AB286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shd w:val="clear" w:color="auto" w:fill="BFBFBF" w:themeFill="background1" w:themeFillShade="BF"/>
            <w:vAlign w:val="center"/>
          </w:tcPr>
          <w:p w14:paraId="0E399B6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3 941 046</w:t>
            </w:r>
          </w:p>
        </w:tc>
        <w:tc>
          <w:tcPr>
            <w:tcW w:w="626" w:type="pct"/>
            <w:shd w:val="clear" w:color="auto" w:fill="BFBFBF" w:themeFill="background1" w:themeFillShade="BF"/>
            <w:vAlign w:val="center"/>
          </w:tcPr>
          <w:p w14:paraId="530ADFA2" w14:textId="77777777" w:rsidR="0013047D" w:rsidRPr="007F7734" w:rsidDel="009136B7"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shd w:val="clear" w:color="auto" w:fill="BFBFBF" w:themeFill="background1" w:themeFillShade="BF"/>
            <w:vAlign w:val="center"/>
          </w:tcPr>
          <w:p w14:paraId="63322C4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3 861 504</w:t>
            </w:r>
          </w:p>
        </w:tc>
        <w:tc>
          <w:tcPr>
            <w:tcW w:w="627" w:type="pct"/>
            <w:shd w:val="clear" w:color="auto" w:fill="BFBFBF" w:themeFill="background1" w:themeFillShade="BF"/>
            <w:vAlign w:val="center"/>
          </w:tcPr>
          <w:p w14:paraId="16DAA01A" w14:textId="77777777" w:rsidR="0013047D" w:rsidRPr="007F7734" w:rsidDel="009136B7"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shd w:val="clear" w:color="auto" w:fill="BFBFBF" w:themeFill="background1" w:themeFillShade="BF"/>
            <w:vAlign w:val="center"/>
          </w:tcPr>
          <w:p w14:paraId="5C3CD14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2003FE00" w14:textId="77777777" w:rsidTr="009A362C">
        <w:trPr>
          <w:trHeight w:val="1437"/>
        </w:trPr>
        <w:tc>
          <w:tcPr>
            <w:tcW w:w="851" w:type="pct"/>
          </w:tcPr>
          <w:p w14:paraId="298068A3" w14:textId="77777777" w:rsidR="0013047D" w:rsidRPr="007F7734" w:rsidRDefault="0013047D" w:rsidP="009A362C">
            <w:pPr>
              <w:spacing w:after="0" w:line="240" w:lineRule="auto"/>
              <w:ind w:right="74"/>
              <w:jc w:val="both"/>
              <w:rPr>
                <w:rFonts w:ascii="Times New Roman" w:eastAsia="Calibri" w:hAnsi="Times New Roman" w:cs="Times New Roman"/>
                <w:i/>
                <w:sz w:val="18"/>
                <w:szCs w:val="18"/>
              </w:rPr>
            </w:pPr>
            <w:r w:rsidRPr="007F7734">
              <w:rPr>
                <w:rFonts w:ascii="Times New Roman" w:eastAsia="Calibri" w:hAnsi="Times New Roman" w:cs="Times New Roman"/>
                <w:sz w:val="18"/>
                <w:szCs w:val="18"/>
              </w:rPr>
              <w:lastRenderedPageBreak/>
              <w:t>1.1. valsts pamatbudžet, tai skaitā ieņēmumi no maksas pakalpojumiem un citi pašu ieņēmumi</w:t>
            </w:r>
          </w:p>
        </w:tc>
        <w:tc>
          <w:tcPr>
            <w:tcW w:w="516" w:type="pct"/>
            <w:vAlign w:val="center"/>
          </w:tcPr>
          <w:p w14:paraId="3E3B0A1C"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3 982 060</w:t>
            </w:r>
          </w:p>
        </w:tc>
        <w:tc>
          <w:tcPr>
            <w:tcW w:w="555" w:type="pct"/>
            <w:vAlign w:val="center"/>
          </w:tcPr>
          <w:p w14:paraId="79FFA64A"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5F9B681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3 941 046</w:t>
            </w:r>
          </w:p>
        </w:tc>
        <w:tc>
          <w:tcPr>
            <w:tcW w:w="626" w:type="pct"/>
            <w:vAlign w:val="center"/>
          </w:tcPr>
          <w:p w14:paraId="67F4C990" w14:textId="77777777" w:rsidR="0013047D" w:rsidRPr="007F7734" w:rsidDel="009136B7"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34E594A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3 861 504</w:t>
            </w:r>
          </w:p>
        </w:tc>
        <w:tc>
          <w:tcPr>
            <w:tcW w:w="627" w:type="pct"/>
            <w:vAlign w:val="center"/>
          </w:tcPr>
          <w:p w14:paraId="66845707" w14:textId="77777777" w:rsidR="0013047D" w:rsidRPr="007F7734" w:rsidDel="009136B7"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7E0BA69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4B52850A" w14:textId="77777777" w:rsidTr="009A362C">
        <w:trPr>
          <w:trHeight w:val="683"/>
        </w:trPr>
        <w:tc>
          <w:tcPr>
            <w:tcW w:w="851" w:type="pct"/>
          </w:tcPr>
          <w:p w14:paraId="5434108E"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lang w:eastAsia="lv-LV"/>
              </w:rPr>
            </w:pPr>
            <w:r w:rsidRPr="007F7734">
              <w:rPr>
                <w:rFonts w:ascii="Times New Roman" w:eastAsia="Calibri" w:hAnsi="Times New Roman" w:cs="Times New Roman"/>
                <w:sz w:val="18"/>
                <w:szCs w:val="18"/>
                <w:lang w:eastAsia="lv-LV"/>
              </w:rPr>
              <w:t>1.2. valsts speciālais budžets</w:t>
            </w:r>
          </w:p>
        </w:tc>
        <w:tc>
          <w:tcPr>
            <w:tcW w:w="516" w:type="pct"/>
            <w:vAlign w:val="center"/>
          </w:tcPr>
          <w:p w14:paraId="6C6BE72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vAlign w:val="center"/>
          </w:tcPr>
          <w:p w14:paraId="028FE5F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6576E982"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vAlign w:val="center"/>
          </w:tcPr>
          <w:p w14:paraId="1DE90ED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10EA830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0FB17D3C"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271E2A89"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5902F5E1" w14:textId="77777777" w:rsidTr="009A362C">
        <w:trPr>
          <w:trHeight w:val="456"/>
        </w:trPr>
        <w:tc>
          <w:tcPr>
            <w:tcW w:w="851" w:type="pct"/>
          </w:tcPr>
          <w:p w14:paraId="37C69E1C"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lang w:eastAsia="lv-LV"/>
              </w:rPr>
            </w:pPr>
            <w:r w:rsidRPr="007F7734">
              <w:rPr>
                <w:rFonts w:ascii="Times New Roman" w:eastAsia="Calibri" w:hAnsi="Times New Roman" w:cs="Times New Roman"/>
                <w:sz w:val="18"/>
                <w:szCs w:val="18"/>
                <w:lang w:eastAsia="lv-LV"/>
              </w:rPr>
              <w:t>1.3. pašvaldību budžets</w:t>
            </w:r>
          </w:p>
        </w:tc>
        <w:tc>
          <w:tcPr>
            <w:tcW w:w="516" w:type="pct"/>
            <w:vAlign w:val="center"/>
          </w:tcPr>
          <w:p w14:paraId="59AC6AF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vAlign w:val="center"/>
          </w:tcPr>
          <w:p w14:paraId="46907AE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2FC86682"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vAlign w:val="center"/>
          </w:tcPr>
          <w:p w14:paraId="36115A9A" w14:textId="77777777" w:rsidR="0013047D" w:rsidRPr="007F7734" w:rsidRDefault="0013047D" w:rsidP="009A362C">
            <w:pPr>
              <w:spacing w:after="0" w:line="240" w:lineRule="auto"/>
              <w:ind w:right="71"/>
              <w:jc w:val="center"/>
              <w:rPr>
                <w:rFonts w:ascii="Times New Roman" w:eastAsia="Calibri" w:hAnsi="Times New Roman" w:cs="Times New Roman"/>
                <w:iCs/>
                <w:sz w:val="16"/>
                <w:szCs w:val="16"/>
              </w:rPr>
            </w:pPr>
            <w:r w:rsidRPr="007F7734">
              <w:rPr>
                <w:rFonts w:ascii="Times New Roman" w:eastAsia="Calibri" w:hAnsi="Times New Roman" w:cs="Times New Roman"/>
                <w:iCs/>
                <w:sz w:val="16"/>
                <w:szCs w:val="16"/>
              </w:rPr>
              <w:t>0</w:t>
            </w:r>
          </w:p>
        </w:tc>
        <w:tc>
          <w:tcPr>
            <w:tcW w:w="627" w:type="pct"/>
            <w:vAlign w:val="center"/>
          </w:tcPr>
          <w:p w14:paraId="52CD837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31392494" w14:textId="77777777" w:rsidR="0013047D" w:rsidRPr="007F7734" w:rsidRDefault="0013047D" w:rsidP="009A362C">
            <w:pPr>
              <w:spacing w:after="0" w:line="240" w:lineRule="auto"/>
              <w:ind w:right="71"/>
              <w:jc w:val="center"/>
              <w:rPr>
                <w:rFonts w:ascii="Times New Roman" w:eastAsia="Calibri" w:hAnsi="Times New Roman" w:cs="Times New Roman"/>
                <w:iCs/>
                <w:sz w:val="16"/>
                <w:szCs w:val="16"/>
              </w:rPr>
            </w:pPr>
            <w:r w:rsidRPr="007F7734">
              <w:rPr>
                <w:rFonts w:ascii="Times New Roman" w:eastAsia="Calibri" w:hAnsi="Times New Roman" w:cs="Times New Roman"/>
                <w:iCs/>
                <w:sz w:val="16"/>
                <w:szCs w:val="16"/>
              </w:rPr>
              <w:t>0</w:t>
            </w:r>
          </w:p>
        </w:tc>
        <w:tc>
          <w:tcPr>
            <w:tcW w:w="618" w:type="pct"/>
            <w:vAlign w:val="center"/>
          </w:tcPr>
          <w:p w14:paraId="783D0C04"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137E0C83" w14:textId="77777777" w:rsidTr="009A362C">
        <w:trPr>
          <w:trHeight w:val="444"/>
        </w:trPr>
        <w:tc>
          <w:tcPr>
            <w:tcW w:w="851" w:type="pct"/>
            <w:shd w:val="clear" w:color="auto" w:fill="BFBFBF" w:themeFill="background1" w:themeFillShade="BF"/>
          </w:tcPr>
          <w:p w14:paraId="619F9F77"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2. Budžeta izdevumi:</w:t>
            </w:r>
          </w:p>
        </w:tc>
        <w:tc>
          <w:tcPr>
            <w:tcW w:w="516" w:type="pct"/>
            <w:shd w:val="clear" w:color="auto" w:fill="BFBFBF" w:themeFill="background1" w:themeFillShade="BF"/>
            <w:vAlign w:val="center"/>
          </w:tcPr>
          <w:p w14:paraId="43B57332"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3 982 060</w:t>
            </w:r>
          </w:p>
        </w:tc>
        <w:tc>
          <w:tcPr>
            <w:tcW w:w="555" w:type="pct"/>
            <w:shd w:val="clear" w:color="auto" w:fill="BFBFBF" w:themeFill="background1" w:themeFillShade="BF"/>
            <w:vAlign w:val="center"/>
          </w:tcPr>
          <w:p w14:paraId="23110C4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shd w:val="clear" w:color="auto" w:fill="BFBFBF" w:themeFill="background1" w:themeFillShade="BF"/>
            <w:vAlign w:val="center"/>
          </w:tcPr>
          <w:p w14:paraId="60109B5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3 941 046</w:t>
            </w:r>
          </w:p>
        </w:tc>
        <w:tc>
          <w:tcPr>
            <w:tcW w:w="626" w:type="pct"/>
            <w:shd w:val="clear" w:color="auto" w:fill="BFBFBF" w:themeFill="background1" w:themeFillShade="BF"/>
            <w:vAlign w:val="center"/>
          </w:tcPr>
          <w:p w14:paraId="782538F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330 048</w:t>
            </w:r>
          </w:p>
        </w:tc>
        <w:tc>
          <w:tcPr>
            <w:tcW w:w="627" w:type="pct"/>
            <w:shd w:val="clear" w:color="auto" w:fill="BFBFBF" w:themeFill="background1" w:themeFillShade="BF"/>
            <w:vAlign w:val="center"/>
          </w:tcPr>
          <w:p w14:paraId="47084BE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3 861 504</w:t>
            </w:r>
          </w:p>
        </w:tc>
        <w:tc>
          <w:tcPr>
            <w:tcW w:w="627" w:type="pct"/>
            <w:shd w:val="clear" w:color="auto" w:fill="BFBFBF" w:themeFill="background1" w:themeFillShade="BF"/>
            <w:vAlign w:val="center"/>
          </w:tcPr>
          <w:p w14:paraId="2455B36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322 812</w:t>
            </w:r>
          </w:p>
        </w:tc>
        <w:tc>
          <w:tcPr>
            <w:tcW w:w="618" w:type="pct"/>
            <w:shd w:val="clear" w:color="auto" w:fill="BFBFBF" w:themeFill="background1" w:themeFillShade="BF"/>
            <w:vAlign w:val="center"/>
          </w:tcPr>
          <w:p w14:paraId="06D0CE11"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315 792</w:t>
            </w:r>
          </w:p>
        </w:tc>
      </w:tr>
      <w:tr w:rsidR="0013047D" w:rsidRPr="007F7734" w14:paraId="17974696" w14:textId="77777777" w:rsidTr="009A362C">
        <w:trPr>
          <w:trHeight w:val="456"/>
        </w:trPr>
        <w:tc>
          <w:tcPr>
            <w:tcW w:w="851" w:type="pct"/>
          </w:tcPr>
          <w:p w14:paraId="65B2C91E"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2.1. valsts pamatbudžets</w:t>
            </w:r>
          </w:p>
          <w:p w14:paraId="16DA6156"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LM 20.01.00 “Valsts sociālie pabalsti”</w:t>
            </w:r>
            <w:r w:rsidRPr="007F7734">
              <w:rPr>
                <w:rFonts w:ascii="Times New Roman" w:eastAsia="Calibri" w:hAnsi="Times New Roman" w:cs="Times New Roman"/>
                <w:i/>
                <w:iCs/>
                <w:sz w:val="16"/>
                <w:szCs w:val="16"/>
              </w:rPr>
              <w:t xml:space="preserve"> Valsts sociālais pabalsts Černobiļas </w:t>
            </w:r>
            <w:proofErr w:type="spellStart"/>
            <w:r w:rsidRPr="007F7734">
              <w:rPr>
                <w:rFonts w:ascii="Times New Roman" w:eastAsia="Calibri" w:hAnsi="Times New Roman" w:cs="Times New Roman"/>
                <w:i/>
                <w:iCs/>
                <w:sz w:val="16"/>
                <w:szCs w:val="16"/>
              </w:rPr>
              <w:t>atomelektro</w:t>
            </w:r>
            <w:proofErr w:type="spellEnd"/>
            <w:r w:rsidRPr="007F7734">
              <w:rPr>
                <w:rFonts w:ascii="Times New Roman" w:eastAsia="Calibri" w:hAnsi="Times New Roman" w:cs="Times New Roman"/>
                <w:i/>
                <w:iCs/>
                <w:sz w:val="16"/>
                <w:szCs w:val="16"/>
              </w:rPr>
              <w:t>-stacijas avārijas seku likvidēšanas dalībniekiem un mirušo Černobiļas atomelektrostacijas avārijas seku likvidēšanas dalībnieku ģimenēm</w:t>
            </w:r>
          </w:p>
        </w:tc>
        <w:tc>
          <w:tcPr>
            <w:tcW w:w="516" w:type="pct"/>
            <w:vAlign w:val="center"/>
          </w:tcPr>
          <w:p w14:paraId="52D4E72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3 982 060</w:t>
            </w:r>
          </w:p>
        </w:tc>
        <w:tc>
          <w:tcPr>
            <w:tcW w:w="555" w:type="pct"/>
            <w:vAlign w:val="center"/>
          </w:tcPr>
          <w:p w14:paraId="4CB38A0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1EC2C20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3 941 046</w:t>
            </w:r>
          </w:p>
        </w:tc>
        <w:tc>
          <w:tcPr>
            <w:tcW w:w="626" w:type="pct"/>
            <w:vAlign w:val="center"/>
          </w:tcPr>
          <w:p w14:paraId="309A42B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330 048</w:t>
            </w:r>
          </w:p>
        </w:tc>
        <w:tc>
          <w:tcPr>
            <w:tcW w:w="627" w:type="pct"/>
            <w:vAlign w:val="center"/>
          </w:tcPr>
          <w:p w14:paraId="28FE147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3 861 504</w:t>
            </w:r>
          </w:p>
        </w:tc>
        <w:tc>
          <w:tcPr>
            <w:tcW w:w="627" w:type="pct"/>
            <w:vAlign w:val="center"/>
          </w:tcPr>
          <w:p w14:paraId="3664C71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322 812</w:t>
            </w:r>
          </w:p>
        </w:tc>
        <w:tc>
          <w:tcPr>
            <w:tcW w:w="618" w:type="pct"/>
            <w:vAlign w:val="center"/>
          </w:tcPr>
          <w:p w14:paraId="53379D3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315 792</w:t>
            </w:r>
          </w:p>
        </w:tc>
      </w:tr>
      <w:tr w:rsidR="0013047D" w:rsidRPr="007F7734" w14:paraId="5644FAF8" w14:textId="77777777" w:rsidTr="009A362C">
        <w:trPr>
          <w:trHeight w:val="683"/>
        </w:trPr>
        <w:tc>
          <w:tcPr>
            <w:tcW w:w="851" w:type="pct"/>
          </w:tcPr>
          <w:p w14:paraId="217BA8C8"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2.2. valsts speciālais budžets</w:t>
            </w:r>
          </w:p>
        </w:tc>
        <w:tc>
          <w:tcPr>
            <w:tcW w:w="516" w:type="pct"/>
            <w:vAlign w:val="center"/>
          </w:tcPr>
          <w:p w14:paraId="2006D4A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vAlign w:val="center"/>
          </w:tcPr>
          <w:p w14:paraId="4118D5E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70D29A1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vAlign w:val="center"/>
          </w:tcPr>
          <w:p w14:paraId="5A6F484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7A342ABF"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3E58DD9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723AD68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573A7AD6" w14:textId="77777777" w:rsidTr="009A362C">
        <w:trPr>
          <w:trHeight w:val="456"/>
        </w:trPr>
        <w:tc>
          <w:tcPr>
            <w:tcW w:w="851" w:type="pct"/>
          </w:tcPr>
          <w:p w14:paraId="2F5CD4BC"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 xml:space="preserve">2.3. pašvaldību budžets </w:t>
            </w:r>
          </w:p>
        </w:tc>
        <w:tc>
          <w:tcPr>
            <w:tcW w:w="516" w:type="pct"/>
            <w:vAlign w:val="center"/>
          </w:tcPr>
          <w:p w14:paraId="175A0591"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vAlign w:val="center"/>
          </w:tcPr>
          <w:p w14:paraId="73945A4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1D581E0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vAlign w:val="center"/>
          </w:tcPr>
          <w:p w14:paraId="5884A9EA" w14:textId="77777777" w:rsidR="0013047D" w:rsidRPr="007F7734" w:rsidRDefault="0013047D" w:rsidP="009A362C">
            <w:pPr>
              <w:spacing w:after="0" w:line="240" w:lineRule="auto"/>
              <w:ind w:right="71"/>
              <w:jc w:val="center"/>
              <w:rPr>
                <w:rFonts w:ascii="Times New Roman" w:eastAsia="Calibri" w:hAnsi="Times New Roman" w:cs="Times New Roman"/>
                <w:iCs/>
                <w:sz w:val="16"/>
                <w:szCs w:val="16"/>
              </w:rPr>
            </w:pPr>
            <w:r w:rsidRPr="007F7734">
              <w:rPr>
                <w:rFonts w:ascii="Times New Roman" w:eastAsia="Calibri" w:hAnsi="Times New Roman" w:cs="Times New Roman"/>
                <w:iCs/>
                <w:sz w:val="16"/>
                <w:szCs w:val="16"/>
              </w:rPr>
              <w:t>0</w:t>
            </w:r>
          </w:p>
        </w:tc>
        <w:tc>
          <w:tcPr>
            <w:tcW w:w="627" w:type="pct"/>
            <w:vAlign w:val="center"/>
          </w:tcPr>
          <w:p w14:paraId="747758C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21951A1E" w14:textId="77777777" w:rsidR="0013047D" w:rsidRPr="007F7734" w:rsidRDefault="0013047D" w:rsidP="009A362C">
            <w:pPr>
              <w:spacing w:after="0" w:line="240" w:lineRule="auto"/>
              <w:ind w:right="71"/>
              <w:jc w:val="center"/>
              <w:rPr>
                <w:rFonts w:ascii="Times New Roman" w:eastAsia="Calibri" w:hAnsi="Times New Roman" w:cs="Times New Roman"/>
                <w:iCs/>
                <w:sz w:val="16"/>
                <w:szCs w:val="16"/>
              </w:rPr>
            </w:pPr>
            <w:r w:rsidRPr="007F7734">
              <w:rPr>
                <w:rFonts w:ascii="Times New Roman" w:eastAsia="Calibri" w:hAnsi="Times New Roman" w:cs="Times New Roman"/>
                <w:iCs/>
                <w:sz w:val="16"/>
                <w:szCs w:val="16"/>
              </w:rPr>
              <w:t>0</w:t>
            </w:r>
          </w:p>
        </w:tc>
        <w:tc>
          <w:tcPr>
            <w:tcW w:w="618" w:type="pct"/>
            <w:vAlign w:val="center"/>
          </w:tcPr>
          <w:p w14:paraId="7017AC5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31C9482D" w14:textId="77777777" w:rsidTr="009A362C">
        <w:trPr>
          <w:trHeight w:val="444"/>
        </w:trPr>
        <w:tc>
          <w:tcPr>
            <w:tcW w:w="851" w:type="pct"/>
            <w:shd w:val="clear" w:color="auto" w:fill="BFBFBF" w:themeFill="background1" w:themeFillShade="BF"/>
          </w:tcPr>
          <w:p w14:paraId="798754A8"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3. Finansiālā ietekme:</w:t>
            </w:r>
          </w:p>
        </w:tc>
        <w:tc>
          <w:tcPr>
            <w:tcW w:w="516" w:type="pct"/>
            <w:shd w:val="clear" w:color="auto" w:fill="BFBFBF" w:themeFill="background1" w:themeFillShade="BF"/>
            <w:vAlign w:val="center"/>
          </w:tcPr>
          <w:p w14:paraId="57C7A6F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shd w:val="clear" w:color="auto" w:fill="BFBFBF" w:themeFill="background1" w:themeFillShade="BF"/>
            <w:vAlign w:val="center"/>
          </w:tcPr>
          <w:p w14:paraId="215D4E5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shd w:val="clear" w:color="auto" w:fill="BFBFBF" w:themeFill="background1" w:themeFillShade="BF"/>
            <w:vAlign w:val="center"/>
          </w:tcPr>
          <w:p w14:paraId="139315B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shd w:val="clear" w:color="auto" w:fill="BFBFBF" w:themeFill="background1" w:themeFillShade="BF"/>
            <w:vAlign w:val="center"/>
          </w:tcPr>
          <w:p w14:paraId="0CB479C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-330 048</w:t>
            </w:r>
          </w:p>
        </w:tc>
        <w:tc>
          <w:tcPr>
            <w:tcW w:w="627" w:type="pct"/>
            <w:shd w:val="clear" w:color="auto" w:fill="BFBFBF" w:themeFill="background1" w:themeFillShade="BF"/>
            <w:vAlign w:val="center"/>
          </w:tcPr>
          <w:p w14:paraId="02B0838A"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shd w:val="clear" w:color="auto" w:fill="BFBFBF" w:themeFill="background1" w:themeFillShade="BF"/>
            <w:vAlign w:val="center"/>
          </w:tcPr>
          <w:p w14:paraId="48B2FA1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-322 812</w:t>
            </w:r>
          </w:p>
        </w:tc>
        <w:tc>
          <w:tcPr>
            <w:tcW w:w="618" w:type="pct"/>
            <w:shd w:val="clear" w:color="auto" w:fill="BFBFBF" w:themeFill="background1" w:themeFillShade="BF"/>
            <w:vAlign w:val="center"/>
          </w:tcPr>
          <w:p w14:paraId="1531C7C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-315 792</w:t>
            </w:r>
          </w:p>
        </w:tc>
      </w:tr>
      <w:tr w:rsidR="0013047D" w:rsidRPr="007F7734" w14:paraId="60A30610" w14:textId="77777777" w:rsidTr="009A362C">
        <w:trPr>
          <w:trHeight w:val="456"/>
        </w:trPr>
        <w:tc>
          <w:tcPr>
            <w:tcW w:w="851" w:type="pct"/>
          </w:tcPr>
          <w:p w14:paraId="11E2B301"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3.1. valsts pamatbudžets</w:t>
            </w:r>
          </w:p>
        </w:tc>
        <w:tc>
          <w:tcPr>
            <w:tcW w:w="516" w:type="pct"/>
            <w:vAlign w:val="center"/>
          </w:tcPr>
          <w:p w14:paraId="40F9D9DF"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tcPr>
          <w:p w14:paraId="4C2815C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tcPr>
          <w:p w14:paraId="38D958DA"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vAlign w:val="center"/>
          </w:tcPr>
          <w:p w14:paraId="053274F2"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-330 048</w:t>
            </w:r>
          </w:p>
        </w:tc>
        <w:tc>
          <w:tcPr>
            <w:tcW w:w="627" w:type="pct"/>
          </w:tcPr>
          <w:p w14:paraId="7BBD21E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21CAB1C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-322 812</w:t>
            </w:r>
          </w:p>
        </w:tc>
        <w:tc>
          <w:tcPr>
            <w:tcW w:w="618" w:type="pct"/>
            <w:vAlign w:val="center"/>
          </w:tcPr>
          <w:p w14:paraId="7811DEF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-315 792</w:t>
            </w:r>
          </w:p>
        </w:tc>
      </w:tr>
      <w:tr w:rsidR="0013047D" w:rsidRPr="007F7734" w14:paraId="741DA58E" w14:textId="77777777" w:rsidTr="009A362C">
        <w:trPr>
          <w:trHeight w:val="456"/>
        </w:trPr>
        <w:tc>
          <w:tcPr>
            <w:tcW w:w="851" w:type="pct"/>
          </w:tcPr>
          <w:p w14:paraId="692C8254"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3.2. speciālais budžets</w:t>
            </w:r>
          </w:p>
        </w:tc>
        <w:tc>
          <w:tcPr>
            <w:tcW w:w="516" w:type="pct"/>
            <w:vAlign w:val="center"/>
          </w:tcPr>
          <w:p w14:paraId="6B90CDA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vAlign w:val="center"/>
          </w:tcPr>
          <w:p w14:paraId="2D2E19D2"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tcPr>
          <w:p w14:paraId="5CA14FE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tcPr>
          <w:p w14:paraId="338316C1"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tcPr>
          <w:p w14:paraId="470CA8A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tcPr>
          <w:p w14:paraId="4BAFE86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tcPr>
          <w:p w14:paraId="3672FB4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7BE38D92" w14:textId="77777777" w:rsidTr="009A362C">
        <w:trPr>
          <w:trHeight w:val="456"/>
        </w:trPr>
        <w:tc>
          <w:tcPr>
            <w:tcW w:w="851" w:type="pct"/>
          </w:tcPr>
          <w:p w14:paraId="30653A96"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 xml:space="preserve">3.3. pašvaldību budžets </w:t>
            </w:r>
          </w:p>
        </w:tc>
        <w:tc>
          <w:tcPr>
            <w:tcW w:w="516" w:type="pct"/>
            <w:vAlign w:val="center"/>
          </w:tcPr>
          <w:p w14:paraId="36856C07"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55" w:type="pct"/>
            <w:vAlign w:val="center"/>
          </w:tcPr>
          <w:p w14:paraId="378E12B9"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tcPr>
          <w:p w14:paraId="6071164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6" w:type="pct"/>
          </w:tcPr>
          <w:p w14:paraId="6D7172A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tcPr>
          <w:p w14:paraId="3448FD2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tcPr>
          <w:p w14:paraId="6F23FAA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tcPr>
          <w:p w14:paraId="5254022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6638EBDF" w14:textId="77777777" w:rsidTr="009A362C">
        <w:trPr>
          <w:trHeight w:val="1224"/>
        </w:trPr>
        <w:tc>
          <w:tcPr>
            <w:tcW w:w="851" w:type="pct"/>
          </w:tcPr>
          <w:p w14:paraId="63BB2075" w14:textId="77777777" w:rsidR="0013047D" w:rsidRPr="007F7734" w:rsidRDefault="0013047D" w:rsidP="009A362C">
            <w:pPr>
              <w:spacing w:after="0" w:line="240" w:lineRule="auto"/>
              <w:ind w:right="74"/>
              <w:rPr>
                <w:rFonts w:ascii="Times New Roman" w:eastAsia="Calibri" w:hAnsi="Times New Roman" w:cs="Times New Roman"/>
                <w:sz w:val="18"/>
                <w:szCs w:val="18"/>
              </w:rPr>
            </w:pPr>
            <w:r w:rsidRPr="007F7734">
              <w:rPr>
                <w:rFonts w:ascii="Times New Roman" w:eastAsia="Calibri" w:hAnsi="Times New Roman" w:cs="Times New Roman"/>
                <w:sz w:val="18"/>
                <w:szCs w:val="18"/>
              </w:rPr>
              <w:t>4. Finanšu līdzekļi papildu izde</w:t>
            </w:r>
            <w:r w:rsidRPr="007F7734">
              <w:rPr>
                <w:rFonts w:ascii="Times New Roman" w:eastAsia="Calibri" w:hAnsi="Times New Roman" w:cs="Times New Roman"/>
                <w:sz w:val="18"/>
                <w:szCs w:val="18"/>
              </w:rPr>
              <w:softHyphen/>
              <w:t>vumu finansēšanai (kompensējošu izdevumu samazinājumu norāda ar "+" zīmi)</w:t>
            </w:r>
          </w:p>
        </w:tc>
        <w:tc>
          <w:tcPr>
            <w:tcW w:w="516" w:type="pct"/>
            <w:vAlign w:val="center"/>
          </w:tcPr>
          <w:p w14:paraId="1CD9239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x</w:t>
            </w:r>
          </w:p>
          <w:p w14:paraId="51380238"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555" w:type="pct"/>
            <w:vAlign w:val="center"/>
          </w:tcPr>
          <w:p w14:paraId="6CBA036B" w14:textId="77777777" w:rsidR="0013047D" w:rsidRPr="007F7734" w:rsidRDefault="0013047D" w:rsidP="009A362C">
            <w:pPr>
              <w:spacing w:after="0" w:line="240" w:lineRule="auto"/>
              <w:ind w:right="74"/>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Align w:val="center"/>
          </w:tcPr>
          <w:p w14:paraId="37222159"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x</w:t>
            </w:r>
          </w:p>
        </w:tc>
        <w:tc>
          <w:tcPr>
            <w:tcW w:w="626" w:type="pct"/>
            <w:vAlign w:val="center"/>
          </w:tcPr>
          <w:p w14:paraId="3366286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Align w:val="center"/>
          </w:tcPr>
          <w:p w14:paraId="7127CAE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x</w:t>
            </w:r>
          </w:p>
        </w:tc>
        <w:tc>
          <w:tcPr>
            <w:tcW w:w="627" w:type="pct"/>
            <w:vAlign w:val="center"/>
          </w:tcPr>
          <w:p w14:paraId="1EA1076C"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22A6708F"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6BC05CFE" w14:textId="77777777" w:rsidTr="009A362C">
        <w:trPr>
          <w:trHeight w:val="683"/>
        </w:trPr>
        <w:tc>
          <w:tcPr>
            <w:tcW w:w="851" w:type="pct"/>
          </w:tcPr>
          <w:p w14:paraId="30BDC69E"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5. Precizēta finansiālā ietekme:</w:t>
            </w:r>
          </w:p>
        </w:tc>
        <w:tc>
          <w:tcPr>
            <w:tcW w:w="516" w:type="pct"/>
            <w:vMerge w:val="restart"/>
            <w:vAlign w:val="center"/>
          </w:tcPr>
          <w:p w14:paraId="7B7977D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x</w:t>
            </w:r>
          </w:p>
        </w:tc>
        <w:tc>
          <w:tcPr>
            <w:tcW w:w="555" w:type="pct"/>
            <w:vAlign w:val="center"/>
          </w:tcPr>
          <w:p w14:paraId="7DF8124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Merge w:val="restart"/>
            <w:vAlign w:val="center"/>
          </w:tcPr>
          <w:p w14:paraId="30E31D05"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x</w:t>
            </w:r>
          </w:p>
        </w:tc>
        <w:tc>
          <w:tcPr>
            <w:tcW w:w="626" w:type="pct"/>
            <w:vAlign w:val="center"/>
          </w:tcPr>
          <w:p w14:paraId="13DD04D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Merge w:val="restart"/>
            <w:vAlign w:val="center"/>
          </w:tcPr>
          <w:p w14:paraId="210F4C2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x</w:t>
            </w:r>
          </w:p>
        </w:tc>
        <w:tc>
          <w:tcPr>
            <w:tcW w:w="627" w:type="pct"/>
            <w:vAlign w:val="center"/>
          </w:tcPr>
          <w:p w14:paraId="62EA2A4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4C65782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11120069" w14:textId="77777777" w:rsidTr="009A362C">
        <w:trPr>
          <w:trHeight w:val="456"/>
        </w:trPr>
        <w:tc>
          <w:tcPr>
            <w:tcW w:w="851" w:type="pct"/>
          </w:tcPr>
          <w:p w14:paraId="4DBC65C6"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5.1. valsts pamatbudžets</w:t>
            </w:r>
          </w:p>
        </w:tc>
        <w:tc>
          <w:tcPr>
            <w:tcW w:w="516" w:type="pct"/>
            <w:vMerge/>
            <w:vAlign w:val="center"/>
          </w:tcPr>
          <w:p w14:paraId="4F992D2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lang w:eastAsia="lv-LV"/>
              </w:rPr>
            </w:pPr>
          </w:p>
        </w:tc>
        <w:tc>
          <w:tcPr>
            <w:tcW w:w="555" w:type="pct"/>
            <w:vAlign w:val="center"/>
          </w:tcPr>
          <w:p w14:paraId="426705C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Merge/>
            <w:vAlign w:val="center"/>
          </w:tcPr>
          <w:p w14:paraId="05560C8C"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626" w:type="pct"/>
            <w:vAlign w:val="center"/>
          </w:tcPr>
          <w:p w14:paraId="512C1B7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Merge/>
            <w:vAlign w:val="center"/>
          </w:tcPr>
          <w:p w14:paraId="2427994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627" w:type="pct"/>
            <w:vAlign w:val="center"/>
          </w:tcPr>
          <w:p w14:paraId="1E30E15D"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54425DB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3EA85D9F" w14:textId="77777777" w:rsidTr="009A362C">
        <w:trPr>
          <w:trHeight w:val="456"/>
        </w:trPr>
        <w:tc>
          <w:tcPr>
            <w:tcW w:w="851" w:type="pct"/>
          </w:tcPr>
          <w:p w14:paraId="7AA68832"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5.2. speciālais budžets</w:t>
            </w:r>
          </w:p>
        </w:tc>
        <w:tc>
          <w:tcPr>
            <w:tcW w:w="516" w:type="pct"/>
            <w:vMerge/>
            <w:vAlign w:val="center"/>
          </w:tcPr>
          <w:p w14:paraId="61C3CE0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lang w:eastAsia="lv-LV"/>
              </w:rPr>
            </w:pPr>
          </w:p>
        </w:tc>
        <w:tc>
          <w:tcPr>
            <w:tcW w:w="555" w:type="pct"/>
            <w:vAlign w:val="center"/>
          </w:tcPr>
          <w:p w14:paraId="2FC34001"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Merge/>
            <w:vAlign w:val="center"/>
          </w:tcPr>
          <w:p w14:paraId="707B23F4"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626" w:type="pct"/>
            <w:vAlign w:val="center"/>
          </w:tcPr>
          <w:p w14:paraId="3F1F2D52"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Merge/>
            <w:vAlign w:val="center"/>
          </w:tcPr>
          <w:p w14:paraId="2A1A690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627" w:type="pct"/>
            <w:vAlign w:val="center"/>
          </w:tcPr>
          <w:p w14:paraId="523AE00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37B1E4EE"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56C6BFE6" w14:textId="77777777" w:rsidTr="009A362C">
        <w:trPr>
          <w:trHeight w:val="456"/>
        </w:trPr>
        <w:tc>
          <w:tcPr>
            <w:tcW w:w="851" w:type="pct"/>
          </w:tcPr>
          <w:p w14:paraId="5C1C6A76" w14:textId="77777777" w:rsidR="0013047D" w:rsidRPr="007F7734" w:rsidRDefault="0013047D" w:rsidP="009A362C">
            <w:pPr>
              <w:spacing w:after="0" w:line="240" w:lineRule="auto"/>
              <w:ind w:right="71"/>
              <w:rPr>
                <w:rFonts w:ascii="Times New Roman" w:eastAsia="Calibri" w:hAnsi="Times New Roman" w:cs="Times New Roman"/>
                <w:sz w:val="18"/>
                <w:szCs w:val="18"/>
              </w:rPr>
            </w:pPr>
            <w:r w:rsidRPr="007F7734">
              <w:rPr>
                <w:rFonts w:ascii="Times New Roman" w:eastAsia="Calibri" w:hAnsi="Times New Roman" w:cs="Times New Roman"/>
                <w:sz w:val="18"/>
                <w:szCs w:val="18"/>
              </w:rPr>
              <w:t xml:space="preserve">5.3. pašvaldību budžets </w:t>
            </w:r>
          </w:p>
        </w:tc>
        <w:tc>
          <w:tcPr>
            <w:tcW w:w="516" w:type="pct"/>
            <w:vMerge/>
            <w:vAlign w:val="center"/>
          </w:tcPr>
          <w:p w14:paraId="492D1891"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lang w:eastAsia="lv-LV"/>
              </w:rPr>
            </w:pPr>
          </w:p>
        </w:tc>
        <w:tc>
          <w:tcPr>
            <w:tcW w:w="555" w:type="pct"/>
            <w:vAlign w:val="center"/>
          </w:tcPr>
          <w:p w14:paraId="62145B80"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580" w:type="pct"/>
            <w:vMerge/>
            <w:vAlign w:val="center"/>
          </w:tcPr>
          <w:p w14:paraId="42071BC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626" w:type="pct"/>
            <w:vAlign w:val="center"/>
          </w:tcPr>
          <w:p w14:paraId="25C0CEA6"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27" w:type="pct"/>
            <w:vMerge/>
            <w:vAlign w:val="center"/>
          </w:tcPr>
          <w:p w14:paraId="70C482BB"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p>
        </w:tc>
        <w:tc>
          <w:tcPr>
            <w:tcW w:w="627" w:type="pct"/>
            <w:vAlign w:val="center"/>
          </w:tcPr>
          <w:p w14:paraId="3DD8244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c>
          <w:tcPr>
            <w:tcW w:w="618" w:type="pct"/>
            <w:vAlign w:val="center"/>
          </w:tcPr>
          <w:p w14:paraId="27F40093" w14:textId="77777777" w:rsidR="0013047D" w:rsidRPr="007F7734" w:rsidRDefault="0013047D" w:rsidP="009A362C">
            <w:pPr>
              <w:spacing w:after="0" w:line="240" w:lineRule="auto"/>
              <w:ind w:right="71"/>
              <w:jc w:val="center"/>
              <w:rPr>
                <w:rFonts w:ascii="Times New Roman" w:eastAsia="Calibri" w:hAnsi="Times New Roman" w:cs="Times New Roman"/>
                <w:sz w:val="16"/>
                <w:szCs w:val="16"/>
              </w:rPr>
            </w:pPr>
            <w:r w:rsidRPr="007F7734">
              <w:rPr>
                <w:rFonts w:ascii="Times New Roman" w:eastAsia="Calibri" w:hAnsi="Times New Roman" w:cs="Times New Roman"/>
                <w:sz w:val="16"/>
                <w:szCs w:val="16"/>
              </w:rPr>
              <w:t>0</w:t>
            </w:r>
          </w:p>
        </w:tc>
      </w:tr>
      <w:tr w:rsidR="0013047D" w:rsidRPr="007F7734" w14:paraId="0E7BC51E" w14:textId="77777777" w:rsidTr="009A362C">
        <w:trPr>
          <w:trHeight w:val="456"/>
        </w:trPr>
        <w:tc>
          <w:tcPr>
            <w:tcW w:w="5000" w:type="pct"/>
            <w:gridSpan w:val="8"/>
          </w:tcPr>
          <w:p w14:paraId="21BCB2BF"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r w:rsidRPr="007F7734">
              <w:rPr>
                <w:rFonts w:ascii="Times New Roman" w:eastAsia="Calibri" w:hAnsi="Times New Roman" w:cs="Times New Roman"/>
                <w:i/>
                <w:sz w:val="18"/>
                <w:szCs w:val="18"/>
              </w:rPr>
              <w:t>*</w:t>
            </w:r>
          </w:p>
          <w:p w14:paraId="5F221B35"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p>
          <w:p w14:paraId="3A7AA795"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p>
        </w:tc>
      </w:tr>
      <w:tr w:rsidR="0013047D" w:rsidRPr="007F7734" w14:paraId="6223458A" w14:textId="77777777" w:rsidTr="009A362C">
        <w:trPr>
          <w:trHeight w:val="70"/>
        </w:trPr>
        <w:tc>
          <w:tcPr>
            <w:tcW w:w="851" w:type="pct"/>
          </w:tcPr>
          <w:p w14:paraId="3D45B60A"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r w:rsidRPr="007F7734">
              <w:rPr>
                <w:rFonts w:ascii="Times New Roman" w:eastAsia="Calibri" w:hAnsi="Times New Roman" w:cs="Times New Roman"/>
                <w:sz w:val="18"/>
                <w:szCs w:val="18"/>
              </w:rPr>
              <w:lastRenderedPageBreak/>
              <w:t>6. Detalizēts ieņēmumu un izdevu</w:t>
            </w:r>
            <w:r w:rsidRPr="007F7734">
              <w:rPr>
                <w:rFonts w:ascii="Times New Roman" w:eastAsia="Calibri" w:hAnsi="Times New Roman" w:cs="Times New Roman"/>
                <w:sz w:val="18"/>
                <w:szCs w:val="18"/>
              </w:rPr>
              <w:softHyphen/>
              <w:t>mu aprēķins (ja nepieciešams, detalizētu ieņēmumu un izdevumu aprēķinu var pievienot anotācijas pielikumā):</w:t>
            </w:r>
          </w:p>
        </w:tc>
        <w:tc>
          <w:tcPr>
            <w:tcW w:w="4149" w:type="pct"/>
            <w:gridSpan w:val="7"/>
            <w:vMerge w:val="restart"/>
          </w:tcPr>
          <w:p w14:paraId="36656291" w14:textId="77777777" w:rsidR="0013047D" w:rsidRPr="007F7734" w:rsidRDefault="0013047D" w:rsidP="009A362C">
            <w:pPr>
              <w:tabs>
                <w:tab w:val="left" w:pos="4644"/>
              </w:tabs>
              <w:spacing w:after="0" w:line="240" w:lineRule="auto"/>
              <w:ind w:right="71"/>
              <w:jc w:val="both"/>
              <w:rPr>
                <w:rFonts w:ascii="Times New Roman" w:eastAsia="Calibri" w:hAnsi="Times New Roman" w:cs="Times New Roman"/>
                <w:iCs/>
                <w:sz w:val="18"/>
                <w:szCs w:val="18"/>
              </w:rPr>
            </w:pPr>
          </w:p>
          <w:p w14:paraId="6A8332B5" w14:textId="5F6D22D0" w:rsidR="0013047D" w:rsidRPr="007F7734" w:rsidRDefault="0013047D" w:rsidP="009A362C">
            <w:pPr>
              <w:tabs>
                <w:tab w:val="left" w:pos="4644"/>
              </w:tabs>
              <w:spacing w:after="0" w:line="240" w:lineRule="auto"/>
              <w:ind w:right="71"/>
              <w:jc w:val="both"/>
              <w:rPr>
                <w:rFonts w:ascii="Times New Roman" w:eastAsia="Calibri" w:hAnsi="Times New Roman" w:cs="Times New Roman"/>
                <w:sz w:val="18"/>
                <w:szCs w:val="18"/>
              </w:rPr>
            </w:pPr>
            <w:r w:rsidRPr="007F7734">
              <w:rPr>
                <w:rFonts w:ascii="Times New Roman" w:eastAsia="Calibri" w:hAnsi="Times New Roman" w:cs="Times New Roman"/>
                <w:iCs/>
                <w:sz w:val="18"/>
                <w:szCs w:val="18"/>
              </w:rPr>
              <w:t>Izdevumu palielinājums, lai nodrošinātu</w:t>
            </w:r>
            <w:r w:rsidRPr="007F7734">
              <w:rPr>
                <w:rFonts w:ascii="Times New Roman" w:eastAsia="Calibri" w:hAnsi="Times New Roman" w:cs="Times New Roman"/>
                <w:i/>
                <w:iCs/>
                <w:sz w:val="18"/>
                <w:szCs w:val="18"/>
              </w:rPr>
              <w:t xml:space="preserve"> </w:t>
            </w:r>
            <w:r w:rsidRPr="007F7734">
              <w:rPr>
                <w:rFonts w:ascii="Times New Roman" w:eastAsia="Calibri" w:hAnsi="Times New Roman" w:cs="Times New Roman"/>
                <w:sz w:val="18"/>
                <w:szCs w:val="18"/>
              </w:rPr>
              <w:t>Valsts sociālais pabalst</w:t>
            </w:r>
            <w:r w:rsidR="00DB2B18" w:rsidRPr="007F7734">
              <w:rPr>
                <w:rFonts w:ascii="Times New Roman" w:eastAsia="Calibri" w:hAnsi="Times New Roman" w:cs="Times New Roman"/>
                <w:sz w:val="18"/>
                <w:szCs w:val="18"/>
              </w:rPr>
              <w:t>a</w:t>
            </w:r>
            <w:r w:rsidRPr="007F7734">
              <w:rPr>
                <w:rFonts w:ascii="Times New Roman" w:eastAsia="Calibri" w:hAnsi="Times New Roman" w:cs="Times New Roman"/>
                <w:sz w:val="18"/>
                <w:szCs w:val="18"/>
              </w:rPr>
              <w:t xml:space="preserve"> Černobiļas atomelektrostacijas avārijas seku likvidēšanas dalībniekiem un mirušo Černobiļas atomelektrostacijas avārijas seku likvidēšanas dalībnieku ģimenēm paaugstināšanu</w:t>
            </w:r>
            <w:r w:rsidR="00DB2B18" w:rsidRPr="007F7734">
              <w:rPr>
                <w:rFonts w:ascii="Times New Roman" w:eastAsia="Calibri" w:hAnsi="Times New Roman" w:cs="Times New Roman"/>
                <w:sz w:val="18"/>
                <w:szCs w:val="18"/>
              </w:rPr>
              <w:t xml:space="preserve">, </w:t>
            </w:r>
            <w:r w:rsidRPr="007F7734">
              <w:rPr>
                <w:rFonts w:ascii="Times New Roman" w:eastAsia="Calibri" w:hAnsi="Times New Roman" w:cs="Times New Roman"/>
                <w:sz w:val="18"/>
                <w:szCs w:val="18"/>
              </w:rPr>
              <w:t>tiks veikti no LM pamatbudžeta apakšprogrammas 20.01.00 “Valsts sociālie pabalsti”.</w:t>
            </w:r>
          </w:p>
          <w:p w14:paraId="463D4862" w14:textId="77777777" w:rsidR="0013047D" w:rsidRPr="007F7734" w:rsidRDefault="0013047D" w:rsidP="009A362C">
            <w:pPr>
              <w:tabs>
                <w:tab w:val="left" w:pos="4644"/>
              </w:tabs>
              <w:spacing w:after="0" w:line="240" w:lineRule="auto"/>
              <w:ind w:right="71"/>
              <w:jc w:val="both"/>
              <w:rPr>
                <w:rFonts w:ascii="Times New Roman" w:eastAsia="Calibri" w:hAnsi="Times New Roman" w:cs="Times New Roman"/>
                <w:iCs/>
                <w:sz w:val="18"/>
                <w:szCs w:val="18"/>
              </w:rPr>
            </w:pPr>
          </w:p>
          <w:tbl>
            <w:tblPr>
              <w:tblW w:w="7039" w:type="dxa"/>
              <w:tblLook w:val="04A0" w:firstRow="1" w:lastRow="0" w:firstColumn="1" w:lastColumn="0" w:noHBand="0" w:noVBand="1"/>
            </w:tblPr>
            <w:tblGrid>
              <w:gridCol w:w="1361"/>
              <w:gridCol w:w="556"/>
              <w:gridCol w:w="626"/>
              <w:gridCol w:w="653"/>
              <w:gridCol w:w="654"/>
              <w:gridCol w:w="653"/>
              <w:gridCol w:w="654"/>
              <w:gridCol w:w="653"/>
              <w:gridCol w:w="654"/>
              <w:gridCol w:w="653"/>
            </w:tblGrid>
            <w:tr w:rsidR="0013047D" w:rsidRPr="007F7734" w14:paraId="6F8BDBC9" w14:textId="77777777" w:rsidTr="009A362C">
              <w:trPr>
                <w:trHeight w:val="254"/>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EB064" w14:textId="77777777" w:rsidR="0013047D" w:rsidRPr="007F7734" w:rsidRDefault="0013047D" w:rsidP="007F7734">
                  <w:pPr>
                    <w:framePr w:hSpace="180" w:wrap="around" w:vAnchor="text" w:hAnchor="text" w:xAlign="right" w:y="1"/>
                    <w:spacing w:after="0" w:line="240" w:lineRule="auto"/>
                    <w:suppressOverlap/>
                    <w:rPr>
                      <w:rFonts w:ascii="Times New Roman" w:eastAsia="Times New Roman" w:hAnsi="Times New Roman" w:cs="Times New Roman"/>
                      <w:sz w:val="14"/>
                      <w:szCs w:val="14"/>
                      <w:lang w:eastAsia="lv-LV"/>
                    </w:rPr>
                  </w:pPr>
                  <w:r w:rsidRPr="007F7734">
                    <w:rPr>
                      <w:rFonts w:ascii="Times New Roman" w:eastAsia="Times New Roman" w:hAnsi="Times New Roman" w:cs="Times New Roman"/>
                      <w:sz w:val="14"/>
                      <w:szCs w:val="14"/>
                      <w:lang w:eastAsia="lv-LV"/>
                    </w:rPr>
                    <w:t> </w:t>
                  </w:r>
                </w:p>
              </w:tc>
              <w:tc>
                <w:tcPr>
                  <w:tcW w:w="17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91CF89"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b/>
                      <w:bCs/>
                      <w:sz w:val="14"/>
                      <w:szCs w:val="14"/>
                      <w:lang w:eastAsia="lv-LV"/>
                    </w:rPr>
                  </w:pPr>
                  <w:r w:rsidRPr="007F7734">
                    <w:rPr>
                      <w:rFonts w:ascii="Times New Roman" w:eastAsia="Times New Roman" w:hAnsi="Times New Roman" w:cs="Times New Roman"/>
                      <w:b/>
                      <w:bCs/>
                      <w:sz w:val="14"/>
                      <w:szCs w:val="14"/>
                      <w:lang w:eastAsia="lv-LV"/>
                    </w:rPr>
                    <w:t>2021</w:t>
                  </w:r>
                </w:p>
              </w:tc>
              <w:tc>
                <w:tcPr>
                  <w:tcW w:w="196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D38121"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b/>
                      <w:bCs/>
                      <w:sz w:val="14"/>
                      <w:szCs w:val="14"/>
                      <w:lang w:eastAsia="lv-LV"/>
                    </w:rPr>
                  </w:pPr>
                  <w:r w:rsidRPr="007F7734">
                    <w:rPr>
                      <w:rFonts w:ascii="Times New Roman" w:eastAsia="Times New Roman" w:hAnsi="Times New Roman" w:cs="Times New Roman"/>
                      <w:b/>
                      <w:bCs/>
                      <w:sz w:val="14"/>
                      <w:szCs w:val="14"/>
                      <w:lang w:eastAsia="lv-LV"/>
                    </w:rPr>
                    <w:t>2022</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70D97F8"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b/>
                      <w:bCs/>
                      <w:sz w:val="14"/>
                      <w:szCs w:val="14"/>
                      <w:lang w:eastAsia="lv-LV"/>
                    </w:rPr>
                  </w:pPr>
                  <w:r w:rsidRPr="007F7734">
                    <w:rPr>
                      <w:rFonts w:ascii="Times New Roman" w:eastAsia="Times New Roman" w:hAnsi="Times New Roman" w:cs="Times New Roman"/>
                      <w:b/>
                      <w:bCs/>
                      <w:sz w:val="14"/>
                      <w:szCs w:val="14"/>
                      <w:lang w:eastAsia="lv-LV"/>
                    </w:rPr>
                    <w:t>2023</w:t>
                  </w:r>
                </w:p>
              </w:tc>
            </w:tr>
            <w:tr w:rsidR="0013047D" w:rsidRPr="007F7734" w14:paraId="278A594F" w14:textId="77777777" w:rsidTr="009A362C">
              <w:trPr>
                <w:trHeight w:val="660"/>
              </w:trPr>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637B8DED"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 xml:space="preserve">Pasākums </w:t>
                  </w:r>
                  <w:r w:rsidRPr="007F7734">
                    <w:rPr>
                      <w:rFonts w:ascii="Times New Roman" w:hAnsi="Times New Roman" w:cs="Times New Roman"/>
                      <w:sz w:val="12"/>
                      <w:szCs w:val="12"/>
                    </w:rPr>
                    <w:t>atbalstam minimālā ienākuma līmeņa palielināšanai</w:t>
                  </w:r>
                </w:p>
              </w:tc>
              <w:tc>
                <w:tcPr>
                  <w:tcW w:w="551" w:type="dxa"/>
                  <w:tcBorders>
                    <w:top w:val="nil"/>
                    <w:left w:val="nil"/>
                    <w:bottom w:val="single" w:sz="4" w:space="0" w:color="auto"/>
                    <w:right w:val="single" w:sz="4" w:space="0" w:color="auto"/>
                  </w:tcBorders>
                  <w:shd w:val="clear" w:color="auto" w:fill="auto"/>
                  <w:vAlign w:val="bottom"/>
                  <w:hideMark/>
                </w:tcPr>
                <w:p w14:paraId="1600AA1F"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skaits, vid. mēnesī</w:t>
                  </w:r>
                </w:p>
              </w:tc>
              <w:tc>
                <w:tcPr>
                  <w:tcW w:w="553" w:type="dxa"/>
                  <w:tcBorders>
                    <w:top w:val="nil"/>
                    <w:left w:val="nil"/>
                    <w:bottom w:val="single" w:sz="4" w:space="0" w:color="auto"/>
                    <w:right w:val="single" w:sz="4" w:space="0" w:color="auto"/>
                  </w:tcBorders>
                  <w:shd w:val="clear" w:color="auto" w:fill="auto"/>
                  <w:vAlign w:val="bottom"/>
                  <w:hideMark/>
                </w:tcPr>
                <w:p w14:paraId="328B25C1"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vid.</w:t>
                  </w:r>
                </w:p>
                <w:p w14:paraId="1F342353"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 xml:space="preserve">apmēra </w:t>
                  </w:r>
                  <w:proofErr w:type="spellStart"/>
                  <w:r w:rsidRPr="007F7734">
                    <w:rPr>
                      <w:rFonts w:ascii="Times New Roman" w:eastAsia="Times New Roman" w:hAnsi="Times New Roman" w:cs="Times New Roman"/>
                      <w:sz w:val="12"/>
                      <w:szCs w:val="12"/>
                      <w:lang w:eastAsia="lv-LV"/>
                    </w:rPr>
                    <w:t>paliel-inājums</w:t>
                  </w:r>
                  <w:proofErr w:type="spellEnd"/>
                  <w:r w:rsidRPr="007F7734">
                    <w:rPr>
                      <w:rFonts w:ascii="Times New Roman" w:eastAsia="Times New Roman" w:hAnsi="Times New Roman" w:cs="Times New Roman"/>
                      <w:sz w:val="12"/>
                      <w:szCs w:val="12"/>
                      <w:lang w:eastAsia="lv-LV"/>
                    </w:rPr>
                    <w:t>, EUR</w:t>
                  </w:r>
                </w:p>
              </w:tc>
              <w:tc>
                <w:tcPr>
                  <w:tcW w:w="653" w:type="dxa"/>
                  <w:tcBorders>
                    <w:top w:val="nil"/>
                    <w:left w:val="nil"/>
                    <w:bottom w:val="single" w:sz="4" w:space="0" w:color="auto"/>
                    <w:right w:val="single" w:sz="4" w:space="0" w:color="auto"/>
                  </w:tcBorders>
                  <w:shd w:val="clear" w:color="000000" w:fill="D9D9D9"/>
                  <w:vAlign w:val="bottom"/>
                  <w:hideMark/>
                </w:tcPr>
                <w:p w14:paraId="2E3BE232"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proofErr w:type="spellStart"/>
                  <w:r w:rsidRPr="007F7734">
                    <w:rPr>
                      <w:rFonts w:ascii="Times New Roman" w:eastAsia="Times New Roman" w:hAnsi="Times New Roman" w:cs="Times New Roman"/>
                      <w:sz w:val="12"/>
                      <w:szCs w:val="12"/>
                      <w:lang w:eastAsia="lv-LV"/>
                    </w:rPr>
                    <w:t>Nepiec-iešamais</w:t>
                  </w:r>
                  <w:proofErr w:type="spellEnd"/>
                  <w:r w:rsidRPr="007F7734">
                    <w:rPr>
                      <w:rFonts w:ascii="Times New Roman" w:eastAsia="Times New Roman" w:hAnsi="Times New Roman" w:cs="Times New Roman"/>
                      <w:sz w:val="12"/>
                      <w:szCs w:val="12"/>
                      <w:lang w:eastAsia="lv-LV"/>
                    </w:rPr>
                    <w:t xml:space="preserve"> </w:t>
                  </w:r>
                  <w:proofErr w:type="spellStart"/>
                  <w:r w:rsidRPr="007F7734">
                    <w:rPr>
                      <w:rFonts w:ascii="Times New Roman" w:eastAsia="Times New Roman" w:hAnsi="Times New Roman" w:cs="Times New Roman"/>
                      <w:sz w:val="12"/>
                      <w:szCs w:val="12"/>
                      <w:lang w:eastAsia="lv-LV"/>
                    </w:rPr>
                    <w:t>finan</w:t>
                  </w:r>
                  <w:proofErr w:type="spellEnd"/>
                  <w:r w:rsidRPr="007F7734">
                    <w:rPr>
                      <w:rFonts w:ascii="Times New Roman" w:eastAsia="Times New Roman" w:hAnsi="Times New Roman" w:cs="Times New Roman"/>
                      <w:sz w:val="12"/>
                      <w:szCs w:val="12"/>
                      <w:lang w:eastAsia="lv-LV"/>
                    </w:rPr>
                    <w:t>-sējums gadā, EUR</w:t>
                  </w:r>
                </w:p>
              </w:tc>
              <w:tc>
                <w:tcPr>
                  <w:tcW w:w="654" w:type="dxa"/>
                  <w:tcBorders>
                    <w:top w:val="nil"/>
                    <w:left w:val="nil"/>
                    <w:bottom w:val="single" w:sz="4" w:space="0" w:color="auto"/>
                    <w:right w:val="single" w:sz="4" w:space="0" w:color="auto"/>
                  </w:tcBorders>
                  <w:shd w:val="clear" w:color="auto" w:fill="auto"/>
                  <w:vAlign w:val="bottom"/>
                  <w:hideMark/>
                </w:tcPr>
                <w:p w14:paraId="4A617719"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skaits, vid. mēnesī</w:t>
                  </w:r>
                </w:p>
              </w:tc>
              <w:tc>
                <w:tcPr>
                  <w:tcW w:w="653" w:type="dxa"/>
                  <w:tcBorders>
                    <w:top w:val="nil"/>
                    <w:left w:val="nil"/>
                    <w:bottom w:val="single" w:sz="4" w:space="0" w:color="auto"/>
                    <w:right w:val="single" w:sz="4" w:space="0" w:color="auto"/>
                  </w:tcBorders>
                  <w:shd w:val="clear" w:color="auto" w:fill="auto"/>
                  <w:vAlign w:val="bottom"/>
                  <w:hideMark/>
                </w:tcPr>
                <w:p w14:paraId="1822D93E"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vid.</w:t>
                  </w:r>
                </w:p>
                <w:p w14:paraId="0BF4ED3A"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 xml:space="preserve">apmēra </w:t>
                  </w:r>
                  <w:proofErr w:type="spellStart"/>
                  <w:r w:rsidRPr="007F7734">
                    <w:rPr>
                      <w:rFonts w:ascii="Times New Roman" w:eastAsia="Times New Roman" w:hAnsi="Times New Roman" w:cs="Times New Roman"/>
                      <w:sz w:val="12"/>
                      <w:szCs w:val="12"/>
                      <w:lang w:eastAsia="lv-LV"/>
                    </w:rPr>
                    <w:t>paliel-inājums</w:t>
                  </w:r>
                  <w:proofErr w:type="spellEnd"/>
                  <w:r w:rsidRPr="007F7734">
                    <w:rPr>
                      <w:rFonts w:ascii="Times New Roman" w:eastAsia="Times New Roman" w:hAnsi="Times New Roman" w:cs="Times New Roman"/>
                      <w:sz w:val="12"/>
                      <w:szCs w:val="12"/>
                      <w:lang w:eastAsia="lv-LV"/>
                    </w:rPr>
                    <w:t>, EUR</w:t>
                  </w:r>
                </w:p>
              </w:tc>
              <w:tc>
                <w:tcPr>
                  <w:tcW w:w="654" w:type="dxa"/>
                  <w:tcBorders>
                    <w:top w:val="nil"/>
                    <w:left w:val="nil"/>
                    <w:bottom w:val="single" w:sz="4" w:space="0" w:color="auto"/>
                    <w:right w:val="single" w:sz="4" w:space="0" w:color="auto"/>
                  </w:tcBorders>
                  <w:shd w:val="clear" w:color="000000" w:fill="D9D9D9"/>
                  <w:vAlign w:val="bottom"/>
                  <w:hideMark/>
                </w:tcPr>
                <w:p w14:paraId="4E3D8B68"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proofErr w:type="spellStart"/>
                  <w:r w:rsidRPr="007F7734">
                    <w:rPr>
                      <w:rFonts w:ascii="Times New Roman" w:eastAsia="Times New Roman" w:hAnsi="Times New Roman" w:cs="Times New Roman"/>
                      <w:sz w:val="12"/>
                      <w:szCs w:val="12"/>
                      <w:lang w:eastAsia="lv-LV"/>
                    </w:rPr>
                    <w:t>Nepiec-iešamais</w:t>
                  </w:r>
                  <w:proofErr w:type="spellEnd"/>
                  <w:r w:rsidRPr="007F7734">
                    <w:rPr>
                      <w:rFonts w:ascii="Times New Roman" w:eastAsia="Times New Roman" w:hAnsi="Times New Roman" w:cs="Times New Roman"/>
                      <w:sz w:val="12"/>
                      <w:szCs w:val="12"/>
                      <w:lang w:eastAsia="lv-LV"/>
                    </w:rPr>
                    <w:t xml:space="preserve"> </w:t>
                  </w:r>
                  <w:proofErr w:type="spellStart"/>
                  <w:r w:rsidRPr="007F7734">
                    <w:rPr>
                      <w:rFonts w:ascii="Times New Roman" w:eastAsia="Times New Roman" w:hAnsi="Times New Roman" w:cs="Times New Roman"/>
                      <w:sz w:val="12"/>
                      <w:szCs w:val="12"/>
                      <w:lang w:eastAsia="lv-LV"/>
                    </w:rPr>
                    <w:t>finan</w:t>
                  </w:r>
                  <w:proofErr w:type="spellEnd"/>
                  <w:r w:rsidRPr="007F7734">
                    <w:rPr>
                      <w:rFonts w:ascii="Times New Roman" w:eastAsia="Times New Roman" w:hAnsi="Times New Roman" w:cs="Times New Roman"/>
                      <w:sz w:val="12"/>
                      <w:szCs w:val="12"/>
                      <w:lang w:eastAsia="lv-LV"/>
                    </w:rPr>
                    <w:t>-sējums gadā, EUR</w:t>
                  </w:r>
                </w:p>
              </w:tc>
              <w:tc>
                <w:tcPr>
                  <w:tcW w:w="653" w:type="dxa"/>
                  <w:tcBorders>
                    <w:top w:val="nil"/>
                    <w:left w:val="nil"/>
                    <w:bottom w:val="single" w:sz="4" w:space="0" w:color="auto"/>
                    <w:right w:val="single" w:sz="4" w:space="0" w:color="auto"/>
                  </w:tcBorders>
                  <w:shd w:val="clear" w:color="auto" w:fill="auto"/>
                  <w:vAlign w:val="bottom"/>
                  <w:hideMark/>
                </w:tcPr>
                <w:p w14:paraId="2A19FD9C"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skaits, vid. mēnesī</w:t>
                  </w:r>
                </w:p>
              </w:tc>
              <w:tc>
                <w:tcPr>
                  <w:tcW w:w="654" w:type="dxa"/>
                  <w:tcBorders>
                    <w:top w:val="nil"/>
                    <w:left w:val="nil"/>
                    <w:bottom w:val="single" w:sz="4" w:space="0" w:color="auto"/>
                    <w:right w:val="single" w:sz="4" w:space="0" w:color="auto"/>
                  </w:tcBorders>
                  <w:shd w:val="clear" w:color="auto" w:fill="auto"/>
                  <w:vAlign w:val="bottom"/>
                  <w:hideMark/>
                </w:tcPr>
                <w:p w14:paraId="42230192"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vid.</w:t>
                  </w:r>
                </w:p>
                <w:p w14:paraId="540004D8"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 xml:space="preserve">apmēra </w:t>
                  </w:r>
                  <w:proofErr w:type="spellStart"/>
                  <w:r w:rsidRPr="007F7734">
                    <w:rPr>
                      <w:rFonts w:ascii="Times New Roman" w:eastAsia="Times New Roman" w:hAnsi="Times New Roman" w:cs="Times New Roman"/>
                      <w:sz w:val="12"/>
                      <w:szCs w:val="12"/>
                      <w:lang w:eastAsia="lv-LV"/>
                    </w:rPr>
                    <w:t>paliel-inājums</w:t>
                  </w:r>
                  <w:proofErr w:type="spellEnd"/>
                  <w:r w:rsidRPr="007F7734">
                    <w:rPr>
                      <w:rFonts w:ascii="Times New Roman" w:eastAsia="Times New Roman" w:hAnsi="Times New Roman" w:cs="Times New Roman"/>
                      <w:sz w:val="12"/>
                      <w:szCs w:val="12"/>
                      <w:lang w:eastAsia="lv-LV"/>
                    </w:rPr>
                    <w:t>, EUR</w:t>
                  </w:r>
                </w:p>
              </w:tc>
              <w:tc>
                <w:tcPr>
                  <w:tcW w:w="653" w:type="dxa"/>
                  <w:tcBorders>
                    <w:top w:val="nil"/>
                    <w:left w:val="nil"/>
                    <w:bottom w:val="single" w:sz="4" w:space="0" w:color="auto"/>
                    <w:right w:val="single" w:sz="4" w:space="0" w:color="auto"/>
                  </w:tcBorders>
                  <w:shd w:val="clear" w:color="000000" w:fill="D9D9D9"/>
                  <w:vAlign w:val="bottom"/>
                  <w:hideMark/>
                </w:tcPr>
                <w:p w14:paraId="1FC6C543" w14:textId="77777777" w:rsidR="0013047D" w:rsidRPr="007F7734" w:rsidRDefault="0013047D" w:rsidP="007F7734">
                  <w:pPr>
                    <w:framePr w:hSpace="180" w:wrap="around" w:vAnchor="text" w:hAnchor="text" w:xAlign="right" w:y="1"/>
                    <w:spacing w:after="0" w:line="240" w:lineRule="auto"/>
                    <w:suppressOverlap/>
                    <w:jc w:val="center"/>
                    <w:rPr>
                      <w:rFonts w:ascii="Times New Roman" w:eastAsia="Times New Roman" w:hAnsi="Times New Roman" w:cs="Times New Roman"/>
                      <w:sz w:val="12"/>
                      <w:szCs w:val="12"/>
                      <w:lang w:eastAsia="lv-LV"/>
                    </w:rPr>
                  </w:pPr>
                  <w:proofErr w:type="spellStart"/>
                  <w:r w:rsidRPr="007F7734">
                    <w:rPr>
                      <w:rFonts w:ascii="Times New Roman" w:eastAsia="Times New Roman" w:hAnsi="Times New Roman" w:cs="Times New Roman"/>
                      <w:sz w:val="12"/>
                      <w:szCs w:val="12"/>
                      <w:lang w:eastAsia="lv-LV"/>
                    </w:rPr>
                    <w:t>Nepiec-iešamais</w:t>
                  </w:r>
                  <w:proofErr w:type="spellEnd"/>
                  <w:r w:rsidRPr="007F7734">
                    <w:rPr>
                      <w:rFonts w:ascii="Times New Roman" w:eastAsia="Times New Roman" w:hAnsi="Times New Roman" w:cs="Times New Roman"/>
                      <w:sz w:val="12"/>
                      <w:szCs w:val="12"/>
                      <w:lang w:eastAsia="lv-LV"/>
                    </w:rPr>
                    <w:t xml:space="preserve"> </w:t>
                  </w:r>
                  <w:proofErr w:type="spellStart"/>
                  <w:r w:rsidRPr="007F7734">
                    <w:rPr>
                      <w:rFonts w:ascii="Times New Roman" w:eastAsia="Times New Roman" w:hAnsi="Times New Roman" w:cs="Times New Roman"/>
                      <w:sz w:val="12"/>
                      <w:szCs w:val="12"/>
                      <w:lang w:eastAsia="lv-LV"/>
                    </w:rPr>
                    <w:t>finan</w:t>
                  </w:r>
                  <w:proofErr w:type="spellEnd"/>
                  <w:r w:rsidRPr="007F7734">
                    <w:rPr>
                      <w:rFonts w:ascii="Times New Roman" w:eastAsia="Times New Roman" w:hAnsi="Times New Roman" w:cs="Times New Roman"/>
                      <w:sz w:val="12"/>
                      <w:szCs w:val="12"/>
                      <w:lang w:eastAsia="lv-LV"/>
                    </w:rPr>
                    <w:t>-sējums gadā, EUR</w:t>
                  </w:r>
                </w:p>
              </w:tc>
            </w:tr>
            <w:tr w:rsidR="0013047D" w:rsidRPr="007F7734" w14:paraId="3152B2C0" w14:textId="77777777" w:rsidTr="009A362C">
              <w:trPr>
                <w:trHeight w:val="588"/>
              </w:trPr>
              <w:tc>
                <w:tcPr>
                  <w:tcW w:w="1361" w:type="dxa"/>
                  <w:tcBorders>
                    <w:top w:val="nil"/>
                    <w:left w:val="single" w:sz="4" w:space="0" w:color="auto"/>
                    <w:bottom w:val="single" w:sz="4" w:space="0" w:color="auto"/>
                    <w:right w:val="single" w:sz="4" w:space="0" w:color="auto"/>
                  </w:tcBorders>
                  <w:shd w:val="clear" w:color="auto" w:fill="auto"/>
                  <w:vAlign w:val="center"/>
                  <w:hideMark/>
                </w:tcPr>
                <w:p w14:paraId="0190E77F" w14:textId="77777777" w:rsidR="0013047D" w:rsidRPr="007F7734" w:rsidRDefault="0013047D" w:rsidP="007F7734">
                  <w:pPr>
                    <w:framePr w:hSpace="180" w:wrap="around" w:vAnchor="text" w:hAnchor="text" w:xAlign="right" w:y="1"/>
                    <w:spacing w:after="0" w:line="240" w:lineRule="auto"/>
                    <w:suppressOverlap/>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Valsts sociālais pabalsts Černobiļas atomelektrostacijas avārijas seku likvidēšanas dalībniekiem un mirušo Černobiļas atomelektrostacijas avārijas seku likvidēšanas dalībnieku ģimenēm</w:t>
                  </w:r>
                </w:p>
              </w:tc>
              <w:tc>
                <w:tcPr>
                  <w:tcW w:w="551" w:type="dxa"/>
                  <w:tcBorders>
                    <w:top w:val="nil"/>
                    <w:left w:val="nil"/>
                    <w:bottom w:val="single" w:sz="4" w:space="0" w:color="auto"/>
                    <w:right w:val="single" w:sz="4" w:space="0" w:color="auto"/>
                  </w:tcBorders>
                  <w:shd w:val="clear" w:color="auto" w:fill="auto"/>
                  <w:noWrap/>
                  <w:vAlign w:val="bottom"/>
                  <w:hideMark/>
                </w:tcPr>
                <w:p w14:paraId="2F0DA4AA"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3 056</w:t>
                  </w:r>
                </w:p>
              </w:tc>
              <w:tc>
                <w:tcPr>
                  <w:tcW w:w="553" w:type="dxa"/>
                  <w:tcBorders>
                    <w:top w:val="nil"/>
                    <w:left w:val="nil"/>
                    <w:bottom w:val="single" w:sz="4" w:space="0" w:color="auto"/>
                    <w:right w:val="single" w:sz="4" w:space="0" w:color="auto"/>
                  </w:tcBorders>
                  <w:shd w:val="clear" w:color="auto" w:fill="auto"/>
                  <w:noWrap/>
                  <w:vAlign w:val="bottom"/>
                  <w:hideMark/>
                </w:tcPr>
                <w:p w14:paraId="3972EA12"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9.00</w:t>
                  </w:r>
                </w:p>
              </w:tc>
              <w:tc>
                <w:tcPr>
                  <w:tcW w:w="653" w:type="dxa"/>
                  <w:tcBorders>
                    <w:top w:val="nil"/>
                    <w:left w:val="nil"/>
                    <w:bottom w:val="single" w:sz="4" w:space="0" w:color="auto"/>
                    <w:right w:val="single" w:sz="4" w:space="0" w:color="auto"/>
                  </w:tcBorders>
                  <w:shd w:val="clear" w:color="000000" w:fill="D9D9D9"/>
                  <w:noWrap/>
                  <w:vAlign w:val="bottom"/>
                  <w:hideMark/>
                </w:tcPr>
                <w:p w14:paraId="088A917E"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330 048</w:t>
                  </w:r>
                </w:p>
              </w:tc>
              <w:tc>
                <w:tcPr>
                  <w:tcW w:w="654" w:type="dxa"/>
                  <w:tcBorders>
                    <w:top w:val="nil"/>
                    <w:left w:val="nil"/>
                    <w:bottom w:val="single" w:sz="4" w:space="0" w:color="auto"/>
                    <w:right w:val="single" w:sz="4" w:space="0" w:color="auto"/>
                  </w:tcBorders>
                  <w:shd w:val="clear" w:color="auto" w:fill="auto"/>
                  <w:noWrap/>
                  <w:vAlign w:val="bottom"/>
                  <w:hideMark/>
                </w:tcPr>
                <w:p w14:paraId="46FC3B95"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2 989</w:t>
                  </w:r>
                </w:p>
              </w:tc>
              <w:tc>
                <w:tcPr>
                  <w:tcW w:w="653" w:type="dxa"/>
                  <w:tcBorders>
                    <w:top w:val="nil"/>
                    <w:left w:val="nil"/>
                    <w:bottom w:val="single" w:sz="4" w:space="0" w:color="auto"/>
                    <w:right w:val="single" w:sz="4" w:space="0" w:color="auto"/>
                  </w:tcBorders>
                  <w:shd w:val="clear" w:color="auto" w:fill="auto"/>
                  <w:noWrap/>
                  <w:vAlign w:val="bottom"/>
                  <w:hideMark/>
                </w:tcPr>
                <w:p w14:paraId="55868E6E"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9.00</w:t>
                  </w:r>
                </w:p>
              </w:tc>
              <w:tc>
                <w:tcPr>
                  <w:tcW w:w="654" w:type="dxa"/>
                  <w:tcBorders>
                    <w:top w:val="nil"/>
                    <w:left w:val="nil"/>
                    <w:bottom w:val="single" w:sz="4" w:space="0" w:color="auto"/>
                    <w:right w:val="single" w:sz="4" w:space="0" w:color="auto"/>
                  </w:tcBorders>
                  <w:shd w:val="clear" w:color="000000" w:fill="D9D9D9"/>
                  <w:noWrap/>
                  <w:vAlign w:val="bottom"/>
                  <w:hideMark/>
                </w:tcPr>
                <w:p w14:paraId="261300DB"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322 812</w:t>
                  </w:r>
                </w:p>
              </w:tc>
              <w:tc>
                <w:tcPr>
                  <w:tcW w:w="653" w:type="dxa"/>
                  <w:tcBorders>
                    <w:top w:val="nil"/>
                    <w:left w:val="nil"/>
                    <w:bottom w:val="single" w:sz="4" w:space="0" w:color="auto"/>
                    <w:right w:val="single" w:sz="4" w:space="0" w:color="auto"/>
                  </w:tcBorders>
                  <w:shd w:val="clear" w:color="auto" w:fill="auto"/>
                  <w:noWrap/>
                  <w:vAlign w:val="bottom"/>
                  <w:hideMark/>
                </w:tcPr>
                <w:p w14:paraId="4214A4CE"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2 924</w:t>
                  </w:r>
                </w:p>
              </w:tc>
              <w:tc>
                <w:tcPr>
                  <w:tcW w:w="654" w:type="dxa"/>
                  <w:tcBorders>
                    <w:top w:val="nil"/>
                    <w:left w:val="nil"/>
                    <w:bottom w:val="single" w:sz="4" w:space="0" w:color="auto"/>
                    <w:right w:val="single" w:sz="4" w:space="0" w:color="auto"/>
                  </w:tcBorders>
                  <w:shd w:val="clear" w:color="auto" w:fill="auto"/>
                  <w:noWrap/>
                  <w:vAlign w:val="bottom"/>
                  <w:hideMark/>
                </w:tcPr>
                <w:p w14:paraId="2D03451C"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9.00</w:t>
                  </w:r>
                </w:p>
              </w:tc>
              <w:tc>
                <w:tcPr>
                  <w:tcW w:w="653" w:type="dxa"/>
                  <w:tcBorders>
                    <w:top w:val="nil"/>
                    <w:left w:val="nil"/>
                    <w:bottom w:val="single" w:sz="4" w:space="0" w:color="auto"/>
                    <w:right w:val="single" w:sz="4" w:space="0" w:color="auto"/>
                  </w:tcBorders>
                  <w:shd w:val="clear" w:color="000000" w:fill="D9D9D9"/>
                  <w:noWrap/>
                  <w:vAlign w:val="bottom"/>
                  <w:hideMark/>
                </w:tcPr>
                <w:p w14:paraId="717F0794" w14:textId="77777777" w:rsidR="0013047D" w:rsidRPr="007F7734" w:rsidRDefault="0013047D" w:rsidP="007F7734">
                  <w:pPr>
                    <w:framePr w:hSpace="180" w:wrap="around" w:vAnchor="text" w:hAnchor="text" w:xAlign="right" w:y="1"/>
                    <w:spacing w:after="0" w:line="240" w:lineRule="auto"/>
                    <w:suppressOverlap/>
                    <w:jc w:val="right"/>
                    <w:rPr>
                      <w:rFonts w:ascii="Times New Roman" w:eastAsia="Times New Roman" w:hAnsi="Times New Roman" w:cs="Times New Roman"/>
                      <w:sz w:val="12"/>
                      <w:szCs w:val="12"/>
                      <w:lang w:eastAsia="lv-LV"/>
                    </w:rPr>
                  </w:pPr>
                  <w:r w:rsidRPr="007F7734">
                    <w:rPr>
                      <w:rFonts w:ascii="Times New Roman" w:eastAsia="Times New Roman" w:hAnsi="Times New Roman" w:cs="Times New Roman"/>
                      <w:sz w:val="12"/>
                      <w:szCs w:val="12"/>
                      <w:lang w:eastAsia="lv-LV"/>
                    </w:rPr>
                    <w:t>315 792</w:t>
                  </w:r>
                </w:p>
              </w:tc>
            </w:tr>
          </w:tbl>
          <w:p w14:paraId="4CA03E80" w14:textId="77777777" w:rsidR="0013047D" w:rsidRPr="007F7734" w:rsidRDefault="0013047D" w:rsidP="009A362C">
            <w:pPr>
              <w:tabs>
                <w:tab w:val="left" w:pos="4644"/>
              </w:tabs>
              <w:spacing w:after="0" w:line="240" w:lineRule="auto"/>
              <w:ind w:right="71"/>
              <w:jc w:val="both"/>
              <w:rPr>
                <w:rFonts w:ascii="Times New Roman" w:eastAsia="Calibri" w:hAnsi="Times New Roman" w:cs="Times New Roman"/>
                <w:iCs/>
                <w:sz w:val="18"/>
                <w:szCs w:val="18"/>
              </w:rPr>
            </w:pPr>
          </w:p>
          <w:p w14:paraId="3A8A8AAB" w14:textId="2DC8A12C" w:rsidR="0013047D" w:rsidRPr="007F7734" w:rsidRDefault="0013047D" w:rsidP="009A362C">
            <w:pPr>
              <w:spacing w:after="0" w:line="240" w:lineRule="auto"/>
              <w:jc w:val="both"/>
              <w:rPr>
                <w:rFonts w:ascii="Times New Roman" w:eastAsia="Times New Roman" w:hAnsi="Times New Roman" w:cs="Times New Roman"/>
                <w:iCs/>
                <w:sz w:val="20"/>
                <w:szCs w:val="16"/>
                <w:lang w:eastAsia="lv-LV"/>
              </w:rPr>
            </w:pPr>
            <w:r w:rsidRPr="007F7734">
              <w:rPr>
                <w:rFonts w:ascii="Times New Roman" w:eastAsia="Times New Roman" w:hAnsi="Times New Roman" w:cs="Times New Roman"/>
                <w:iCs/>
                <w:sz w:val="20"/>
                <w:szCs w:val="16"/>
                <w:lang w:eastAsia="lv-LV"/>
              </w:rPr>
              <w:t xml:space="preserve">Ministru kabineta 2020.gada </w:t>
            </w:r>
            <w:r w:rsidR="00DB2B18" w:rsidRPr="007F7734">
              <w:rPr>
                <w:rFonts w:ascii="Times New Roman" w:eastAsia="Times New Roman" w:hAnsi="Times New Roman" w:cs="Times New Roman"/>
                <w:iCs/>
                <w:sz w:val="20"/>
                <w:szCs w:val="16"/>
                <w:lang w:eastAsia="lv-LV"/>
              </w:rPr>
              <w:t>22</w:t>
            </w:r>
            <w:r w:rsidRPr="007F7734">
              <w:rPr>
                <w:rFonts w:ascii="Times New Roman" w:eastAsia="Times New Roman" w:hAnsi="Times New Roman" w:cs="Times New Roman"/>
                <w:iCs/>
                <w:sz w:val="20"/>
                <w:szCs w:val="16"/>
                <w:lang w:eastAsia="lv-LV"/>
              </w:rPr>
              <w:t xml:space="preserve">.septembra sēdē tika atbalstīts LM priekšlikums par papildu finansējuma piešķiršanu LM prioritārā pasākuma “Satversmes tiesas spriedumu izpilde labklājības jomā” īstenošanai. Pasākuma nodrošināšanai ir atbalstīts kopējais papildu finansējums 2021.gadā 70 662 394 </w:t>
            </w:r>
            <w:proofErr w:type="spellStart"/>
            <w:r w:rsidRPr="007F7734">
              <w:rPr>
                <w:rFonts w:ascii="Times New Roman" w:eastAsia="Times New Roman" w:hAnsi="Times New Roman" w:cs="Times New Roman"/>
                <w:i/>
                <w:iCs/>
                <w:sz w:val="20"/>
                <w:szCs w:val="16"/>
                <w:lang w:eastAsia="lv-LV"/>
              </w:rPr>
              <w:t>euro</w:t>
            </w:r>
            <w:proofErr w:type="spellEnd"/>
            <w:r w:rsidRPr="007F7734">
              <w:rPr>
                <w:rFonts w:ascii="Times New Roman" w:eastAsia="Times New Roman" w:hAnsi="Times New Roman" w:cs="Times New Roman"/>
                <w:iCs/>
                <w:sz w:val="20"/>
                <w:szCs w:val="16"/>
                <w:lang w:eastAsia="lv-LV"/>
              </w:rPr>
              <w:t xml:space="preserve"> apmērā, 2022.gadā 70 998 851 </w:t>
            </w:r>
            <w:proofErr w:type="spellStart"/>
            <w:r w:rsidRPr="007F7734">
              <w:rPr>
                <w:rFonts w:ascii="Times New Roman" w:eastAsia="Times New Roman" w:hAnsi="Times New Roman" w:cs="Times New Roman"/>
                <w:i/>
                <w:iCs/>
                <w:sz w:val="20"/>
                <w:szCs w:val="16"/>
                <w:lang w:eastAsia="lv-LV"/>
              </w:rPr>
              <w:t>euro</w:t>
            </w:r>
            <w:proofErr w:type="spellEnd"/>
            <w:r w:rsidRPr="007F7734">
              <w:rPr>
                <w:rFonts w:ascii="Times New Roman" w:eastAsia="Times New Roman" w:hAnsi="Times New Roman" w:cs="Times New Roman"/>
                <w:iCs/>
                <w:sz w:val="20"/>
                <w:szCs w:val="16"/>
                <w:lang w:eastAsia="lv-LV"/>
              </w:rPr>
              <w:t xml:space="preserve"> apmērā un 2023.gadā 71 014 751 </w:t>
            </w:r>
            <w:proofErr w:type="spellStart"/>
            <w:r w:rsidRPr="007F7734">
              <w:rPr>
                <w:rFonts w:ascii="Times New Roman" w:eastAsia="Times New Roman" w:hAnsi="Times New Roman" w:cs="Times New Roman"/>
                <w:i/>
                <w:iCs/>
                <w:sz w:val="20"/>
                <w:szCs w:val="16"/>
                <w:lang w:eastAsia="lv-LV"/>
              </w:rPr>
              <w:t>euro</w:t>
            </w:r>
            <w:proofErr w:type="spellEnd"/>
            <w:r w:rsidRPr="007F7734">
              <w:rPr>
                <w:rFonts w:ascii="Times New Roman" w:eastAsia="Times New Roman" w:hAnsi="Times New Roman" w:cs="Times New Roman"/>
                <w:iCs/>
                <w:sz w:val="20"/>
                <w:szCs w:val="16"/>
                <w:lang w:eastAsia="lv-LV"/>
              </w:rPr>
              <w:t xml:space="preserve"> apmērā, t.sk. apakšpasākuma “Ar valsts sociālā nodrošinājuma pabalsta un pensiju apmēru pārskatīšanu saistītie pakalpojumi” nodrošināšanai – likumprojekta ieviešanai 2021.gadā 330 048 </w:t>
            </w:r>
            <w:proofErr w:type="spellStart"/>
            <w:r w:rsidRPr="007F7734">
              <w:rPr>
                <w:rFonts w:ascii="Times New Roman" w:eastAsia="Times New Roman" w:hAnsi="Times New Roman" w:cs="Times New Roman"/>
                <w:i/>
                <w:iCs/>
                <w:sz w:val="20"/>
                <w:szCs w:val="16"/>
                <w:lang w:eastAsia="lv-LV"/>
              </w:rPr>
              <w:t>euro</w:t>
            </w:r>
            <w:proofErr w:type="spellEnd"/>
            <w:r w:rsidRPr="007F7734">
              <w:rPr>
                <w:rFonts w:ascii="Times New Roman" w:eastAsia="Times New Roman" w:hAnsi="Times New Roman" w:cs="Times New Roman"/>
                <w:iCs/>
                <w:sz w:val="20"/>
                <w:szCs w:val="16"/>
                <w:lang w:eastAsia="lv-LV"/>
              </w:rPr>
              <w:t xml:space="preserve">, 2022.gadā 322 812 </w:t>
            </w:r>
            <w:proofErr w:type="spellStart"/>
            <w:r w:rsidRPr="007F7734">
              <w:rPr>
                <w:rFonts w:ascii="Times New Roman" w:eastAsia="Times New Roman" w:hAnsi="Times New Roman" w:cs="Times New Roman"/>
                <w:i/>
                <w:iCs/>
                <w:sz w:val="20"/>
                <w:szCs w:val="16"/>
                <w:lang w:eastAsia="lv-LV"/>
              </w:rPr>
              <w:t>euro</w:t>
            </w:r>
            <w:proofErr w:type="spellEnd"/>
            <w:r w:rsidRPr="007F7734">
              <w:rPr>
                <w:rFonts w:ascii="Times New Roman" w:eastAsia="Times New Roman" w:hAnsi="Times New Roman" w:cs="Times New Roman"/>
                <w:iCs/>
                <w:sz w:val="20"/>
                <w:szCs w:val="16"/>
                <w:lang w:eastAsia="lv-LV"/>
              </w:rPr>
              <w:t xml:space="preserve"> un 2023.gadā 315 792 </w:t>
            </w:r>
            <w:proofErr w:type="spellStart"/>
            <w:r w:rsidRPr="007F7734">
              <w:rPr>
                <w:rFonts w:ascii="Times New Roman" w:eastAsia="Times New Roman" w:hAnsi="Times New Roman" w:cs="Times New Roman"/>
                <w:i/>
                <w:iCs/>
                <w:sz w:val="20"/>
                <w:szCs w:val="16"/>
                <w:lang w:eastAsia="lv-LV"/>
              </w:rPr>
              <w:t>euro</w:t>
            </w:r>
            <w:proofErr w:type="spellEnd"/>
            <w:r w:rsidRPr="007F7734">
              <w:rPr>
                <w:rFonts w:ascii="Times New Roman" w:eastAsia="Times New Roman" w:hAnsi="Times New Roman" w:cs="Times New Roman"/>
                <w:iCs/>
                <w:sz w:val="20"/>
                <w:szCs w:val="16"/>
                <w:lang w:eastAsia="lv-LV"/>
              </w:rPr>
              <w:t>.</w:t>
            </w:r>
          </w:p>
          <w:p w14:paraId="6FF6979D" w14:textId="77777777" w:rsidR="0013047D" w:rsidRPr="007F7734" w:rsidRDefault="0013047D" w:rsidP="009A362C">
            <w:pPr>
              <w:tabs>
                <w:tab w:val="left" w:pos="4644"/>
              </w:tabs>
              <w:spacing w:after="0" w:line="240" w:lineRule="auto"/>
              <w:ind w:right="71"/>
              <w:jc w:val="both"/>
              <w:rPr>
                <w:rFonts w:ascii="Times New Roman" w:eastAsia="Calibri" w:hAnsi="Times New Roman" w:cs="Times New Roman"/>
                <w:iCs/>
                <w:sz w:val="18"/>
                <w:szCs w:val="18"/>
              </w:rPr>
            </w:pPr>
          </w:p>
        </w:tc>
      </w:tr>
      <w:tr w:rsidR="0013047D" w:rsidRPr="007F7734" w14:paraId="4AB8D148" w14:textId="77777777" w:rsidTr="009A362C">
        <w:trPr>
          <w:trHeight w:val="69"/>
        </w:trPr>
        <w:tc>
          <w:tcPr>
            <w:tcW w:w="851" w:type="pct"/>
          </w:tcPr>
          <w:p w14:paraId="7E2FA15C"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r w:rsidRPr="007F7734">
              <w:rPr>
                <w:rFonts w:ascii="Times New Roman" w:eastAsia="Calibri" w:hAnsi="Times New Roman" w:cs="Times New Roman"/>
                <w:sz w:val="18"/>
                <w:szCs w:val="18"/>
              </w:rPr>
              <w:t>6.1. detalizēts ieņēmumu aprēķins</w:t>
            </w:r>
          </w:p>
        </w:tc>
        <w:tc>
          <w:tcPr>
            <w:tcW w:w="4149" w:type="pct"/>
            <w:gridSpan w:val="7"/>
            <w:vMerge/>
          </w:tcPr>
          <w:p w14:paraId="044E4BA6" w14:textId="77777777" w:rsidR="0013047D" w:rsidRPr="007F7734" w:rsidRDefault="0013047D" w:rsidP="009A362C">
            <w:pPr>
              <w:spacing w:after="0" w:line="240" w:lineRule="auto"/>
              <w:ind w:right="71"/>
              <w:jc w:val="both"/>
              <w:rPr>
                <w:rFonts w:ascii="Times New Roman" w:eastAsia="Calibri" w:hAnsi="Times New Roman" w:cs="Times New Roman"/>
                <w:i/>
                <w:color w:val="FF0000"/>
                <w:sz w:val="18"/>
                <w:szCs w:val="18"/>
              </w:rPr>
            </w:pPr>
          </w:p>
        </w:tc>
      </w:tr>
      <w:tr w:rsidR="0013047D" w:rsidRPr="007F7734" w14:paraId="09575574" w14:textId="77777777" w:rsidTr="009A362C">
        <w:trPr>
          <w:trHeight w:val="69"/>
        </w:trPr>
        <w:tc>
          <w:tcPr>
            <w:tcW w:w="851" w:type="pct"/>
          </w:tcPr>
          <w:p w14:paraId="2F4196EA"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r w:rsidRPr="007F7734">
              <w:rPr>
                <w:rFonts w:ascii="Times New Roman" w:eastAsia="Calibri" w:hAnsi="Times New Roman" w:cs="Times New Roman"/>
                <w:sz w:val="18"/>
                <w:szCs w:val="18"/>
              </w:rPr>
              <w:t>6.2. detalizēts izdevumu aprēķins</w:t>
            </w:r>
          </w:p>
        </w:tc>
        <w:tc>
          <w:tcPr>
            <w:tcW w:w="4149" w:type="pct"/>
            <w:gridSpan w:val="7"/>
            <w:vMerge/>
          </w:tcPr>
          <w:p w14:paraId="02476E19" w14:textId="77777777" w:rsidR="0013047D" w:rsidRPr="007F7734" w:rsidRDefault="0013047D" w:rsidP="009A362C">
            <w:pPr>
              <w:spacing w:after="0" w:line="240" w:lineRule="auto"/>
              <w:ind w:right="71"/>
              <w:jc w:val="both"/>
              <w:rPr>
                <w:rFonts w:ascii="Times New Roman" w:eastAsia="Calibri" w:hAnsi="Times New Roman" w:cs="Times New Roman"/>
                <w:i/>
                <w:color w:val="FF0000"/>
                <w:sz w:val="18"/>
                <w:szCs w:val="18"/>
              </w:rPr>
            </w:pPr>
          </w:p>
        </w:tc>
      </w:tr>
      <w:tr w:rsidR="0013047D" w:rsidRPr="007F7734" w14:paraId="4395A877" w14:textId="77777777" w:rsidTr="009A362C">
        <w:trPr>
          <w:trHeight w:val="69"/>
        </w:trPr>
        <w:tc>
          <w:tcPr>
            <w:tcW w:w="851" w:type="pct"/>
          </w:tcPr>
          <w:p w14:paraId="76760899"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r w:rsidRPr="007F7734">
              <w:rPr>
                <w:rFonts w:ascii="Times New Roman" w:eastAsia="Calibri" w:hAnsi="Times New Roman" w:cs="Times New Roman"/>
                <w:sz w:val="18"/>
                <w:szCs w:val="18"/>
              </w:rPr>
              <w:t>7. Amata vietu skaita izmaiņas</w:t>
            </w:r>
          </w:p>
        </w:tc>
        <w:tc>
          <w:tcPr>
            <w:tcW w:w="4149" w:type="pct"/>
            <w:gridSpan w:val="7"/>
          </w:tcPr>
          <w:p w14:paraId="2934D507" w14:textId="77777777" w:rsidR="0013047D" w:rsidRPr="007F7734" w:rsidRDefault="0013047D" w:rsidP="009A362C">
            <w:pPr>
              <w:tabs>
                <w:tab w:val="left" w:pos="4644"/>
              </w:tabs>
              <w:spacing w:after="0" w:line="240" w:lineRule="auto"/>
              <w:ind w:right="71"/>
              <w:jc w:val="both"/>
              <w:rPr>
                <w:rFonts w:ascii="Times New Roman" w:eastAsia="Calibri" w:hAnsi="Times New Roman" w:cs="Times New Roman"/>
                <w:sz w:val="18"/>
                <w:szCs w:val="18"/>
                <w:lang w:eastAsia="lv-LV"/>
              </w:rPr>
            </w:pPr>
            <w:r w:rsidRPr="007F7734">
              <w:rPr>
                <w:rFonts w:ascii="Times New Roman" w:eastAsia="Calibri" w:hAnsi="Times New Roman" w:cs="Times New Roman"/>
                <w:sz w:val="18"/>
                <w:szCs w:val="18"/>
                <w:lang w:eastAsia="lv-LV"/>
              </w:rPr>
              <w:t>Nav</w:t>
            </w:r>
          </w:p>
          <w:p w14:paraId="6ADD370C"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p>
        </w:tc>
      </w:tr>
      <w:tr w:rsidR="0013047D" w:rsidRPr="007F7734" w14:paraId="0EFC9D45" w14:textId="77777777" w:rsidTr="009A362C">
        <w:trPr>
          <w:trHeight w:val="70"/>
        </w:trPr>
        <w:tc>
          <w:tcPr>
            <w:tcW w:w="851" w:type="pct"/>
          </w:tcPr>
          <w:p w14:paraId="5F6CC6A7" w14:textId="77777777" w:rsidR="0013047D" w:rsidRPr="007F7734" w:rsidRDefault="0013047D" w:rsidP="009A362C">
            <w:pPr>
              <w:spacing w:after="0" w:line="240" w:lineRule="auto"/>
              <w:ind w:right="71"/>
              <w:jc w:val="both"/>
              <w:rPr>
                <w:rFonts w:ascii="Times New Roman" w:eastAsia="Calibri" w:hAnsi="Times New Roman" w:cs="Times New Roman"/>
                <w:i/>
                <w:sz w:val="18"/>
                <w:szCs w:val="18"/>
              </w:rPr>
            </w:pPr>
            <w:r w:rsidRPr="007F7734">
              <w:rPr>
                <w:rFonts w:ascii="Times New Roman" w:eastAsia="Calibri" w:hAnsi="Times New Roman" w:cs="Times New Roman"/>
                <w:sz w:val="18"/>
                <w:szCs w:val="18"/>
              </w:rPr>
              <w:t>8. Cita informācija</w:t>
            </w:r>
          </w:p>
        </w:tc>
        <w:tc>
          <w:tcPr>
            <w:tcW w:w="4149" w:type="pct"/>
            <w:gridSpan w:val="7"/>
          </w:tcPr>
          <w:p w14:paraId="6B0DE44F" w14:textId="08B195D8" w:rsidR="006D0536" w:rsidRPr="007F7734" w:rsidRDefault="0013047D" w:rsidP="009A362C">
            <w:pPr>
              <w:spacing w:after="0" w:line="240" w:lineRule="auto"/>
              <w:ind w:right="71"/>
              <w:jc w:val="both"/>
              <w:rPr>
                <w:rFonts w:ascii="Times New Roman" w:hAnsi="Times New Roman" w:cs="Times New Roman"/>
                <w:sz w:val="20"/>
                <w:szCs w:val="20"/>
              </w:rPr>
            </w:pPr>
            <w:r w:rsidRPr="007F7734">
              <w:rPr>
                <w:rFonts w:ascii="Times New Roman" w:hAnsi="Times New Roman" w:cs="Times New Roman"/>
                <w:sz w:val="20"/>
                <w:szCs w:val="20"/>
              </w:rPr>
              <w:t>Finansējums likumprojekta ieviešanai iekļauts Labklājības ministrijas maksimāli pieļaujamajā valsts pamatbudžeta izdevumu kopējā apjomā 2021., 2022. un 2023.gadam un atbilstoši tiks iestrādāts likumprojektā “Par valsts budžetu 2021.gadam” un likumprojektā “Par vidēja termiņa budžeta ietvaru 2021., 2022. un 2023.gadam”.</w:t>
            </w:r>
          </w:p>
        </w:tc>
      </w:tr>
    </w:tbl>
    <w:p w14:paraId="0C2A0935"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047D" w:rsidRPr="007F7734" w14:paraId="4D0B6F19" w14:textId="77777777" w:rsidTr="009A36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AFDF04" w14:textId="77777777" w:rsidR="0013047D" w:rsidRPr="007F7734" w:rsidRDefault="0013047D" w:rsidP="009A362C">
            <w:pPr>
              <w:spacing w:after="0" w:line="240" w:lineRule="auto"/>
              <w:rPr>
                <w:rFonts w:ascii="Times New Roman" w:eastAsia="Times New Roman" w:hAnsi="Times New Roman" w:cs="Times New Roman"/>
                <w:b/>
                <w:bCs/>
                <w:iCs/>
                <w:sz w:val="24"/>
                <w:szCs w:val="24"/>
                <w:lang w:eastAsia="lv-LV"/>
              </w:rPr>
            </w:pPr>
            <w:r w:rsidRPr="007F7734">
              <w:rPr>
                <w:rFonts w:ascii="Times New Roman" w:eastAsia="Times New Roman" w:hAnsi="Times New Roman" w:cs="Times New Roman"/>
                <w:b/>
                <w:bCs/>
                <w:iCs/>
                <w:sz w:val="24"/>
                <w:szCs w:val="24"/>
                <w:lang w:eastAsia="lv-LV"/>
              </w:rPr>
              <w:t>IV. Tiesību akta projekta ietekme uz spēkā esošo tiesību normu sistēmu</w:t>
            </w:r>
          </w:p>
        </w:tc>
      </w:tr>
      <w:tr w:rsidR="0013047D" w:rsidRPr="007F7734" w14:paraId="6EB22E60"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1F955"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bookmarkStart w:id="4" w:name="_Hlk47020016"/>
            <w:r w:rsidRPr="007F773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8B71742"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Saistītie tiesību aktu projekti</w:t>
            </w:r>
          </w:p>
          <w:p w14:paraId="13040F9A"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1DD74B82"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6778756B"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133D76BF"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38012DF1"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204C4501"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28FFF1A9"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7DE6A001"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13954EBC"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61FA4C40"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5A4C17CD"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p w14:paraId="343A0A89" w14:textId="77777777" w:rsidR="0013047D" w:rsidRPr="007F7734" w:rsidRDefault="0013047D" w:rsidP="009A362C">
            <w:pPr>
              <w:spacing w:line="240" w:lineRule="auto"/>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1B2F54C" w14:textId="77777777" w:rsidR="0013047D" w:rsidRPr="007F7734" w:rsidRDefault="0013047D" w:rsidP="009A362C">
            <w:p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izskatāms vienotā paketē ar šādiem likumprojektiem:</w:t>
            </w:r>
          </w:p>
          <w:p w14:paraId="3979420C"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„Par valsts budžetu 2021.gadam”;</w:t>
            </w:r>
          </w:p>
          <w:p w14:paraId="7BE78D3D"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likumā “Par sociālo drošību”;</w:t>
            </w:r>
          </w:p>
          <w:p w14:paraId="7D2256EA"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likumā ”Par valsts pensijām””;</w:t>
            </w:r>
          </w:p>
          <w:p w14:paraId="296D55A8"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likumā “Par obligāto sociālo apdrošināšanu pret nelaimes gadījumiem darbā un arodslimībām””;</w:t>
            </w:r>
          </w:p>
          <w:p w14:paraId="627BD13D"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Valsts fondēto pensiju likumā”;</w:t>
            </w:r>
          </w:p>
          <w:p w14:paraId="43170EBD"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likumā “Par maternitātes un slimības apdrošināšanu””;</w:t>
            </w:r>
          </w:p>
          <w:p w14:paraId="669D52FB"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likumā “Par apdrošināšanu bezdarba gadījumam”;</w:t>
            </w:r>
          </w:p>
          <w:p w14:paraId="3C855DB8" w14:textId="77777777"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likumprojektu „Grozījumi Valsts sociālo pabalstu likumā”;</w:t>
            </w:r>
          </w:p>
          <w:p w14:paraId="63694351" w14:textId="196785B2" w:rsidR="0013047D" w:rsidRPr="007F7734" w:rsidRDefault="0013047D" w:rsidP="0013047D">
            <w:pPr>
              <w:pStyle w:val="ListParagraph"/>
              <w:numPr>
                <w:ilvl w:val="0"/>
                <w:numId w:val="1"/>
              </w:numPr>
              <w:spacing w:after="0" w:line="240" w:lineRule="auto"/>
              <w:jc w:val="both"/>
              <w:rPr>
                <w:rFonts w:ascii="Times New Roman" w:eastAsia="Times New Roman" w:hAnsi="Times New Roman"/>
                <w:sz w:val="24"/>
                <w:szCs w:val="24"/>
                <w:lang w:eastAsia="ar-SA"/>
              </w:rPr>
            </w:pPr>
            <w:r w:rsidRPr="007F7734">
              <w:rPr>
                <w:rFonts w:ascii="Times New Roman" w:eastAsia="Times New Roman" w:hAnsi="Times New Roman"/>
                <w:sz w:val="24"/>
                <w:szCs w:val="24"/>
                <w:lang w:eastAsia="ar-SA"/>
              </w:rPr>
              <w:t>likumprojekts “Grozījumi Sociālo pakalpojumu un sociālās palīdzības likumā”’</w:t>
            </w:r>
            <w:r w:rsidR="00FF26A9" w:rsidRPr="007F7734">
              <w:rPr>
                <w:rFonts w:ascii="Times New Roman" w:eastAsia="Times New Roman" w:hAnsi="Times New Roman"/>
                <w:sz w:val="24"/>
                <w:szCs w:val="24"/>
                <w:lang w:eastAsia="ar-SA"/>
              </w:rPr>
              <w:t>;</w:t>
            </w:r>
          </w:p>
          <w:p w14:paraId="51A5CAB3" w14:textId="77777777" w:rsidR="00FF26A9" w:rsidRPr="007F7734" w:rsidRDefault="00FF26A9" w:rsidP="00FF26A9">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F7734">
              <w:rPr>
                <w:rFonts w:ascii="Times New Roman" w:hAnsi="Times New Roman" w:cs="Times New Roman"/>
                <w:sz w:val="24"/>
                <w:szCs w:val="24"/>
              </w:rPr>
              <w:lastRenderedPageBreak/>
              <w:t>Grozījumi likumā “Par palīdzību dzīvokļa jautājumu risināšanā”;</w:t>
            </w:r>
          </w:p>
          <w:p w14:paraId="605E226C" w14:textId="77777777" w:rsidR="00FF26A9" w:rsidRPr="007F7734" w:rsidRDefault="00FF26A9" w:rsidP="00FF26A9">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F7734">
              <w:rPr>
                <w:rFonts w:ascii="Times New Roman" w:hAnsi="Times New Roman" w:cs="Times New Roman"/>
                <w:sz w:val="24"/>
                <w:szCs w:val="24"/>
              </w:rPr>
              <w:t>Grozījumi likumā “Par dzīvojamo telpu īri”.</w:t>
            </w:r>
          </w:p>
          <w:p w14:paraId="3380C718" w14:textId="77777777" w:rsidR="00FF26A9" w:rsidRPr="007F7734" w:rsidRDefault="00FF26A9" w:rsidP="00FF26A9">
            <w:pPr>
              <w:spacing w:after="0" w:line="240" w:lineRule="auto"/>
              <w:ind w:left="360"/>
              <w:jc w:val="both"/>
              <w:rPr>
                <w:rFonts w:ascii="Times New Roman" w:eastAsia="Times New Roman" w:hAnsi="Times New Roman"/>
                <w:sz w:val="24"/>
                <w:szCs w:val="24"/>
                <w:lang w:eastAsia="ar-SA"/>
              </w:rPr>
            </w:pPr>
          </w:p>
          <w:p w14:paraId="584874B5" w14:textId="77777777" w:rsidR="0013047D" w:rsidRPr="007F7734" w:rsidRDefault="0013047D" w:rsidP="009A362C">
            <w:pPr>
              <w:shd w:val="clear" w:color="auto" w:fill="FFFFFF"/>
              <w:spacing w:after="0" w:line="240" w:lineRule="auto"/>
              <w:jc w:val="both"/>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 xml:space="preserve">Pēc likumprojekta pieņemšanas Saeimā nepieciešami grozījumi </w:t>
            </w:r>
            <w:r w:rsidRPr="007F7734">
              <w:rPr>
                <w:rFonts w:ascii="Times New Roman" w:eastAsia="Times New Roman" w:hAnsi="Times New Roman" w:cs="Times New Roman"/>
                <w:bCs/>
                <w:sz w:val="24"/>
                <w:szCs w:val="24"/>
                <w:lang w:eastAsia="lv-LV"/>
              </w:rPr>
              <w:t xml:space="preserve">Ministru kabineta </w:t>
            </w:r>
            <w:r w:rsidRPr="007F7734">
              <w:rPr>
                <w:rFonts w:ascii="Times New Roman" w:eastAsia="Times New Roman" w:hAnsi="Times New Roman" w:cs="Times New Roman"/>
                <w:sz w:val="24"/>
                <w:szCs w:val="24"/>
                <w:lang w:eastAsia="lv-LV"/>
              </w:rPr>
              <w:t xml:space="preserve">2010.gada 30.novembra </w:t>
            </w:r>
            <w:r w:rsidRPr="007F7734">
              <w:rPr>
                <w:rFonts w:ascii="Times New Roman" w:eastAsia="Times New Roman" w:hAnsi="Times New Roman" w:cs="Times New Roman"/>
                <w:bCs/>
                <w:sz w:val="24"/>
                <w:szCs w:val="24"/>
                <w:lang w:eastAsia="lv-LV"/>
              </w:rPr>
              <w:t>noteikumos Nr.1077 “Noteikumi par valsts sociālo pabalstu Černobiļas atomelektrostacijas avārijas seku likvidēšanas dalībniekiem un mirušo Černobiļas atomelektrostacijas avārijas seku likvidēšanas dalībnieku ģimenēm”.</w:t>
            </w:r>
          </w:p>
        </w:tc>
      </w:tr>
      <w:bookmarkEnd w:id="4"/>
      <w:tr w:rsidR="0013047D" w:rsidRPr="007F7734" w14:paraId="11EFE63B"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AA04EC"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498BA8E0"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0DDA7CBC"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sz w:val="24"/>
                <w:szCs w:val="24"/>
                <w:lang w:eastAsia="lv-LV"/>
              </w:rPr>
              <w:t>Nav</w:t>
            </w:r>
          </w:p>
        </w:tc>
      </w:tr>
      <w:tr w:rsidR="0013047D" w:rsidRPr="007F7734" w14:paraId="4E523431"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60262C"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2A53D6C"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8325776"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Nav</w:t>
            </w:r>
          </w:p>
        </w:tc>
      </w:tr>
    </w:tbl>
    <w:p w14:paraId="42A90BF9"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p>
    <w:tbl>
      <w:tblPr>
        <w:tblW w:w="499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1"/>
      </w:tblGrid>
      <w:tr w:rsidR="0013047D" w:rsidRPr="007F7734" w14:paraId="497142BE" w14:textId="77777777" w:rsidTr="009A362C">
        <w:trPr>
          <w:trHeight w:val="271"/>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A3D36EE" w14:textId="77777777" w:rsidR="0013047D" w:rsidRPr="007F7734" w:rsidRDefault="0013047D" w:rsidP="009A362C">
            <w:pPr>
              <w:spacing w:after="0" w:line="240" w:lineRule="auto"/>
              <w:rPr>
                <w:rFonts w:ascii="Times New Roman" w:eastAsia="Times New Roman" w:hAnsi="Times New Roman" w:cs="Times New Roman"/>
                <w:b/>
                <w:bCs/>
                <w:iCs/>
                <w:sz w:val="24"/>
                <w:szCs w:val="24"/>
                <w:lang w:eastAsia="lv-LV"/>
              </w:rPr>
            </w:pPr>
            <w:r w:rsidRPr="007F7734">
              <w:rPr>
                <w:rFonts w:ascii="Times New Roman" w:eastAsia="Times New Roman" w:hAnsi="Times New Roman" w:cs="Times New Roman"/>
                <w:iCs/>
                <w:sz w:val="24"/>
                <w:szCs w:val="24"/>
                <w:lang w:eastAsia="lv-LV"/>
              </w:rPr>
              <w:t xml:space="preserve">  </w:t>
            </w:r>
            <w:r w:rsidRPr="007F773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13047D" w:rsidRPr="007F7734" w14:paraId="23876EFD" w14:textId="77777777" w:rsidTr="009A362C">
        <w:trPr>
          <w:trHeight w:val="283"/>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14:paraId="191A5DA6" w14:textId="77777777" w:rsidR="0013047D" w:rsidRPr="007F7734" w:rsidRDefault="0013047D" w:rsidP="009A362C">
            <w:pPr>
              <w:spacing w:after="0" w:line="240" w:lineRule="auto"/>
              <w:jc w:val="center"/>
              <w:rPr>
                <w:rFonts w:ascii="Times New Roman" w:eastAsia="Times New Roman" w:hAnsi="Times New Roman" w:cs="Times New Roman"/>
                <w:b/>
                <w:bCs/>
                <w:iCs/>
                <w:sz w:val="24"/>
                <w:szCs w:val="24"/>
                <w:lang w:eastAsia="lv-LV"/>
              </w:rPr>
            </w:pPr>
            <w:r w:rsidRPr="007F7734">
              <w:rPr>
                <w:rFonts w:ascii="Times New Roman" w:eastAsia="Times New Roman" w:hAnsi="Times New Roman" w:cs="Times New Roman"/>
                <w:bCs/>
                <w:sz w:val="24"/>
                <w:szCs w:val="24"/>
                <w:lang w:eastAsia="lv-LV"/>
              </w:rPr>
              <w:t>Likumprojekts šo jomu neskar</w:t>
            </w:r>
          </w:p>
        </w:tc>
      </w:tr>
    </w:tbl>
    <w:p w14:paraId="1DB9B6E8"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047D" w:rsidRPr="007F7734" w14:paraId="42966CC7" w14:textId="77777777" w:rsidTr="009A36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AA9155" w14:textId="77777777" w:rsidR="0013047D" w:rsidRPr="007F7734" w:rsidRDefault="0013047D" w:rsidP="009A362C">
            <w:pPr>
              <w:spacing w:after="0" w:line="240" w:lineRule="auto"/>
              <w:rPr>
                <w:rFonts w:ascii="Times New Roman" w:eastAsia="Times New Roman" w:hAnsi="Times New Roman" w:cs="Times New Roman"/>
                <w:b/>
                <w:bCs/>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r w:rsidRPr="007F7734">
              <w:rPr>
                <w:rFonts w:ascii="Times New Roman" w:eastAsia="Times New Roman" w:hAnsi="Times New Roman" w:cs="Times New Roman"/>
                <w:b/>
                <w:bCs/>
                <w:iCs/>
                <w:sz w:val="24"/>
                <w:szCs w:val="24"/>
                <w:lang w:eastAsia="lv-LV"/>
              </w:rPr>
              <w:t>VI. Sabiedrības līdzdalība un komunikācijas aktivitātes</w:t>
            </w:r>
          </w:p>
        </w:tc>
      </w:tr>
      <w:tr w:rsidR="0013047D" w:rsidRPr="007F7734" w14:paraId="38D9F654"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D7F4B9"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D41C4C"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64E6733"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Sabiedrības līdzdalība nav nepieciešama, jo likumprojekts paredz attiecībā uz valsts sociālā pabalsta  piešķiršanu saglabāt līdzšinējo kārtību.</w:t>
            </w:r>
          </w:p>
        </w:tc>
      </w:tr>
      <w:tr w:rsidR="0013047D" w:rsidRPr="007F7734" w14:paraId="5C923146"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CBD673"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2EEBCC3"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2BCC6D84"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Nav attiecināms.</w:t>
            </w:r>
          </w:p>
        </w:tc>
      </w:tr>
      <w:tr w:rsidR="0013047D" w:rsidRPr="007F7734" w14:paraId="0678E350"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793FD7"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9930D26"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396C2FF7" w14:textId="77777777" w:rsidR="0013047D" w:rsidRPr="007F7734" w:rsidRDefault="0013047D" w:rsidP="009A362C">
            <w:pPr>
              <w:spacing w:after="0" w:line="240" w:lineRule="auto"/>
              <w:rPr>
                <w:rFonts w:ascii="Times New Roman" w:eastAsia="Times New Roman" w:hAnsi="Times New Roman" w:cs="Times New Roman"/>
                <w:iCs/>
                <w:sz w:val="24"/>
                <w:szCs w:val="24"/>
                <w:lang w:eastAsia="lv-LV"/>
              </w:rPr>
            </w:pPr>
            <w:r w:rsidRPr="007F7734">
              <w:rPr>
                <w:rFonts w:ascii="Times New Roman" w:eastAsia="Times New Roman" w:hAnsi="Times New Roman" w:cs="Times New Roman"/>
                <w:iCs/>
                <w:sz w:val="24"/>
                <w:szCs w:val="24"/>
                <w:lang w:eastAsia="lv-LV"/>
              </w:rPr>
              <w:t>Nav</w:t>
            </w:r>
          </w:p>
        </w:tc>
      </w:tr>
      <w:tr w:rsidR="0013047D" w:rsidRPr="007F7734" w14:paraId="07E68B96"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B51999"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CA402DC"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B0E8A90" w14:textId="77777777" w:rsidR="0013047D" w:rsidRPr="007F7734" w:rsidRDefault="0013047D" w:rsidP="009A362C">
            <w:pPr>
              <w:spacing w:after="0" w:line="240" w:lineRule="auto"/>
              <w:rPr>
                <w:rFonts w:ascii="Times New Roman" w:eastAsia="Times New Roman" w:hAnsi="Times New Roman" w:cs="Times New Roman"/>
                <w:iCs/>
                <w:color w:val="A6A6A6" w:themeColor="background1" w:themeShade="A6"/>
                <w:sz w:val="24"/>
                <w:szCs w:val="24"/>
                <w:lang w:eastAsia="lv-LV"/>
              </w:rPr>
            </w:pPr>
            <w:r w:rsidRPr="007F7734">
              <w:rPr>
                <w:rFonts w:ascii="Times New Roman" w:eastAsia="Times New Roman" w:hAnsi="Times New Roman" w:cs="Times New Roman"/>
                <w:iCs/>
                <w:sz w:val="24"/>
                <w:szCs w:val="24"/>
                <w:lang w:eastAsia="lv-LV"/>
              </w:rPr>
              <w:t>Nav</w:t>
            </w:r>
          </w:p>
        </w:tc>
      </w:tr>
    </w:tbl>
    <w:p w14:paraId="3285A1BB" w14:textId="77777777" w:rsidR="0013047D" w:rsidRPr="007F7734" w:rsidRDefault="0013047D" w:rsidP="0013047D">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047D" w:rsidRPr="007F7734" w14:paraId="794267FD" w14:textId="77777777" w:rsidTr="009A362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9A4B2A" w14:textId="77777777" w:rsidR="0013047D" w:rsidRPr="007F7734" w:rsidRDefault="0013047D" w:rsidP="009A362C">
            <w:pPr>
              <w:spacing w:after="0" w:line="240" w:lineRule="auto"/>
              <w:rPr>
                <w:rFonts w:ascii="Times New Roman" w:eastAsia="Times New Roman" w:hAnsi="Times New Roman" w:cs="Times New Roman"/>
                <w:b/>
                <w:bCs/>
                <w:iCs/>
                <w:color w:val="414142"/>
                <w:sz w:val="24"/>
                <w:szCs w:val="24"/>
                <w:lang w:eastAsia="lv-LV"/>
              </w:rPr>
            </w:pPr>
            <w:r w:rsidRPr="007F7734">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3047D" w:rsidRPr="007F7734" w14:paraId="72A6A913"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9C5E08"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0D01BF8"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ACDC25F" w14:textId="77777777" w:rsidR="0013047D" w:rsidRPr="007F7734" w:rsidRDefault="0013047D" w:rsidP="009A362C">
            <w:pPr>
              <w:spacing w:after="0" w:line="240" w:lineRule="auto"/>
              <w:rPr>
                <w:rFonts w:ascii="Times New Roman" w:eastAsia="Times New Roman" w:hAnsi="Times New Roman" w:cs="Times New Roman"/>
                <w:iCs/>
                <w:noProof/>
                <w:sz w:val="24"/>
                <w:szCs w:val="24"/>
                <w:lang w:eastAsia="lv-LV"/>
              </w:rPr>
            </w:pPr>
            <w:r w:rsidRPr="007F7734">
              <w:rPr>
                <w:rFonts w:ascii="Times New Roman" w:eastAsia="Times New Roman" w:hAnsi="Times New Roman" w:cs="Times New Roman"/>
                <w:iCs/>
                <w:noProof/>
                <w:sz w:val="24"/>
                <w:szCs w:val="24"/>
                <w:lang w:eastAsia="lv-LV"/>
              </w:rPr>
              <w:t>VSAA</w:t>
            </w:r>
          </w:p>
        </w:tc>
      </w:tr>
      <w:tr w:rsidR="0013047D" w:rsidRPr="007F7734" w14:paraId="638F97FB"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B133C3"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1BB566"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Projekta izpildes ietekme uz pārvaldes funkcijām un institucionālo struktūru.</w:t>
            </w:r>
            <w:r w:rsidRPr="007F7734">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150B0A1C" w14:textId="77777777" w:rsidR="0013047D" w:rsidRPr="007F7734" w:rsidRDefault="0013047D" w:rsidP="009A362C">
            <w:pPr>
              <w:spacing w:after="0" w:line="240" w:lineRule="auto"/>
              <w:jc w:val="both"/>
              <w:rPr>
                <w:rFonts w:ascii="Times New Roman" w:eastAsia="Times New Roman" w:hAnsi="Times New Roman" w:cs="Times New Roman"/>
                <w:iCs/>
                <w:noProof/>
                <w:sz w:val="24"/>
                <w:szCs w:val="24"/>
                <w:lang w:eastAsia="lv-LV"/>
              </w:rPr>
            </w:pPr>
            <w:r w:rsidRPr="007F7734">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13047D" w:rsidRPr="007F7734" w14:paraId="24CD3DAA" w14:textId="77777777" w:rsidTr="009A36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C660C9"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37BC860" w14:textId="77777777" w:rsidR="0013047D" w:rsidRPr="007F7734" w:rsidRDefault="0013047D" w:rsidP="009A362C">
            <w:pPr>
              <w:spacing w:after="0" w:line="240" w:lineRule="auto"/>
              <w:rPr>
                <w:rFonts w:ascii="Times New Roman" w:eastAsia="Times New Roman" w:hAnsi="Times New Roman" w:cs="Times New Roman"/>
                <w:iCs/>
                <w:color w:val="414142"/>
                <w:sz w:val="24"/>
                <w:szCs w:val="24"/>
                <w:lang w:eastAsia="lv-LV"/>
              </w:rPr>
            </w:pPr>
            <w:r w:rsidRPr="007F7734">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EC2DE0B" w14:textId="77777777" w:rsidR="0013047D" w:rsidRPr="007F7734" w:rsidRDefault="0013047D" w:rsidP="009A362C">
            <w:pPr>
              <w:spacing w:after="0" w:line="240" w:lineRule="auto"/>
              <w:rPr>
                <w:rFonts w:ascii="Times New Roman" w:eastAsia="Times New Roman" w:hAnsi="Times New Roman" w:cs="Times New Roman"/>
                <w:iCs/>
                <w:color w:val="A6A6A6" w:themeColor="background1" w:themeShade="A6"/>
                <w:sz w:val="24"/>
                <w:szCs w:val="24"/>
                <w:lang w:eastAsia="lv-LV"/>
              </w:rPr>
            </w:pPr>
            <w:r w:rsidRPr="007F7734">
              <w:rPr>
                <w:rFonts w:ascii="Times New Roman" w:eastAsia="Times New Roman" w:hAnsi="Times New Roman" w:cs="Times New Roman"/>
                <w:iCs/>
                <w:sz w:val="24"/>
                <w:szCs w:val="24"/>
                <w:lang w:eastAsia="lv-LV"/>
              </w:rPr>
              <w:t>Nav</w:t>
            </w:r>
          </w:p>
        </w:tc>
      </w:tr>
    </w:tbl>
    <w:p w14:paraId="70C36B49" w14:textId="77777777" w:rsidR="0013047D" w:rsidRPr="007F7734" w:rsidRDefault="0013047D" w:rsidP="0013047D">
      <w:pPr>
        <w:spacing w:after="0" w:line="240" w:lineRule="auto"/>
        <w:rPr>
          <w:rFonts w:ascii="Times New Roman" w:hAnsi="Times New Roman" w:cs="Times New Roman"/>
          <w:sz w:val="28"/>
          <w:szCs w:val="28"/>
        </w:rPr>
      </w:pPr>
    </w:p>
    <w:p w14:paraId="23EBC956" w14:textId="77777777" w:rsidR="0013047D" w:rsidRPr="007F7734" w:rsidRDefault="0013047D" w:rsidP="0013047D">
      <w:pPr>
        <w:spacing w:after="0" w:line="240" w:lineRule="auto"/>
        <w:rPr>
          <w:rFonts w:ascii="Times New Roman" w:hAnsi="Times New Roman" w:cs="Times New Roman"/>
          <w:sz w:val="28"/>
          <w:szCs w:val="28"/>
        </w:rPr>
      </w:pPr>
      <w:bookmarkStart w:id="5" w:name="_GoBack"/>
      <w:bookmarkEnd w:id="5"/>
    </w:p>
    <w:p w14:paraId="2797B39F" w14:textId="77777777" w:rsidR="0013047D" w:rsidRPr="007F7734" w:rsidRDefault="0013047D" w:rsidP="0013047D">
      <w:pPr>
        <w:tabs>
          <w:tab w:val="left" w:pos="6237"/>
        </w:tabs>
        <w:spacing w:after="0" w:line="240" w:lineRule="auto"/>
        <w:rPr>
          <w:rFonts w:ascii="Times New Roman" w:hAnsi="Times New Roman" w:cs="Times New Roman"/>
          <w:sz w:val="28"/>
          <w:szCs w:val="28"/>
        </w:rPr>
      </w:pPr>
      <w:r w:rsidRPr="007F7734">
        <w:rPr>
          <w:rFonts w:ascii="Times New Roman" w:hAnsi="Times New Roman" w:cs="Times New Roman"/>
          <w:sz w:val="28"/>
          <w:szCs w:val="28"/>
        </w:rPr>
        <w:t>Labklājības ministre</w:t>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t>R.Pe</w:t>
      </w:r>
      <w:r w:rsidR="00390078" w:rsidRPr="007F7734">
        <w:rPr>
          <w:rFonts w:ascii="Times New Roman" w:hAnsi="Times New Roman" w:cs="Times New Roman"/>
          <w:sz w:val="28"/>
          <w:szCs w:val="28"/>
        </w:rPr>
        <w:t>tra</w:t>
      </w:r>
      <w:r w:rsidRPr="007F7734">
        <w:rPr>
          <w:rFonts w:ascii="Times New Roman" w:hAnsi="Times New Roman" w:cs="Times New Roman"/>
          <w:sz w:val="28"/>
          <w:szCs w:val="28"/>
        </w:rPr>
        <w:t>viča</w:t>
      </w:r>
    </w:p>
    <w:p w14:paraId="01D2AA44" w14:textId="77777777" w:rsidR="0013047D" w:rsidRPr="007F7734" w:rsidRDefault="0013047D" w:rsidP="0013047D">
      <w:pPr>
        <w:tabs>
          <w:tab w:val="left" w:pos="6237"/>
        </w:tabs>
        <w:spacing w:after="0" w:line="240" w:lineRule="auto"/>
        <w:rPr>
          <w:rFonts w:ascii="Times New Roman" w:hAnsi="Times New Roman" w:cs="Times New Roman"/>
          <w:sz w:val="28"/>
          <w:szCs w:val="28"/>
        </w:rPr>
      </w:pPr>
      <w:r w:rsidRPr="007F7734">
        <w:rPr>
          <w:rFonts w:ascii="Times New Roman" w:hAnsi="Times New Roman" w:cs="Times New Roman"/>
          <w:sz w:val="28"/>
          <w:szCs w:val="28"/>
        </w:rPr>
        <w:tab/>
      </w:r>
      <w:r w:rsidRPr="007F7734">
        <w:rPr>
          <w:rFonts w:ascii="Times New Roman" w:hAnsi="Times New Roman" w:cs="Times New Roman"/>
          <w:sz w:val="28"/>
          <w:szCs w:val="28"/>
        </w:rPr>
        <w:tab/>
      </w:r>
    </w:p>
    <w:p w14:paraId="09DA9B78" w14:textId="77777777" w:rsidR="0013047D" w:rsidRPr="007F7734" w:rsidRDefault="0013047D" w:rsidP="0013047D">
      <w:pPr>
        <w:tabs>
          <w:tab w:val="left" w:pos="6237"/>
        </w:tabs>
        <w:spacing w:after="0" w:line="240" w:lineRule="auto"/>
        <w:rPr>
          <w:rFonts w:ascii="Times New Roman" w:hAnsi="Times New Roman" w:cs="Times New Roman"/>
          <w:sz w:val="24"/>
          <w:szCs w:val="24"/>
        </w:rPr>
      </w:pPr>
    </w:p>
    <w:p w14:paraId="228AF6E1" w14:textId="77777777" w:rsidR="0013047D" w:rsidRPr="007F7734" w:rsidRDefault="0013047D" w:rsidP="0013047D">
      <w:pPr>
        <w:spacing w:after="0" w:line="240" w:lineRule="auto"/>
        <w:rPr>
          <w:rFonts w:ascii="Times New Roman" w:hAnsi="Times New Roman" w:cs="Times New Roman"/>
          <w:sz w:val="28"/>
          <w:szCs w:val="28"/>
        </w:rPr>
      </w:pPr>
      <w:r w:rsidRPr="007F7734">
        <w:rPr>
          <w:rFonts w:ascii="Times New Roman" w:hAnsi="Times New Roman" w:cs="Times New Roman"/>
          <w:sz w:val="28"/>
          <w:szCs w:val="28"/>
        </w:rPr>
        <w:lastRenderedPageBreak/>
        <w:t>Valsts sekretārs</w:t>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r>
      <w:r w:rsidRPr="007F7734">
        <w:rPr>
          <w:rFonts w:ascii="Times New Roman" w:hAnsi="Times New Roman" w:cs="Times New Roman"/>
          <w:sz w:val="28"/>
          <w:szCs w:val="28"/>
        </w:rPr>
        <w:tab/>
        <w:t xml:space="preserve">      </w:t>
      </w:r>
      <w:proofErr w:type="spellStart"/>
      <w:r w:rsidRPr="007F7734">
        <w:rPr>
          <w:rFonts w:ascii="Times New Roman" w:hAnsi="Times New Roman" w:cs="Times New Roman"/>
          <w:sz w:val="28"/>
          <w:szCs w:val="28"/>
        </w:rPr>
        <w:t>I.Alliks</w:t>
      </w:r>
      <w:proofErr w:type="spellEnd"/>
      <w:r w:rsidRPr="007F7734">
        <w:rPr>
          <w:rFonts w:ascii="Times New Roman" w:hAnsi="Times New Roman" w:cs="Times New Roman"/>
          <w:sz w:val="28"/>
          <w:szCs w:val="28"/>
        </w:rPr>
        <w:tab/>
      </w:r>
      <w:r w:rsidRPr="007F7734">
        <w:rPr>
          <w:rFonts w:ascii="Times New Roman" w:hAnsi="Times New Roman" w:cs="Times New Roman"/>
          <w:sz w:val="28"/>
          <w:szCs w:val="28"/>
        </w:rPr>
        <w:tab/>
      </w:r>
    </w:p>
    <w:p w14:paraId="482DED9F" w14:textId="77777777" w:rsidR="0013047D" w:rsidRPr="007F7734" w:rsidRDefault="0013047D" w:rsidP="0013047D">
      <w:pPr>
        <w:tabs>
          <w:tab w:val="left" w:pos="6237"/>
        </w:tabs>
        <w:spacing w:after="0" w:line="240" w:lineRule="auto"/>
        <w:ind w:firstLine="720"/>
        <w:rPr>
          <w:rFonts w:ascii="Times New Roman" w:hAnsi="Times New Roman" w:cs="Times New Roman"/>
          <w:sz w:val="28"/>
          <w:szCs w:val="28"/>
        </w:rPr>
      </w:pPr>
    </w:p>
    <w:p w14:paraId="2501B9D4" w14:textId="77777777" w:rsidR="0013047D" w:rsidRPr="007F7734" w:rsidRDefault="0013047D" w:rsidP="0013047D">
      <w:pPr>
        <w:tabs>
          <w:tab w:val="left" w:pos="6237"/>
        </w:tabs>
        <w:spacing w:after="0" w:line="240" w:lineRule="auto"/>
        <w:ind w:firstLine="720"/>
        <w:rPr>
          <w:rFonts w:ascii="Times New Roman" w:hAnsi="Times New Roman" w:cs="Times New Roman"/>
          <w:sz w:val="28"/>
          <w:szCs w:val="28"/>
        </w:rPr>
      </w:pPr>
    </w:p>
    <w:p w14:paraId="4E42B9B4" w14:textId="77777777" w:rsidR="0013047D" w:rsidRPr="007F7734" w:rsidRDefault="0013047D" w:rsidP="0013047D">
      <w:pPr>
        <w:tabs>
          <w:tab w:val="left" w:pos="6237"/>
        </w:tabs>
        <w:spacing w:after="0" w:line="240" w:lineRule="auto"/>
        <w:ind w:firstLine="720"/>
        <w:rPr>
          <w:rFonts w:ascii="Times New Roman" w:hAnsi="Times New Roman" w:cs="Times New Roman"/>
          <w:sz w:val="28"/>
          <w:szCs w:val="28"/>
        </w:rPr>
      </w:pPr>
    </w:p>
    <w:p w14:paraId="70DB175D" w14:textId="77777777" w:rsidR="0013047D" w:rsidRPr="007F7734" w:rsidRDefault="0013047D" w:rsidP="0013047D">
      <w:pPr>
        <w:tabs>
          <w:tab w:val="left" w:pos="6237"/>
        </w:tabs>
        <w:spacing w:after="0" w:line="240" w:lineRule="auto"/>
        <w:ind w:firstLine="720"/>
        <w:rPr>
          <w:rFonts w:ascii="Times New Roman" w:hAnsi="Times New Roman" w:cs="Times New Roman"/>
          <w:sz w:val="28"/>
          <w:szCs w:val="28"/>
        </w:rPr>
      </w:pPr>
    </w:p>
    <w:p w14:paraId="201C36FC" w14:textId="77777777" w:rsidR="0013047D" w:rsidRPr="007F7734" w:rsidRDefault="0013047D" w:rsidP="0013047D"/>
    <w:p w14:paraId="7576201C" w14:textId="77777777" w:rsidR="0013047D" w:rsidRPr="0092479F" w:rsidRDefault="0013047D" w:rsidP="0013047D">
      <w:pPr>
        <w:spacing w:after="0" w:line="240" w:lineRule="auto"/>
        <w:jc w:val="both"/>
        <w:rPr>
          <w:rFonts w:ascii="Calibri" w:eastAsia="Calibri" w:hAnsi="Calibri" w:cs="Calibri"/>
        </w:rPr>
      </w:pPr>
      <w:r w:rsidRPr="007F7734">
        <w:rPr>
          <w:rFonts w:ascii="Times New Roman" w:eastAsia="Calibri" w:hAnsi="Times New Roman" w:cs="Times New Roman"/>
          <w:sz w:val="20"/>
          <w:szCs w:val="20"/>
        </w:rPr>
        <w:t>Grabe 67021649</w:t>
      </w:r>
      <w:r w:rsidRPr="007F7734">
        <w:rPr>
          <w:rFonts w:ascii="Times New Roman" w:eastAsia="Calibri" w:hAnsi="Times New Roman" w:cs="Times New Roman"/>
          <w:sz w:val="20"/>
          <w:szCs w:val="20"/>
        </w:rPr>
        <w:br/>
      </w:r>
      <w:hyperlink r:id="rId8" w:history="1">
        <w:r w:rsidRPr="007F7734">
          <w:rPr>
            <w:rFonts w:ascii="Times New Roman" w:eastAsia="Calibri" w:hAnsi="Times New Roman" w:cs="Times New Roman"/>
            <w:color w:val="0563C1" w:themeColor="hyperlink"/>
            <w:sz w:val="20"/>
            <w:szCs w:val="20"/>
            <w:u w:val="single"/>
          </w:rPr>
          <w:t>Daina.Grabe@lm.gov.lv</w:t>
        </w:r>
      </w:hyperlink>
    </w:p>
    <w:p w14:paraId="4FBAC5B6" w14:textId="77777777" w:rsidR="0013047D" w:rsidRPr="0092479F" w:rsidRDefault="0013047D" w:rsidP="0013047D">
      <w:pPr>
        <w:spacing w:after="0" w:line="240" w:lineRule="auto"/>
        <w:jc w:val="both"/>
        <w:rPr>
          <w:rFonts w:ascii="Times New Roman" w:eastAsia="Times New Roman" w:hAnsi="Times New Roman" w:cs="Times New Roman"/>
          <w:sz w:val="20"/>
          <w:szCs w:val="20"/>
          <w:lang w:eastAsia="lv-LV"/>
        </w:rPr>
      </w:pPr>
    </w:p>
    <w:p w14:paraId="4B3FB48D" w14:textId="77777777" w:rsidR="0013047D" w:rsidRDefault="0013047D" w:rsidP="0013047D"/>
    <w:p w14:paraId="65FE7277" w14:textId="77777777" w:rsidR="000564DD" w:rsidRDefault="000564DD"/>
    <w:sectPr w:rsidR="000564DD" w:rsidSect="001E243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67BD" w14:textId="77777777" w:rsidR="0013047D" w:rsidRDefault="0013047D" w:rsidP="0013047D">
      <w:pPr>
        <w:spacing w:after="0" w:line="240" w:lineRule="auto"/>
      </w:pPr>
      <w:r>
        <w:separator/>
      </w:r>
    </w:p>
  </w:endnote>
  <w:endnote w:type="continuationSeparator" w:id="0">
    <w:p w14:paraId="1C8CB096" w14:textId="77777777" w:rsidR="0013047D" w:rsidRDefault="0013047D" w:rsidP="00130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2921" w14:textId="0CB9AC37" w:rsidR="001E2431" w:rsidRPr="009A2654" w:rsidRDefault="009E0750" w:rsidP="001E2431">
    <w:pPr>
      <w:pStyle w:val="Footer"/>
      <w:rPr>
        <w:rFonts w:ascii="Times New Roman" w:hAnsi="Times New Roman" w:cs="Times New Roman"/>
        <w:sz w:val="20"/>
        <w:szCs w:val="20"/>
      </w:rPr>
    </w:pPr>
    <w:r>
      <w:rPr>
        <w:rFonts w:ascii="Times New Roman" w:hAnsi="Times New Roman" w:cs="Times New Roman"/>
        <w:sz w:val="20"/>
        <w:szCs w:val="20"/>
      </w:rPr>
      <w:t>LManot_</w:t>
    </w:r>
    <w:r w:rsidR="0013047D">
      <w:rPr>
        <w:rFonts w:ascii="Times New Roman" w:hAnsi="Times New Roman" w:cs="Times New Roman"/>
        <w:sz w:val="20"/>
        <w:szCs w:val="20"/>
      </w:rPr>
      <w:t>2</w:t>
    </w:r>
    <w:r w:rsidR="006D0536">
      <w:rPr>
        <w:rFonts w:ascii="Times New Roman" w:hAnsi="Times New Roman" w:cs="Times New Roman"/>
        <w:sz w:val="20"/>
        <w:szCs w:val="20"/>
      </w:rPr>
      <w:t>4</w:t>
    </w:r>
    <w:r>
      <w:rPr>
        <w:rFonts w:ascii="Times New Roman" w:hAnsi="Times New Roman" w:cs="Times New Roman"/>
        <w:sz w:val="20"/>
        <w:szCs w:val="20"/>
      </w:rPr>
      <w:t>092020_ČAES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20F1" w14:textId="0329DE47" w:rsidR="001E2431" w:rsidRPr="009A2654" w:rsidRDefault="009E0750">
    <w:pPr>
      <w:pStyle w:val="Footer"/>
      <w:rPr>
        <w:rFonts w:ascii="Times New Roman" w:hAnsi="Times New Roman" w:cs="Times New Roman"/>
        <w:sz w:val="20"/>
        <w:szCs w:val="20"/>
      </w:rPr>
    </w:pPr>
    <w:r>
      <w:rPr>
        <w:rFonts w:ascii="Times New Roman" w:hAnsi="Times New Roman" w:cs="Times New Roman"/>
        <w:sz w:val="20"/>
        <w:szCs w:val="20"/>
      </w:rPr>
      <w:t>LManot_</w:t>
    </w:r>
    <w:r w:rsidR="0013047D">
      <w:rPr>
        <w:rFonts w:ascii="Times New Roman" w:hAnsi="Times New Roman" w:cs="Times New Roman"/>
        <w:sz w:val="20"/>
        <w:szCs w:val="20"/>
      </w:rPr>
      <w:t>2</w:t>
    </w:r>
    <w:r w:rsidR="00DE610A">
      <w:rPr>
        <w:rFonts w:ascii="Times New Roman" w:hAnsi="Times New Roman" w:cs="Times New Roman"/>
        <w:sz w:val="20"/>
        <w:szCs w:val="20"/>
      </w:rPr>
      <w:t>4</w:t>
    </w:r>
    <w:r>
      <w:rPr>
        <w:rFonts w:ascii="Times New Roman" w:hAnsi="Times New Roman" w:cs="Times New Roman"/>
        <w:sz w:val="20"/>
        <w:szCs w:val="20"/>
      </w:rPr>
      <w:t>092020_ČAES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38FD" w14:textId="77777777" w:rsidR="0013047D" w:rsidRDefault="0013047D" w:rsidP="0013047D">
      <w:pPr>
        <w:spacing w:after="0" w:line="240" w:lineRule="auto"/>
      </w:pPr>
      <w:r>
        <w:separator/>
      </w:r>
    </w:p>
  </w:footnote>
  <w:footnote w:type="continuationSeparator" w:id="0">
    <w:p w14:paraId="7ECEBB6D" w14:textId="77777777" w:rsidR="0013047D" w:rsidRDefault="0013047D" w:rsidP="00130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1B965A" w14:textId="77777777" w:rsidR="001E2431" w:rsidRPr="00C25B49" w:rsidRDefault="009E075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BBF"/>
    <w:multiLevelType w:val="hybridMultilevel"/>
    <w:tmpl w:val="C23875A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5843C1"/>
    <w:multiLevelType w:val="hybridMultilevel"/>
    <w:tmpl w:val="3B569B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47D"/>
    <w:rsid w:val="000564DD"/>
    <w:rsid w:val="0013047D"/>
    <w:rsid w:val="00274D9A"/>
    <w:rsid w:val="00390078"/>
    <w:rsid w:val="004E6129"/>
    <w:rsid w:val="006D0536"/>
    <w:rsid w:val="007F7734"/>
    <w:rsid w:val="009E0750"/>
    <w:rsid w:val="00BD4157"/>
    <w:rsid w:val="00C3788F"/>
    <w:rsid w:val="00DB2B18"/>
    <w:rsid w:val="00DE610A"/>
    <w:rsid w:val="00EB35E2"/>
    <w:rsid w:val="00FF26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43A6"/>
  <w15:chartTrackingRefBased/>
  <w15:docId w15:val="{9A9DF46C-0B23-4C4A-91B3-C4317968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4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047D"/>
  </w:style>
  <w:style w:type="paragraph" w:styleId="Footer">
    <w:name w:val="footer"/>
    <w:basedOn w:val="Normal"/>
    <w:link w:val="FooterChar"/>
    <w:uiPriority w:val="99"/>
    <w:unhideWhenUsed/>
    <w:rsid w:val="001304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047D"/>
  </w:style>
  <w:style w:type="paragraph" w:styleId="ListParagraph">
    <w:name w:val="List Paragraph"/>
    <w:basedOn w:val="Normal"/>
    <w:uiPriority w:val="34"/>
    <w:qFormat/>
    <w:rsid w:val="00130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Grabe@lm.gov.l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ikumi.lv/doc.php?id=2221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841F80A61544069BAD71BB43DBF515"/>
        <w:category>
          <w:name w:val="General"/>
          <w:gallery w:val="placeholder"/>
        </w:category>
        <w:types>
          <w:type w:val="bbPlcHdr"/>
        </w:types>
        <w:behaviors>
          <w:behavior w:val="content"/>
        </w:behaviors>
        <w:guid w:val="{418C37B8-DDD4-4534-98C6-93B45D8F2D3C}"/>
      </w:docPartPr>
      <w:docPartBody>
        <w:p w:rsidR="00A90960" w:rsidRDefault="007D0EAD" w:rsidP="007D0EAD">
          <w:pPr>
            <w:pStyle w:val="6B841F80A61544069BAD71BB43DBF51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AD"/>
    <w:rsid w:val="007D0EAD"/>
    <w:rsid w:val="00A90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EAD"/>
    <w:rPr>
      <w:color w:val="808080"/>
    </w:rPr>
  </w:style>
  <w:style w:type="paragraph" w:customStyle="1" w:styleId="6B841F80A61544069BAD71BB43DBF515">
    <w:name w:val="6B841F80A61544069BAD71BB43DBF515"/>
    <w:rsid w:val="007D0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9404</Words>
  <Characters>5361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Likumprojekta “Grozījumi Černobiļas atomelektrostacijas avārijas seku likvidēšanas dalībnieku un Černobiļas atomelektrostacijas avārijas rezultātā cietušo personu sociālās aizsardzības likumā” sākotnējās ietekmes novērtējuma ziņojums (anotācija)</vt:lpstr>
    </vt:vector>
  </TitlesOfParts>
  <Company>LM</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Černobiļas atomelektrostacijas avārijas seku likvidēšanas dalībnieku un Černobiļas atomelektrostacijas avārijas rezultātā cietušo personu sociālās aizsardzības likumā” sākotnējās ietekmes novērtējuma ziņojums (anotācija)</dc:title>
  <dc:subject/>
  <dc:creator>Daina Grabe</dc:creator>
  <cp:keywords/>
  <dc:description>D.Grabe 67021594
daina.grabe@lm.gov.lv</dc:description>
  <cp:lastModifiedBy>Daina Grabe</cp:lastModifiedBy>
  <cp:revision>12</cp:revision>
  <dcterms:created xsi:type="dcterms:W3CDTF">2020-09-22T12:34:00Z</dcterms:created>
  <dcterms:modified xsi:type="dcterms:W3CDTF">2020-09-28T10:08:00Z</dcterms:modified>
</cp:coreProperties>
</file>