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038817"/>
    <w:p w:rsidR="002A1D7B" w:rsidRPr="002F1E39" w:rsidRDefault="0097410B" w:rsidP="002A1D7B">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D155CE10E3FD4C50BDF544EB6C23D84F"/>
          </w:placeholder>
        </w:sdtPr>
        <w:sdtEndPr/>
        <w:sdtContent>
          <w:r w:rsidR="002A1D7B" w:rsidRPr="002F1E39">
            <w:rPr>
              <w:rFonts w:ascii="Times New Roman" w:eastAsia="Times New Roman" w:hAnsi="Times New Roman" w:cs="Times New Roman"/>
              <w:b/>
              <w:bCs/>
              <w:color w:val="414142"/>
              <w:sz w:val="28"/>
              <w:szCs w:val="24"/>
              <w:lang w:eastAsia="lv-LV"/>
            </w:rPr>
            <w:t xml:space="preserve">Likumprojekta “Grozījumi likumā </w:t>
          </w:r>
          <w:r w:rsidR="002A1D7B">
            <w:rPr>
              <w:rFonts w:ascii="Times New Roman" w:eastAsia="Times New Roman" w:hAnsi="Times New Roman" w:cs="Times New Roman"/>
              <w:b/>
              <w:bCs/>
              <w:color w:val="414142"/>
              <w:sz w:val="28"/>
              <w:szCs w:val="24"/>
              <w:lang w:eastAsia="lv-LV"/>
            </w:rPr>
            <w:t>“Par obligāto sociālo apdrošināšanu pret nelaimes gadījumiem darbā un arodslimībām</w:t>
          </w:r>
          <w:r w:rsidR="002A1D7B" w:rsidRPr="002F1E39">
            <w:rPr>
              <w:rFonts w:ascii="Times New Roman" w:eastAsia="Times New Roman" w:hAnsi="Times New Roman" w:cs="Times New Roman"/>
              <w:b/>
              <w:bCs/>
              <w:color w:val="414142"/>
              <w:sz w:val="28"/>
              <w:szCs w:val="24"/>
              <w:lang w:eastAsia="lv-LV"/>
            </w:rPr>
            <w:t>”</w:t>
          </w:r>
          <w:r w:rsidR="002A1D7B">
            <w:rPr>
              <w:rFonts w:ascii="Times New Roman" w:eastAsia="Times New Roman" w:hAnsi="Times New Roman" w:cs="Times New Roman"/>
              <w:b/>
              <w:bCs/>
              <w:color w:val="414142"/>
              <w:sz w:val="28"/>
              <w:szCs w:val="24"/>
              <w:lang w:eastAsia="lv-LV"/>
            </w:rPr>
            <w:t>”</w:t>
          </w:r>
          <w:r w:rsidR="002A1D7B" w:rsidRPr="002F1E39">
            <w:rPr>
              <w:rFonts w:ascii="Times New Roman" w:eastAsia="Times New Roman" w:hAnsi="Times New Roman" w:cs="Times New Roman"/>
              <w:b/>
              <w:bCs/>
              <w:color w:val="414142"/>
              <w:sz w:val="28"/>
              <w:szCs w:val="24"/>
              <w:lang w:eastAsia="lv-LV"/>
            </w:rPr>
            <w:t xml:space="preserve"> </w:t>
          </w:r>
        </w:sdtContent>
      </w:sdt>
      <w:r w:rsidR="002A1D7B" w:rsidRPr="002F1E39">
        <w:rPr>
          <w:rFonts w:ascii="Times New Roman" w:eastAsia="Times New Roman" w:hAnsi="Times New Roman" w:cs="Times New Roman"/>
          <w:b/>
          <w:bCs/>
          <w:color w:val="414142"/>
          <w:sz w:val="28"/>
          <w:szCs w:val="24"/>
          <w:lang w:eastAsia="lv-LV"/>
        </w:rPr>
        <w:t xml:space="preserve"> sākotnējās ietekmes novērtējuma ziņojums (anotācija)</w:t>
      </w:r>
    </w:p>
    <w:bookmarkEnd w:id="0"/>
    <w:p w:rsidR="002A1D7B" w:rsidRPr="002F1E39" w:rsidRDefault="002A1D7B" w:rsidP="002A1D7B">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A1D7B" w:rsidRPr="002F1E39" w:rsidTr="002A1D7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A1D7B" w:rsidRPr="002F1E39" w:rsidRDefault="002A1D7B" w:rsidP="002A1D7B">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b/>
                <w:bCs/>
                <w:iCs/>
                <w:color w:val="414142"/>
                <w:sz w:val="24"/>
                <w:szCs w:val="24"/>
                <w:lang w:eastAsia="lv-LV"/>
              </w:rPr>
              <w:t>Tiesību akta projekta anotācijas kopsavilkums</w:t>
            </w:r>
          </w:p>
        </w:tc>
      </w:tr>
      <w:tr w:rsidR="002A1D7B" w:rsidRPr="002F1E39" w:rsidTr="002A1D7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2A1D7B" w:rsidRDefault="002A1D7B" w:rsidP="002A1D7B">
            <w:pPr>
              <w:spacing w:after="0" w:line="240" w:lineRule="auto"/>
              <w:jc w:val="both"/>
              <w:rPr>
                <w:rFonts w:ascii="Times New Roman" w:eastAsia="Times New Roman" w:hAnsi="Times New Roman" w:cs="Times New Roman"/>
                <w:sz w:val="24"/>
                <w:szCs w:val="24"/>
                <w:lang w:eastAsia="lv-LV"/>
              </w:rPr>
            </w:pPr>
            <w:bookmarkStart w:id="1" w:name="_Hlk48047580"/>
            <w:r w:rsidRPr="002F1E39">
              <w:rPr>
                <w:rFonts w:ascii="Times New Roman" w:eastAsia="Times New Roman" w:hAnsi="Times New Roman" w:cs="Times New Roman"/>
                <w:sz w:val="24"/>
                <w:szCs w:val="24"/>
                <w:lang w:eastAsia="lv-LV"/>
              </w:rPr>
              <w:t>Likumprojekta “</w:t>
            </w:r>
            <w:bookmarkStart w:id="2" w:name="_Hlk51742514"/>
            <w:r w:rsidRPr="002F1E39">
              <w:rPr>
                <w:rFonts w:ascii="Times New Roman" w:eastAsia="Times New Roman" w:hAnsi="Times New Roman" w:cs="Times New Roman"/>
                <w:sz w:val="24"/>
                <w:szCs w:val="24"/>
                <w:lang w:eastAsia="lv-LV"/>
              </w:rPr>
              <w:t>Grozījumi likumā “</w:t>
            </w:r>
            <w:r>
              <w:rPr>
                <w:rFonts w:ascii="Times New Roman" w:eastAsia="Times New Roman" w:hAnsi="Times New Roman" w:cs="Times New Roman"/>
                <w:sz w:val="24"/>
                <w:szCs w:val="24"/>
                <w:lang w:eastAsia="lv-LV"/>
              </w:rPr>
              <w:t>Par obligāto sociālo apdrošināšanu pret nelaimes gadījumiem darbā un arodslimībām”</w:t>
            </w:r>
            <w:bookmarkEnd w:id="2"/>
            <w:r>
              <w:rPr>
                <w:rFonts w:ascii="Times New Roman" w:eastAsia="Times New Roman" w:hAnsi="Times New Roman" w:cs="Times New Roman"/>
                <w:sz w:val="24"/>
                <w:szCs w:val="24"/>
                <w:lang w:eastAsia="lv-LV"/>
              </w:rPr>
              <w:t xml:space="preserve">” </w:t>
            </w:r>
            <w:r w:rsidRPr="002F1E39">
              <w:rPr>
                <w:rFonts w:ascii="Times New Roman" w:eastAsia="Times New Roman" w:hAnsi="Times New Roman" w:cs="Times New Roman"/>
                <w:sz w:val="24"/>
                <w:szCs w:val="24"/>
                <w:lang w:eastAsia="lv-LV"/>
              </w:rPr>
              <w:t xml:space="preserve">(turpmāk – likumprojekts) mērķis ir </w:t>
            </w:r>
            <w:r>
              <w:rPr>
                <w:rFonts w:ascii="Times New Roman" w:eastAsia="Times New Roman" w:hAnsi="Times New Roman" w:cs="Times New Roman"/>
                <w:sz w:val="24"/>
                <w:szCs w:val="24"/>
                <w:lang w:eastAsia="lv-LV"/>
              </w:rPr>
              <w:t xml:space="preserve">noteikt atlīdzības minimālos </w:t>
            </w:r>
            <w:bookmarkEnd w:id="1"/>
            <w:r>
              <w:rPr>
                <w:rFonts w:ascii="Times New Roman" w:eastAsia="Times New Roman" w:hAnsi="Times New Roman" w:cs="Times New Roman"/>
                <w:sz w:val="24"/>
                <w:szCs w:val="24"/>
                <w:lang w:eastAsia="lv-LV"/>
              </w:rPr>
              <w:t>apmērus, piesaistot tos</w:t>
            </w:r>
            <w:r>
              <w:rPr>
                <w:rFonts w:ascii="Times New Roman" w:eastAsia="Times New Roman" w:hAnsi="Times New Roman" w:cs="Times New Roman"/>
                <w:sz w:val="24"/>
                <w:szCs w:val="24"/>
                <w:highlight w:val="yellow"/>
                <w:lang w:eastAsia="lv-LV"/>
              </w:rPr>
              <w:t xml:space="preserve"> </w:t>
            </w:r>
            <w:r>
              <w:rPr>
                <w:rFonts w:ascii="Times New Roman" w:eastAsia="Times New Roman" w:hAnsi="Times New Roman" w:cs="Times New Roman"/>
                <w:sz w:val="24"/>
                <w:szCs w:val="24"/>
                <w:lang w:eastAsia="lv-LV"/>
              </w:rPr>
              <w:t>likumā “Par sociālo drošību” definētajiem</w:t>
            </w:r>
            <w:r w:rsidRPr="002F1E39">
              <w:rPr>
                <w:rFonts w:ascii="Times New Roman" w:eastAsia="Times New Roman" w:hAnsi="Times New Roman" w:cs="Times New Roman"/>
                <w:sz w:val="24"/>
                <w:szCs w:val="24"/>
                <w:lang w:eastAsia="lv-LV"/>
              </w:rPr>
              <w:t xml:space="preserve"> minimālo  ienākumu sliekšņ</w:t>
            </w:r>
            <w:r>
              <w:rPr>
                <w:rFonts w:ascii="Times New Roman" w:eastAsia="Times New Roman" w:hAnsi="Times New Roman" w:cs="Times New Roman"/>
                <w:sz w:val="24"/>
                <w:szCs w:val="24"/>
                <w:lang w:eastAsia="lv-LV"/>
              </w:rPr>
              <w:t>iem</w:t>
            </w:r>
            <w:r w:rsidRPr="002F1E39">
              <w:rPr>
                <w:rFonts w:ascii="Times New Roman" w:eastAsia="Times New Roman" w:hAnsi="Times New Roman" w:cs="Times New Roman"/>
                <w:sz w:val="24"/>
                <w:szCs w:val="24"/>
                <w:lang w:eastAsia="lv-LV"/>
              </w:rPr>
              <w:t xml:space="preserve">, tādējādi sekmējot </w:t>
            </w:r>
            <w:r>
              <w:rPr>
                <w:rFonts w:ascii="Times New Roman" w:eastAsia="Times New Roman" w:hAnsi="Times New Roman" w:cs="Times New Roman"/>
                <w:sz w:val="24"/>
                <w:szCs w:val="24"/>
                <w:lang w:eastAsia="lv-LV"/>
              </w:rPr>
              <w:t xml:space="preserve">sociālekonomiskās nevienlīdzības un </w:t>
            </w:r>
            <w:r w:rsidRPr="002F1E39">
              <w:rPr>
                <w:rFonts w:ascii="Times New Roman" w:eastAsia="Times New Roman" w:hAnsi="Times New Roman" w:cs="Times New Roman"/>
                <w:sz w:val="24"/>
                <w:szCs w:val="24"/>
                <w:lang w:eastAsia="lv-LV"/>
              </w:rPr>
              <w:t xml:space="preserve">nabadzības </w:t>
            </w:r>
            <w:r>
              <w:rPr>
                <w:rFonts w:ascii="Times New Roman" w:eastAsia="Times New Roman" w:hAnsi="Times New Roman" w:cs="Times New Roman"/>
                <w:sz w:val="24"/>
                <w:szCs w:val="24"/>
                <w:lang w:eastAsia="lv-LV"/>
              </w:rPr>
              <w:t>risku mazināšanu, kas ir būtiska arī valsts ilgtspējas aspektā.</w:t>
            </w:r>
          </w:p>
          <w:p w:rsidR="002A1D7B" w:rsidRDefault="002A1D7B" w:rsidP="002A1D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2A1D7B" w:rsidRPr="002F1E39" w:rsidRDefault="002A1D7B" w:rsidP="002A1D7B">
            <w:pPr>
              <w:spacing w:after="0" w:line="240" w:lineRule="auto"/>
              <w:jc w:val="both"/>
              <w:rPr>
                <w:rFonts w:ascii="Times New Roman" w:eastAsia="Times New Roman" w:hAnsi="Times New Roman" w:cs="Times New Roman"/>
                <w:sz w:val="24"/>
                <w:szCs w:val="24"/>
                <w:lang w:eastAsia="lv-LV"/>
              </w:rPr>
            </w:pPr>
            <w:r w:rsidRPr="002F1E39">
              <w:rPr>
                <w:rFonts w:ascii="Times New Roman" w:eastAsia="Times New Roman" w:hAnsi="Times New Roman" w:cs="Times New Roman"/>
                <w:sz w:val="24"/>
                <w:szCs w:val="24"/>
                <w:lang w:eastAsia="lv-LV"/>
              </w:rPr>
              <w:t>Likumprojekts stā</w:t>
            </w:r>
            <w:r>
              <w:rPr>
                <w:rFonts w:ascii="Times New Roman" w:eastAsia="Times New Roman" w:hAnsi="Times New Roman" w:cs="Times New Roman"/>
                <w:sz w:val="24"/>
                <w:szCs w:val="24"/>
                <w:lang w:eastAsia="lv-LV"/>
              </w:rPr>
              <w:t>sies</w:t>
            </w:r>
            <w:r w:rsidRPr="002F1E39">
              <w:rPr>
                <w:rFonts w:ascii="Times New Roman" w:eastAsia="Times New Roman" w:hAnsi="Times New Roman" w:cs="Times New Roman"/>
                <w:sz w:val="24"/>
                <w:szCs w:val="24"/>
                <w:lang w:eastAsia="lv-LV"/>
              </w:rPr>
              <w:t xml:space="preserve"> spēk</w:t>
            </w:r>
            <w:r>
              <w:rPr>
                <w:rFonts w:ascii="Times New Roman" w:eastAsia="Times New Roman" w:hAnsi="Times New Roman" w:cs="Times New Roman"/>
                <w:sz w:val="24"/>
                <w:szCs w:val="24"/>
                <w:lang w:eastAsia="lv-LV"/>
              </w:rPr>
              <w:t>ā</w:t>
            </w:r>
            <w:r w:rsidRPr="002F1E39">
              <w:rPr>
                <w:rFonts w:ascii="Times New Roman" w:eastAsia="Times New Roman" w:hAnsi="Times New Roman" w:cs="Times New Roman"/>
                <w:sz w:val="24"/>
                <w:szCs w:val="24"/>
                <w:lang w:eastAsia="lv-LV"/>
              </w:rPr>
              <w:t xml:space="preserve"> 2021.gada 1.janvārī</w:t>
            </w:r>
            <w:r>
              <w:rPr>
                <w:rFonts w:ascii="Times New Roman" w:eastAsia="Times New Roman" w:hAnsi="Times New Roman" w:cs="Times New Roman"/>
                <w:sz w:val="24"/>
                <w:szCs w:val="24"/>
                <w:lang w:eastAsia="lv-LV"/>
              </w:rPr>
              <w:t>.</w:t>
            </w:r>
          </w:p>
          <w:p w:rsidR="002A1D7B" w:rsidRPr="002F1E39" w:rsidRDefault="002A1D7B" w:rsidP="002A1D7B">
            <w:pPr>
              <w:spacing w:after="0" w:line="240" w:lineRule="auto"/>
              <w:jc w:val="both"/>
              <w:rPr>
                <w:rFonts w:ascii="Times New Roman" w:eastAsia="Times New Roman" w:hAnsi="Times New Roman" w:cs="Times New Roman"/>
                <w:sz w:val="24"/>
                <w:szCs w:val="24"/>
                <w:lang w:eastAsia="lv-LV"/>
              </w:rPr>
            </w:pPr>
          </w:p>
        </w:tc>
      </w:tr>
    </w:tbl>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A1D7B" w:rsidRPr="002F1E39" w:rsidTr="002A1D7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A1D7B" w:rsidRPr="002F1E39" w:rsidRDefault="002A1D7B" w:rsidP="002A1D7B">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b/>
                <w:bCs/>
                <w:iCs/>
                <w:color w:val="414142"/>
                <w:sz w:val="24"/>
                <w:szCs w:val="24"/>
                <w:lang w:eastAsia="lv-LV"/>
              </w:rPr>
              <w:t>I. Tiesību akta projekta izstrādes nepieciešamība</w:t>
            </w:r>
          </w:p>
        </w:tc>
      </w:tr>
      <w:tr w:rsidR="002A1D7B" w:rsidRPr="002F1E39" w:rsidTr="002A1D7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jc w:val="both"/>
              <w:rPr>
                <w:rFonts w:ascii="Times New Roman" w:eastAsia="Times New Roman" w:hAnsi="Times New Roman" w:cs="Times New Roman"/>
                <w:iCs/>
                <w:sz w:val="24"/>
                <w:szCs w:val="24"/>
                <w:lang w:eastAsia="lv-LV"/>
              </w:rPr>
            </w:pPr>
            <w:r w:rsidRPr="002F1E39">
              <w:rPr>
                <w:rFonts w:ascii="Times New Roman" w:eastAsia="Times New Roman" w:hAnsi="Times New Roman" w:cs="Times New Roman"/>
                <w:iCs/>
                <w:sz w:val="24"/>
                <w:szCs w:val="24"/>
                <w:lang w:eastAsia="lv-LV"/>
              </w:rPr>
              <w:t>1) Deklarācijas par Artura Krišjāņa Kariņa vadītā</w:t>
            </w:r>
          </w:p>
          <w:p w:rsidR="002A1D7B" w:rsidRPr="002F1E39" w:rsidRDefault="002A1D7B" w:rsidP="002A1D7B">
            <w:pPr>
              <w:spacing w:after="0" w:line="240" w:lineRule="auto"/>
              <w:jc w:val="both"/>
              <w:rPr>
                <w:rFonts w:ascii="Times New Roman" w:eastAsia="Times New Roman" w:hAnsi="Times New Roman" w:cs="Times New Roman"/>
                <w:iCs/>
                <w:sz w:val="24"/>
                <w:szCs w:val="24"/>
                <w:lang w:eastAsia="lv-LV"/>
              </w:rPr>
            </w:pPr>
            <w:r w:rsidRPr="002F1E39">
              <w:rPr>
                <w:rFonts w:ascii="Times New Roman" w:eastAsia="Times New Roman" w:hAnsi="Times New Roman" w:cs="Times New Roman"/>
                <w:iCs/>
                <w:sz w:val="24"/>
                <w:szCs w:val="24"/>
                <w:lang w:eastAsia="lv-LV"/>
              </w:rPr>
              <w:t>Ministru kabineta iecerēto darbību 111.punkts.</w:t>
            </w:r>
          </w:p>
          <w:p w:rsidR="002A1D7B" w:rsidRPr="002F1E39" w:rsidRDefault="002A1D7B" w:rsidP="002A1D7B">
            <w:pPr>
              <w:spacing w:after="0" w:line="240" w:lineRule="auto"/>
              <w:jc w:val="both"/>
              <w:rPr>
                <w:rFonts w:ascii="Times New Roman" w:eastAsia="Times New Roman" w:hAnsi="Times New Roman" w:cs="Times New Roman"/>
                <w:iCs/>
                <w:sz w:val="24"/>
                <w:szCs w:val="24"/>
                <w:lang w:eastAsia="lv-LV"/>
              </w:rPr>
            </w:pPr>
          </w:p>
          <w:p w:rsidR="002A1D7B" w:rsidRDefault="002A1D7B" w:rsidP="002A1D7B">
            <w:pPr>
              <w:spacing w:after="0" w:line="240" w:lineRule="auto"/>
              <w:jc w:val="both"/>
              <w:rPr>
                <w:rFonts w:ascii="Times New Roman" w:eastAsia="Times New Roman" w:hAnsi="Times New Roman" w:cs="Times New Roman"/>
                <w:iCs/>
                <w:sz w:val="24"/>
                <w:szCs w:val="24"/>
                <w:lang w:eastAsia="lv-LV"/>
              </w:rPr>
            </w:pPr>
            <w:bookmarkStart w:id="3" w:name="_Hlk48047485"/>
            <w:r w:rsidRPr="002F1E39">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ml:space="preserve"> </w:t>
            </w:r>
            <w:r w:rsidRPr="006C0B3A">
              <w:rPr>
                <w:rFonts w:ascii="Times New Roman" w:eastAsia="Times New Roman" w:hAnsi="Times New Roman" w:cs="Times New Roman"/>
                <w:iCs/>
                <w:sz w:val="24"/>
                <w:szCs w:val="24"/>
                <w:lang w:eastAsia="lv-LV"/>
              </w:rPr>
              <w:t>2020.gada 9.jūlija Latvijas Republikas Satversmes tiesas spriedums lietā Nr. 2019-27-03 “Par Ministru kabineta 2009.gada 22.decembra noteikumu Nr.1605 “Noteikumi par valsts sociālā nodrošinājuma pabalsta un apbedīšanas pabalsta apmēru, tā pārskatīšanas kārtību un pabalstu piešķiršanas un izmaksas kārtību” 2.punkta atbilstību Latvijas Republikas Satversmes 1.pantam, 91.panta otrajam teikumam un 109.pantam”.</w:t>
            </w:r>
          </w:p>
          <w:p w:rsidR="002A1D7B" w:rsidRDefault="002A1D7B" w:rsidP="002A1D7B">
            <w:pPr>
              <w:spacing w:after="0" w:line="240" w:lineRule="auto"/>
              <w:jc w:val="both"/>
              <w:rPr>
                <w:rFonts w:ascii="Times New Roman" w:eastAsia="Times New Roman" w:hAnsi="Times New Roman" w:cs="Times New Roman"/>
                <w:iCs/>
                <w:sz w:val="24"/>
                <w:szCs w:val="24"/>
                <w:lang w:eastAsia="lv-LV"/>
              </w:rPr>
            </w:pPr>
          </w:p>
          <w:p w:rsidR="002A1D7B" w:rsidRDefault="002A1D7B" w:rsidP="002A1D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Ministru prezidenta Artura Krišjāņa Kariņa 2020. gada 16. jūlija rezolūcija Nr. 18/TA-2258/3360 par Satversmes tiesas sprieduma īstenošanu lietā Nr. 2019-27-03 (</w:t>
            </w:r>
            <w:r>
              <w:rPr>
                <w:rFonts w:ascii="Times New Roman" w:hAnsi="Times New Roman" w:cs="Times New Roman"/>
                <w:sz w:val="24"/>
                <w:szCs w:val="24"/>
              </w:rPr>
              <w:t>Valsts kancelejas uzdevumu Nr. 2020-UZD-1289).</w:t>
            </w:r>
          </w:p>
          <w:p w:rsidR="002A1D7B" w:rsidRDefault="002A1D7B" w:rsidP="002A1D7B">
            <w:pPr>
              <w:spacing w:after="0" w:line="240" w:lineRule="auto"/>
              <w:jc w:val="both"/>
              <w:rPr>
                <w:rFonts w:ascii="Times New Roman" w:eastAsia="Times New Roman" w:hAnsi="Times New Roman" w:cs="Times New Roman"/>
                <w:iCs/>
                <w:sz w:val="24"/>
                <w:szCs w:val="24"/>
                <w:lang w:eastAsia="lv-LV"/>
              </w:rPr>
            </w:pPr>
          </w:p>
          <w:p w:rsidR="002A1D7B" w:rsidRPr="00EE069F" w:rsidRDefault="002A1D7B" w:rsidP="002A1D7B">
            <w:pPr>
              <w:pStyle w:val="ListParagraph"/>
              <w:numPr>
                <w:ilvl w:val="0"/>
                <w:numId w:val="8"/>
              </w:numPr>
              <w:spacing w:after="0" w:line="240" w:lineRule="auto"/>
              <w:ind w:left="0" w:firstLine="0"/>
              <w:jc w:val="both"/>
              <w:rPr>
                <w:rFonts w:ascii="Times New Roman" w:eastAsia="Times New Roman" w:hAnsi="Times New Roman" w:cs="Times New Roman"/>
                <w:iCs/>
                <w:sz w:val="24"/>
                <w:szCs w:val="24"/>
                <w:lang w:eastAsia="lv-LV"/>
              </w:rPr>
            </w:pPr>
            <w:r w:rsidRPr="00EE069F">
              <w:rPr>
                <w:rFonts w:ascii="Times New Roman" w:eastAsia="Times New Roman" w:hAnsi="Times New Roman" w:cs="Times New Roman"/>
                <w:iCs/>
                <w:sz w:val="24"/>
                <w:szCs w:val="24"/>
                <w:lang w:eastAsia="lv-LV"/>
              </w:rPr>
              <w:t>2014.gada 30.oktobra Ministru kabineta rīkojums Nr. 619 “Koncepcija par minimālā ienākuma līmeņa noteikšanu”.</w:t>
            </w:r>
          </w:p>
          <w:p w:rsidR="002A1D7B" w:rsidRPr="00EE069F" w:rsidRDefault="002A1D7B" w:rsidP="002A1D7B">
            <w:pPr>
              <w:pStyle w:val="ListParagraph"/>
              <w:spacing w:after="0" w:line="240" w:lineRule="auto"/>
              <w:jc w:val="both"/>
              <w:rPr>
                <w:rFonts w:ascii="Times New Roman" w:eastAsia="Times New Roman" w:hAnsi="Times New Roman" w:cs="Times New Roman"/>
                <w:iCs/>
                <w:sz w:val="24"/>
                <w:szCs w:val="24"/>
                <w:lang w:eastAsia="lv-LV"/>
              </w:rPr>
            </w:pPr>
          </w:p>
          <w:p w:rsidR="002A1D7B" w:rsidRPr="002A1D7B" w:rsidRDefault="002A1D7B" w:rsidP="002A1D7B">
            <w:pPr>
              <w:pStyle w:val="ListParagraph"/>
              <w:numPr>
                <w:ilvl w:val="0"/>
                <w:numId w:val="8"/>
              </w:numPr>
              <w:spacing w:after="0" w:line="240" w:lineRule="auto"/>
              <w:ind w:left="0" w:firstLine="0"/>
              <w:jc w:val="both"/>
              <w:rPr>
                <w:rFonts w:ascii="Times New Roman" w:eastAsia="Times New Roman" w:hAnsi="Times New Roman" w:cs="Times New Roman"/>
                <w:iCs/>
                <w:sz w:val="24"/>
                <w:szCs w:val="24"/>
                <w:lang w:eastAsia="lv-LV"/>
              </w:rPr>
            </w:pPr>
            <w:r w:rsidRPr="002A1D7B">
              <w:rPr>
                <w:rFonts w:ascii="Times New Roman" w:eastAsia="Times New Roman" w:hAnsi="Times New Roman" w:cs="Times New Roman"/>
                <w:sz w:val="24"/>
                <w:szCs w:val="24"/>
                <w:lang w:eastAsia="lv-LV"/>
              </w:rPr>
              <w:t>Ministru kabineta 2020.gada 22.septembra sēdē atbalstītais informatīvais ziņojums “Par priekšlikumiem valsts budžeta ieņēmumiem un izdevumiem 2021.gadam un ietvaram 2021.–2023.gadam”</w:t>
            </w:r>
            <w:r>
              <w:rPr>
                <w:rFonts w:ascii="Times New Roman" w:eastAsia="Times New Roman" w:hAnsi="Times New Roman" w:cs="Times New Roman"/>
                <w:sz w:val="24"/>
                <w:szCs w:val="24"/>
                <w:lang w:eastAsia="lv-LV"/>
              </w:rPr>
              <w:t>.</w:t>
            </w:r>
          </w:p>
          <w:bookmarkEnd w:id="3"/>
          <w:p w:rsidR="002A1D7B" w:rsidRPr="002F1E39" w:rsidRDefault="002A1D7B" w:rsidP="002A1D7B">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2A1D7B" w:rsidRPr="00F810C7" w:rsidTr="002A1D7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2A1D7B"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Pašreizējā situācija un problēmas, kuru risināšanai tiesību akta projekts </w:t>
            </w:r>
            <w:r w:rsidRPr="002F1E39">
              <w:rPr>
                <w:rFonts w:ascii="Times New Roman" w:eastAsia="Times New Roman" w:hAnsi="Times New Roman" w:cs="Times New Roman"/>
                <w:iCs/>
                <w:color w:val="414142"/>
                <w:sz w:val="24"/>
                <w:szCs w:val="24"/>
                <w:lang w:eastAsia="lv-LV"/>
              </w:rPr>
              <w:lastRenderedPageBreak/>
              <w:t>izstrādāts, tiesiskā regulējuma mērķis un būtība</w:t>
            </w:r>
          </w:p>
          <w:p w:rsidR="002A1D7B" w:rsidRPr="00E90241" w:rsidRDefault="002A1D7B" w:rsidP="002A1D7B">
            <w:pPr>
              <w:rPr>
                <w:rFonts w:ascii="Times New Roman" w:eastAsia="Times New Roman" w:hAnsi="Times New Roman" w:cs="Times New Roman"/>
                <w:sz w:val="24"/>
                <w:szCs w:val="24"/>
                <w:lang w:eastAsia="lv-LV"/>
              </w:rPr>
            </w:pPr>
          </w:p>
          <w:p w:rsidR="002A1D7B" w:rsidRPr="00E90241" w:rsidRDefault="002A1D7B" w:rsidP="002A1D7B">
            <w:pPr>
              <w:rPr>
                <w:rFonts w:ascii="Times New Roman" w:eastAsia="Times New Roman" w:hAnsi="Times New Roman" w:cs="Times New Roman"/>
                <w:sz w:val="24"/>
                <w:szCs w:val="24"/>
                <w:lang w:eastAsia="lv-LV"/>
              </w:rPr>
            </w:pPr>
          </w:p>
          <w:p w:rsidR="002A1D7B" w:rsidRPr="00E90241" w:rsidRDefault="002A1D7B" w:rsidP="002A1D7B">
            <w:pPr>
              <w:rPr>
                <w:rFonts w:ascii="Times New Roman" w:eastAsia="Times New Roman" w:hAnsi="Times New Roman" w:cs="Times New Roman"/>
                <w:sz w:val="24"/>
                <w:szCs w:val="24"/>
                <w:lang w:eastAsia="lv-LV"/>
              </w:rPr>
            </w:pPr>
          </w:p>
          <w:p w:rsidR="002A1D7B" w:rsidRDefault="002A1D7B" w:rsidP="002A1D7B">
            <w:pPr>
              <w:tabs>
                <w:tab w:val="left" w:pos="208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rsidR="002A1D7B" w:rsidRPr="00E90241" w:rsidRDefault="002A1D7B" w:rsidP="002A1D7B">
            <w:pPr>
              <w:tabs>
                <w:tab w:val="left" w:pos="208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rsidR="002A1D7B" w:rsidRPr="00C25FBD" w:rsidRDefault="002A1D7B" w:rsidP="002A1D7B">
            <w:pPr>
              <w:spacing w:after="0" w:line="240" w:lineRule="auto"/>
              <w:jc w:val="both"/>
              <w:rPr>
                <w:rFonts w:ascii="Times New Roman" w:hAnsi="Times New Roman" w:cs="Times New Roman"/>
                <w:sz w:val="24"/>
                <w:szCs w:val="24"/>
              </w:rPr>
            </w:pPr>
            <w:r w:rsidRPr="00C25FBD">
              <w:rPr>
                <w:rFonts w:ascii="Times New Roman" w:eastAsia="Times New Roman" w:hAnsi="Times New Roman" w:cs="Times New Roman"/>
                <w:iCs/>
                <w:sz w:val="24"/>
                <w:szCs w:val="24"/>
                <w:lang w:eastAsia="ar-SA"/>
              </w:rPr>
              <w:lastRenderedPageBreak/>
              <w:t>L</w:t>
            </w:r>
            <w:r w:rsidRPr="00C25FBD">
              <w:rPr>
                <w:rFonts w:ascii="Times New Roman" w:hAnsi="Times New Roman" w:cs="Times New Roman"/>
                <w:sz w:val="24"/>
                <w:szCs w:val="24"/>
              </w:rPr>
              <w:t xml:space="preserve">ai sniegtu atbalstu darba nespējīgiem ģimenes locekļiem viņu apgādnieka nāves gadījumā, ja tā nāves cēlonis ir nelaimes gadījums darbā vai arodslimība, valsts piešķir atlīdzību par apgādnieka zaudējumu </w:t>
            </w:r>
            <w:r w:rsidRPr="00C25FBD">
              <w:rPr>
                <w:rFonts w:ascii="Times New Roman" w:hAnsi="Times New Roman" w:cs="Times New Roman"/>
                <w:sz w:val="24"/>
                <w:szCs w:val="24"/>
              </w:rPr>
              <w:lastRenderedPageBreak/>
              <w:t xml:space="preserve">saskaņā ar likumu „Par obligāto sociālo apdrošināšanu pret nelaimes gadījumiem darbā un arodslimībām” (turpmāk – likums). </w:t>
            </w:r>
          </w:p>
          <w:p w:rsidR="002A1D7B" w:rsidRPr="00C25FBD" w:rsidRDefault="002A1D7B" w:rsidP="002A1D7B">
            <w:pPr>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C25FBD">
              <w:rPr>
                <w:rFonts w:ascii="Times New Roman" w:eastAsia="Times New Roman" w:hAnsi="Times New Roman" w:cs="Times New Roman"/>
                <w:iCs/>
                <w:sz w:val="24"/>
                <w:szCs w:val="24"/>
                <w:lang w:eastAsia="ar-SA"/>
              </w:rPr>
              <w:t>Likuma 23.pants nosaka, ka atlīdzības par apgādnieka zaudējumu apmērs atkarīgs no apdrošinātās personas mēneša vidējās apdrošināšanas iemaksu algas un to piešķir šādos apmēros:</w:t>
            </w:r>
          </w:p>
          <w:p w:rsidR="002A1D7B" w:rsidRPr="00C25FBD" w:rsidRDefault="002A1D7B" w:rsidP="002A1D7B">
            <w:pPr>
              <w:pStyle w:val="ListParagraph"/>
              <w:numPr>
                <w:ilvl w:val="0"/>
                <w:numId w:val="3"/>
              </w:numPr>
              <w:autoSpaceDE w:val="0"/>
              <w:autoSpaceDN w:val="0"/>
              <w:adjustRightInd w:val="0"/>
              <w:spacing w:after="0" w:line="240" w:lineRule="auto"/>
              <w:jc w:val="both"/>
              <w:rPr>
                <w:rFonts w:ascii="Times New Roman" w:hAnsi="Times New Roman" w:cs="Times New Roman"/>
                <w:iCs/>
                <w:sz w:val="24"/>
                <w:szCs w:val="24"/>
                <w:lang w:eastAsia="ar-SA"/>
              </w:rPr>
            </w:pPr>
            <w:r w:rsidRPr="00C25FBD">
              <w:rPr>
                <w:rFonts w:ascii="Times New Roman" w:hAnsi="Times New Roman" w:cs="Times New Roman"/>
                <w:iCs/>
                <w:sz w:val="24"/>
                <w:szCs w:val="24"/>
                <w:lang w:eastAsia="ar-SA"/>
              </w:rPr>
              <w:t>vienam bērnam – līdz 25 procentiem;</w:t>
            </w:r>
          </w:p>
          <w:p w:rsidR="002A1D7B" w:rsidRPr="00C25FBD" w:rsidRDefault="002A1D7B" w:rsidP="002A1D7B">
            <w:pPr>
              <w:pStyle w:val="ListParagraph"/>
              <w:numPr>
                <w:ilvl w:val="0"/>
                <w:numId w:val="3"/>
              </w:numPr>
              <w:autoSpaceDE w:val="0"/>
              <w:autoSpaceDN w:val="0"/>
              <w:adjustRightInd w:val="0"/>
              <w:spacing w:after="0" w:line="240" w:lineRule="auto"/>
              <w:jc w:val="both"/>
              <w:rPr>
                <w:rFonts w:ascii="Times New Roman" w:hAnsi="Times New Roman" w:cs="Times New Roman"/>
                <w:iCs/>
                <w:sz w:val="24"/>
                <w:szCs w:val="24"/>
                <w:lang w:eastAsia="ar-SA"/>
              </w:rPr>
            </w:pPr>
            <w:r w:rsidRPr="00C25FBD">
              <w:rPr>
                <w:rFonts w:ascii="Times New Roman" w:hAnsi="Times New Roman" w:cs="Times New Roman"/>
                <w:iCs/>
                <w:sz w:val="24"/>
                <w:szCs w:val="24"/>
                <w:lang w:eastAsia="ar-SA"/>
              </w:rPr>
              <w:t>diviem bērniem – līdz 35 procentiem;</w:t>
            </w:r>
          </w:p>
          <w:p w:rsidR="002A1D7B" w:rsidRPr="00C25FBD" w:rsidRDefault="002A1D7B" w:rsidP="002A1D7B">
            <w:pPr>
              <w:pStyle w:val="ListParagraph"/>
              <w:numPr>
                <w:ilvl w:val="0"/>
                <w:numId w:val="3"/>
              </w:numPr>
              <w:autoSpaceDE w:val="0"/>
              <w:autoSpaceDN w:val="0"/>
              <w:adjustRightInd w:val="0"/>
              <w:spacing w:after="0" w:line="240" w:lineRule="auto"/>
              <w:jc w:val="both"/>
              <w:rPr>
                <w:rFonts w:ascii="Times New Roman" w:hAnsi="Times New Roman" w:cs="Times New Roman"/>
                <w:iCs/>
                <w:sz w:val="24"/>
                <w:szCs w:val="24"/>
                <w:lang w:eastAsia="ar-SA"/>
              </w:rPr>
            </w:pPr>
            <w:r w:rsidRPr="00C25FBD">
              <w:rPr>
                <w:rFonts w:ascii="Times New Roman" w:hAnsi="Times New Roman" w:cs="Times New Roman"/>
                <w:iCs/>
                <w:sz w:val="24"/>
                <w:szCs w:val="24"/>
                <w:lang w:eastAsia="ar-SA"/>
              </w:rPr>
              <w:t>trim bērniem – līdz 45 procentiem;</w:t>
            </w:r>
          </w:p>
          <w:p w:rsidR="002A1D7B" w:rsidRPr="00C25FBD" w:rsidRDefault="002A1D7B" w:rsidP="002A1D7B">
            <w:pPr>
              <w:pStyle w:val="ListParagraph"/>
              <w:numPr>
                <w:ilvl w:val="0"/>
                <w:numId w:val="3"/>
              </w:numPr>
              <w:autoSpaceDE w:val="0"/>
              <w:autoSpaceDN w:val="0"/>
              <w:adjustRightInd w:val="0"/>
              <w:spacing w:after="0" w:line="240" w:lineRule="auto"/>
              <w:jc w:val="both"/>
              <w:rPr>
                <w:rFonts w:ascii="Times New Roman" w:hAnsi="Times New Roman" w:cs="Times New Roman"/>
                <w:iCs/>
                <w:sz w:val="24"/>
                <w:szCs w:val="24"/>
                <w:lang w:eastAsia="ar-SA"/>
              </w:rPr>
            </w:pPr>
            <w:r w:rsidRPr="00C25FBD">
              <w:rPr>
                <w:rFonts w:ascii="Times New Roman" w:hAnsi="Times New Roman" w:cs="Times New Roman"/>
                <w:iCs/>
                <w:sz w:val="24"/>
                <w:szCs w:val="24"/>
                <w:lang w:eastAsia="ar-SA"/>
              </w:rPr>
              <w:t>četriem un vairāk bērniem – līdz 55 procentiem.</w:t>
            </w:r>
          </w:p>
          <w:p w:rsidR="002A1D7B" w:rsidRPr="00C25FBD" w:rsidRDefault="002A1D7B" w:rsidP="002A1D7B">
            <w:pPr>
              <w:spacing w:after="0" w:line="240" w:lineRule="auto"/>
              <w:jc w:val="both"/>
              <w:rPr>
                <w:rFonts w:ascii="Times New Roman" w:hAnsi="Times New Roman" w:cs="Times New Roman"/>
                <w:sz w:val="24"/>
                <w:szCs w:val="24"/>
                <w:shd w:val="clear" w:color="auto" w:fill="FFFFFF"/>
              </w:rPr>
            </w:pPr>
            <w:r w:rsidRPr="00C25FBD">
              <w:rPr>
                <w:rFonts w:ascii="Times New Roman" w:hAnsi="Times New Roman" w:cs="Times New Roman"/>
                <w:sz w:val="24"/>
                <w:szCs w:val="24"/>
                <w:shd w:val="clear" w:color="auto" w:fill="FFFFFF"/>
              </w:rPr>
              <w:t>Atlīdzība par apgādnieka zaudējumu nedrīkst būt mazāka par valsts sociālā nodrošinājuma pabalstu, ievērojot to, ka atlīdzības apmērs katram mirušā apgādnieka bērnam nedrīkst būt mazāks par Ministru kabineta noteikto minimālo apmēru.</w:t>
            </w:r>
          </w:p>
          <w:p w:rsidR="002A1D7B" w:rsidRPr="00C25FBD" w:rsidRDefault="002A1D7B" w:rsidP="002A1D7B">
            <w:pPr>
              <w:spacing w:after="0" w:line="240" w:lineRule="auto"/>
              <w:jc w:val="both"/>
              <w:rPr>
                <w:rFonts w:ascii="Times New Roman" w:eastAsia="Times New Roman" w:hAnsi="Times New Roman" w:cs="Times New Roman"/>
                <w:iCs/>
                <w:sz w:val="24"/>
                <w:szCs w:val="24"/>
                <w:lang w:eastAsia="lv-LV"/>
              </w:rPr>
            </w:pPr>
            <w:r w:rsidRPr="00C25FBD">
              <w:rPr>
                <w:rFonts w:ascii="Times New Roman" w:eastAsia="Times New Roman" w:hAnsi="Times New Roman" w:cs="Times New Roman"/>
                <w:iCs/>
                <w:sz w:val="24"/>
                <w:szCs w:val="24"/>
                <w:lang w:eastAsia="lv-LV"/>
              </w:rPr>
              <w:t xml:space="preserve">Ministru kabineta 2017.gada 21.marta noteikumi Nr.156 “Noteikumi par apgādnieka zaudējuma pensijas, atlīdzības par apgādnieka zaudējumu un valsts sociālā nodrošinājuma pabalsta apgādnieka zaudējuma gadījumā minimālo apmēru un tā pārskatīšanas kārtību” nosaka, ka atlīdzības par apgādnieka zaudējumu minimālais apmērs katram bērnam no dzimšanas līdz septiņu gadu vecuma sasniegšanai ir 92,50 </w:t>
            </w:r>
            <w:proofErr w:type="spellStart"/>
            <w:r w:rsidRPr="00C25FBD">
              <w:rPr>
                <w:rFonts w:ascii="Times New Roman" w:eastAsia="Times New Roman" w:hAnsi="Times New Roman" w:cs="Times New Roman"/>
                <w:i/>
                <w:iCs/>
                <w:sz w:val="24"/>
                <w:szCs w:val="24"/>
                <w:lang w:eastAsia="lv-LV"/>
              </w:rPr>
              <w:t>euro</w:t>
            </w:r>
            <w:proofErr w:type="spellEnd"/>
            <w:r w:rsidRPr="00806044">
              <w:rPr>
                <w:rFonts w:ascii="Times New Roman" w:eastAsia="Times New Roman" w:hAnsi="Times New Roman" w:cs="Times New Roman"/>
                <w:iCs/>
                <w:sz w:val="24"/>
                <w:szCs w:val="24"/>
                <w:lang w:eastAsia="lv-LV"/>
              </w:rPr>
              <w:t>,</w:t>
            </w:r>
            <w:r w:rsidRPr="00C25FBD">
              <w:rPr>
                <w:rFonts w:ascii="Times New Roman" w:eastAsia="Times New Roman" w:hAnsi="Times New Roman" w:cs="Times New Roman"/>
                <w:iCs/>
                <w:sz w:val="24"/>
                <w:szCs w:val="24"/>
                <w:lang w:eastAsia="lv-LV"/>
              </w:rPr>
              <w:t xml:space="preserve"> bērnam ar invaliditāti no bērnības – 106,72 </w:t>
            </w:r>
            <w:proofErr w:type="spellStart"/>
            <w:r w:rsidRPr="00C25FBD">
              <w:rPr>
                <w:rFonts w:ascii="Times New Roman" w:eastAsia="Times New Roman" w:hAnsi="Times New Roman" w:cs="Times New Roman"/>
                <w:i/>
                <w:iCs/>
                <w:sz w:val="24"/>
                <w:szCs w:val="24"/>
                <w:lang w:eastAsia="lv-LV"/>
              </w:rPr>
              <w:t>euro</w:t>
            </w:r>
            <w:proofErr w:type="spellEnd"/>
            <w:r w:rsidRPr="00C25FBD">
              <w:rPr>
                <w:rFonts w:ascii="Times New Roman" w:eastAsia="Times New Roman" w:hAnsi="Times New Roman" w:cs="Times New Roman"/>
                <w:iCs/>
                <w:sz w:val="24"/>
                <w:szCs w:val="24"/>
                <w:lang w:eastAsia="lv-LV"/>
              </w:rPr>
              <w:t xml:space="preserve">) un no septiņu gadu vecuma – 111 </w:t>
            </w:r>
            <w:proofErr w:type="spellStart"/>
            <w:r w:rsidRPr="00C25FBD">
              <w:rPr>
                <w:rFonts w:ascii="Times New Roman" w:eastAsia="Times New Roman" w:hAnsi="Times New Roman" w:cs="Times New Roman"/>
                <w:i/>
                <w:iCs/>
                <w:sz w:val="24"/>
                <w:szCs w:val="24"/>
                <w:lang w:eastAsia="lv-LV"/>
              </w:rPr>
              <w:t>euro</w:t>
            </w:r>
            <w:proofErr w:type="spellEnd"/>
            <w:r w:rsidRPr="00C25FBD">
              <w:rPr>
                <w:rFonts w:ascii="Times New Roman" w:eastAsia="Times New Roman" w:hAnsi="Times New Roman" w:cs="Times New Roman"/>
                <w:iCs/>
                <w:sz w:val="24"/>
                <w:szCs w:val="24"/>
                <w:lang w:eastAsia="lv-LV"/>
              </w:rPr>
              <w:t>.</w:t>
            </w:r>
          </w:p>
          <w:p w:rsidR="002A1D7B" w:rsidRPr="00C25FBD" w:rsidRDefault="002A1D7B" w:rsidP="002A1D7B">
            <w:pPr>
              <w:spacing w:after="0" w:line="240" w:lineRule="auto"/>
              <w:jc w:val="both"/>
              <w:rPr>
                <w:rFonts w:ascii="Times New Roman" w:eastAsia="Times New Roman" w:hAnsi="Times New Roman" w:cs="Times New Roman"/>
                <w:iCs/>
                <w:sz w:val="24"/>
                <w:szCs w:val="24"/>
                <w:lang w:eastAsia="lv-LV"/>
              </w:rPr>
            </w:pPr>
          </w:p>
          <w:p w:rsidR="002A1D7B" w:rsidRPr="00C25FBD" w:rsidRDefault="002A1D7B" w:rsidP="002A1D7B">
            <w:pPr>
              <w:spacing w:after="0" w:line="240" w:lineRule="auto"/>
              <w:jc w:val="both"/>
              <w:rPr>
                <w:rFonts w:ascii="Times New Roman" w:eastAsia="Times New Roman" w:hAnsi="Times New Roman" w:cs="Times New Roman"/>
                <w:bCs/>
                <w:sz w:val="24"/>
                <w:szCs w:val="24"/>
                <w:lang w:eastAsia="ar-SA"/>
              </w:rPr>
            </w:pPr>
            <w:r w:rsidRPr="00C25FBD">
              <w:rPr>
                <w:rFonts w:ascii="Times New Roman" w:eastAsia="Times New Roman" w:hAnsi="Times New Roman" w:cs="Times New Roman"/>
                <w:bCs/>
                <w:sz w:val="24"/>
                <w:szCs w:val="24"/>
                <w:lang w:eastAsia="ar-SA"/>
              </w:rPr>
              <w:t>Likuma 13.panta trešā daļa nosaka, ka apdrošinātai personai, kurai saskaņā ar nelaimes gadījumu darbā vai arodslimību ir noteikta invaliditātes grupa, piešķirtā atlīdzība par darbspēju zaudējumu nedrīkst būt mazāka par likumā “Par valsts pensijām” atbilstošajai invaliditātes grupai noteikto invaliditātes pensijas minimālo apmēru. Ņemot vērā, ka ar 2021.gadu tiks paaugstināts valsts sociālā nodrošinājuma pabalsts invaliditātes gadījumā, tad palielināsies arī invaliditātes pensijas minimālais apmērs, ko nosaka, ņemot vērā valsts sociālā nodrošinājuma apmēru, kuram I invaliditātes grupas gadījumā piemēro koeficientu 1,6, bet II invaliditātes grupas gadījumā – 1,4. Palielinoties invaliditātes pensijas apmēriem, palielināsies arī atlīdzību par darbspēju zaudējumu minimālie apmēri.</w:t>
            </w:r>
          </w:p>
          <w:p w:rsidR="002A1D7B" w:rsidRPr="00C25FBD" w:rsidRDefault="002A1D7B" w:rsidP="002A1D7B">
            <w:pPr>
              <w:spacing w:after="0" w:line="240" w:lineRule="auto"/>
              <w:jc w:val="both"/>
              <w:rPr>
                <w:rFonts w:ascii="Times New Roman" w:eastAsia="Times New Roman" w:hAnsi="Times New Roman" w:cs="Times New Roman"/>
                <w:iCs/>
                <w:sz w:val="24"/>
                <w:szCs w:val="24"/>
                <w:lang w:eastAsia="lv-LV"/>
              </w:rPr>
            </w:pPr>
          </w:p>
          <w:p w:rsidR="002A1D7B" w:rsidRPr="00C25FBD" w:rsidRDefault="002A1D7B" w:rsidP="002A1D7B">
            <w:pPr>
              <w:spacing w:after="0" w:line="240" w:lineRule="auto"/>
              <w:jc w:val="both"/>
              <w:rPr>
                <w:rFonts w:ascii="Times New Roman" w:hAnsi="Times New Roman" w:cs="Times New Roman"/>
                <w:sz w:val="24"/>
                <w:szCs w:val="24"/>
              </w:rPr>
            </w:pPr>
            <w:r w:rsidRPr="00C25FBD">
              <w:rPr>
                <w:rFonts w:ascii="Times New Roman" w:eastAsia="Times New Roman" w:hAnsi="Times New Roman" w:cs="Times New Roman"/>
                <w:iCs/>
                <w:sz w:val="24"/>
                <w:szCs w:val="24"/>
                <w:lang w:eastAsia="lv-LV"/>
              </w:rPr>
              <w:t>Satversmes tiesā tika ierosinātas vairākas lietas, kas skar g</w:t>
            </w:r>
            <w:r w:rsidRPr="00C25FBD">
              <w:rPr>
                <w:rFonts w:ascii="Times New Roman" w:hAnsi="Times New Roman" w:cs="Times New Roman"/>
                <w:sz w:val="24"/>
                <w:szCs w:val="24"/>
              </w:rPr>
              <w:t>arantētā minimālā ienākuma (GMI) līmeņa adekvātumu (spriedums 26.jūnijā), valsts sociālā nodrošinājuma pabalsta (VSNP) adekvātumu (spriedums 9.jūlijā), trūcīgas personas ienākumu līmeņa adekvātumu (spriedums 17.jūlijā), m</w:t>
            </w:r>
            <w:r w:rsidRPr="00C25FBD">
              <w:rPr>
                <w:rFonts w:ascii="Times New Roman" w:hAnsi="Times New Roman" w:cs="Times New Roman"/>
                <w:iCs/>
                <w:sz w:val="24"/>
                <w:szCs w:val="24"/>
              </w:rPr>
              <w:t xml:space="preserve">inimālās vecuma pensijas apmēru (lieta izskatīšanā) un </w:t>
            </w:r>
            <w:r w:rsidRPr="00C25FBD">
              <w:rPr>
                <w:rFonts w:ascii="Times New Roman" w:hAnsi="Times New Roman" w:cs="Times New Roman"/>
                <w:iCs/>
                <w:sz w:val="24"/>
                <w:szCs w:val="24"/>
              </w:rPr>
              <w:lastRenderedPageBreak/>
              <w:t xml:space="preserve">minimālās invaliditātes pensijas apmēru (lieta izskatīšanā). </w:t>
            </w:r>
          </w:p>
          <w:p w:rsidR="002A1D7B" w:rsidRPr="00C25FBD" w:rsidRDefault="002A1D7B" w:rsidP="002A1D7B">
            <w:pPr>
              <w:spacing w:before="120" w:after="120" w:line="240" w:lineRule="auto"/>
              <w:jc w:val="both"/>
              <w:rPr>
                <w:rFonts w:ascii="Times New Roman" w:hAnsi="Times New Roman" w:cs="Times New Roman"/>
                <w:sz w:val="24"/>
                <w:szCs w:val="24"/>
              </w:rPr>
            </w:pPr>
            <w:r w:rsidRPr="00C25FBD">
              <w:rPr>
                <w:rFonts w:ascii="Times New Roman" w:hAnsi="Times New Roman" w:cs="Times New Roman"/>
                <w:sz w:val="24"/>
                <w:szCs w:val="24"/>
              </w:rPr>
              <w:t xml:space="preserve">Satversmes tiesa atzina, ka 2014.gadā MK pieņemtajā Koncepcijā “Par minimālā ienākuma līmeņa noteikšanu” jau ir akceptēta relatīvās metodes pielietošana minimālo ienākumu sliekšņu noteikšanā, kas daļēji tika ieviesta 2020.gadā, un uz kuras bāzes attīstāms turpmākais darbs. </w:t>
            </w:r>
          </w:p>
          <w:p w:rsidR="002A1D7B" w:rsidRPr="00C25FBD" w:rsidRDefault="002A1D7B" w:rsidP="002A1D7B">
            <w:pPr>
              <w:spacing w:after="0" w:line="240" w:lineRule="auto"/>
              <w:jc w:val="both"/>
              <w:rPr>
                <w:rFonts w:ascii="Times New Roman" w:eastAsia="Times New Roman" w:hAnsi="Times New Roman" w:cs="Times New Roman"/>
                <w:sz w:val="24"/>
                <w:szCs w:val="24"/>
                <w:lang w:eastAsia="lv-LV"/>
              </w:rPr>
            </w:pPr>
            <w:r w:rsidRPr="00C25FBD">
              <w:rPr>
                <w:rFonts w:ascii="Times New Roman" w:eastAsia="Times New Roman" w:hAnsi="Times New Roman" w:cs="Times New Roman"/>
                <w:sz w:val="24"/>
                <w:szCs w:val="24"/>
              </w:rPr>
              <w:t>Lai nodrošinātu to, ka valstī noteiktie minimālie ienākuma sliekšņi tiek noteikti pēc vienotas pieejas un tie ir sociālekonomiski pamatoti, paredzēts minimālā ienākuma līmeni noteikt kā sociālās aizsardzības atskaites punktu, kas kalpotu par valsts un pašvaldību noteikto minimālo ienākumu sliekšņu aprēķināšanu.</w:t>
            </w:r>
          </w:p>
          <w:p w:rsidR="002A1D7B" w:rsidRPr="00C25FBD" w:rsidRDefault="002A1D7B" w:rsidP="002A1D7B">
            <w:pPr>
              <w:spacing w:after="0" w:line="240" w:lineRule="auto"/>
              <w:jc w:val="both"/>
              <w:rPr>
                <w:rFonts w:ascii="Times New Roman" w:eastAsia="Times New Roman" w:hAnsi="Times New Roman" w:cs="Times New Roman"/>
                <w:iCs/>
                <w:sz w:val="24"/>
                <w:szCs w:val="24"/>
                <w:lang w:eastAsia="lv-LV"/>
              </w:rPr>
            </w:pPr>
          </w:p>
          <w:p w:rsidR="002A1D7B" w:rsidRPr="00C25FBD" w:rsidRDefault="002A1D7B" w:rsidP="002A1D7B">
            <w:pPr>
              <w:autoSpaceDE w:val="0"/>
              <w:autoSpaceDN w:val="0"/>
              <w:adjustRightInd w:val="0"/>
              <w:spacing w:after="0" w:line="240" w:lineRule="auto"/>
              <w:jc w:val="both"/>
              <w:rPr>
                <w:rFonts w:ascii="Times New Roman" w:hAnsi="Times New Roman" w:cs="Times New Roman"/>
                <w:sz w:val="24"/>
                <w:szCs w:val="24"/>
              </w:rPr>
            </w:pPr>
            <w:r w:rsidRPr="00C25FBD">
              <w:rPr>
                <w:rFonts w:ascii="Times New Roman" w:hAnsi="Times New Roman" w:cs="Times New Roman"/>
                <w:sz w:val="24"/>
                <w:szCs w:val="24"/>
              </w:rPr>
              <w:t>Ņemot vērā Satversmes tiesas spriedumus, plānots palielināt valsts sociālā nodrošinājuma pabalsta apmēru, kā arī palielināt minimālās pensijas un atlīdzības apmērus, tā</w:t>
            </w:r>
            <w:r w:rsidRPr="00C25FBD">
              <w:rPr>
                <w:rFonts w:ascii="Times New Roman" w:eastAsia="Times New Roman" w:hAnsi="Times New Roman" w:cs="Times New Roman"/>
                <w:iCs/>
                <w:sz w:val="24"/>
                <w:szCs w:val="24"/>
                <w:lang w:eastAsia="lv-LV"/>
              </w:rPr>
              <w:t xml:space="preserve"> nostiprinot  likumprojektā “Grozījumi likumā “</w:t>
            </w:r>
            <w:r w:rsidRPr="00C25FBD">
              <w:rPr>
                <w:rFonts w:ascii="Times New Roman" w:eastAsia="Times New Roman" w:hAnsi="Times New Roman" w:cs="Times New Roman"/>
                <w:sz w:val="24"/>
                <w:szCs w:val="24"/>
                <w:lang w:eastAsia="lv-LV"/>
              </w:rPr>
              <w:t>Par sociālo drošību””</w:t>
            </w:r>
            <w:r w:rsidRPr="00C25FBD">
              <w:rPr>
                <w:rFonts w:ascii="Times New Roman" w:eastAsia="Times New Roman" w:hAnsi="Times New Roman" w:cs="Times New Roman"/>
                <w:i/>
                <w:sz w:val="24"/>
                <w:szCs w:val="24"/>
                <w:lang w:eastAsia="lv-LV"/>
              </w:rPr>
              <w:t xml:space="preserve"> </w:t>
            </w:r>
            <w:r w:rsidRPr="00C25FBD">
              <w:rPr>
                <w:rFonts w:ascii="Times New Roman" w:eastAsia="Times New Roman" w:hAnsi="Times New Roman" w:cs="Times New Roman"/>
                <w:iCs/>
                <w:sz w:val="24"/>
                <w:szCs w:val="24"/>
                <w:lang w:eastAsia="lv-LV"/>
              </w:rPr>
              <w:t>noteikto</w:t>
            </w:r>
            <w:r w:rsidRPr="00C25FBD">
              <w:rPr>
                <w:rFonts w:ascii="Times New Roman" w:eastAsia="Times New Roman" w:hAnsi="Times New Roman" w:cs="Times New Roman"/>
                <w:i/>
                <w:sz w:val="24"/>
                <w:szCs w:val="24"/>
                <w:lang w:eastAsia="lv-LV"/>
              </w:rPr>
              <w:t xml:space="preserve"> </w:t>
            </w:r>
            <w:r w:rsidRPr="00C25FBD">
              <w:rPr>
                <w:rFonts w:ascii="Times New Roman" w:eastAsia="Times New Roman" w:hAnsi="Times New Roman" w:cs="Times New Roman"/>
                <w:iCs/>
                <w:sz w:val="24"/>
                <w:szCs w:val="24"/>
                <w:lang w:eastAsia="lv-LV"/>
              </w:rPr>
              <w:t>pieeju minimālo ienākumu sliekšņu noteikšanā. Proti, ņemot vērā, ka atbilstoši likumprojekta</w:t>
            </w:r>
            <w:r w:rsidRPr="00C25FBD">
              <w:rPr>
                <w:rFonts w:ascii="Times New Roman" w:eastAsia="Times New Roman" w:hAnsi="Times New Roman" w:cs="Times New Roman"/>
                <w:i/>
                <w:sz w:val="24"/>
                <w:szCs w:val="24"/>
                <w:lang w:eastAsia="lv-LV"/>
              </w:rPr>
              <w:t xml:space="preserve"> </w:t>
            </w:r>
            <w:r w:rsidRPr="00C25FBD">
              <w:rPr>
                <w:rFonts w:ascii="Times New Roman" w:eastAsia="Times New Roman" w:hAnsi="Times New Roman" w:cs="Times New Roman"/>
                <w:iCs/>
                <w:sz w:val="24"/>
                <w:szCs w:val="24"/>
                <w:lang w:eastAsia="lv-LV"/>
              </w:rPr>
              <w:t>“Grozījumi likumā “</w:t>
            </w:r>
            <w:r w:rsidRPr="00C25FBD">
              <w:rPr>
                <w:rFonts w:ascii="Times New Roman" w:eastAsia="Times New Roman" w:hAnsi="Times New Roman" w:cs="Times New Roman"/>
                <w:sz w:val="24"/>
                <w:szCs w:val="24"/>
                <w:lang w:eastAsia="lv-LV"/>
              </w:rPr>
              <w:t>Par sociālo drošību””</w:t>
            </w:r>
            <w:r w:rsidRPr="00C25FBD">
              <w:rPr>
                <w:rFonts w:ascii="Times New Roman" w:eastAsia="Times New Roman" w:hAnsi="Times New Roman" w:cs="Times New Roman"/>
                <w:i/>
                <w:sz w:val="24"/>
                <w:szCs w:val="24"/>
                <w:lang w:eastAsia="lv-LV"/>
              </w:rPr>
              <w:t xml:space="preserve"> </w:t>
            </w:r>
            <w:r w:rsidRPr="00C25FBD">
              <w:rPr>
                <w:rFonts w:ascii="Times New Roman" w:eastAsia="Times New Roman" w:hAnsi="Times New Roman" w:cs="Times New Roman"/>
                <w:iCs/>
                <w:sz w:val="24"/>
                <w:szCs w:val="24"/>
                <w:lang w:eastAsia="lv-LV"/>
              </w:rPr>
              <w:t>izpratnē</w:t>
            </w:r>
            <w:r w:rsidRPr="00C25FBD">
              <w:rPr>
                <w:rFonts w:ascii="Times New Roman" w:eastAsia="Times New Roman" w:hAnsi="Times New Roman" w:cs="Times New Roman"/>
                <w:i/>
                <w:sz w:val="24"/>
                <w:szCs w:val="24"/>
                <w:lang w:eastAsia="lv-LV"/>
              </w:rPr>
              <w:t xml:space="preserve"> </w:t>
            </w:r>
            <w:r w:rsidRPr="00C25FBD">
              <w:rPr>
                <w:rFonts w:ascii="Times New Roman" w:eastAsia="Times New Roman" w:hAnsi="Times New Roman" w:cs="Times New Roman"/>
                <w:sz w:val="24"/>
                <w:szCs w:val="24"/>
                <w:lang w:eastAsia="lv-LV"/>
              </w:rPr>
              <w:t>atlīdzības sakarā ar nelaimes gadījumu darbā un arodslimībām</w:t>
            </w:r>
            <w:r w:rsidRPr="00C25FBD">
              <w:rPr>
                <w:rFonts w:ascii="Times New Roman" w:eastAsia="Times New Roman" w:hAnsi="Times New Roman" w:cs="Times New Roman"/>
                <w:iCs/>
                <w:sz w:val="24"/>
                <w:szCs w:val="24"/>
                <w:lang w:eastAsia="lv-LV"/>
              </w:rPr>
              <w:t xml:space="preserve"> ir viens no minimālo ienākumu sliekšņiem, tā apmērs ir nosakāms procentuālā apmērā no </w:t>
            </w:r>
            <w:r w:rsidRPr="00C25FBD">
              <w:rPr>
                <w:rFonts w:ascii="Times New Roman" w:hAnsi="Times New Roman" w:cs="Times New Roman"/>
                <w:sz w:val="24"/>
                <w:szCs w:val="24"/>
              </w:rPr>
              <w:t xml:space="preserve">Centrālās statistikas pārvaldes tīmekļa vietnē pārskata gadā publicētās ienākumu mediānas.  Centrālās statistikas pārvaldes pēdējā publicētā aktuālā ienākumu mediāna ir par 2018.gadu, proti, 544,41 </w:t>
            </w:r>
            <w:proofErr w:type="spellStart"/>
            <w:r w:rsidRPr="00C25FBD">
              <w:rPr>
                <w:rFonts w:ascii="Times New Roman" w:hAnsi="Times New Roman" w:cs="Times New Roman"/>
                <w:i/>
                <w:iCs/>
                <w:sz w:val="24"/>
                <w:szCs w:val="24"/>
              </w:rPr>
              <w:t>euro</w:t>
            </w:r>
            <w:proofErr w:type="spellEnd"/>
            <w:r w:rsidRPr="00C25FBD">
              <w:rPr>
                <w:rFonts w:ascii="Times New Roman" w:hAnsi="Times New Roman" w:cs="Times New Roman"/>
                <w:sz w:val="24"/>
                <w:szCs w:val="24"/>
              </w:rPr>
              <w:t>. A</w:t>
            </w:r>
            <w:r w:rsidRPr="00C25FBD">
              <w:rPr>
                <w:rFonts w:ascii="Times New Roman" w:eastAsia="Times New Roman" w:hAnsi="Times New Roman" w:cs="Times New Roman"/>
                <w:sz w:val="24"/>
                <w:szCs w:val="24"/>
                <w:lang w:eastAsia="lv-LV"/>
              </w:rPr>
              <w:t xml:space="preserve">tlīdzības par apgādnieka zaudējumu apmēru, izsakot to procentuālā apmērā no ienākuma mediānas, noapaļo līdz veseliem </w:t>
            </w:r>
            <w:proofErr w:type="spellStart"/>
            <w:r w:rsidRPr="00C25FBD">
              <w:rPr>
                <w:rFonts w:ascii="Times New Roman" w:eastAsia="Times New Roman" w:hAnsi="Times New Roman" w:cs="Times New Roman"/>
                <w:i/>
                <w:iCs/>
                <w:sz w:val="24"/>
                <w:szCs w:val="24"/>
                <w:lang w:eastAsia="lv-LV"/>
              </w:rPr>
              <w:t>euro</w:t>
            </w:r>
            <w:proofErr w:type="spellEnd"/>
            <w:r w:rsidRPr="00C25FBD">
              <w:rPr>
                <w:rFonts w:ascii="Times New Roman" w:eastAsia="Times New Roman" w:hAnsi="Times New Roman" w:cs="Times New Roman"/>
                <w:sz w:val="24"/>
                <w:szCs w:val="24"/>
                <w:lang w:eastAsia="lv-LV"/>
              </w:rPr>
              <w:t xml:space="preserve">.  </w:t>
            </w:r>
            <w:r w:rsidRPr="00C25FBD">
              <w:rPr>
                <w:rFonts w:ascii="Times New Roman" w:hAnsi="Times New Roman" w:cs="Times New Roman"/>
                <w:sz w:val="24"/>
                <w:szCs w:val="24"/>
              </w:rPr>
              <w:t xml:space="preserve">  </w:t>
            </w:r>
          </w:p>
          <w:p w:rsidR="002A1D7B" w:rsidRPr="00C25FBD" w:rsidRDefault="002A1D7B" w:rsidP="002A1D7B">
            <w:pPr>
              <w:spacing w:after="0" w:line="240" w:lineRule="auto"/>
              <w:jc w:val="both"/>
              <w:rPr>
                <w:rFonts w:ascii="Times New Roman" w:eastAsia="Times New Roman" w:hAnsi="Times New Roman" w:cs="Times New Roman"/>
                <w:iCs/>
                <w:sz w:val="24"/>
                <w:szCs w:val="24"/>
                <w:lang w:eastAsia="lv-LV"/>
              </w:rPr>
            </w:pPr>
          </w:p>
          <w:p w:rsidR="002A1D7B" w:rsidRPr="00C25FBD" w:rsidRDefault="002A1D7B" w:rsidP="002A1D7B">
            <w:pPr>
              <w:spacing w:after="0" w:line="240" w:lineRule="auto"/>
              <w:jc w:val="both"/>
              <w:rPr>
                <w:rFonts w:ascii="Times New Roman" w:hAnsi="Times New Roman" w:cs="Times New Roman"/>
                <w:sz w:val="24"/>
                <w:szCs w:val="24"/>
                <w:shd w:val="clear" w:color="auto" w:fill="FFFFFF"/>
              </w:rPr>
            </w:pPr>
            <w:r w:rsidRPr="00C25FBD">
              <w:rPr>
                <w:rFonts w:ascii="Times New Roman" w:eastAsia="Times New Roman" w:hAnsi="Times New Roman" w:cs="Times New Roman"/>
                <w:iCs/>
                <w:noProof/>
                <w:sz w:val="24"/>
                <w:szCs w:val="24"/>
                <w:lang w:eastAsia="lv-LV"/>
              </w:rPr>
              <w:t xml:space="preserve">Likums nosaka, ka </w:t>
            </w:r>
            <w:r w:rsidRPr="00C25FBD">
              <w:rPr>
                <w:rFonts w:ascii="Times New Roman" w:hAnsi="Times New Roman" w:cs="Times New Roman"/>
                <w:sz w:val="24"/>
                <w:szCs w:val="24"/>
                <w:shd w:val="clear" w:color="auto" w:fill="FFFFFF"/>
              </w:rPr>
              <w:t xml:space="preserve">apdrošināšanas atlīdzība nedrīkst būt lielāka par apdrošināšanas gadījuma iestāšanās dienā spēkā esošā valsts sociālā nodrošinājuma pabalsta, kas noteikts Valsts sociālo pabalstu likuma 13.panta pirmās daļas 1.punktā minētajām personām, </w:t>
            </w:r>
            <w:proofErr w:type="spellStart"/>
            <w:r w:rsidRPr="00C25FBD">
              <w:rPr>
                <w:rFonts w:ascii="Times New Roman" w:hAnsi="Times New Roman" w:cs="Times New Roman"/>
                <w:sz w:val="24"/>
                <w:szCs w:val="24"/>
                <w:shd w:val="clear" w:color="auto" w:fill="FFFFFF"/>
              </w:rPr>
              <w:t>divdesmitpieckāršu</w:t>
            </w:r>
            <w:proofErr w:type="spellEnd"/>
            <w:r w:rsidRPr="00C25FBD">
              <w:rPr>
                <w:rFonts w:ascii="Times New Roman" w:hAnsi="Times New Roman" w:cs="Times New Roman"/>
                <w:sz w:val="24"/>
                <w:szCs w:val="24"/>
                <w:shd w:val="clear" w:color="auto" w:fill="FFFFFF"/>
              </w:rPr>
              <w:t xml:space="preserve"> apmēru. Tas nozīmē, ka, lai noteiktu kopējo maksimālo izmaksājamo summu, šobrīd ņem vērā valsts sociālā nodrošinājuma pabalsta apmēru vispārējā gadījumā – 64,03 </w:t>
            </w:r>
            <w:proofErr w:type="spellStart"/>
            <w:r w:rsidRPr="00C25FBD">
              <w:rPr>
                <w:rFonts w:ascii="Times New Roman" w:hAnsi="Times New Roman" w:cs="Times New Roman"/>
                <w:i/>
                <w:sz w:val="24"/>
                <w:szCs w:val="24"/>
                <w:shd w:val="clear" w:color="auto" w:fill="FFFFFF"/>
              </w:rPr>
              <w:t>euro</w:t>
            </w:r>
            <w:proofErr w:type="spellEnd"/>
            <w:r w:rsidRPr="00C25FBD">
              <w:rPr>
                <w:rFonts w:ascii="Times New Roman" w:hAnsi="Times New Roman" w:cs="Times New Roman"/>
                <w:i/>
                <w:sz w:val="24"/>
                <w:szCs w:val="24"/>
                <w:shd w:val="clear" w:color="auto" w:fill="FFFFFF"/>
              </w:rPr>
              <w:t xml:space="preserve"> </w:t>
            </w:r>
            <w:proofErr w:type="spellStart"/>
            <w:r w:rsidRPr="00C25FBD">
              <w:rPr>
                <w:rFonts w:ascii="Times New Roman" w:hAnsi="Times New Roman" w:cs="Times New Roman"/>
                <w:sz w:val="24"/>
                <w:szCs w:val="24"/>
                <w:shd w:val="clear" w:color="auto" w:fill="FFFFFF"/>
              </w:rPr>
              <w:t>divdesmitpieckāršā</w:t>
            </w:r>
            <w:proofErr w:type="spellEnd"/>
            <w:r w:rsidRPr="00C25FBD">
              <w:rPr>
                <w:rFonts w:ascii="Times New Roman" w:hAnsi="Times New Roman" w:cs="Times New Roman"/>
                <w:sz w:val="24"/>
                <w:szCs w:val="24"/>
                <w:shd w:val="clear" w:color="auto" w:fill="FFFFFF"/>
              </w:rPr>
              <w:t xml:space="preserve"> apmērā, kas ir 1600,75 </w:t>
            </w:r>
            <w:proofErr w:type="spellStart"/>
            <w:r w:rsidRPr="00C25FBD">
              <w:rPr>
                <w:rFonts w:ascii="Times New Roman" w:hAnsi="Times New Roman" w:cs="Times New Roman"/>
                <w:i/>
                <w:sz w:val="24"/>
                <w:szCs w:val="24"/>
                <w:shd w:val="clear" w:color="auto" w:fill="FFFFFF"/>
              </w:rPr>
              <w:t>euro</w:t>
            </w:r>
            <w:proofErr w:type="spellEnd"/>
            <w:r w:rsidRPr="00C25FBD">
              <w:rPr>
                <w:rFonts w:ascii="Times New Roman" w:hAnsi="Times New Roman" w:cs="Times New Roman"/>
                <w:i/>
                <w:sz w:val="24"/>
                <w:szCs w:val="24"/>
                <w:shd w:val="clear" w:color="auto" w:fill="FFFFFF"/>
              </w:rPr>
              <w:t>.</w:t>
            </w:r>
            <w:r w:rsidRPr="00C25FBD">
              <w:rPr>
                <w:rFonts w:ascii="Times New Roman" w:hAnsi="Times New Roman" w:cs="Times New Roman"/>
                <w:sz w:val="24"/>
                <w:szCs w:val="24"/>
                <w:shd w:val="clear" w:color="auto" w:fill="FFFFFF"/>
              </w:rPr>
              <w:t xml:space="preserve"> Paaugstinoties valsts sociālā nodrošinājuma pabalstam</w:t>
            </w:r>
            <w:r>
              <w:rPr>
                <w:rFonts w:ascii="Times New Roman" w:hAnsi="Times New Roman" w:cs="Times New Roman"/>
                <w:sz w:val="24"/>
                <w:szCs w:val="24"/>
                <w:shd w:val="clear" w:color="auto" w:fill="FFFFFF"/>
              </w:rPr>
              <w:t>,</w:t>
            </w:r>
            <w:r w:rsidRPr="00C25FBD">
              <w:rPr>
                <w:rFonts w:ascii="Times New Roman" w:hAnsi="Times New Roman" w:cs="Times New Roman"/>
                <w:sz w:val="24"/>
                <w:szCs w:val="24"/>
                <w:shd w:val="clear" w:color="auto" w:fill="FFFFFF"/>
              </w:rPr>
              <w:t xml:space="preserve"> paaugstināsies arī atlīdzību maksimāli izmaksājamais apmērs.</w:t>
            </w:r>
          </w:p>
          <w:p w:rsidR="002A1D7B" w:rsidRPr="00C25FBD" w:rsidRDefault="002A1D7B" w:rsidP="002A1D7B">
            <w:pPr>
              <w:spacing w:after="0" w:line="240" w:lineRule="auto"/>
              <w:jc w:val="both"/>
              <w:rPr>
                <w:rFonts w:ascii="Times New Roman" w:hAnsi="Times New Roman" w:cs="Times New Roman"/>
                <w:sz w:val="24"/>
                <w:szCs w:val="24"/>
                <w:shd w:val="clear" w:color="auto" w:fill="FFFFFF"/>
              </w:rPr>
            </w:pPr>
          </w:p>
          <w:p w:rsidR="002A1D7B" w:rsidRPr="00C25FBD" w:rsidRDefault="002A1D7B" w:rsidP="002A1D7B">
            <w:pPr>
              <w:spacing w:after="0" w:line="240" w:lineRule="auto"/>
              <w:jc w:val="both"/>
              <w:rPr>
                <w:rFonts w:ascii="Times New Roman" w:hAnsi="Times New Roman" w:cs="Times New Roman"/>
                <w:sz w:val="24"/>
                <w:szCs w:val="24"/>
                <w:shd w:val="clear" w:color="auto" w:fill="FFFFFF"/>
              </w:rPr>
            </w:pPr>
            <w:r w:rsidRPr="00C25FBD">
              <w:rPr>
                <w:rFonts w:ascii="Times New Roman" w:hAnsi="Times New Roman" w:cs="Times New Roman"/>
                <w:sz w:val="24"/>
                <w:szCs w:val="24"/>
                <w:shd w:val="clear" w:color="auto" w:fill="FFFFFF"/>
              </w:rPr>
              <w:t xml:space="preserve">Likuma pārejas noteikumu 4.punktā noteikts, ka personām, kuras cietušas nelaimes gadījumā darbā vai </w:t>
            </w:r>
            <w:r w:rsidRPr="00C25FBD">
              <w:rPr>
                <w:rFonts w:ascii="Times New Roman" w:hAnsi="Times New Roman" w:cs="Times New Roman"/>
                <w:sz w:val="24"/>
                <w:szCs w:val="24"/>
                <w:shd w:val="clear" w:color="auto" w:fill="FFFFFF"/>
              </w:rPr>
              <w:lastRenderedPageBreak/>
              <w:t>kurām konstatēta arodslimība līdz 1997. gada 1. janvārim, un personām, kam arodslimība, kuras cēlonis ir līdz 1997. gada 1. janvārim veiktais darbs, konstatēta pēc minētā termiņa, bet tās nav uzskatāmas par apdrošinātajām personām saskaņā ar šo likumu, kā arī personām, kurām līdz minētajam termiņam bija tiesības uz kaitējuma atlīdzību par apgādnieka zaudējumu, ja apgādnieka nāves cēlonis bija nelaimes gadījums darbā vai arodslimība, kaitējuma atlīdzību izmaksā darba devējs vai viņa tiesību un saistību pārņēmējs. Ja konstatēts juridisks fakts, ka darba devējs vai viņa tiesību un saistību pārņēmējs, kurš ir atbildīgs par darbā nodarīto kaitējumu, nav nosakāms, kaitējuma atlīdzības izmaksu nodrošina Valsts sociālās apdrošināšanas aģentūra. Kaitējuma atlīdzības aprēķināšanas, finansēšanas un izmaksas kārtību nosaka Ministru kabinets.</w:t>
            </w:r>
          </w:p>
          <w:p w:rsidR="002A1D7B" w:rsidRPr="00C25FBD" w:rsidRDefault="002A1D7B" w:rsidP="002A1D7B">
            <w:pPr>
              <w:spacing w:line="256" w:lineRule="auto"/>
              <w:jc w:val="both"/>
              <w:rPr>
                <w:rFonts w:ascii="Times New Roman" w:eastAsia="Calibri" w:hAnsi="Times New Roman" w:cs="Times New Roman"/>
                <w:sz w:val="24"/>
                <w:szCs w:val="24"/>
              </w:rPr>
            </w:pPr>
            <w:r w:rsidRPr="00C25FBD">
              <w:rPr>
                <w:rFonts w:ascii="Times New Roman" w:eastAsia="Calibri" w:hAnsi="Times New Roman" w:cs="Times New Roman"/>
                <w:sz w:val="24"/>
                <w:szCs w:val="24"/>
              </w:rPr>
              <w:t>Saskaņā ar Ministru kabineta 2001.gada 23.augusta noteikumu Nr.378 „Darbā nodarītā kaitējuma atlīdzības aprēķināšanas, finansēšanas un izmaksas kārtība” 25.2. punktu kaitējuma atlīdzīb</w:t>
            </w:r>
            <w:r>
              <w:rPr>
                <w:rFonts w:ascii="Times New Roman" w:eastAsia="Calibri" w:hAnsi="Times New Roman" w:cs="Times New Roman"/>
                <w:sz w:val="24"/>
                <w:szCs w:val="24"/>
              </w:rPr>
              <w:t>u</w:t>
            </w:r>
            <w:r w:rsidRPr="00C25FBD">
              <w:rPr>
                <w:rFonts w:ascii="Times New Roman" w:eastAsia="Calibri" w:hAnsi="Times New Roman" w:cs="Times New Roman"/>
                <w:sz w:val="24"/>
                <w:szCs w:val="24"/>
              </w:rPr>
              <w:t xml:space="preserve"> darbiniekam, ja </w:t>
            </w:r>
            <w:r w:rsidRPr="00806044">
              <w:rPr>
                <w:rFonts w:ascii="Times New Roman" w:hAnsi="Times New Roman" w:cs="Times New Roman"/>
                <w:sz w:val="24"/>
                <w:szCs w:val="24"/>
                <w:shd w:val="clear" w:color="auto" w:fill="FFFFFF"/>
              </w:rPr>
              <w:t xml:space="preserve">Veselības un darbspēju ekspertīzes ārstu valsts </w:t>
            </w:r>
            <w:r>
              <w:rPr>
                <w:rFonts w:ascii="Times New Roman" w:hAnsi="Times New Roman" w:cs="Times New Roman"/>
                <w:sz w:val="24"/>
                <w:szCs w:val="24"/>
                <w:shd w:val="clear" w:color="auto" w:fill="FFFFFF"/>
              </w:rPr>
              <w:t>komisija</w:t>
            </w:r>
            <w:r>
              <w:rPr>
                <w:rFonts w:ascii="Arial" w:hAnsi="Arial" w:cs="Arial"/>
                <w:sz w:val="36"/>
                <w:szCs w:val="36"/>
                <w:shd w:val="clear" w:color="auto" w:fill="FFFFFF"/>
              </w:rPr>
              <w:t xml:space="preserve"> </w:t>
            </w:r>
            <w:r w:rsidRPr="00C25FBD">
              <w:rPr>
                <w:rFonts w:ascii="Times New Roman" w:eastAsia="Calibri" w:hAnsi="Times New Roman" w:cs="Times New Roman"/>
                <w:sz w:val="24"/>
                <w:szCs w:val="24"/>
              </w:rPr>
              <w:t>noteikusi darbspēju zaudējumu bez invaliditātes grupas piešķiršanas, kā arī, ja darbiniekam piešķirta citas valsts pensija vai izdienas pensija pēc speciālajiem likumiem, aprēķina</w:t>
            </w:r>
            <w:r>
              <w:rPr>
                <w:rFonts w:ascii="Times New Roman" w:eastAsia="Calibri" w:hAnsi="Times New Roman" w:cs="Times New Roman"/>
                <w:sz w:val="24"/>
                <w:szCs w:val="24"/>
              </w:rPr>
              <w:t>,</w:t>
            </w:r>
            <w:r w:rsidRPr="00C25FBD">
              <w:rPr>
                <w:rFonts w:ascii="Times New Roman" w:eastAsia="Calibri" w:hAnsi="Times New Roman" w:cs="Times New Roman"/>
                <w:sz w:val="24"/>
                <w:szCs w:val="24"/>
              </w:rPr>
              <w:t xml:space="preserve"> ņemot vērā valsts sociālā nodrošinājuma pabalstu, kuram atkarībā no darbspēju zaudējuma pakāpes piemērots noteikts koeficients (1,0-ja darbinieka darbspēju zaudējums ir 20 un vairāk procentu; 0,7-ja darbinieka darbspēju zaudējums ir 10-19 procentu). Nepieciešams </w:t>
            </w:r>
            <w:r w:rsidRPr="00C25FBD">
              <w:rPr>
                <w:rFonts w:ascii="Times New Roman" w:hAnsi="Times New Roman" w:cs="Times New Roman"/>
                <w:spacing w:val="-4"/>
                <w:sz w:val="24"/>
                <w:szCs w:val="24"/>
              </w:rPr>
              <w:t>pārskatīt kaitējuma atlīdzības apmēru, piesaistot to tam valsts sociālā nodrošinājuma pabalsta apmēram</w:t>
            </w:r>
            <w:r w:rsidRPr="00C25FBD">
              <w:rPr>
                <w:rFonts w:ascii="Times New Roman" w:eastAsia="Calibri" w:hAnsi="Times New Roman" w:cs="Times New Roman"/>
                <w:sz w:val="24"/>
                <w:szCs w:val="24"/>
              </w:rPr>
              <w:t xml:space="preserve">, kāds noteikts Valsts sociālo pabalstu likuma 13.panta pirmās daļas 1.punktā minētajām personām, t.i. 20% no ienākumu mediānas (109 </w:t>
            </w:r>
            <w:proofErr w:type="spellStart"/>
            <w:r w:rsidRPr="00C25FBD">
              <w:rPr>
                <w:rFonts w:ascii="Times New Roman" w:eastAsia="Calibri" w:hAnsi="Times New Roman" w:cs="Times New Roman"/>
                <w:i/>
                <w:sz w:val="24"/>
                <w:szCs w:val="24"/>
              </w:rPr>
              <w:t>euro</w:t>
            </w:r>
            <w:proofErr w:type="spellEnd"/>
            <w:r w:rsidRPr="00C25FBD">
              <w:rPr>
                <w:rFonts w:ascii="Times New Roman" w:eastAsia="Calibri" w:hAnsi="Times New Roman" w:cs="Times New Roman"/>
                <w:sz w:val="24"/>
                <w:szCs w:val="24"/>
              </w:rPr>
              <w:t>).</w:t>
            </w:r>
          </w:p>
          <w:p w:rsidR="002A1D7B" w:rsidRPr="00C25FBD" w:rsidRDefault="002A1D7B" w:rsidP="002A1D7B">
            <w:pPr>
              <w:spacing w:before="120" w:after="120"/>
              <w:jc w:val="both"/>
              <w:rPr>
                <w:rFonts w:ascii="Times New Roman" w:hAnsi="Times New Roman" w:cs="Times New Roman"/>
                <w:sz w:val="24"/>
                <w:szCs w:val="24"/>
              </w:rPr>
            </w:pPr>
            <w:r w:rsidRPr="00C25FBD">
              <w:rPr>
                <w:rFonts w:ascii="Times New Roman" w:hAnsi="Times New Roman" w:cs="Times New Roman"/>
                <w:sz w:val="24"/>
                <w:szCs w:val="24"/>
              </w:rPr>
              <w:t>Likumprojekts paredz:</w:t>
            </w:r>
          </w:p>
          <w:p w:rsidR="002A1D7B" w:rsidRPr="00C25FBD" w:rsidRDefault="002A1D7B" w:rsidP="002A1D7B">
            <w:pPr>
              <w:numPr>
                <w:ilvl w:val="0"/>
                <w:numId w:val="1"/>
              </w:numPr>
              <w:spacing w:before="120" w:after="120" w:line="240" w:lineRule="auto"/>
              <w:jc w:val="both"/>
              <w:rPr>
                <w:rFonts w:ascii="Times New Roman" w:hAnsi="Times New Roman" w:cs="Times New Roman"/>
                <w:sz w:val="24"/>
                <w:szCs w:val="24"/>
              </w:rPr>
            </w:pPr>
            <w:r w:rsidRPr="00C25FBD">
              <w:rPr>
                <w:rFonts w:ascii="Times New Roman" w:hAnsi="Times New Roman" w:cs="Times New Roman"/>
                <w:sz w:val="24"/>
                <w:szCs w:val="24"/>
              </w:rPr>
              <w:t xml:space="preserve">paaugstināt atlīdzības par apgādnieka zaudējuma minimālo apmēru, nosakot, ka atlīdzības apmērs </w:t>
            </w:r>
            <w:r w:rsidRPr="00C25FBD">
              <w:rPr>
                <w:rFonts w:ascii="Times New Roman" w:hAnsi="Times New Roman" w:cs="Times New Roman"/>
                <w:sz w:val="24"/>
                <w:szCs w:val="24"/>
                <w:shd w:val="clear" w:color="auto" w:fill="FFFFFF"/>
              </w:rPr>
              <w:t xml:space="preserve">nedrīkst būt mazāks par valsts sociālā nodrošinājuma pabalstu, kāds noteikts Valsts sociālo pabalstu likuma 13.panta pirmās daļas 1.punktā minētajām personām, ievērojot to, ka atlīdzības apmērs katram mirušā apgādnieka bērnam nedrīkst būt mazāks </w:t>
            </w:r>
            <w:r>
              <w:rPr>
                <w:rFonts w:ascii="Times New Roman" w:hAnsi="Times New Roman" w:cs="Times New Roman"/>
                <w:sz w:val="24"/>
                <w:szCs w:val="24"/>
                <w:shd w:val="clear" w:color="auto" w:fill="FFFFFF"/>
              </w:rPr>
              <w:t xml:space="preserve">par </w:t>
            </w:r>
            <w:r w:rsidRPr="00C25FBD">
              <w:rPr>
                <w:rFonts w:ascii="Times New Roman" w:hAnsi="Times New Roman" w:cs="Times New Roman"/>
                <w:sz w:val="24"/>
                <w:szCs w:val="24"/>
                <w:shd w:val="clear" w:color="auto" w:fill="FFFFFF"/>
              </w:rPr>
              <w:t>25</w:t>
            </w:r>
            <w:r w:rsidRPr="00C25FBD">
              <w:rPr>
                <w:rFonts w:ascii="Times New Roman" w:hAnsi="Times New Roman" w:cs="Times New Roman"/>
                <w:sz w:val="24"/>
                <w:szCs w:val="24"/>
              </w:rPr>
              <w:t xml:space="preserve">% no ienākumu mediānas bērniem līdz 7 gadu vecumam un </w:t>
            </w:r>
            <w:r>
              <w:rPr>
                <w:rFonts w:ascii="Times New Roman" w:hAnsi="Times New Roman" w:cs="Times New Roman"/>
                <w:sz w:val="24"/>
                <w:szCs w:val="24"/>
              </w:rPr>
              <w:t xml:space="preserve">par </w:t>
            </w:r>
            <w:r w:rsidRPr="00C25FBD">
              <w:rPr>
                <w:rFonts w:ascii="Times New Roman" w:hAnsi="Times New Roman" w:cs="Times New Roman"/>
                <w:sz w:val="24"/>
                <w:szCs w:val="24"/>
              </w:rPr>
              <w:t>30% no ienākumu mediānas bērniem no 7 gadu vecuma;</w:t>
            </w:r>
          </w:p>
          <w:p w:rsidR="002A1D7B" w:rsidRPr="00C25FBD" w:rsidRDefault="002A1D7B" w:rsidP="002A1D7B">
            <w:pPr>
              <w:numPr>
                <w:ilvl w:val="0"/>
                <w:numId w:val="1"/>
              </w:numPr>
              <w:spacing w:before="120" w:after="120" w:line="240" w:lineRule="auto"/>
              <w:jc w:val="both"/>
              <w:rPr>
                <w:rFonts w:ascii="Times New Roman" w:hAnsi="Times New Roman" w:cs="Times New Roman"/>
                <w:sz w:val="24"/>
                <w:szCs w:val="24"/>
              </w:rPr>
            </w:pPr>
            <w:r w:rsidRPr="00C25FBD">
              <w:rPr>
                <w:rFonts w:ascii="Times New Roman" w:hAnsi="Times New Roman" w:cs="Times New Roman"/>
                <w:sz w:val="24"/>
                <w:szCs w:val="24"/>
                <w:lang w:eastAsia="lv-LV"/>
              </w:rPr>
              <w:lastRenderedPageBreak/>
              <w:t>minimālo atlīdzību apmēru pārskatīt atbilstoši likumā “Par sociālo drošību” noteikto minimālo ienākumu sliekšņu pārskatīšanas kārtībai;</w:t>
            </w:r>
          </w:p>
          <w:p w:rsidR="002A1D7B" w:rsidRPr="00C25FBD" w:rsidRDefault="002A1D7B" w:rsidP="002A1D7B">
            <w:pPr>
              <w:numPr>
                <w:ilvl w:val="0"/>
                <w:numId w:val="1"/>
              </w:numPr>
              <w:spacing w:before="120" w:after="120" w:line="240" w:lineRule="auto"/>
              <w:jc w:val="both"/>
              <w:rPr>
                <w:rFonts w:ascii="Times New Roman" w:hAnsi="Times New Roman" w:cs="Times New Roman"/>
                <w:sz w:val="24"/>
                <w:szCs w:val="24"/>
              </w:rPr>
            </w:pPr>
            <w:r w:rsidRPr="00C25FBD">
              <w:rPr>
                <w:rFonts w:ascii="Times New Roman" w:hAnsi="Times New Roman" w:cs="Times New Roman"/>
                <w:sz w:val="24"/>
                <w:szCs w:val="24"/>
                <w:lang w:eastAsia="lv-LV"/>
              </w:rPr>
              <w:t>periodā no 2021.gada 1.janvāra līdz 2021.gada 30.aprīlim minimālos atlīdzības apmērus izmaksāt apmērā, kāds bija noteikts  atbilstoši normatīvajiem aktiem līdz 2020.gada 31.decembrim, un ne vēlāk kā līdz 2021.gada maijam veikt šo minimālo atlīdzību par apgādnieka zaudējumu pārrēķinu, un starpību izmaksāt vienlaikus ar 2021.gada maija mēneša atlīdzību;</w:t>
            </w:r>
          </w:p>
          <w:p w:rsidR="002A1D7B" w:rsidRPr="00C25FBD" w:rsidRDefault="002A1D7B" w:rsidP="002A1D7B">
            <w:pPr>
              <w:pStyle w:val="ListParagraph"/>
              <w:numPr>
                <w:ilvl w:val="0"/>
                <w:numId w:val="4"/>
              </w:numPr>
              <w:suppressAutoHyphens/>
              <w:spacing w:after="0" w:line="240" w:lineRule="auto"/>
              <w:jc w:val="both"/>
              <w:rPr>
                <w:rFonts w:ascii="Times New Roman" w:hAnsi="Times New Roman" w:cs="Times New Roman"/>
                <w:sz w:val="24"/>
                <w:szCs w:val="24"/>
              </w:rPr>
            </w:pPr>
            <w:r w:rsidRPr="00C25FBD">
              <w:rPr>
                <w:rFonts w:ascii="Times New Roman" w:hAnsi="Times New Roman" w:cs="Times New Roman"/>
                <w:sz w:val="24"/>
                <w:szCs w:val="24"/>
                <w:shd w:val="clear" w:color="auto" w:fill="FFFFFF"/>
              </w:rPr>
              <w:t>precizēt, ka mēnesī izmaksājamā atlīdzība nedrīkst būt lielāka par valsts sociālā nodrošinājuma pabalsta, kāds noteikts </w:t>
            </w:r>
            <w:hyperlink r:id="rId7" w:tgtFrame="_blank" w:history="1">
              <w:r w:rsidRPr="00C25FBD">
                <w:rPr>
                  <w:rStyle w:val="Hyperlink"/>
                  <w:rFonts w:ascii="Times New Roman" w:hAnsi="Times New Roman" w:cs="Times New Roman"/>
                  <w:color w:val="auto"/>
                  <w:sz w:val="24"/>
                  <w:szCs w:val="24"/>
                  <w:u w:val="none"/>
                  <w:shd w:val="clear" w:color="auto" w:fill="FFFFFF"/>
                </w:rPr>
                <w:t>Valsts sociālo pabalstu likuma</w:t>
              </w:r>
            </w:hyperlink>
            <w:r w:rsidRPr="00C25FBD">
              <w:rPr>
                <w:rFonts w:ascii="Times New Roman" w:hAnsi="Times New Roman" w:cs="Times New Roman"/>
                <w:sz w:val="24"/>
                <w:szCs w:val="24"/>
                <w:shd w:val="clear" w:color="auto" w:fill="FFFFFF"/>
              </w:rPr>
              <w:t> </w:t>
            </w:r>
            <w:hyperlink r:id="rId8" w:anchor="p13" w:tgtFrame="_blank" w:history="1">
              <w:r w:rsidRPr="00C25FBD">
                <w:rPr>
                  <w:rStyle w:val="Hyperlink"/>
                  <w:rFonts w:ascii="Times New Roman" w:hAnsi="Times New Roman" w:cs="Times New Roman"/>
                  <w:color w:val="auto"/>
                  <w:sz w:val="24"/>
                  <w:szCs w:val="24"/>
                  <w:u w:val="none"/>
                  <w:shd w:val="clear" w:color="auto" w:fill="FFFFFF"/>
                </w:rPr>
                <w:t>13.</w:t>
              </w:r>
            </w:hyperlink>
            <w:r w:rsidRPr="00C25FBD">
              <w:rPr>
                <w:rFonts w:ascii="Times New Roman" w:hAnsi="Times New Roman" w:cs="Times New Roman"/>
                <w:sz w:val="24"/>
                <w:szCs w:val="24"/>
                <w:shd w:val="clear" w:color="auto" w:fill="FFFFFF"/>
              </w:rPr>
              <w:t xml:space="preserve"> panta pirmās daļas 1. punktā minētajām personām, </w:t>
            </w:r>
            <w:proofErr w:type="spellStart"/>
            <w:r w:rsidRPr="00C25FBD">
              <w:rPr>
                <w:rFonts w:ascii="Times New Roman" w:hAnsi="Times New Roman" w:cs="Times New Roman"/>
                <w:sz w:val="24"/>
                <w:szCs w:val="24"/>
                <w:shd w:val="clear" w:color="auto" w:fill="FFFFFF"/>
              </w:rPr>
              <w:t>divdesmitpieckāršu</w:t>
            </w:r>
            <w:proofErr w:type="spellEnd"/>
            <w:r w:rsidRPr="00C25FBD">
              <w:rPr>
                <w:rFonts w:ascii="Times New Roman" w:hAnsi="Times New Roman" w:cs="Times New Roman"/>
                <w:sz w:val="24"/>
                <w:szCs w:val="24"/>
                <w:shd w:val="clear" w:color="auto" w:fill="FFFFFF"/>
              </w:rPr>
              <w:t xml:space="preserve"> apmēru, bet izdevumu par ārstēšanos kopējā summa nedrīkst būt lielāka par apdrošināšanas gadījuma iestāšanās dienā spēkā esošā valsts sociālā nodrošinājuma pabalsta </w:t>
            </w:r>
            <w:proofErr w:type="spellStart"/>
            <w:r w:rsidRPr="00C25FBD">
              <w:rPr>
                <w:rFonts w:ascii="Times New Roman" w:hAnsi="Times New Roman" w:cs="Times New Roman"/>
                <w:sz w:val="24"/>
                <w:szCs w:val="24"/>
                <w:shd w:val="clear" w:color="auto" w:fill="FFFFFF"/>
              </w:rPr>
              <w:t>divdesmitpieckāršu</w:t>
            </w:r>
            <w:proofErr w:type="spellEnd"/>
            <w:r w:rsidRPr="00C25FBD">
              <w:rPr>
                <w:rFonts w:ascii="Times New Roman" w:hAnsi="Times New Roman" w:cs="Times New Roman"/>
                <w:sz w:val="24"/>
                <w:szCs w:val="24"/>
                <w:shd w:val="clear" w:color="auto" w:fill="FFFFFF"/>
              </w:rPr>
              <w:t xml:space="preserve"> apmēru.</w:t>
            </w:r>
          </w:p>
        </w:tc>
      </w:tr>
      <w:tr w:rsidR="002A1D7B" w:rsidRPr="002F1E39" w:rsidTr="002A1D7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apdrošināšanas aģentūra</w:t>
            </w:r>
            <w:r w:rsidRPr="002F1E39">
              <w:rPr>
                <w:rFonts w:ascii="Times New Roman" w:eastAsia="Times New Roman" w:hAnsi="Times New Roman" w:cs="Times New Roman"/>
                <w:iCs/>
                <w:sz w:val="24"/>
                <w:szCs w:val="24"/>
                <w:lang w:eastAsia="lv-LV"/>
              </w:rPr>
              <w:t xml:space="preserve"> (turpmāk </w:t>
            </w:r>
            <w:r>
              <w:rPr>
                <w:rFonts w:ascii="Times New Roman" w:eastAsia="Times New Roman" w:hAnsi="Times New Roman" w:cs="Times New Roman"/>
                <w:iCs/>
                <w:sz w:val="24"/>
                <w:szCs w:val="24"/>
                <w:lang w:eastAsia="lv-LV"/>
              </w:rPr>
              <w:t>VSAA</w:t>
            </w:r>
            <w:r w:rsidRPr="002F1E39">
              <w:rPr>
                <w:rFonts w:ascii="Times New Roman" w:eastAsia="Times New Roman" w:hAnsi="Times New Roman" w:cs="Times New Roman"/>
                <w:iCs/>
                <w:sz w:val="24"/>
                <w:szCs w:val="24"/>
                <w:lang w:eastAsia="lv-LV"/>
              </w:rPr>
              <w:t>).</w:t>
            </w:r>
          </w:p>
          <w:p w:rsidR="002A1D7B" w:rsidRPr="002F1E39" w:rsidRDefault="002A1D7B" w:rsidP="002A1D7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2A1D7B" w:rsidRPr="002F1E39" w:rsidTr="002A1D7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A6A6A6" w:themeColor="background1" w:themeShade="A6"/>
                <w:sz w:val="24"/>
                <w:szCs w:val="24"/>
                <w:lang w:eastAsia="lv-LV"/>
              </w:rPr>
            </w:pPr>
            <w:r w:rsidRPr="002F1E39">
              <w:rPr>
                <w:rFonts w:ascii="Times New Roman" w:eastAsia="Times New Roman" w:hAnsi="Times New Roman" w:cs="Times New Roman"/>
                <w:iCs/>
                <w:sz w:val="24"/>
                <w:szCs w:val="24"/>
                <w:lang w:eastAsia="lv-LV"/>
              </w:rPr>
              <w:t>Nav</w:t>
            </w:r>
          </w:p>
        </w:tc>
      </w:tr>
    </w:tbl>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A1D7B" w:rsidRPr="002F1E39" w:rsidTr="002A1D7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A1D7B" w:rsidRPr="002F1E39" w:rsidRDefault="002A1D7B" w:rsidP="002A1D7B">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2A1D7B" w:rsidRPr="002F1E39" w:rsidTr="002A1D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Sabiedrības </w:t>
            </w:r>
            <w:proofErr w:type="spellStart"/>
            <w:r w:rsidRPr="002F1E39">
              <w:rPr>
                <w:rFonts w:ascii="Times New Roman" w:eastAsia="Times New Roman" w:hAnsi="Times New Roman" w:cs="Times New Roman"/>
                <w:iCs/>
                <w:color w:val="414142"/>
                <w:sz w:val="24"/>
                <w:szCs w:val="24"/>
                <w:lang w:eastAsia="lv-LV"/>
              </w:rPr>
              <w:t>mērķgrupas</w:t>
            </w:r>
            <w:proofErr w:type="spellEnd"/>
            <w:r w:rsidRPr="002F1E39">
              <w:rPr>
                <w:rFonts w:ascii="Times New Roman" w:eastAsia="Times New Roman" w:hAnsi="Times New Roman" w:cs="Times New Roman"/>
                <w:iCs/>
                <w:color w:val="414142"/>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rsidR="002A1D7B" w:rsidRPr="00430FBF" w:rsidRDefault="002A1D7B" w:rsidP="002A1D7B">
            <w:pPr>
              <w:spacing w:after="0" w:line="240" w:lineRule="auto"/>
              <w:jc w:val="both"/>
              <w:rPr>
                <w:rFonts w:ascii="Times New Roman" w:hAnsi="Times New Roman" w:cs="Times New Roman"/>
                <w:sz w:val="24"/>
                <w:szCs w:val="24"/>
              </w:rPr>
            </w:pPr>
            <w:r w:rsidRPr="00430FBF">
              <w:rPr>
                <w:rFonts w:ascii="Times New Roman" w:hAnsi="Times New Roman" w:cs="Times New Roman"/>
                <w:sz w:val="24"/>
                <w:szCs w:val="24"/>
              </w:rPr>
              <w:t xml:space="preserve">Personas, kuras </w:t>
            </w:r>
            <w:r>
              <w:rPr>
                <w:rFonts w:ascii="Times New Roman" w:hAnsi="Times New Roman" w:cs="Times New Roman"/>
                <w:sz w:val="24"/>
                <w:szCs w:val="24"/>
              </w:rPr>
              <w:t xml:space="preserve">saņem apdrošināšanas </w:t>
            </w:r>
            <w:r w:rsidRPr="00430FBF">
              <w:rPr>
                <w:rFonts w:ascii="Times New Roman" w:hAnsi="Times New Roman" w:cs="Times New Roman"/>
                <w:sz w:val="24"/>
                <w:szCs w:val="24"/>
              </w:rPr>
              <w:t xml:space="preserve">atlīdzību </w:t>
            </w:r>
            <w:r>
              <w:rPr>
                <w:rFonts w:ascii="Times New Roman" w:hAnsi="Times New Roman" w:cs="Times New Roman"/>
                <w:sz w:val="24"/>
                <w:szCs w:val="24"/>
              </w:rPr>
              <w:t>sakarā ar nelaimes gadījumu darbā vai arodslimību.</w:t>
            </w:r>
          </w:p>
          <w:p w:rsidR="002A1D7B" w:rsidRPr="00430FBF" w:rsidRDefault="002A1D7B" w:rsidP="002A1D7B">
            <w:pPr>
              <w:spacing w:after="0" w:line="240" w:lineRule="auto"/>
              <w:jc w:val="both"/>
              <w:rPr>
                <w:rFonts w:ascii="Times New Roman" w:eastAsia="Times New Roman" w:hAnsi="Times New Roman" w:cs="Times New Roman"/>
                <w:iCs/>
                <w:noProof/>
                <w:sz w:val="24"/>
                <w:szCs w:val="24"/>
                <w:lang w:eastAsia="lv-LV"/>
              </w:rPr>
            </w:pPr>
            <w:r w:rsidRPr="00430FBF">
              <w:rPr>
                <w:rFonts w:ascii="Times New Roman" w:eastAsia="Times New Roman" w:hAnsi="Times New Roman" w:cs="Times New Roman"/>
                <w:iCs/>
                <w:noProof/>
                <w:sz w:val="24"/>
                <w:szCs w:val="24"/>
                <w:lang w:eastAsia="lv-LV"/>
              </w:rPr>
              <w:t xml:space="preserve">Saskaņā ar VSAA datiem 2020.gada I pusgadā </w:t>
            </w:r>
            <w:r>
              <w:rPr>
                <w:rFonts w:ascii="Times New Roman" w:eastAsia="Times New Roman" w:hAnsi="Times New Roman" w:cs="Times New Roman"/>
                <w:iCs/>
                <w:noProof/>
                <w:sz w:val="24"/>
                <w:szCs w:val="24"/>
                <w:lang w:eastAsia="lv-LV"/>
              </w:rPr>
              <w:t xml:space="preserve">atlīdzības par darbspēju zaudējumu saņem </w:t>
            </w:r>
            <w:r w:rsidRPr="00430FBF">
              <w:rPr>
                <w:rFonts w:ascii="Times New Roman" w:eastAsia="Times New Roman" w:hAnsi="Times New Roman" w:cs="Times New Roman"/>
                <w:iCs/>
                <w:noProof/>
                <w:sz w:val="24"/>
                <w:szCs w:val="24"/>
                <w:lang w:eastAsia="lv-LV"/>
              </w:rPr>
              <w:t xml:space="preserve">13,4 tūkst. personu, vidējais piešķirtais apmērs – 371,57 </w:t>
            </w:r>
            <w:r w:rsidRPr="00430FBF">
              <w:rPr>
                <w:rFonts w:ascii="Times New Roman" w:eastAsia="Times New Roman" w:hAnsi="Times New Roman" w:cs="Times New Roman"/>
                <w:i/>
                <w:iCs/>
                <w:noProof/>
                <w:sz w:val="24"/>
                <w:szCs w:val="24"/>
                <w:lang w:eastAsia="lv-LV"/>
              </w:rPr>
              <w:t>euro</w:t>
            </w:r>
            <w:r w:rsidRPr="00430FBF">
              <w:rPr>
                <w:rFonts w:ascii="Times New Roman" w:eastAsia="Times New Roman" w:hAnsi="Times New Roman" w:cs="Times New Roman"/>
                <w:iCs/>
                <w:noProof/>
                <w:sz w:val="24"/>
                <w:szCs w:val="24"/>
                <w:lang w:eastAsia="lv-LV"/>
              </w:rPr>
              <w:t>.</w:t>
            </w:r>
            <w:r>
              <w:rPr>
                <w:rFonts w:ascii="Times New Roman" w:eastAsia="Times New Roman" w:hAnsi="Times New Roman" w:cs="Times New Roman"/>
                <w:iCs/>
                <w:noProof/>
                <w:sz w:val="24"/>
                <w:szCs w:val="24"/>
                <w:lang w:eastAsia="lv-LV"/>
              </w:rPr>
              <w:t xml:space="preserve"> A</w:t>
            </w:r>
            <w:r w:rsidRPr="00430FBF">
              <w:rPr>
                <w:rFonts w:ascii="Times New Roman" w:eastAsia="Times New Roman" w:hAnsi="Times New Roman" w:cs="Times New Roman"/>
                <w:iCs/>
                <w:noProof/>
                <w:sz w:val="24"/>
                <w:szCs w:val="24"/>
                <w:lang w:eastAsia="lv-LV"/>
              </w:rPr>
              <w:t>tlīdzības par apgādnieka zaudējumu saņem</w:t>
            </w:r>
            <w:r>
              <w:rPr>
                <w:rFonts w:ascii="Times New Roman" w:eastAsia="Times New Roman" w:hAnsi="Times New Roman" w:cs="Times New Roman"/>
                <w:iCs/>
                <w:noProof/>
                <w:sz w:val="24"/>
                <w:szCs w:val="24"/>
                <w:lang w:eastAsia="lv-LV"/>
              </w:rPr>
              <w:t xml:space="preserve"> 57 personas, vidējais piešķirtais apmērs 341,42 </w:t>
            </w:r>
            <w:r w:rsidRPr="00D12407">
              <w:rPr>
                <w:rFonts w:ascii="Times New Roman" w:eastAsia="Times New Roman" w:hAnsi="Times New Roman" w:cs="Times New Roman"/>
                <w:i/>
                <w:iCs/>
                <w:noProof/>
                <w:sz w:val="24"/>
                <w:szCs w:val="24"/>
                <w:lang w:eastAsia="lv-LV"/>
              </w:rPr>
              <w:t>euro</w:t>
            </w:r>
            <w:r>
              <w:rPr>
                <w:rFonts w:ascii="Times New Roman" w:eastAsia="Times New Roman" w:hAnsi="Times New Roman" w:cs="Times New Roman"/>
                <w:iCs/>
                <w:noProof/>
                <w:sz w:val="24"/>
                <w:szCs w:val="24"/>
                <w:lang w:eastAsia="lv-LV"/>
              </w:rPr>
              <w:t>.</w:t>
            </w:r>
          </w:p>
          <w:p w:rsidR="002A1D7B" w:rsidRPr="00430FBF" w:rsidRDefault="002A1D7B" w:rsidP="002A1D7B">
            <w:pPr>
              <w:spacing w:after="0" w:line="240" w:lineRule="auto"/>
              <w:jc w:val="both"/>
              <w:rPr>
                <w:rFonts w:ascii="Times New Roman" w:eastAsia="Times New Roman" w:hAnsi="Times New Roman" w:cs="Times New Roman"/>
                <w:iCs/>
                <w:noProof/>
                <w:sz w:val="24"/>
                <w:szCs w:val="24"/>
                <w:lang w:eastAsia="lv-LV"/>
              </w:rPr>
            </w:pPr>
            <w:r w:rsidRPr="00430FBF">
              <w:rPr>
                <w:rFonts w:ascii="Times New Roman" w:eastAsia="Times New Roman" w:hAnsi="Times New Roman" w:cs="Times New Roman"/>
                <w:iCs/>
                <w:noProof/>
                <w:sz w:val="24"/>
                <w:szCs w:val="24"/>
                <w:lang w:eastAsia="lv-LV"/>
              </w:rPr>
              <w:t xml:space="preserve"> </w:t>
            </w:r>
          </w:p>
        </w:tc>
      </w:tr>
      <w:tr w:rsidR="002A1D7B" w:rsidRPr="002F1E39" w:rsidTr="002A1D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rsidR="002A1D7B" w:rsidRPr="00430FBF" w:rsidRDefault="002A1D7B" w:rsidP="002A1D7B">
            <w:pPr>
              <w:spacing w:before="100" w:beforeAutospacing="1" w:after="100" w:afterAutospacing="1" w:line="240" w:lineRule="auto"/>
              <w:jc w:val="both"/>
              <w:rPr>
                <w:rFonts w:ascii="Times New Roman" w:eastAsia="Times New Roman" w:hAnsi="Times New Roman"/>
                <w:sz w:val="24"/>
                <w:szCs w:val="24"/>
                <w:lang w:eastAsia="lv-LV"/>
              </w:rPr>
            </w:pPr>
            <w:r w:rsidRPr="00430FBF">
              <w:rPr>
                <w:rFonts w:ascii="Times New Roman" w:eastAsia="Times New Roman" w:hAnsi="Times New Roman"/>
                <w:sz w:val="24"/>
                <w:szCs w:val="24"/>
                <w:lang w:eastAsia="lv-LV"/>
              </w:rPr>
              <w:t>Likumprojekta tiesiskais regulējums nemaina sabiedrības pienākumus, kā arī veicamās darbības. Likumprojekts nerada papildus administratīvo slogu.</w:t>
            </w:r>
          </w:p>
        </w:tc>
      </w:tr>
      <w:tr w:rsidR="002A1D7B" w:rsidRPr="002F1E39" w:rsidTr="002A1D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rsidR="002A1D7B" w:rsidRPr="002F1E39" w:rsidRDefault="002A1D7B" w:rsidP="002A1D7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Likum</w:t>
            </w:r>
            <w:r w:rsidRPr="009A1CD6">
              <w:rPr>
                <w:rFonts w:ascii="Times New Roman" w:hAnsi="Times New Roman" w:cs="Times New Roman"/>
                <w:sz w:val="24"/>
                <w:szCs w:val="24"/>
              </w:rPr>
              <w:t>projekts šo jomu neskar.</w:t>
            </w:r>
          </w:p>
        </w:tc>
      </w:tr>
      <w:tr w:rsidR="002A1D7B" w:rsidRPr="002F1E39" w:rsidTr="002A1D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Likum</w:t>
            </w:r>
            <w:r w:rsidRPr="009A1CD6">
              <w:rPr>
                <w:rFonts w:ascii="Times New Roman" w:hAnsi="Times New Roman" w:cs="Times New Roman"/>
                <w:sz w:val="24"/>
                <w:szCs w:val="24"/>
              </w:rPr>
              <w:t>projekts šo jomu neskar.</w:t>
            </w:r>
          </w:p>
        </w:tc>
      </w:tr>
      <w:tr w:rsidR="002A1D7B" w:rsidRPr="002F1E39" w:rsidTr="002A1D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A6A6A6" w:themeColor="background1" w:themeShade="A6"/>
                <w:sz w:val="24"/>
                <w:szCs w:val="24"/>
                <w:lang w:eastAsia="lv-LV"/>
              </w:rPr>
            </w:pPr>
            <w:r w:rsidRPr="005D1172">
              <w:rPr>
                <w:rFonts w:ascii="Times New Roman" w:eastAsia="Times New Roman" w:hAnsi="Times New Roman" w:cs="Times New Roman"/>
                <w:iCs/>
                <w:sz w:val="24"/>
                <w:szCs w:val="24"/>
                <w:lang w:eastAsia="lv-LV"/>
              </w:rPr>
              <w:t>Nav</w:t>
            </w:r>
          </w:p>
        </w:tc>
      </w:tr>
    </w:tbl>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10491" w:type="dxa"/>
        <w:tblInd w:w="-885" w:type="dxa"/>
        <w:tblLayout w:type="fixed"/>
        <w:tblLook w:val="04A0" w:firstRow="1" w:lastRow="0" w:firstColumn="1" w:lastColumn="0" w:noHBand="0" w:noVBand="1"/>
      </w:tblPr>
      <w:tblGrid>
        <w:gridCol w:w="2269"/>
        <w:gridCol w:w="1134"/>
        <w:gridCol w:w="851"/>
        <w:gridCol w:w="1157"/>
        <w:gridCol w:w="1134"/>
        <w:gridCol w:w="1134"/>
        <w:gridCol w:w="1252"/>
        <w:gridCol w:w="1560"/>
      </w:tblGrid>
      <w:tr w:rsidR="002A1D7B" w:rsidRPr="004852A7" w:rsidTr="002A1D7B">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rsidR="002A1D7B" w:rsidRPr="004852A7" w:rsidRDefault="002A1D7B" w:rsidP="002A1D7B">
            <w:pPr>
              <w:spacing w:after="0" w:line="240" w:lineRule="auto"/>
              <w:jc w:val="center"/>
              <w:rPr>
                <w:rFonts w:ascii="Times New Roman" w:eastAsia="Times New Roman" w:hAnsi="Times New Roman" w:cs="Times New Roman"/>
                <w:b/>
                <w:bCs/>
                <w:sz w:val="24"/>
                <w:szCs w:val="24"/>
                <w:lang w:eastAsia="lv-LV"/>
              </w:rPr>
            </w:pPr>
            <w:bookmarkStart w:id="4" w:name="RANGE!A1:H33"/>
            <w:bookmarkStart w:id="5" w:name="_Hlk39586599"/>
            <w:r w:rsidRPr="004852A7">
              <w:rPr>
                <w:rFonts w:ascii="Times New Roman" w:eastAsia="Times New Roman" w:hAnsi="Times New Roman" w:cs="Times New Roman"/>
                <w:b/>
                <w:bCs/>
                <w:sz w:val="24"/>
                <w:szCs w:val="24"/>
                <w:lang w:eastAsia="lv-LV"/>
              </w:rPr>
              <w:lastRenderedPageBreak/>
              <w:t>III. Tiesību akta projekta ietekme uz valsts budžetu un pašvaldību budžetiem</w:t>
            </w:r>
            <w:bookmarkEnd w:id="4"/>
          </w:p>
        </w:tc>
      </w:tr>
      <w:tr w:rsidR="002A1D7B" w:rsidRPr="007920A6" w:rsidTr="002A1D7B">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2020.gads</w:t>
            </w:r>
          </w:p>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Turpmākie trīs gadi (</w:t>
            </w:r>
            <w:proofErr w:type="spellStart"/>
            <w:r w:rsidRPr="00C21A85">
              <w:rPr>
                <w:rFonts w:ascii="Times New Roman" w:eastAsia="Times New Roman" w:hAnsi="Times New Roman" w:cs="Times New Roman"/>
                <w:i/>
                <w:sz w:val="20"/>
                <w:szCs w:val="20"/>
                <w:lang w:eastAsia="lv-LV"/>
              </w:rPr>
              <w:t>euro</w:t>
            </w:r>
            <w:proofErr w:type="spellEnd"/>
            <w:r w:rsidRPr="007920A6">
              <w:rPr>
                <w:rFonts w:ascii="Times New Roman" w:eastAsia="Times New Roman" w:hAnsi="Times New Roman" w:cs="Times New Roman"/>
                <w:sz w:val="20"/>
                <w:szCs w:val="20"/>
                <w:lang w:eastAsia="lv-LV"/>
              </w:rPr>
              <w:t>)</w:t>
            </w:r>
          </w:p>
        </w:tc>
      </w:tr>
      <w:tr w:rsidR="002A1D7B" w:rsidRPr="007920A6" w:rsidTr="002A1D7B">
        <w:trPr>
          <w:trHeight w:val="270"/>
        </w:trPr>
        <w:tc>
          <w:tcPr>
            <w:tcW w:w="2269" w:type="dxa"/>
            <w:vMerge/>
            <w:tcBorders>
              <w:top w:val="nil"/>
              <w:left w:val="single" w:sz="8" w:space="0" w:color="414142"/>
              <w:bottom w:val="single" w:sz="8" w:space="0" w:color="414142"/>
              <w:right w:val="single" w:sz="8" w:space="0" w:color="414142"/>
            </w:tcBorders>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p>
        </w:tc>
        <w:tc>
          <w:tcPr>
            <w:tcW w:w="2291" w:type="dxa"/>
            <w:gridSpan w:val="2"/>
            <w:tcBorders>
              <w:top w:val="single" w:sz="8" w:space="0" w:color="414142"/>
              <w:left w:val="nil"/>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2021</w:t>
            </w:r>
          </w:p>
        </w:tc>
        <w:tc>
          <w:tcPr>
            <w:tcW w:w="2386" w:type="dxa"/>
            <w:gridSpan w:val="2"/>
            <w:tcBorders>
              <w:top w:val="single" w:sz="8" w:space="0" w:color="414142"/>
              <w:left w:val="nil"/>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2023</w:t>
            </w:r>
          </w:p>
        </w:tc>
      </w:tr>
      <w:tr w:rsidR="002A1D7B" w:rsidRPr="007920A6" w:rsidTr="002A1D7B">
        <w:trPr>
          <w:trHeight w:val="1215"/>
        </w:trPr>
        <w:tc>
          <w:tcPr>
            <w:tcW w:w="2269" w:type="dxa"/>
            <w:vMerge/>
            <w:tcBorders>
              <w:top w:val="nil"/>
              <w:left w:val="single" w:sz="8" w:space="0" w:color="414142"/>
              <w:bottom w:val="single" w:sz="8" w:space="0" w:color="414142"/>
              <w:right w:val="single" w:sz="8" w:space="0" w:color="414142"/>
            </w:tcBorders>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izmaiņas kārtējā gadā, salīdzinot ar valsts budžetu kārtējam gadam</w:t>
            </w:r>
          </w:p>
        </w:tc>
        <w:tc>
          <w:tcPr>
            <w:tcW w:w="1157" w:type="dxa"/>
            <w:tcBorders>
              <w:top w:val="nil"/>
              <w:left w:val="nil"/>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saskaņā ar vidēja termiņa budžeta ietvaru</w:t>
            </w:r>
          </w:p>
        </w:tc>
        <w:tc>
          <w:tcPr>
            <w:tcW w:w="1252" w:type="dxa"/>
            <w:tcBorders>
              <w:top w:val="nil"/>
              <w:left w:val="nil"/>
              <w:bottom w:val="single" w:sz="8" w:space="0" w:color="414142"/>
              <w:right w:val="single" w:sz="8" w:space="0" w:color="414142"/>
            </w:tcBorders>
            <w:shd w:val="clear" w:color="auto" w:fill="auto"/>
            <w:vAlign w:val="center"/>
            <w:hideMark/>
          </w:tcPr>
          <w:p w:rsidR="002A1D7B" w:rsidRPr="007920A6" w:rsidRDefault="002A1D7B" w:rsidP="002A1D7B">
            <w:pPr>
              <w:tabs>
                <w:tab w:val="left" w:pos="2275"/>
              </w:tabs>
              <w:spacing w:after="0" w:line="240" w:lineRule="auto"/>
              <w:jc w:val="center"/>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izmaiņas, salīdzinot ar vidēja termiņa budžeta ietvaru  2022. gadam</w:t>
            </w:r>
          </w:p>
        </w:tc>
        <w:tc>
          <w:tcPr>
            <w:tcW w:w="1560" w:type="dxa"/>
            <w:tcBorders>
              <w:top w:val="nil"/>
              <w:left w:val="nil"/>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izmaiņas, salīdzinot ar vidēja termiņa budžeta ietvaru 2022. gadam</w:t>
            </w:r>
          </w:p>
        </w:tc>
      </w:tr>
      <w:tr w:rsidR="002A1D7B" w:rsidRPr="007920A6" w:rsidTr="002A1D7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3</w:t>
            </w:r>
          </w:p>
        </w:tc>
        <w:tc>
          <w:tcPr>
            <w:tcW w:w="1157" w:type="dxa"/>
            <w:tcBorders>
              <w:top w:val="nil"/>
              <w:left w:val="nil"/>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6</w:t>
            </w:r>
          </w:p>
        </w:tc>
        <w:tc>
          <w:tcPr>
            <w:tcW w:w="1252" w:type="dxa"/>
            <w:tcBorders>
              <w:top w:val="nil"/>
              <w:left w:val="nil"/>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8</w:t>
            </w:r>
          </w:p>
        </w:tc>
      </w:tr>
      <w:tr w:rsidR="002A1D7B" w:rsidRPr="007920A6" w:rsidTr="002A1D7B">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highlight w:val="yellow"/>
                <w:lang w:eastAsia="lv-LV"/>
              </w:rPr>
            </w:pPr>
            <w:r w:rsidRPr="007920A6">
              <w:rPr>
                <w:rFonts w:ascii="Times New Roman" w:eastAsia="Times New Roman" w:hAnsi="Times New Roman" w:cs="Times New Roman"/>
                <w:sz w:val="18"/>
                <w:szCs w:val="18"/>
                <w:lang w:eastAsia="lv-LV"/>
              </w:rPr>
              <w:t>57 881 138</w:t>
            </w:r>
          </w:p>
        </w:tc>
        <w:tc>
          <w:tcPr>
            <w:tcW w:w="851" w:type="dxa"/>
            <w:tcBorders>
              <w:top w:val="nil"/>
              <w:left w:val="nil"/>
              <w:bottom w:val="single" w:sz="8" w:space="0" w:color="414142"/>
              <w:right w:val="single" w:sz="8" w:space="0" w:color="414142"/>
            </w:tcBorders>
            <w:shd w:val="clear" w:color="000000" w:fill="D9D9D9"/>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hAnsi="Times New Roman" w:cs="Times New Roman"/>
                <w:iCs/>
                <w:sz w:val="18"/>
                <w:szCs w:val="18"/>
              </w:rPr>
              <w:t>0</w:t>
            </w:r>
          </w:p>
        </w:tc>
        <w:tc>
          <w:tcPr>
            <w:tcW w:w="1157" w:type="dxa"/>
            <w:tcBorders>
              <w:top w:val="nil"/>
              <w:left w:val="nil"/>
              <w:bottom w:val="single" w:sz="8" w:space="0" w:color="414142"/>
              <w:right w:val="single" w:sz="8" w:space="0" w:color="414142"/>
            </w:tcBorders>
            <w:shd w:val="clear" w:color="000000" w:fill="D9D9D9"/>
            <w:vAlign w:val="center"/>
          </w:tcPr>
          <w:p w:rsidR="002A1D7B" w:rsidRPr="007920A6" w:rsidRDefault="002A1D7B" w:rsidP="002A1D7B">
            <w:pPr>
              <w:spacing w:after="0" w:line="240" w:lineRule="auto"/>
              <w:jc w:val="center"/>
              <w:rPr>
                <w:rFonts w:ascii="Times New Roman" w:eastAsia="Times New Roman" w:hAnsi="Times New Roman" w:cs="Times New Roman"/>
                <w:iCs/>
                <w:sz w:val="18"/>
                <w:szCs w:val="18"/>
                <w:lang w:eastAsia="lv-LV"/>
              </w:rPr>
            </w:pPr>
            <w:r w:rsidRPr="007920A6">
              <w:rPr>
                <w:rFonts w:ascii="Times New Roman" w:eastAsia="Times New Roman" w:hAnsi="Times New Roman" w:cs="Times New Roman"/>
                <w:iCs/>
                <w:sz w:val="18"/>
                <w:szCs w:val="18"/>
                <w:lang w:eastAsia="lv-LV"/>
              </w:rPr>
              <w:t>65 375 183</w:t>
            </w:r>
          </w:p>
        </w:tc>
        <w:tc>
          <w:tcPr>
            <w:tcW w:w="1134" w:type="dxa"/>
            <w:tcBorders>
              <w:top w:val="nil"/>
              <w:left w:val="nil"/>
              <w:bottom w:val="single" w:sz="8" w:space="0" w:color="414142"/>
              <w:right w:val="single" w:sz="8" w:space="0" w:color="414142"/>
            </w:tcBorders>
            <w:shd w:val="clear" w:color="000000" w:fill="D9D9D9"/>
            <w:vAlign w:val="center"/>
          </w:tcPr>
          <w:p w:rsidR="002A1D7B" w:rsidRPr="007920A6" w:rsidRDefault="002A1D7B" w:rsidP="002A1D7B">
            <w:pPr>
              <w:spacing w:after="0" w:line="240" w:lineRule="auto"/>
              <w:jc w:val="center"/>
              <w:rPr>
                <w:rFonts w:ascii="Times New Roman" w:eastAsia="Times New Roman" w:hAnsi="Times New Roman" w:cs="Times New Roman"/>
                <w:iCs/>
                <w:sz w:val="18"/>
                <w:szCs w:val="18"/>
                <w:lang w:eastAsia="lv-LV"/>
              </w:rPr>
            </w:pPr>
            <w:r w:rsidRPr="007920A6">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2A1D7B" w:rsidRPr="007920A6" w:rsidRDefault="002A1D7B" w:rsidP="002A1D7B">
            <w:pPr>
              <w:spacing w:after="0" w:line="240" w:lineRule="auto"/>
              <w:jc w:val="center"/>
              <w:rPr>
                <w:rFonts w:ascii="Times New Roman" w:eastAsia="Times New Roman" w:hAnsi="Times New Roman" w:cs="Times New Roman"/>
                <w:iCs/>
                <w:sz w:val="18"/>
                <w:szCs w:val="18"/>
                <w:lang w:eastAsia="lv-LV"/>
              </w:rPr>
            </w:pPr>
            <w:r w:rsidRPr="007920A6">
              <w:rPr>
                <w:rFonts w:ascii="Times New Roman" w:eastAsia="Times New Roman" w:hAnsi="Times New Roman" w:cs="Times New Roman"/>
                <w:iCs/>
                <w:sz w:val="18"/>
                <w:szCs w:val="18"/>
                <w:lang w:eastAsia="lv-LV"/>
              </w:rPr>
              <w:t>73 767 131</w:t>
            </w:r>
          </w:p>
        </w:tc>
        <w:tc>
          <w:tcPr>
            <w:tcW w:w="1252" w:type="dxa"/>
            <w:tcBorders>
              <w:top w:val="nil"/>
              <w:left w:val="nil"/>
              <w:bottom w:val="single" w:sz="8" w:space="0" w:color="414142"/>
              <w:right w:val="single" w:sz="8" w:space="0" w:color="414142"/>
            </w:tcBorders>
            <w:shd w:val="clear" w:color="000000" w:fill="D9D9D9"/>
            <w:vAlign w:val="center"/>
          </w:tcPr>
          <w:p w:rsidR="002A1D7B" w:rsidRPr="007920A6" w:rsidRDefault="002A1D7B" w:rsidP="002A1D7B">
            <w:pPr>
              <w:spacing w:after="100" w:afterAutospacing="1" w:line="276" w:lineRule="auto"/>
              <w:jc w:val="center"/>
              <w:rPr>
                <w:rFonts w:ascii="Times New Roman" w:eastAsia="Calibri" w:hAnsi="Times New Roman" w:cs="Times New Roman"/>
                <w:sz w:val="18"/>
                <w:szCs w:val="18"/>
              </w:rPr>
            </w:pPr>
            <w:r w:rsidRPr="007920A6">
              <w:rPr>
                <w:rFonts w:ascii="Times New Roman" w:eastAsia="Calibri" w:hAnsi="Times New Roman" w:cs="Times New Roman"/>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rsidR="002A1D7B" w:rsidRPr="007920A6" w:rsidRDefault="002A1D7B" w:rsidP="002A1D7B">
            <w:pPr>
              <w:spacing w:after="100" w:afterAutospacing="1" w:line="276" w:lineRule="auto"/>
              <w:jc w:val="center"/>
              <w:rPr>
                <w:rFonts w:ascii="Times New Roman" w:eastAsia="Calibri" w:hAnsi="Times New Roman" w:cs="Times New Roman"/>
                <w:sz w:val="18"/>
                <w:szCs w:val="18"/>
              </w:rPr>
            </w:pPr>
            <w:r w:rsidRPr="007920A6">
              <w:rPr>
                <w:rFonts w:ascii="Times New Roman" w:eastAsia="Calibri" w:hAnsi="Times New Roman" w:cs="Times New Roman"/>
                <w:sz w:val="18"/>
                <w:szCs w:val="18"/>
              </w:rPr>
              <w:t>0</w:t>
            </w:r>
          </w:p>
        </w:tc>
      </w:tr>
      <w:tr w:rsidR="002A1D7B" w:rsidRPr="007920A6" w:rsidTr="002A1D7B">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r w:rsidRPr="007920A6">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r w:rsidRPr="007920A6">
              <w:rPr>
                <w:rFonts w:ascii="Times New Roman" w:hAnsi="Times New Roman" w:cs="Times New Roman"/>
                <w:sz w:val="20"/>
                <w:szCs w:val="20"/>
              </w:rPr>
              <w:t>0</w:t>
            </w:r>
          </w:p>
        </w:tc>
        <w:tc>
          <w:tcPr>
            <w:tcW w:w="1157"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r w:rsidRPr="007920A6">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hAnsi="Times New Roman" w:cs="Times New Roman"/>
                <w:sz w:val="20"/>
                <w:szCs w:val="20"/>
              </w:rPr>
              <w:t>0</w:t>
            </w: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100" w:afterAutospacing="1" w:line="276" w:lineRule="auto"/>
              <w:jc w:val="center"/>
              <w:rPr>
                <w:rFonts w:ascii="Times New Roman" w:eastAsia="Calibri" w:hAnsi="Times New Roman" w:cs="Times New Roman"/>
                <w:sz w:val="18"/>
                <w:szCs w:val="18"/>
              </w:rPr>
            </w:pPr>
            <w:r w:rsidRPr="007920A6">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100" w:afterAutospacing="1" w:line="276" w:lineRule="auto"/>
              <w:jc w:val="center"/>
              <w:rPr>
                <w:rFonts w:ascii="Times New Roman" w:eastAsia="Calibri" w:hAnsi="Times New Roman" w:cs="Times New Roman"/>
                <w:sz w:val="18"/>
                <w:szCs w:val="18"/>
              </w:rPr>
            </w:pPr>
            <w:r w:rsidRPr="007920A6">
              <w:rPr>
                <w:rFonts w:ascii="Times New Roman" w:hAnsi="Times New Roman" w:cs="Times New Roman"/>
                <w:sz w:val="18"/>
                <w:szCs w:val="18"/>
              </w:rPr>
              <w:t>0</w:t>
            </w:r>
          </w:p>
        </w:tc>
      </w:tr>
      <w:tr w:rsidR="002A1D7B" w:rsidRPr="007920A6" w:rsidTr="002A1D7B">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rPr>
                <w:rFonts w:ascii="Times New Roman" w:eastAsia="Times New Roman" w:hAnsi="Times New Roman" w:cs="Times New Roman"/>
                <w:i/>
                <w:sz w:val="20"/>
                <w:szCs w:val="20"/>
                <w:lang w:eastAsia="lv-LV"/>
              </w:rPr>
            </w:pPr>
            <w:r w:rsidRPr="007920A6">
              <w:rPr>
                <w:rFonts w:ascii="Times New Roman" w:eastAsia="Times New Roman" w:hAnsi="Times New Roman" w:cs="Times New Roman"/>
                <w:i/>
                <w:sz w:val="20"/>
                <w:szCs w:val="20"/>
                <w:lang w:eastAsia="lv-LV"/>
              </w:rPr>
              <w:t>04.00.00 “Valsts atbalsts sociālajai apdrošināšanai”</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20"/>
                <w:szCs w:val="20"/>
                <w:lang w:eastAsia="lv-LV"/>
              </w:rPr>
            </w:pPr>
            <w:r w:rsidRPr="007920A6">
              <w:rPr>
                <w:rFonts w:ascii="Times New Roman" w:hAnsi="Times New Roman" w:cs="Times New Roman"/>
                <w:i/>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20"/>
                <w:szCs w:val="20"/>
                <w:lang w:eastAsia="lv-LV"/>
              </w:rPr>
            </w:pPr>
            <w:r w:rsidRPr="007920A6">
              <w:rPr>
                <w:rFonts w:ascii="Times New Roman" w:hAnsi="Times New Roman" w:cs="Times New Roman"/>
                <w:i/>
                <w:sz w:val="20"/>
                <w:szCs w:val="20"/>
              </w:rPr>
              <w:t>0</w:t>
            </w:r>
          </w:p>
        </w:tc>
        <w:tc>
          <w:tcPr>
            <w:tcW w:w="1157"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20"/>
                <w:szCs w:val="20"/>
                <w:lang w:eastAsia="lv-LV"/>
              </w:rPr>
            </w:pPr>
            <w:r w:rsidRPr="007920A6">
              <w:rPr>
                <w:rFonts w:ascii="Times New Roman" w:hAnsi="Times New Roman" w:cs="Times New Roman"/>
                <w:i/>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hAnsi="Times New Roman" w:cs="Times New Roman"/>
                <w:i/>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hAnsi="Times New Roman" w:cs="Times New Roman"/>
                <w:i/>
                <w:sz w:val="20"/>
                <w:szCs w:val="20"/>
              </w:rPr>
              <w:t>0</w:t>
            </w: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100" w:afterAutospacing="1" w:line="276" w:lineRule="auto"/>
              <w:jc w:val="center"/>
              <w:rPr>
                <w:rFonts w:ascii="Times New Roman" w:eastAsia="Calibri" w:hAnsi="Times New Roman" w:cs="Times New Roman"/>
                <w:i/>
                <w:sz w:val="18"/>
                <w:szCs w:val="18"/>
              </w:rPr>
            </w:pPr>
            <w:r w:rsidRPr="007920A6">
              <w:rPr>
                <w:rFonts w:ascii="Times New Roman" w:hAnsi="Times New Roman" w:cs="Times New Roman"/>
                <w:i/>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100" w:afterAutospacing="1" w:line="276" w:lineRule="auto"/>
              <w:jc w:val="center"/>
              <w:rPr>
                <w:rFonts w:ascii="Times New Roman" w:eastAsia="Calibri" w:hAnsi="Times New Roman" w:cs="Times New Roman"/>
                <w:i/>
                <w:sz w:val="18"/>
                <w:szCs w:val="18"/>
              </w:rPr>
            </w:pPr>
            <w:r w:rsidRPr="007920A6">
              <w:rPr>
                <w:rFonts w:ascii="Times New Roman" w:hAnsi="Times New Roman" w:cs="Times New Roman"/>
                <w:i/>
                <w:sz w:val="18"/>
                <w:szCs w:val="18"/>
              </w:rPr>
              <w:t>0</w:t>
            </w:r>
          </w:p>
        </w:tc>
      </w:tr>
      <w:tr w:rsidR="002A1D7B" w:rsidRPr="007920A6" w:rsidTr="002A1D7B">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rPr>
                <w:rFonts w:ascii="Times New Roman" w:eastAsia="Times New Roman" w:hAnsi="Times New Roman" w:cs="Times New Roman"/>
                <w:i/>
                <w:sz w:val="20"/>
                <w:szCs w:val="20"/>
                <w:lang w:eastAsia="lv-LV"/>
              </w:rPr>
            </w:pPr>
            <w:r w:rsidRPr="007920A6">
              <w:rPr>
                <w:rFonts w:ascii="Times New Roman" w:eastAsia="Times New Roman" w:hAnsi="Times New Roman" w:cs="Times New Roman"/>
                <w:i/>
                <w:sz w:val="20"/>
                <w:szCs w:val="20"/>
                <w:lang w:eastAsia="lv-LV"/>
              </w:rPr>
              <w:t>97.02.00 "Nozares centralizēto funkciju izpilde"</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20"/>
                <w:szCs w:val="20"/>
                <w:lang w:eastAsia="lv-LV"/>
              </w:rPr>
            </w:pPr>
            <w:r w:rsidRPr="007920A6">
              <w:rPr>
                <w:rFonts w:ascii="Times New Roman" w:hAnsi="Times New Roman" w:cs="Times New Roman"/>
                <w:i/>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20"/>
                <w:szCs w:val="20"/>
                <w:lang w:eastAsia="lv-LV"/>
              </w:rPr>
            </w:pPr>
            <w:r w:rsidRPr="007920A6">
              <w:rPr>
                <w:rFonts w:ascii="Times New Roman" w:hAnsi="Times New Roman" w:cs="Times New Roman"/>
                <w:i/>
                <w:sz w:val="20"/>
                <w:szCs w:val="20"/>
              </w:rPr>
              <w:t>0</w:t>
            </w:r>
          </w:p>
        </w:tc>
        <w:tc>
          <w:tcPr>
            <w:tcW w:w="1157"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20"/>
                <w:szCs w:val="20"/>
                <w:lang w:eastAsia="lv-LV"/>
              </w:rPr>
            </w:pPr>
            <w:r w:rsidRPr="007920A6">
              <w:rPr>
                <w:rFonts w:ascii="Times New Roman" w:hAnsi="Times New Roman" w:cs="Times New Roman"/>
                <w:i/>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hAnsi="Times New Roman" w:cs="Times New Roman"/>
                <w:i/>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hAnsi="Times New Roman" w:cs="Times New Roman"/>
                <w:i/>
                <w:sz w:val="20"/>
                <w:szCs w:val="20"/>
              </w:rPr>
              <w:t>0</w:t>
            </w: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100" w:afterAutospacing="1" w:line="276" w:lineRule="auto"/>
              <w:jc w:val="center"/>
              <w:rPr>
                <w:rFonts w:ascii="Times New Roman" w:eastAsia="Calibri" w:hAnsi="Times New Roman" w:cs="Times New Roman"/>
                <w:i/>
                <w:sz w:val="18"/>
                <w:szCs w:val="18"/>
              </w:rPr>
            </w:pPr>
            <w:r w:rsidRPr="007920A6">
              <w:rPr>
                <w:rFonts w:ascii="Times New Roman" w:hAnsi="Times New Roman" w:cs="Times New Roman"/>
                <w:i/>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100" w:afterAutospacing="1" w:line="276" w:lineRule="auto"/>
              <w:jc w:val="center"/>
              <w:rPr>
                <w:rFonts w:ascii="Times New Roman" w:eastAsia="Calibri" w:hAnsi="Times New Roman" w:cs="Times New Roman"/>
                <w:i/>
                <w:sz w:val="18"/>
                <w:szCs w:val="18"/>
              </w:rPr>
            </w:pPr>
            <w:r w:rsidRPr="007920A6">
              <w:rPr>
                <w:rFonts w:ascii="Times New Roman" w:hAnsi="Times New Roman" w:cs="Times New Roman"/>
                <w:i/>
                <w:sz w:val="18"/>
                <w:szCs w:val="18"/>
              </w:rPr>
              <w:t>0</w:t>
            </w:r>
          </w:p>
        </w:tc>
      </w:tr>
      <w:tr w:rsidR="002A1D7B" w:rsidRPr="007920A6" w:rsidTr="002A1D7B">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1.2. valsts speciālais budžets</w:t>
            </w:r>
          </w:p>
        </w:tc>
        <w:tc>
          <w:tcPr>
            <w:tcW w:w="1134" w:type="dxa"/>
            <w:tcBorders>
              <w:top w:val="nil"/>
              <w:left w:val="nil"/>
              <w:bottom w:val="single" w:sz="8" w:space="0" w:color="414142"/>
              <w:right w:val="single" w:sz="8" w:space="0" w:color="414142"/>
            </w:tcBorders>
            <w:shd w:val="clear" w:color="auto" w:fill="auto"/>
            <w:vAlign w:val="bottom"/>
          </w:tcPr>
          <w:p w:rsidR="002A1D7B" w:rsidRPr="007920A6" w:rsidRDefault="002A1D7B" w:rsidP="002A1D7B">
            <w:pPr>
              <w:jc w:val="center"/>
              <w:rPr>
                <w:rFonts w:ascii="Times New Roman" w:hAnsi="Times New Roman" w:cs="Times New Roman"/>
                <w:sz w:val="18"/>
                <w:szCs w:val="18"/>
              </w:rPr>
            </w:pPr>
            <w:r w:rsidRPr="007920A6">
              <w:rPr>
                <w:rFonts w:ascii="Times New Roman" w:hAnsi="Times New Roman" w:cs="Times New Roman"/>
                <w:sz w:val="18"/>
                <w:szCs w:val="18"/>
              </w:rPr>
              <w:t>57 881 138</w:t>
            </w:r>
          </w:p>
        </w:tc>
        <w:tc>
          <w:tcPr>
            <w:tcW w:w="851" w:type="dxa"/>
            <w:tcBorders>
              <w:top w:val="nil"/>
              <w:left w:val="nil"/>
              <w:bottom w:val="single" w:sz="8" w:space="0" w:color="414142"/>
              <w:right w:val="single" w:sz="8" w:space="0" w:color="414142"/>
            </w:tcBorders>
            <w:shd w:val="clear" w:color="auto" w:fill="auto"/>
            <w:vAlign w:val="bottom"/>
          </w:tcPr>
          <w:p w:rsidR="002A1D7B" w:rsidRPr="007920A6" w:rsidRDefault="002A1D7B" w:rsidP="002A1D7B">
            <w:pPr>
              <w:jc w:val="center"/>
              <w:rPr>
                <w:rFonts w:ascii="Times New Roman" w:hAnsi="Times New Roman" w:cs="Times New Roman"/>
                <w:sz w:val="18"/>
                <w:szCs w:val="18"/>
              </w:rPr>
            </w:pPr>
            <w:r w:rsidRPr="007920A6">
              <w:rPr>
                <w:rFonts w:ascii="Times New Roman" w:hAnsi="Times New Roman" w:cs="Times New Roman"/>
                <w:sz w:val="18"/>
                <w:szCs w:val="18"/>
              </w:rPr>
              <w:t>0</w:t>
            </w:r>
          </w:p>
        </w:tc>
        <w:tc>
          <w:tcPr>
            <w:tcW w:w="1157" w:type="dxa"/>
            <w:tcBorders>
              <w:top w:val="nil"/>
              <w:left w:val="nil"/>
              <w:bottom w:val="single" w:sz="8" w:space="0" w:color="414142"/>
              <w:right w:val="single" w:sz="8" w:space="0" w:color="414142"/>
            </w:tcBorders>
            <w:shd w:val="clear" w:color="auto" w:fill="auto"/>
            <w:vAlign w:val="bottom"/>
          </w:tcPr>
          <w:p w:rsidR="002A1D7B" w:rsidRPr="007920A6" w:rsidRDefault="002A1D7B" w:rsidP="002A1D7B">
            <w:pPr>
              <w:jc w:val="center"/>
              <w:rPr>
                <w:rFonts w:ascii="Times New Roman" w:hAnsi="Times New Roman" w:cs="Times New Roman"/>
                <w:sz w:val="18"/>
                <w:szCs w:val="18"/>
              </w:rPr>
            </w:pPr>
            <w:r w:rsidRPr="007920A6">
              <w:rPr>
                <w:rFonts w:ascii="Times New Roman" w:hAnsi="Times New Roman" w:cs="Times New Roman"/>
                <w:sz w:val="18"/>
                <w:szCs w:val="18"/>
              </w:rPr>
              <w:t>65 375 183</w:t>
            </w:r>
          </w:p>
        </w:tc>
        <w:tc>
          <w:tcPr>
            <w:tcW w:w="1134" w:type="dxa"/>
            <w:tcBorders>
              <w:top w:val="nil"/>
              <w:left w:val="nil"/>
              <w:bottom w:val="single" w:sz="8" w:space="0" w:color="414142"/>
              <w:right w:val="single" w:sz="8" w:space="0" w:color="414142"/>
            </w:tcBorders>
            <w:shd w:val="clear" w:color="auto" w:fill="auto"/>
            <w:vAlign w:val="bottom"/>
          </w:tcPr>
          <w:p w:rsidR="002A1D7B" w:rsidRPr="007920A6" w:rsidRDefault="002A1D7B" w:rsidP="002A1D7B">
            <w:pPr>
              <w:jc w:val="center"/>
              <w:rPr>
                <w:rFonts w:ascii="Times New Roman" w:hAnsi="Times New Roman" w:cs="Times New Roman"/>
                <w:sz w:val="18"/>
                <w:szCs w:val="18"/>
              </w:rPr>
            </w:pPr>
            <w:r w:rsidRPr="007920A6">
              <w:rPr>
                <w:rFonts w:ascii="Times New Roman" w:hAnsi="Times New Roman" w:cs="Times New Roman"/>
                <w:sz w:val="18"/>
                <w:szCs w:val="18"/>
              </w:rPr>
              <w:t>1 315 577</w:t>
            </w:r>
          </w:p>
        </w:tc>
        <w:tc>
          <w:tcPr>
            <w:tcW w:w="1134" w:type="dxa"/>
            <w:tcBorders>
              <w:top w:val="nil"/>
              <w:left w:val="nil"/>
              <w:bottom w:val="single" w:sz="8" w:space="0" w:color="414142"/>
              <w:right w:val="single" w:sz="8" w:space="0" w:color="414142"/>
            </w:tcBorders>
            <w:shd w:val="clear" w:color="auto" w:fill="auto"/>
            <w:vAlign w:val="bottom"/>
          </w:tcPr>
          <w:p w:rsidR="002A1D7B" w:rsidRPr="007920A6" w:rsidRDefault="002A1D7B" w:rsidP="002A1D7B">
            <w:pPr>
              <w:jc w:val="center"/>
              <w:rPr>
                <w:rFonts w:ascii="Times New Roman" w:hAnsi="Times New Roman" w:cs="Times New Roman"/>
                <w:sz w:val="18"/>
                <w:szCs w:val="18"/>
              </w:rPr>
            </w:pPr>
            <w:r w:rsidRPr="007920A6">
              <w:rPr>
                <w:rFonts w:ascii="Times New Roman" w:hAnsi="Times New Roman" w:cs="Times New Roman"/>
                <w:sz w:val="18"/>
                <w:szCs w:val="18"/>
              </w:rPr>
              <w:t>73 767 131</w:t>
            </w:r>
          </w:p>
        </w:tc>
        <w:tc>
          <w:tcPr>
            <w:tcW w:w="1252" w:type="dxa"/>
            <w:tcBorders>
              <w:top w:val="nil"/>
              <w:left w:val="nil"/>
              <w:bottom w:val="single" w:sz="8" w:space="0" w:color="414142"/>
              <w:right w:val="single" w:sz="8" w:space="0" w:color="414142"/>
            </w:tcBorders>
            <w:shd w:val="clear" w:color="auto" w:fill="auto"/>
            <w:vAlign w:val="bottom"/>
          </w:tcPr>
          <w:p w:rsidR="002A1D7B" w:rsidRPr="007920A6" w:rsidRDefault="002A1D7B" w:rsidP="002A1D7B">
            <w:pPr>
              <w:jc w:val="center"/>
              <w:rPr>
                <w:rFonts w:ascii="Times New Roman" w:hAnsi="Times New Roman" w:cs="Times New Roman"/>
                <w:sz w:val="18"/>
                <w:szCs w:val="18"/>
              </w:rPr>
            </w:pPr>
            <w:r w:rsidRPr="007920A6">
              <w:rPr>
                <w:rFonts w:ascii="Times New Roman" w:hAnsi="Times New Roman" w:cs="Times New Roman"/>
                <w:sz w:val="18"/>
                <w:szCs w:val="18"/>
              </w:rPr>
              <w:t>1 342 328</w:t>
            </w:r>
          </w:p>
        </w:tc>
        <w:tc>
          <w:tcPr>
            <w:tcW w:w="1560" w:type="dxa"/>
            <w:tcBorders>
              <w:top w:val="nil"/>
              <w:left w:val="nil"/>
              <w:bottom w:val="single" w:sz="8" w:space="0" w:color="414142"/>
              <w:right w:val="single" w:sz="8" w:space="0" w:color="414142"/>
            </w:tcBorders>
            <w:shd w:val="clear" w:color="auto" w:fill="auto"/>
            <w:vAlign w:val="bottom"/>
          </w:tcPr>
          <w:p w:rsidR="002A1D7B" w:rsidRPr="007920A6" w:rsidRDefault="002A1D7B" w:rsidP="002A1D7B">
            <w:pPr>
              <w:jc w:val="center"/>
              <w:rPr>
                <w:rFonts w:ascii="Times New Roman" w:hAnsi="Times New Roman" w:cs="Times New Roman"/>
                <w:sz w:val="18"/>
                <w:szCs w:val="18"/>
              </w:rPr>
            </w:pPr>
            <w:r w:rsidRPr="007920A6">
              <w:rPr>
                <w:rFonts w:ascii="Times New Roman" w:hAnsi="Times New Roman" w:cs="Times New Roman"/>
                <w:sz w:val="18"/>
                <w:szCs w:val="18"/>
              </w:rPr>
              <w:t>1 370 651</w:t>
            </w:r>
          </w:p>
        </w:tc>
      </w:tr>
      <w:tr w:rsidR="002A1D7B" w:rsidRPr="007920A6" w:rsidTr="002A1D7B">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rPr>
                <w:rFonts w:ascii="Times New Roman" w:eastAsia="Times New Roman" w:hAnsi="Times New Roman" w:cs="Times New Roman"/>
                <w:i/>
                <w:sz w:val="20"/>
                <w:szCs w:val="20"/>
                <w:lang w:eastAsia="lv-LV"/>
              </w:rPr>
            </w:pPr>
            <w:r w:rsidRPr="007920A6">
              <w:rPr>
                <w:rFonts w:ascii="Times New Roman" w:eastAsia="Times New Roman" w:hAnsi="Times New Roman" w:cs="Times New Roman"/>
                <w:i/>
                <w:iCs/>
                <w:sz w:val="20"/>
                <w:szCs w:val="20"/>
                <w:lang w:eastAsia="lv-LV"/>
              </w:rPr>
              <w:t>04.03.00 “Darba negadījumu speciālais budžets”</w:t>
            </w:r>
          </w:p>
        </w:tc>
        <w:tc>
          <w:tcPr>
            <w:tcW w:w="1134" w:type="dxa"/>
            <w:tcBorders>
              <w:top w:val="nil"/>
              <w:left w:val="nil"/>
              <w:bottom w:val="single" w:sz="8" w:space="0" w:color="414142"/>
              <w:right w:val="single" w:sz="8" w:space="0" w:color="414142"/>
            </w:tcBorders>
            <w:shd w:val="clear" w:color="auto" w:fill="auto"/>
            <w:vAlign w:val="bottom"/>
          </w:tcPr>
          <w:p w:rsidR="002A1D7B" w:rsidRPr="007920A6" w:rsidRDefault="002A1D7B" w:rsidP="002A1D7B">
            <w:pPr>
              <w:jc w:val="center"/>
              <w:rPr>
                <w:rFonts w:ascii="Times New Roman" w:hAnsi="Times New Roman" w:cs="Times New Roman"/>
                <w:i/>
                <w:sz w:val="18"/>
                <w:szCs w:val="18"/>
              </w:rPr>
            </w:pPr>
            <w:r w:rsidRPr="007920A6">
              <w:rPr>
                <w:rFonts w:ascii="Times New Roman" w:hAnsi="Times New Roman" w:cs="Times New Roman"/>
                <w:i/>
                <w:sz w:val="18"/>
                <w:szCs w:val="18"/>
              </w:rPr>
              <w:t>56 504 315</w:t>
            </w:r>
          </w:p>
        </w:tc>
        <w:tc>
          <w:tcPr>
            <w:tcW w:w="851" w:type="dxa"/>
            <w:tcBorders>
              <w:top w:val="nil"/>
              <w:left w:val="nil"/>
              <w:bottom w:val="single" w:sz="8" w:space="0" w:color="414142"/>
              <w:right w:val="single" w:sz="8" w:space="0" w:color="414142"/>
            </w:tcBorders>
            <w:shd w:val="clear" w:color="auto" w:fill="auto"/>
            <w:vAlign w:val="bottom"/>
          </w:tcPr>
          <w:p w:rsidR="002A1D7B" w:rsidRPr="007920A6" w:rsidRDefault="002A1D7B" w:rsidP="002A1D7B">
            <w:pPr>
              <w:jc w:val="center"/>
              <w:rPr>
                <w:rFonts w:ascii="Times New Roman" w:hAnsi="Times New Roman" w:cs="Times New Roman"/>
                <w:i/>
                <w:sz w:val="18"/>
                <w:szCs w:val="18"/>
              </w:rPr>
            </w:pPr>
            <w:r w:rsidRPr="007920A6">
              <w:rPr>
                <w:rFonts w:ascii="Times New Roman" w:hAnsi="Times New Roman" w:cs="Times New Roman"/>
                <w:i/>
                <w:sz w:val="18"/>
                <w:szCs w:val="18"/>
              </w:rPr>
              <w:t>0</w:t>
            </w:r>
          </w:p>
        </w:tc>
        <w:tc>
          <w:tcPr>
            <w:tcW w:w="1157" w:type="dxa"/>
            <w:tcBorders>
              <w:top w:val="nil"/>
              <w:left w:val="nil"/>
              <w:bottom w:val="single" w:sz="8" w:space="0" w:color="414142"/>
              <w:right w:val="single" w:sz="8" w:space="0" w:color="414142"/>
            </w:tcBorders>
            <w:shd w:val="clear" w:color="auto" w:fill="auto"/>
            <w:vAlign w:val="bottom"/>
          </w:tcPr>
          <w:p w:rsidR="002A1D7B" w:rsidRPr="007920A6" w:rsidRDefault="002A1D7B" w:rsidP="002A1D7B">
            <w:pPr>
              <w:jc w:val="center"/>
              <w:rPr>
                <w:rFonts w:ascii="Times New Roman" w:hAnsi="Times New Roman" w:cs="Times New Roman"/>
                <w:i/>
                <w:sz w:val="18"/>
                <w:szCs w:val="18"/>
              </w:rPr>
            </w:pPr>
            <w:r w:rsidRPr="007920A6">
              <w:rPr>
                <w:rFonts w:ascii="Times New Roman" w:hAnsi="Times New Roman" w:cs="Times New Roman"/>
                <w:i/>
                <w:sz w:val="18"/>
                <w:szCs w:val="18"/>
              </w:rPr>
              <w:t>63 941 094</w:t>
            </w:r>
          </w:p>
        </w:tc>
        <w:tc>
          <w:tcPr>
            <w:tcW w:w="1134" w:type="dxa"/>
            <w:tcBorders>
              <w:top w:val="nil"/>
              <w:left w:val="nil"/>
              <w:bottom w:val="single" w:sz="8" w:space="0" w:color="414142"/>
              <w:right w:val="single" w:sz="8" w:space="0" w:color="414142"/>
            </w:tcBorders>
            <w:shd w:val="clear" w:color="auto" w:fill="auto"/>
            <w:vAlign w:val="bottom"/>
          </w:tcPr>
          <w:p w:rsidR="002A1D7B" w:rsidRPr="007920A6" w:rsidRDefault="002A1D7B" w:rsidP="002A1D7B">
            <w:pPr>
              <w:jc w:val="center"/>
              <w:rPr>
                <w:rFonts w:ascii="Times New Roman" w:hAnsi="Times New Roman" w:cs="Times New Roman"/>
                <w:i/>
                <w:sz w:val="18"/>
                <w:szCs w:val="18"/>
              </w:rPr>
            </w:pPr>
            <w:r w:rsidRPr="007920A6">
              <w:rPr>
                <w:rFonts w:ascii="Times New Roman" w:hAnsi="Times New Roman" w:cs="Times New Roman"/>
                <w:i/>
                <w:sz w:val="18"/>
                <w:szCs w:val="18"/>
              </w:rPr>
              <w:t>901 052</w:t>
            </w:r>
          </w:p>
          <w:p w:rsidR="002A1D7B" w:rsidRPr="007920A6" w:rsidRDefault="002A1D7B" w:rsidP="002A1D7B">
            <w:pPr>
              <w:jc w:val="center"/>
              <w:rPr>
                <w:rFonts w:ascii="Times New Roman" w:hAnsi="Times New Roman" w:cs="Times New Roman"/>
                <w:i/>
                <w:sz w:val="18"/>
                <w:szCs w:val="18"/>
              </w:rPr>
            </w:pPr>
            <w:r w:rsidRPr="007920A6">
              <w:rPr>
                <w:rFonts w:ascii="Times New Roman" w:hAnsi="Times New Roman" w:cs="Times New Roman"/>
                <w:i/>
                <w:sz w:val="14"/>
                <w:szCs w:val="14"/>
              </w:rPr>
              <w:t>(konsolidējamā pozīcija)</w:t>
            </w:r>
          </w:p>
        </w:tc>
        <w:tc>
          <w:tcPr>
            <w:tcW w:w="1134" w:type="dxa"/>
            <w:tcBorders>
              <w:top w:val="nil"/>
              <w:left w:val="nil"/>
              <w:bottom w:val="single" w:sz="8" w:space="0" w:color="414142"/>
              <w:right w:val="single" w:sz="8" w:space="0" w:color="414142"/>
            </w:tcBorders>
            <w:shd w:val="clear" w:color="auto" w:fill="auto"/>
            <w:vAlign w:val="bottom"/>
          </w:tcPr>
          <w:p w:rsidR="002A1D7B" w:rsidRPr="007920A6" w:rsidRDefault="002A1D7B" w:rsidP="002A1D7B">
            <w:pPr>
              <w:jc w:val="center"/>
              <w:rPr>
                <w:rFonts w:ascii="Times New Roman" w:hAnsi="Times New Roman" w:cs="Times New Roman"/>
                <w:i/>
                <w:sz w:val="18"/>
                <w:szCs w:val="18"/>
              </w:rPr>
            </w:pPr>
            <w:r w:rsidRPr="007920A6">
              <w:rPr>
                <w:rFonts w:ascii="Times New Roman" w:hAnsi="Times New Roman" w:cs="Times New Roman"/>
                <w:i/>
                <w:sz w:val="18"/>
                <w:szCs w:val="18"/>
              </w:rPr>
              <w:t>72 280 043</w:t>
            </w:r>
          </w:p>
        </w:tc>
        <w:tc>
          <w:tcPr>
            <w:tcW w:w="1252" w:type="dxa"/>
            <w:tcBorders>
              <w:top w:val="nil"/>
              <w:left w:val="nil"/>
              <w:bottom w:val="single" w:sz="8" w:space="0" w:color="414142"/>
              <w:right w:val="single" w:sz="8" w:space="0" w:color="414142"/>
            </w:tcBorders>
            <w:shd w:val="clear" w:color="auto" w:fill="auto"/>
            <w:vAlign w:val="bottom"/>
          </w:tcPr>
          <w:p w:rsidR="002A1D7B" w:rsidRPr="007920A6" w:rsidRDefault="002A1D7B" w:rsidP="002A1D7B">
            <w:pPr>
              <w:jc w:val="center"/>
              <w:rPr>
                <w:rFonts w:ascii="Times New Roman" w:hAnsi="Times New Roman" w:cs="Times New Roman"/>
                <w:i/>
                <w:sz w:val="18"/>
                <w:szCs w:val="18"/>
              </w:rPr>
            </w:pPr>
            <w:r w:rsidRPr="007920A6">
              <w:rPr>
                <w:rFonts w:ascii="Times New Roman" w:hAnsi="Times New Roman" w:cs="Times New Roman"/>
                <w:i/>
                <w:sz w:val="18"/>
                <w:szCs w:val="18"/>
              </w:rPr>
              <w:t>927 803</w:t>
            </w:r>
          </w:p>
          <w:p w:rsidR="002A1D7B" w:rsidRPr="007920A6" w:rsidRDefault="002A1D7B" w:rsidP="002A1D7B">
            <w:pPr>
              <w:jc w:val="center"/>
              <w:rPr>
                <w:rFonts w:ascii="Times New Roman" w:hAnsi="Times New Roman" w:cs="Times New Roman"/>
                <w:i/>
                <w:sz w:val="18"/>
                <w:szCs w:val="18"/>
              </w:rPr>
            </w:pPr>
            <w:r w:rsidRPr="007920A6">
              <w:rPr>
                <w:rFonts w:ascii="Times New Roman" w:hAnsi="Times New Roman" w:cs="Times New Roman"/>
                <w:i/>
                <w:sz w:val="14"/>
                <w:szCs w:val="14"/>
              </w:rPr>
              <w:t>(konsolidējamā pozīcija)</w:t>
            </w:r>
          </w:p>
        </w:tc>
        <w:tc>
          <w:tcPr>
            <w:tcW w:w="1560" w:type="dxa"/>
            <w:tcBorders>
              <w:top w:val="nil"/>
              <w:left w:val="nil"/>
              <w:bottom w:val="single" w:sz="8" w:space="0" w:color="414142"/>
              <w:right w:val="single" w:sz="8" w:space="0" w:color="414142"/>
            </w:tcBorders>
            <w:shd w:val="clear" w:color="auto" w:fill="auto"/>
            <w:vAlign w:val="bottom"/>
          </w:tcPr>
          <w:p w:rsidR="002A1D7B" w:rsidRPr="007920A6" w:rsidRDefault="002A1D7B" w:rsidP="002A1D7B">
            <w:pPr>
              <w:jc w:val="center"/>
              <w:rPr>
                <w:rFonts w:ascii="Times New Roman" w:hAnsi="Times New Roman" w:cs="Times New Roman"/>
                <w:i/>
                <w:sz w:val="18"/>
                <w:szCs w:val="18"/>
              </w:rPr>
            </w:pPr>
            <w:r w:rsidRPr="007920A6">
              <w:rPr>
                <w:rFonts w:ascii="Times New Roman" w:hAnsi="Times New Roman" w:cs="Times New Roman"/>
                <w:i/>
                <w:sz w:val="18"/>
                <w:szCs w:val="18"/>
              </w:rPr>
              <w:t>956 126</w:t>
            </w:r>
          </w:p>
          <w:p w:rsidR="002A1D7B" w:rsidRPr="007920A6" w:rsidRDefault="002A1D7B" w:rsidP="002A1D7B">
            <w:pPr>
              <w:jc w:val="center"/>
              <w:rPr>
                <w:rFonts w:ascii="Times New Roman" w:hAnsi="Times New Roman" w:cs="Times New Roman"/>
                <w:i/>
                <w:sz w:val="18"/>
                <w:szCs w:val="18"/>
              </w:rPr>
            </w:pPr>
            <w:r w:rsidRPr="007920A6">
              <w:rPr>
                <w:rFonts w:ascii="Times New Roman" w:hAnsi="Times New Roman" w:cs="Times New Roman"/>
                <w:i/>
                <w:sz w:val="14"/>
                <w:szCs w:val="14"/>
              </w:rPr>
              <w:t>(konsolidējamā pozīcija)</w:t>
            </w:r>
          </w:p>
        </w:tc>
      </w:tr>
      <w:tr w:rsidR="002A1D7B" w:rsidRPr="007920A6" w:rsidTr="002A1D7B">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rPr>
                <w:rFonts w:ascii="Times New Roman" w:eastAsia="Times New Roman" w:hAnsi="Times New Roman" w:cs="Times New Roman"/>
                <w:i/>
                <w:iCs/>
                <w:sz w:val="20"/>
                <w:szCs w:val="20"/>
                <w:lang w:eastAsia="lv-LV"/>
              </w:rPr>
            </w:pPr>
            <w:r w:rsidRPr="007920A6">
              <w:rPr>
                <w:rFonts w:ascii="Times New Roman" w:eastAsia="Times New Roman" w:hAnsi="Times New Roman" w:cs="Times New Roman"/>
                <w:i/>
                <w:iCs/>
                <w:sz w:val="20"/>
                <w:szCs w:val="20"/>
                <w:lang w:eastAsia="lv-LV"/>
              </w:rPr>
              <w:t>04.04.00 “Invaliditātes, maternitātes</w:t>
            </w:r>
          </w:p>
          <w:p w:rsidR="002A1D7B" w:rsidRPr="007920A6" w:rsidRDefault="002A1D7B" w:rsidP="002A1D7B">
            <w:pPr>
              <w:spacing w:after="0" w:line="240" w:lineRule="auto"/>
              <w:rPr>
                <w:rFonts w:ascii="Times New Roman" w:eastAsia="Times New Roman" w:hAnsi="Times New Roman" w:cs="Times New Roman"/>
                <w:i/>
                <w:iCs/>
                <w:sz w:val="20"/>
                <w:szCs w:val="20"/>
                <w:lang w:eastAsia="lv-LV"/>
              </w:rPr>
            </w:pPr>
            <w:r w:rsidRPr="007920A6">
              <w:rPr>
                <w:rFonts w:ascii="Times New Roman" w:eastAsia="Times New Roman" w:hAnsi="Times New Roman" w:cs="Times New Roman"/>
                <w:i/>
                <w:iCs/>
                <w:sz w:val="20"/>
                <w:szCs w:val="20"/>
                <w:lang w:eastAsia="lv-LV"/>
              </w:rPr>
              <w:t>un slimības speciālais</w:t>
            </w:r>
          </w:p>
          <w:p w:rsidR="002A1D7B" w:rsidRPr="007920A6" w:rsidRDefault="002A1D7B" w:rsidP="002A1D7B">
            <w:pPr>
              <w:spacing w:after="0" w:line="240" w:lineRule="auto"/>
              <w:rPr>
                <w:rFonts w:ascii="Times New Roman" w:eastAsia="Times New Roman" w:hAnsi="Times New Roman" w:cs="Times New Roman"/>
                <w:i/>
                <w:iCs/>
                <w:sz w:val="20"/>
                <w:szCs w:val="20"/>
                <w:lang w:eastAsia="lv-LV"/>
              </w:rPr>
            </w:pPr>
            <w:r w:rsidRPr="007920A6">
              <w:rPr>
                <w:rFonts w:ascii="Times New Roman" w:eastAsia="Times New Roman" w:hAnsi="Times New Roman" w:cs="Times New Roman"/>
                <w:i/>
                <w:iCs/>
                <w:sz w:val="20"/>
                <w:szCs w:val="20"/>
                <w:lang w:eastAsia="lv-LV"/>
              </w:rPr>
              <w:t>budžets”</w:t>
            </w:r>
          </w:p>
        </w:tc>
        <w:tc>
          <w:tcPr>
            <w:tcW w:w="1134" w:type="dxa"/>
            <w:tcBorders>
              <w:top w:val="nil"/>
              <w:left w:val="nil"/>
              <w:bottom w:val="single" w:sz="8" w:space="0" w:color="414142"/>
              <w:right w:val="single" w:sz="8" w:space="0" w:color="414142"/>
            </w:tcBorders>
            <w:shd w:val="clear" w:color="auto" w:fill="auto"/>
            <w:vAlign w:val="bottom"/>
          </w:tcPr>
          <w:p w:rsidR="002A1D7B" w:rsidRPr="007920A6" w:rsidRDefault="002A1D7B" w:rsidP="002A1D7B">
            <w:pPr>
              <w:jc w:val="center"/>
              <w:rPr>
                <w:rFonts w:ascii="Times New Roman" w:hAnsi="Times New Roman" w:cs="Times New Roman"/>
                <w:i/>
                <w:sz w:val="18"/>
                <w:szCs w:val="18"/>
              </w:rPr>
            </w:pPr>
            <w:r w:rsidRPr="007920A6">
              <w:rPr>
                <w:rFonts w:ascii="Times New Roman" w:hAnsi="Times New Roman" w:cs="Times New Roman"/>
                <w:i/>
                <w:sz w:val="18"/>
                <w:szCs w:val="18"/>
              </w:rPr>
              <w:t>1 376 823</w:t>
            </w:r>
          </w:p>
        </w:tc>
        <w:tc>
          <w:tcPr>
            <w:tcW w:w="851" w:type="dxa"/>
            <w:tcBorders>
              <w:top w:val="nil"/>
              <w:left w:val="nil"/>
              <w:bottom w:val="single" w:sz="8" w:space="0" w:color="414142"/>
              <w:right w:val="single" w:sz="8" w:space="0" w:color="414142"/>
            </w:tcBorders>
            <w:shd w:val="clear" w:color="auto" w:fill="auto"/>
            <w:vAlign w:val="bottom"/>
          </w:tcPr>
          <w:p w:rsidR="002A1D7B" w:rsidRPr="007920A6" w:rsidRDefault="002A1D7B" w:rsidP="002A1D7B">
            <w:pPr>
              <w:jc w:val="center"/>
              <w:rPr>
                <w:rFonts w:ascii="Times New Roman" w:hAnsi="Times New Roman" w:cs="Times New Roman"/>
                <w:i/>
                <w:sz w:val="18"/>
                <w:szCs w:val="18"/>
              </w:rPr>
            </w:pPr>
            <w:r w:rsidRPr="007920A6">
              <w:rPr>
                <w:rFonts w:ascii="Times New Roman" w:hAnsi="Times New Roman" w:cs="Times New Roman"/>
                <w:i/>
                <w:sz w:val="18"/>
                <w:szCs w:val="18"/>
              </w:rPr>
              <w:t>0</w:t>
            </w:r>
          </w:p>
        </w:tc>
        <w:tc>
          <w:tcPr>
            <w:tcW w:w="1157" w:type="dxa"/>
            <w:tcBorders>
              <w:top w:val="nil"/>
              <w:left w:val="nil"/>
              <w:bottom w:val="single" w:sz="8" w:space="0" w:color="414142"/>
              <w:right w:val="single" w:sz="8" w:space="0" w:color="414142"/>
            </w:tcBorders>
            <w:shd w:val="clear" w:color="auto" w:fill="auto"/>
            <w:vAlign w:val="bottom"/>
          </w:tcPr>
          <w:p w:rsidR="002A1D7B" w:rsidRPr="007920A6" w:rsidRDefault="002A1D7B" w:rsidP="002A1D7B">
            <w:pPr>
              <w:jc w:val="center"/>
              <w:rPr>
                <w:rFonts w:ascii="Times New Roman" w:hAnsi="Times New Roman" w:cs="Times New Roman"/>
                <w:i/>
                <w:sz w:val="18"/>
                <w:szCs w:val="18"/>
              </w:rPr>
            </w:pPr>
            <w:r w:rsidRPr="007920A6">
              <w:rPr>
                <w:rFonts w:ascii="Times New Roman" w:hAnsi="Times New Roman" w:cs="Times New Roman"/>
                <w:i/>
                <w:sz w:val="18"/>
                <w:szCs w:val="18"/>
              </w:rPr>
              <w:t>1 434 089</w:t>
            </w:r>
          </w:p>
        </w:tc>
        <w:tc>
          <w:tcPr>
            <w:tcW w:w="1134" w:type="dxa"/>
            <w:tcBorders>
              <w:top w:val="nil"/>
              <w:left w:val="nil"/>
              <w:bottom w:val="single" w:sz="8" w:space="0" w:color="414142"/>
              <w:right w:val="single" w:sz="8" w:space="0" w:color="414142"/>
            </w:tcBorders>
            <w:shd w:val="clear" w:color="auto" w:fill="auto"/>
            <w:vAlign w:val="bottom"/>
          </w:tcPr>
          <w:p w:rsidR="002A1D7B" w:rsidRPr="007920A6" w:rsidRDefault="002A1D7B" w:rsidP="002A1D7B">
            <w:pPr>
              <w:jc w:val="center"/>
              <w:rPr>
                <w:rFonts w:ascii="Times New Roman" w:hAnsi="Times New Roman" w:cs="Times New Roman"/>
                <w:i/>
                <w:sz w:val="18"/>
                <w:szCs w:val="18"/>
              </w:rPr>
            </w:pPr>
            <w:r w:rsidRPr="007920A6">
              <w:rPr>
                <w:rFonts w:ascii="Times New Roman" w:hAnsi="Times New Roman" w:cs="Times New Roman"/>
                <w:i/>
                <w:sz w:val="18"/>
                <w:szCs w:val="18"/>
              </w:rPr>
              <w:t>414 525</w:t>
            </w:r>
          </w:p>
          <w:p w:rsidR="002A1D7B" w:rsidRPr="007920A6" w:rsidRDefault="002A1D7B" w:rsidP="002A1D7B">
            <w:pPr>
              <w:jc w:val="center"/>
              <w:rPr>
                <w:rFonts w:ascii="Times New Roman" w:hAnsi="Times New Roman" w:cs="Times New Roman"/>
                <w:i/>
                <w:sz w:val="18"/>
                <w:szCs w:val="18"/>
              </w:rPr>
            </w:pPr>
            <w:r w:rsidRPr="007920A6">
              <w:rPr>
                <w:rFonts w:ascii="Times New Roman" w:hAnsi="Times New Roman" w:cs="Times New Roman"/>
                <w:i/>
                <w:sz w:val="14"/>
                <w:szCs w:val="14"/>
              </w:rPr>
              <w:t>(konsolidējamā pozīcija)</w:t>
            </w:r>
          </w:p>
        </w:tc>
        <w:tc>
          <w:tcPr>
            <w:tcW w:w="1134" w:type="dxa"/>
            <w:tcBorders>
              <w:top w:val="nil"/>
              <w:left w:val="nil"/>
              <w:bottom w:val="single" w:sz="8" w:space="0" w:color="414142"/>
              <w:right w:val="single" w:sz="8" w:space="0" w:color="414142"/>
            </w:tcBorders>
            <w:shd w:val="clear" w:color="auto" w:fill="auto"/>
            <w:vAlign w:val="bottom"/>
          </w:tcPr>
          <w:p w:rsidR="002A1D7B" w:rsidRPr="007920A6" w:rsidRDefault="002A1D7B" w:rsidP="002A1D7B">
            <w:pPr>
              <w:jc w:val="center"/>
              <w:rPr>
                <w:rFonts w:ascii="Times New Roman" w:hAnsi="Times New Roman" w:cs="Times New Roman"/>
                <w:i/>
                <w:sz w:val="18"/>
                <w:szCs w:val="18"/>
              </w:rPr>
            </w:pPr>
            <w:r w:rsidRPr="007920A6">
              <w:rPr>
                <w:rFonts w:ascii="Times New Roman" w:hAnsi="Times New Roman" w:cs="Times New Roman"/>
                <w:i/>
                <w:sz w:val="18"/>
                <w:szCs w:val="18"/>
              </w:rPr>
              <w:t>1 487 088</w:t>
            </w:r>
          </w:p>
        </w:tc>
        <w:tc>
          <w:tcPr>
            <w:tcW w:w="1252" w:type="dxa"/>
            <w:tcBorders>
              <w:top w:val="nil"/>
              <w:left w:val="nil"/>
              <w:bottom w:val="single" w:sz="8" w:space="0" w:color="414142"/>
              <w:right w:val="single" w:sz="8" w:space="0" w:color="414142"/>
            </w:tcBorders>
            <w:shd w:val="clear" w:color="auto" w:fill="auto"/>
            <w:vAlign w:val="bottom"/>
          </w:tcPr>
          <w:p w:rsidR="002A1D7B" w:rsidRPr="007920A6" w:rsidRDefault="002A1D7B" w:rsidP="002A1D7B">
            <w:pPr>
              <w:jc w:val="center"/>
              <w:rPr>
                <w:rFonts w:ascii="Times New Roman" w:hAnsi="Times New Roman" w:cs="Times New Roman"/>
                <w:i/>
                <w:sz w:val="18"/>
                <w:szCs w:val="18"/>
              </w:rPr>
            </w:pPr>
            <w:r w:rsidRPr="007920A6">
              <w:rPr>
                <w:rFonts w:ascii="Times New Roman" w:hAnsi="Times New Roman" w:cs="Times New Roman"/>
                <w:i/>
                <w:sz w:val="18"/>
                <w:szCs w:val="18"/>
              </w:rPr>
              <w:t>414 525</w:t>
            </w:r>
          </w:p>
          <w:p w:rsidR="002A1D7B" w:rsidRPr="007920A6" w:rsidRDefault="002A1D7B" w:rsidP="002A1D7B">
            <w:pPr>
              <w:jc w:val="center"/>
              <w:rPr>
                <w:rFonts w:ascii="Times New Roman" w:hAnsi="Times New Roman" w:cs="Times New Roman"/>
                <w:i/>
                <w:sz w:val="18"/>
                <w:szCs w:val="18"/>
              </w:rPr>
            </w:pPr>
            <w:r w:rsidRPr="007920A6">
              <w:rPr>
                <w:rFonts w:ascii="Times New Roman" w:hAnsi="Times New Roman" w:cs="Times New Roman"/>
                <w:i/>
                <w:sz w:val="14"/>
                <w:szCs w:val="14"/>
              </w:rPr>
              <w:t>(konsolidējamā pozīcija)</w:t>
            </w:r>
          </w:p>
        </w:tc>
        <w:tc>
          <w:tcPr>
            <w:tcW w:w="1560" w:type="dxa"/>
            <w:tcBorders>
              <w:top w:val="nil"/>
              <w:left w:val="nil"/>
              <w:bottom w:val="single" w:sz="8" w:space="0" w:color="414142"/>
              <w:right w:val="single" w:sz="8" w:space="0" w:color="414142"/>
            </w:tcBorders>
            <w:shd w:val="clear" w:color="auto" w:fill="auto"/>
            <w:vAlign w:val="bottom"/>
          </w:tcPr>
          <w:p w:rsidR="002A1D7B" w:rsidRPr="007920A6" w:rsidRDefault="002A1D7B" w:rsidP="002A1D7B">
            <w:pPr>
              <w:jc w:val="center"/>
              <w:rPr>
                <w:rFonts w:ascii="Times New Roman" w:hAnsi="Times New Roman" w:cs="Times New Roman"/>
                <w:i/>
                <w:sz w:val="18"/>
                <w:szCs w:val="18"/>
              </w:rPr>
            </w:pPr>
            <w:r w:rsidRPr="007920A6">
              <w:rPr>
                <w:rFonts w:ascii="Times New Roman" w:hAnsi="Times New Roman" w:cs="Times New Roman"/>
                <w:i/>
                <w:sz w:val="18"/>
                <w:szCs w:val="18"/>
              </w:rPr>
              <w:t>414 525</w:t>
            </w:r>
          </w:p>
          <w:p w:rsidR="002A1D7B" w:rsidRPr="007920A6" w:rsidRDefault="002A1D7B" w:rsidP="002A1D7B">
            <w:pPr>
              <w:jc w:val="center"/>
              <w:rPr>
                <w:rFonts w:ascii="Times New Roman" w:hAnsi="Times New Roman" w:cs="Times New Roman"/>
                <w:i/>
                <w:sz w:val="18"/>
                <w:szCs w:val="18"/>
              </w:rPr>
            </w:pPr>
            <w:r w:rsidRPr="007920A6">
              <w:rPr>
                <w:rFonts w:ascii="Times New Roman" w:hAnsi="Times New Roman" w:cs="Times New Roman"/>
                <w:i/>
                <w:sz w:val="14"/>
                <w:szCs w:val="14"/>
              </w:rPr>
              <w:t>(konsolidējamā pozīcija)</w:t>
            </w:r>
          </w:p>
        </w:tc>
      </w:tr>
      <w:tr w:rsidR="002A1D7B" w:rsidRPr="007920A6" w:rsidTr="002A1D7B">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1.3. pašvaldību budžets</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hAnsi="Times New Roman" w:cs="Times New Roman"/>
                <w:sz w:val="18"/>
                <w:szCs w:val="18"/>
              </w:rPr>
              <w:t>0</w:t>
            </w:r>
          </w:p>
        </w:tc>
        <w:tc>
          <w:tcPr>
            <w:tcW w:w="1157"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hAnsi="Times New Roman" w:cs="Times New Roman"/>
                <w:sz w:val="18"/>
                <w:szCs w:val="18"/>
              </w:rPr>
              <w:t>0</w:t>
            </w: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100" w:afterAutospacing="1" w:line="276" w:lineRule="auto"/>
              <w:jc w:val="center"/>
              <w:rPr>
                <w:rFonts w:ascii="Times New Roman" w:eastAsia="Calibri" w:hAnsi="Times New Roman" w:cs="Times New Roman"/>
                <w:sz w:val="18"/>
                <w:szCs w:val="18"/>
              </w:rPr>
            </w:pPr>
            <w:r w:rsidRPr="007920A6">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100" w:afterAutospacing="1" w:line="276" w:lineRule="auto"/>
              <w:jc w:val="center"/>
              <w:rPr>
                <w:rFonts w:ascii="Times New Roman" w:eastAsia="Calibri" w:hAnsi="Times New Roman" w:cs="Times New Roman"/>
                <w:sz w:val="18"/>
                <w:szCs w:val="18"/>
              </w:rPr>
            </w:pPr>
            <w:r w:rsidRPr="007920A6">
              <w:rPr>
                <w:rFonts w:ascii="Times New Roman" w:hAnsi="Times New Roman" w:cs="Times New Roman"/>
                <w:sz w:val="18"/>
                <w:szCs w:val="18"/>
              </w:rPr>
              <w:t>0</w:t>
            </w:r>
          </w:p>
        </w:tc>
      </w:tr>
      <w:tr w:rsidR="002A1D7B" w:rsidRPr="007920A6" w:rsidTr="002A1D7B">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highlight w:val="yellow"/>
                <w:lang w:eastAsia="lv-LV"/>
              </w:rPr>
            </w:pPr>
            <w:r w:rsidRPr="007920A6">
              <w:rPr>
                <w:rFonts w:ascii="Times New Roman" w:eastAsia="Times New Roman" w:hAnsi="Times New Roman" w:cs="Times New Roman"/>
                <w:sz w:val="18"/>
                <w:szCs w:val="18"/>
                <w:lang w:eastAsia="lv-LV"/>
              </w:rPr>
              <w:t>57 881 138</w:t>
            </w:r>
            <w:r w:rsidRPr="007920A6">
              <w:rPr>
                <w:rFonts w:ascii="Times New Roman" w:eastAsia="Times New Roman" w:hAnsi="Times New Roman" w:cs="Times New Roman"/>
                <w:sz w:val="18"/>
                <w:szCs w:val="18"/>
                <w:highlight w:val="yellow"/>
                <w:lang w:eastAsia="lv-LV"/>
              </w:rPr>
              <w:t xml:space="preserve"> </w:t>
            </w:r>
          </w:p>
        </w:tc>
        <w:tc>
          <w:tcPr>
            <w:tcW w:w="851" w:type="dxa"/>
            <w:tcBorders>
              <w:top w:val="nil"/>
              <w:left w:val="nil"/>
              <w:bottom w:val="single" w:sz="8" w:space="0" w:color="414142"/>
              <w:right w:val="single" w:sz="8" w:space="0" w:color="414142"/>
            </w:tcBorders>
            <w:shd w:val="clear" w:color="000000" w:fill="D9D9D9"/>
            <w:vAlign w:val="center"/>
          </w:tcPr>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0</w:t>
            </w:r>
          </w:p>
        </w:tc>
        <w:tc>
          <w:tcPr>
            <w:tcW w:w="1157" w:type="dxa"/>
            <w:tcBorders>
              <w:top w:val="nil"/>
              <w:left w:val="nil"/>
              <w:bottom w:val="single" w:sz="8" w:space="0" w:color="414142"/>
              <w:right w:val="single" w:sz="8" w:space="0" w:color="414142"/>
            </w:tcBorders>
            <w:shd w:val="clear" w:color="000000" w:fill="D9D9D9"/>
            <w:vAlign w:val="center"/>
          </w:tcPr>
          <w:p w:rsidR="002A1D7B" w:rsidRPr="007920A6" w:rsidRDefault="002A1D7B" w:rsidP="002A1D7B">
            <w:pPr>
              <w:spacing w:after="0" w:line="240" w:lineRule="auto"/>
              <w:jc w:val="center"/>
              <w:rPr>
                <w:rFonts w:ascii="Times New Roman" w:eastAsia="Times New Roman" w:hAnsi="Times New Roman" w:cs="Times New Roman"/>
                <w:iCs/>
                <w:sz w:val="18"/>
                <w:szCs w:val="18"/>
                <w:lang w:eastAsia="lv-LV"/>
              </w:rPr>
            </w:pPr>
            <w:r w:rsidRPr="007920A6">
              <w:rPr>
                <w:rFonts w:ascii="Times New Roman" w:eastAsia="Times New Roman" w:hAnsi="Times New Roman" w:cs="Times New Roman"/>
                <w:iCs/>
                <w:sz w:val="18"/>
                <w:szCs w:val="18"/>
                <w:lang w:eastAsia="lv-LV"/>
              </w:rPr>
              <w:t>65 375 183</w:t>
            </w:r>
          </w:p>
        </w:tc>
        <w:tc>
          <w:tcPr>
            <w:tcW w:w="1134" w:type="dxa"/>
            <w:tcBorders>
              <w:top w:val="nil"/>
              <w:left w:val="nil"/>
              <w:bottom w:val="single" w:sz="8" w:space="0" w:color="414142"/>
              <w:right w:val="single" w:sz="8" w:space="0" w:color="414142"/>
            </w:tcBorders>
            <w:shd w:val="clear" w:color="000000" w:fill="D9D9D9"/>
            <w:vAlign w:val="center"/>
          </w:tcPr>
          <w:p w:rsidR="002A1D7B" w:rsidRPr="007920A6" w:rsidRDefault="002A1D7B" w:rsidP="002A1D7B">
            <w:pPr>
              <w:spacing w:after="0" w:line="240" w:lineRule="auto"/>
              <w:jc w:val="center"/>
              <w:rPr>
                <w:rFonts w:ascii="Times New Roman" w:hAnsi="Times New Roman" w:cs="Times New Roman"/>
                <w:sz w:val="18"/>
                <w:szCs w:val="18"/>
              </w:rPr>
            </w:pPr>
            <w:r w:rsidRPr="007920A6">
              <w:rPr>
                <w:rFonts w:ascii="Times New Roman" w:hAnsi="Times New Roman" w:cs="Times New Roman"/>
                <w:sz w:val="18"/>
                <w:szCs w:val="18"/>
              </w:rPr>
              <w:t>1 327 375</w:t>
            </w:r>
          </w:p>
        </w:tc>
        <w:tc>
          <w:tcPr>
            <w:tcW w:w="1134" w:type="dxa"/>
            <w:tcBorders>
              <w:top w:val="nil"/>
              <w:left w:val="nil"/>
              <w:bottom w:val="single" w:sz="8" w:space="0" w:color="414142"/>
              <w:right w:val="single" w:sz="8" w:space="0" w:color="414142"/>
            </w:tcBorders>
            <w:shd w:val="clear" w:color="000000" w:fill="D9D9D9"/>
            <w:vAlign w:val="center"/>
          </w:tcPr>
          <w:p w:rsidR="002A1D7B" w:rsidRPr="007920A6" w:rsidRDefault="002A1D7B" w:rsidP="002A1D7B">
            <w:pPr>
              <w:spacing w:after="0" w:line="240" w:lineRule="auto"/>
              <w:jc w:val="center"/>
              <w:rPr>
                <w:rFonts w:ascii="Times New Roman" w:eastAsia="Times New Roman" w:hAnsi="Times New Roman" w:cs="Times New Roman"/>
                <w:iCs/>
                <w:sz w:val="18"/>
                <w:szCs w:val="18"/>
                <w:lang w:eastAsia="lv-LV"/>
              </w:rPr>
            </w:pPr>
            <w:r w:rsidRPr="007920A6">
              <w:rPr>
                <w:rFonts w:ascii="Times New Roman" w:eastAsia="Times New Roman" w:hAnsi="Times New Roman" w:cs="Times New Roman"/>
                <w:iCs/>
                <w:sz w:val="18"/>
                <w:szCs w:val="18"/>
                <w:lang w:eastAsia="lv-LV"/>
              </w:rPr>
              <w:t>73 767 131</w:t>
            </w:r>
          </w:p>
        </w:tc>
        <w:tc>
          <w:tcPr>
            <w:tcW w:w="1252" w:type="dxa"/>
            <w:tcBorders>
              <w:top w:val="nil"/>
              <w:left w:val="nil"/>
              <w:bottom w:val="single" w:sz="8" w:space="0" w:color="414142"/>
              <w:right w:val="single" w:sz="8" w:space="0" w:color="414142"/>
            </w:tcBorders>
            <w:shd w:val="clear" w:color="000000" w:fill="D9D9D9"/>
            <w:vAlign w:val="center"/>
          </w:tcPr>
          <w:p w:rsidR="002A1D7B" w:rsidRPr="007920A6" w:rsidRDefault="002A1D7B" w:rsidP="002A1D7B">
            <w:pPr>
              <w:spacing w:after="0" w:line="240" w:lineRule="auto"/>
              <w:jc w:val="center"/>
              <w:rPr>
                <w:rFonts w:ascii="Times New Roman" w:hAnsi="Times New Roman" w:cs="Times New Roman"/>
                <w:sz w:val="18"/>
                <w:szCs w:val="18"/>
              </w:rPr>
            </w:pPr>
            <w:r w:rsidRPr="007920A6">
              <w:rPr>
                <w:rFonts w:ascii="Times New Roman" w:hAnsi="Times New Roman" w:cs="Times New Roman"/>
                <w:sz w:val="18"/>
                <w:szCs w:val="18"/>
              </w:rPr>
              <w:t>1 365 923</w:t>
            </w:r>
          </w:p>
        </w:tc>
        <w:tc>
          <w:tcPr>
            <w:tcW w:w="1560" w:type="dxa"/>
            <w:tcBorders>
              <w:top w:val="nil"/>
              <w:left w:val="nil"/>
              <w:bottom w:val="single" w:sz="8" w:space="0" w:color="414142"/>
              <w:right w:val="single" w:sz="8" w:space="0" w:color="414142"/>
            </w:tcBorders>
            <w:shd w:val="clear" w:color="000000" w:fill="D9D9D9"/>
            <w:vAlign w:val="center"/>
          </w:tcPr>
          <w:p w:rsidR="002A1D7B" w:rsidRPr="007920A6" w:rsidRDefault="002A1D7B" w:rsidP="002A1D7B">
            <w:pPr>
              <w:spacing w:after="0" w:line="240" w:lineRule="auto"/>
              <w:jc w:val="center"/>
              <w:rPr>
                <w:rFonts w:ascii="Times New Roman" w:hAnsi="Times New Roman" w:cs="Times New Roman"/>
                <w:sz w:val="18"/>
                <w:szCs w:val="18"/>
              </w:rPr>
            </w:pPr>
            <w:r w:rsidRPr="007920A6">
              <w:rPr>
                <w:rFonts w:ascii="Times New Roman" w:hAnsi="Times New Roman" w:cs="Times New Roman"/>
                <w:sz w:val="18"/>
                <w:szCs w:val="18"/>
              </w:rPr>
              <w:t>1 370 651</w:t>
            </w:r>
          </w:p>
        </w:tc>
      </w:tr>
      <w:tr w:rsidR="002A1D7B" w:rsidRPr="007920A6" w:rsidTr="002A1D7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2.1. valsts pamatbudžets</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r w:rsidRPr="007920A6">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r w:rsidRPr="007920A6">
              <w:rPr>
                <w:rFonts w:ascii="Times New Roman" w:hAnsi="Times New Roman" w:cs="Times New Roman"/>
                <w:sz w:val="20"/>
                <w:szCs w:val="20"/>
              </w:rPr>
              <w:t>0</w:t>
            </w:r>
          </w:p>
        </w:tc>
        <w:tc>
          <w:tcPr>
            <w:tcW w:w="1157"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r w:rsidRPr="007920A6">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hAnsi="Times New Roman" w:cs="Times New Roman"/>
                <w:sz w:val="18"/>
                <w:szCs w:val="18"/>
              </w:rPr>
              <w:t>1 327 375</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r w:rsidRPr="007920A6">
              <w:rPr>
                <w:rFonts w:ascii="Times New Roman" w:hAnsi="Times New Roman" w:cs="Times New Roman"/>
                <w:sz w:val="20"/>
                <w:szCs w:val="20"/>
              </w:rPr>
              <w:t>0</w:t>
            </w: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hAnsi="Times New Roman" w:cs="Times New Roman"/>
                <w:sz w:val="18"/>
                <w:szCs w:val="18"/>
              </w:rPr>
              <w:t>1 365 923</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100" w:afterAutospacing="1" w:line="276" w:lineRule="auto"/>
              <w:jc w:val="center"/>
              <w:rPr>
                <w:rFonts w:ascii="Times New Roman" w:eastAsia="Calibri" w:hAnsi="Times New Roman" w:cs="Times New Roman"/>
                <w:sz w:val="18"/>
                <w:szCs w:val="18"/>
              </w:rPr>
            </w:pPr>
            <w:r w:rsidRPr="007920A6">
              <w:rPr>
                <w:rFonts w:ascii="Times New Roman" w:hAnsi="Times New Roman" w:cs="Times New Roman"/>
                <w:sz w:val="18"/>
                <w:szCs w:val="18"/>
              </w:rPr>
              <w:t>1 370 651</w:t>
            </w:r>
          </w:p>
        </w:tc>
      </w:tr>
      <w:tr w:rsidR="002A1D7B" w:rsidRPr="007920A6" w:rsidTr="002A1D7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i/>
                <w:iCs/>
                <w:sz w:val="20"/>
                <w:szCs w:val="20"/>
                <w:lang w:eastAsia="lv-LV"/>
              </w:rPr>
              <w:t>04.00.00. Valsts atbalsts sociālajai apdrošināšanai</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20"/>
                <w:szCs w:val="20"/>
                <w:lang w:eastAsia="lv-LV"/>
              </w:rPr>
            </w:pPr>
            <w:r w:rsidRPr="007920A6">
              <w:rPr>
                <w:rFonts w:ascii="Times New Roman" w:hAnsi="Times New Roman" w:cs="Times New Roman"/>
                <w:i/>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jc w:val="center"/>
            </w:pPr>
            <w:r w:rsidRPr="007920A6">
              <w:rPr>
                <w:rFonts w:ascii="Times New Roman" w:hAnsi="Times New Roman" w:cs="Times New Roman"/>
                <w:sz w:val="20"/>
                <w:szCs w:val="20"/>
              </w:rPr>
              <w:t>0</w:t>
            </w:r>
          </w:p>
        </w:tc>
        <w:tc>
          <w:tcPr>
            <w:tcW w:w="1157"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20"/>
                <w:szCs w:val="20"/>
                <w:lang w:eastAsia="lv-LV"/>
              </w:rPr>
            </w:pPr>
            <w:r w:rsidRPr="007920A6">
              <w:rPr>
                <w:rFonts w:ascii="Times New Roman" w:hAnsi="Times New Roman" w:cs="Times New Roman"/>
                <w:i/>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hAnsi="Times New Roman" w:cs="Times New Roman"/>
                <w:i/>
                <w:sz w:val="18"/>
                <w:szCs w:val="18"/>
              </w:rPr>
            </w:pPr>
            <w:r w:rsidRPr="007920A6">
              <w:rPr>
                <w:rFonts w:ascii="Times New Roman" w:hAnsi="Times New Roman" w:cs="Times New Roman"/>
                <w:i/>
                <w:sz w:val="18"/>
                <w:szCs w:val="18"/>
              </w:rPr>
              <w:t>1 315 577</w:t>
            </w:r>
          </w:p>
          <w:p w:rsidR="002A1D7B" w:rsidRPr="007920A6" w:rsidRDefault="002A1D7B" w:rsidP="002A1D7B">
            <w:pPr>
              <w:spacing w:after="0" w:line="240" w:lineRule="auto"/>
              <w:jc w:val="center"/>
              <w:rPr>
                <w:rFonts w:ascii="Times New Roman" w:hAnsi="Times New Roman" w:cs="Times New Roman"/>
                <w:i/>
                <w:sz w:val="14"/>
                <w:szCs w:val="14"/>
              </w:rPr>
            </w:pPr>
            <w:r w:rsidRPr="007920A6">
              <w:rPr>
                <w:rFonts w:ascii="Times New Roman" w:hAnsi="Times New Roman" w:cs="Times New Roman"/>
                <w:i/>
                <w:sz w:val="14"/>
                <w:szCs w:val="14"/>
              </w:rPr>
              <w:t>(konsolidējamā pozīcija)</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20"/>
                <w:szCs w:val="20"/>
                <w:lang w:eastAsia="lv-LV"/>
              </w:rPr>
            </w:pPr>
            <w:r w:rsidRPr="007920A6">
              <w:rPr>
                <w:rFonts w:ascii="Times New Roman" w:hAnsi="Times New Roman" w:cs="Times New Roman"/>
                <w:i/>
                <w:sz w:val="20"/>
                <w:szCs w:val="20"/>
              </w:rPr>
              <w:t>0</w:t>
            </w: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hAnsi="Times New Roman" w:cs="Times New Roman"/>
                <w:i/>
                <w:sz w:val="18"/>
                <w:szCs w:val="18"/>
              </w:rPr>
            </w:pPr>
            <w:r w:rsidRPr="007920A6">
              <w:rPr>
                <w:rFonts w:ascii="Times New Roman" w:hAnsi="Times New Roman" w:cs="Times New Roman"/>
                <w:i/>
                <w:sz w:val="18"/>
                <w:szCs w:val="18"/>
              </w:rPr>
              <w:t>1 342 328</w:t>
            </w:r>
          </w:p>
          <w:p w:rsidR="002A1D7B" w:rsidRPr="007920A6" w:rsidRDefault="002A1D7B" w:rsidP="002A1D7B">
            <w:pPr>
              <w:spacing w:after="0" w:line="240" w:lineRule="auto"/>
              <w:jc w:val="center"/>
              <w:rPr>
                <w:rFonts w:ascii="Times New Roman" w:hAnsi="Times New Roman" w:cs="Times New Roman"/>
                <w:i/>
                <w:sz w:val="18"/>
                <w:szCs w:val="18"/>
              </w:rPr>
            </w:pPr>
            <w:r w:rsidRPr="007920A6">
              <w:rPr>
                <w:rFonts w:ascii="Times New Roman" w:hAnsi="Times New Roman" w:cs="Times New Roman"/>
                <w:i/>
                <w:sz w:val="14"/>
                <w:szCs w:val="14"/>
              </w:rPr>
              <w:t>(konsolidējamā pozīcija)</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hAnsi="Times New Roman" w:cs="Times New Roman"/>
                <w:i/>
                <w:sz w:val="18"/>
                <w:szCs w:val="18"/>
              </w:rPr>
            </w:pPr>
            <w:r w:rsidRPr="007920A6">
              <w:rPr>
                <w:rFonts w:ascii="Times New Roman" w:hAnsi="Times New Roman" w:cs="Times New Roman"/>
                <w:i/>
                <w:sz w:val="18"/>
                <w:szCs w:val="18"/>
              </w:rPr>
              <w:t>1 370 651</w:t>
            </w:r>
          </w:p>
          <w:p w:rsidR="002A1D7B" w:rsidRPr="007920A6" w:rsidRDefault="002A1D7B" w:rsidP="002A1D7B">
            <w:pPr>
              <w:spacing w:after="0" w:line="240" w:lineRule="auto"/>
              <w:jc w:val="center"/>
              <w:rPr>
                <w:rFonts w:ascii="Times New Roman" w:hAnsi="Times New Roman" w:cs="Times New Roman"/>
                <w:i/>
                <w:sz w:val="18"/>
                <w:szCs w:val="18"/>
              </w:rPr>
            </w:pPr>
            <w:r w:rsidRPr="007920A6">
              <w:rPr>
                <w:rFonts w:ascii="Times New Roman" w:hAnsi="Times New Roman" w:cs="Times New Roman"/>
                <w:i/>
                <w:sz w:val="14"/>
                <w:szCs w:val="14"/>
              </w:rPr>
              <w:t>(konsolidējamā pozīcija)</w:t>
            </w:r>
          </w:p>
        </w:tc>
      </w:tr>
      <w:tr w:rsidR="002A1D7B" w:rsidRPr="007920A6" w:rsidTr="002A1D7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rPr>
                <w:rFonts w:ascii="Times New Roman" w:eastAsia="Times New Roman" w:hAnsi="Times New Roman" w:cs="Times New Roman"/>
                <w:i/>
                <w:iCs/>
                <w:sz w:val="20"/>
                <w:szCs w:val="20"/>
                <w:lang w:eastAsia="lv-LV"/>
              </w:rPr>
            </w:pPr>
            <w:r w:rsidRPr="007920A6">
              <w:rPr>
                <w:rFonts w:ascii="Times New Roman" w:eastAsia="Times New Roman" w:hAnsi="Times New Roman" w:cs="Times New Roman"/>
                <w:i/>
                <w:iCs/>
                <w:sz w:val="20"/>
                <w:szCs w:val="20"/>
                <w:lang w:eastAsia="lv-LV"/>
              </w:rPr>
              <w:t>97.02.00 “Nozares centralizēto funkciju izpilde"</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20"/>
                <w:szCs w:val="20"/>
                <w:lang w:eastAsia="lv-LV"/>
              </w:rPr>
            </w:pPr>
            <w:r w:rsidRPr="007920A6">
              <w:rPr>
                <w:rFonts w:ascii="Times New Roman" w:hAnsi="Times New Roman" w:cs="Times New Roman"/>
                <w:i/>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jc w:val="center"/>
            </w:pPr>
            <w:r w:rsidRPr="007920A6">
              <w:rPr>
                <w:rFonts w:ascii="Times New Roman" w:hAnsi="Times New Roman" w:cs="Times New Roman"/>
                <w:sz w:val="20"/>
                <w:szCs w:val="20"/>
              </w:rPr>
              <w:t>0</w:t>
            </w:r>
          </w:p>
        </w:tc>
        <w:tc>
          <w:tcPr>
            <w:tcW w:w="1157"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20"/>
                <w:szCs w:val="20"/>
                <w:lang w:eastAsia="lv-LV"/>
              </w:rPr>
            </w:pPr>
            <w:r w:rsidRPr="007920A6">
              <w:rPr>
                <w:rFonts w:ascii="Times New Roman" w:hAnsi="Times New Roman" w:cs="Times New Roman"/>
                <w:i/>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iCs/>
                <w:sz w:val="18"/>
                <w:szCs w:val="18"/>
                <w:lang w:eastAsia="lv-LV"/>
              </w:rPr>
            </w:pPr>
            <w:r w:rsidRPr="007920A6">
              <w:rPr>
                <w:rFonts w:ascii="Times New Roman" w:eastAsia="Times New Roman" w:hAnsi="Times New Roman" w:cs="Times New Roman"/>
                <w:i/>
                <w:iCs/>
                <w:sz w:val="18"/>
                <w:szCs w:val="18"/>
                <w:lang w:eastAsia="lv-LV"/>
              </w:rPr>
              <w:t>11 798</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20"/>
                <w:szCs w:val="20"/>
                <w:lang w:eastAsia="lv-LV"/>
              </w:rPr>
            </w:pPr>
            <w:r w:rsidRPr="007920A6">
              <w:rPr>
                <w:rFonts w:ascii="Times New Roman" w:hAnsi="Times New Roman" w:cs="Times New Roman"/>
                <w:i/>
                <w:sz w:val="20"/>
                <w:szCs w:val="20"/>
              </w:rPr>
              <w:t>0</w:t>
            </w: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23 595</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100" w:afterAutospacing="1" w:line="276" w:lineRule="auto"/>
              <w:jc w:val="center"/>
              <w:rPr>
                <w:rFonts w:ascii="Times New Roman" w:eastAsia="Calibri" w:hAnsi="Times New Roman" w:cs="Times New Roman"/>
                <w:i/>
                <w:iCs/>
                <w:sz w:val="18"/>
                <w:szCs w:val="18"/>
              </w:rPr>
            </w:pPr>
            <w:r w:rsidRPr="007920A6">
              <w:rPr>
                <w:rFonts w:ascii="Times New Roman" w:hAnsi="Times New Roman" w:cs="Times New Roman"/>
                <w:sz w:val="18"/>
                <w:szCs w:val="18"/>
              </w:rPr>
              <w:t>0</w:t>
            </w:r>
          </w:p>
        </w:tc>
      </w:tr>
      <w:tr w:rsidR="002A1D7B" w:rsidRPr="007920A6" w:rsidTr="002A1D7B">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2.2. valsts speciālais budžets, tai skaitā:</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highlight w:val="yellow"/>
                <w:lang w:eastAsia="lv-LV"/>
              </w:rPr>
            </w:pPr>
            <w:r w:rsidRPr="007920A6">
              <w:rPr>
                <w:rFonts w:ascii="Times New Roman" w:eastAsia="Times New Roman" w:hAnsi="Times New Roman" w:cs="Times New Roman"/>
                <w:sz w:val="18"/>
                <w:szCs w:val="18"/>
                <w:lang w:eastAsia="lv-LV"/>
              </w:rPr>
              <w:t>57 881 138</w:t>
            </w:r>
            <w:r w:rsidRPr="007920A6">
              <w:rPr>
                <w:rFonts w:ascii="Times New Roman" w:eastAsia="Times New Roman" w:hAnsi="Times New Roman" w:cs="Times New Roman"/>
                <w:sz w:val="18"/>
                <w:szCs w:val="18"/>
                <w:highlight w:val="yellow"/>
                <w:lang w:eastAsia="lv-LV"/>
              </w:rPr>
              <w:t xml:space="preserve"> </w:t>
            </w: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0</w:t>
            </w:r>
          </w:p>
        </w:tc>
        <w:tc>
          <w:tcPr>
            <w:tcW w:w="1157"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Cs/>
                <w:sz w:val="18"/>
                <w:szCs w:val="18"/>
                <w:lang w:eastAsia="lv-LV"/>
              </w:rPr>
            </w:pPr>
            <w:r w:rsidRPr="007920A6">
              <w:rPr>
                <w:rFonts w:ascii="Times New Roman" w:eastAsia="Times New Roman" w:hAnsi="Times New Roman" w:cs="Times New Roman"/>
                <w:iCs/>
                <w:sz w:val="18"/>
                <w:szCs w:val="18"/>
                <w:lang w:eastAsia="lv-LV"/>
              </w:rPr>
              <w:t>65 375 183</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hAnsi="Times New Roman" w:cs="Times New Roman"/>
                <w:sz w:val="18"/>
                <w:szCs w:val="18"/>
              </w:rPr>
            </w:pPr>
            <w:r w:rsidRPr="007920A6">
              <w:rPr>
                <w:rFonts w:ascii="Times New Roman" w:hAnsi="Times New Roman" w:cs="Times New Roman"/>
                <w:sz w:val="18"/>
                <w:szCs w:val="18"/>
              </w:rPr>
              <w:t>1 315 577</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Cs/>
                <w:sz w:val="18"/>
                <w:szCs w:val="18"/>
                <w:lang w:eastAsia="lv-LV"/>
              </w:rPr>
            </w:pPr>
            <w:r w:rsidRPr="007920A6">
              <w:rPr>
                <w:rFonts w:ascii="Times New Roman" w:eastAsia="Times New Roman" w:hAnsi="Times New Roman" w:cs="Times New Roman"/>
                <w:iCs/>
                <w:sz w:val="18"/>
                <w:szCs w:val="18"/>
                <w:lang w:eastAsia="lv-LV"/>
              </w:rPr>
              <w:t>73 767 131</w:t>
            </w: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hAnsi="Times New Roman" w:cs="Times New Roman"/>
                <w:sz w:val="18"/>
                <w:szCs w:val="18"/>
              </w:rPr>
            </w:pPr>
            <w:r w:rsidRPr="007920A6">
              <w:rPr>
                <w:rFonts w:ascii="Times New Roman" w:hAnsi="Times New Roman" w:cs="Times New Roman"/>
                <w:sz w:val="18"/>
                <w:szCs w:val="18"/>
              </w:rPr>
              <w:t>1 342 328</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hAnsi="Times New Roman" w:cs="Times New Roman"/>
                <w:sz w:val="18"/>
                <w:szCs w:val="18"/>
              </w:rPr>
            </w:pPr>
            <w:r w:rsidRPr="007920A6">
              <w:rPr>
                <w:rFonts w:ascii="Times New Roman" w:hAnsi="Times New Roman" w:cs="Times New Roman"/>
                <w:sz w:val="18"/>
                <w:szCs w:val="18"/>
              </w:rPr>
              <w:t>1 370 651</w:t>
            </w:r>
          </w:p>
        </w:tc>
      </w:tr>
      <w:tr w:rsidR="002A1D7B" w:rsidRPr="007920A6" w:rsidTr="002A1D7B">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i/>
                <w:iCs/>
                <w:sz w:val="20"/>
                <w:szCs w:val="20"/>
                <w:lang w:eastAsia="lv-LV"/>
              </w:rPr>
              <w:t>04.03.00 “Darba negadījumu speciālais budžets”, t.sk.</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56 504 315</w:t>
            </w: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0</w:t>
            </w:r>
          </w:p>
        </w:tc>
        <w:tc>
          <w:tcPr>
            <w:tcW w:w="1157"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63 941 094</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hAnsi="Times New Roman" w:cs="Times New Roman"/>
                <w:i/>
                <w:sz w:val="18"/>
                <w:szCs w:val="18"/>
              </w:rPr>
            </w:pPr>
            <w:r w:rsidRPr="007920A6">
              <w:rPr>
                <w:rFonts w:ascii="Times New Roman" w:hAnsi="Times New Roman" w:cs="Times New Roman"/>
                <w:i/>
                <w:sz w:val="18"/>
                <w:szCs w:val="18"/>
              </w:rPr>
              <w:t>901 052</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72 280 043</w:t>
            </w: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hAnsi="Times New Roman" w:cs="Times New Roman"/>
                <w:i/>
                <w:sz w:val="18"/>
                <w:szCs w:val="18"/>
              </w:rPr>
            </w:pPr>
            <w:r w:rsidRPr="007920A6">
              <w:rPr>
                <w:rFonts w:ascii="Times New Roman" w:hAnsi="Times New Roman" w:cs="Times New Roman"/>
                <w:i/>
                <w:sz w:val="18"/>
                <w:szCs w:val="18"/>
              </w:rPr>
              <w:t>927 803</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hAnsi="Times New Roman" w:cs="Times New Roman"/>
                <w:i/>
                <w:sz w:val="18"/>
                <w:szCs w:val="18"/>
              </w:rPr>
            </w:pPr>
            <w:r w:rsidRPr="007920A6">
              <w:rPr>
                <w:rFonts w:ascii="Times New Roman" w:hAnsi="Times New Roman" w:cs="Times New Roman"/>
                <w:i/>
                <w:sz w:val="18"/>
                <w:szCs w:val="18"/>
              </w:rPr>
              <w:t>956 126</w:t>
            </w:r>
          </w:p>
        </w:tc>
      </w:tr>
      <w:tr w:rsidR="002A1D7B" w:rsidRPr="007920A6" w:rsidTr="002A1D7B">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right"/>
              <w:rPr>
                <w:rFonts w:ascii="Times New Roman" w:eastAsia="Times New Roman" w:hAnsi="Times New Roman" w:cs="Times New Roman"/>
                <w:i/>
                <w:iCs/>
                <w:sz w:val="20"/>
                <w:szCs w:val="20"/>
                <w:lang w:eastAsia="lv-LV"/>
              </w:rPr>
            </w:pPr>
            <w:r w:rsidRPr="007920A6">
              <w:rPr>
                <w:rFonts w:ascii="Times New Roman" w:eastAsia="Times New Roman" w:hAnsi="Times New Roman" w:cs="Times New Roman"/>
                <w:i/>
                <w:iCs/>
                <w:sz w:val="20"/>
                <w:szCs w:val="20"/>
                <w:lang w:eastAsia="lv-LV"/>
              </w:rPr>
              <w:t>slimības pabalsts</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8 297 764</w:t>
            </w: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0</w:t>
            </w:r>
          </w:p>
        </w:tc>
        <w:tc>
          <w:tcPr>
            <w:tcW w:w="1157"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9 728 054</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151 632</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11 405 592</w:t>
            </w: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151 632</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151 632</w:t>
            </w:r>
          </w:p>
        </w:tc>
      </w:tr>
      <w:tr w:rsidR="002A1D7B" w:rsidRPr="007920A6" w:rsidTr="002A1D7B">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right"/>
              <w:rPr>
                <w:rFonts w:ascii="Times New Roman" w:eastAsia="Times New Roman" w:hAnsi="Times New Roman" w:cs="Times New Roman"/>
                <w:i/>
                <w:iCs/>
                <w:sz w:val="20"/>
                <w:szCs w:val="20"/>
                <w:lang w:eastAsia="lv-LV"/>
              </w:rPr>
            </w:pPr>
            <w:r w:rsidRPr="007920A6">
              <w:rPr>
                <w:rFonts w:ascii="Times New Roman" w:eastAsia="Times New Roman" w:hAnsi="Times New Roman" w:cs="Times New Roman"/>
                <w:i/>
                <w:iCs/>
                <w:sz w:val="20"/>
                <w:szCs w:val="20"/>
                <w:lang w:eastAsia="lv-LV"/>
              </w:rPr>
              <w:t>atlīdzība par darbspēju zaudējumu</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46 349 048</w:t>
            </w: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jc w:val="center"/>
            </w:pPr>
            <w:r w:rsidRPr="007920A6">
              <w:rPr>
                <w:rFonts w:ascii="Times New Roman" w:eastAsia="Times New Roman" w:hAnsi="Times New Roman" w:cs="Times New Roman"/>
                <w:i/>
                <w:sz w:val="18"/>
                <w:szCs w:val="18"/>
                <w:lang w:eastAsia="lv-LV"/>
              </w:rPr>
              <w:t>0</w:t>
            </w:r>
          </w:p>
        </w:tc>
        <w:tc>
          <w:tcPr>
            <w:tcW w:w="1157"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52 185 585</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699 125</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58 663 405</w:t>
            </w: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725 876</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754 199</w:t>
            </w:r>
          </w:p>
        </w:tc>
      </w:tr>
      <w:tr w:rsidR="002A1D7B" w:rsidRPr="007920A6" w:rsidTr="002A1D7B">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right"/>
              <w:rPr>
                <w:rFonts w:ascii="Times New Roman" w:eastAsia="Times New Roman" w:hAnsi="Times New Roman" w:cs="Times New Roman"/>
                <w:i/>
                <w:iCs/>
                <w:sz w:val="20"/>
                <w:szCs w:val="20"/>
                <w:lang w:eastAsia="lv-LV"/>
              </w:rPr>
            </w:pPr>
            <w:r w:rsidRPr="007920A6">
              <w:rPr>
                <w:rFonts w:ascii="Times New Roman" w:eastAsia="Times New Roman" w:hAnsi="Times New Roman" w:cs="Times New Roman"/>
                <w:i/>
                <w:iCs/>
                <w:sz w:val="20"/>
                <w:szCs w:val="20"/>
                <w:lang w:eastAsia="lv-LV"/>
              </w:rPr>
              <w:t>atlīdzība par apgādnieka zaudējumu</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271 866</w:t>
            </w: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jc w:val="center"/>
            </w:pPr>
            <w:r w:rsidRPr="007920A6">
              <w:rPr>
                <w:rFonts w:ascii="Times New Roman" w:eastAsia="Times New Roman" w:hAnsi="Times New Roman" w:cs="Times New Roman"/>
                <w:i/>
                <w:sz w:val="18"/>
                <w:szCs w:val="18"/>
                <w:lang w:eastAsia="lv-LV"/>
              </w:rPr>
              <w:t>0</w:t>
            </w:r>
          </w:p>
        </w:tc>
        <w:tc>
          <w:tcPr>
            <w:tcW w:w="1157"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295 513</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9 822</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321 079</w:t>
            </w: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9 822</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9 822</w:t>
            </w:r>
          </w:p>
        </w:tc>
      </w:tr>
      <w:tr w:rsidR="002A1D7B" w:rsidRPr="007920A6" w:rsidTr="002A1D7B">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right"/>
              <w:rPr>
                <w:rFonts w:ascii="Times New Roman" w:eastAsia="Times New Roman" w:hAnsi="Times New Roman" w:cs="Times New Roman"/>
                <w:i/>
                <w:iCs/>
                <w:sz w:val="20"/>
                <w:szCs w:val="20"/>
                <w:lang w:eastAsia="lv-LV"/>
              </w:rPr>
            </w:pPr>
            <w:r w:rsidRPr="007920A6">
              <w:rPr>
                <w:rFonts w:ascii="Times New Roman" w:eastAsia="Times New Roman" w:hAnsi="Times New Roman" w:cs="Times New Roman"/>
                <w:i/>
                <w:iCs/>
                <w:sz w:val="20"/>
                <w:szCs w:val="20"/>
                <w:lang w:eastAsia="lv-LV"/>
              </w:rPr>
              <w:lastRenderedPageBreak/>
              <w:t>pārējie pabalsti (atlīdzība  par ārstēšanās izdevumiem)</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1 585 637</w:t>
            </w: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0</w:t>
            </w:r>
          </w:p>
        </w:tc>
        <w:tc>
          <w:tcPr>
            <w:tcW w:w="1157"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1 731 942</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40 473</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1 889 967</w:t>
            </w: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40 473</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40 473</w:t>
            </w:r>
          </w:p>
        </w:tc>
      </w:tr>
      <w:tr w:rsidR="002A1D7B" w:rsidRPr="007920A6" w:rsidTr="002A1D7B">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rPr>
                <w:rFonts w:ascii="Times New Roman" w:eastAsia="Times New Roman" w:hAnsi="Times New Roman" w:cs="Times New Roman"/>
                <w:i/>
                <w:iCs/>
                <w:sz w:val="20"/>
                <w:szCs w:val="20"/>
                <w:lang w:eastAsia="lv-LV"/>
              </w:rPr>
            </w:pPr>
            <w:r w:rsidRPr="007920A6">
              <w:rPr>
                <w:rFonts w:ascii="Times New Roman" w:eastAsia="Times New Roman" w:hAnsi="Times New Roman" w:cs="Times New Roman"/>
                <w:i/>
                <w:iCs/>
                <w:sz w:val="20"/>
                <w:szCs w:val="20"/>
                <w:lang w:eastAsia="lv-LV"/>
              </w:rPr>
              <w:t>04.04.00 “Invaliditātes, maternitātes</w:t>
            </w:r>
          </w:p>
          <w:p w:rsidR="002A1D7B" w:rsidRPr="007920A6" w:rsidRDefault="002A1D7B" w:rsidP="002A1D7B">
            <w:pPr>
              <w:spacing w:after="0" w:line="240" w:lineRule="auto"/>
              <w:rPr>
                <w:rFonts w:ascii="Times New Roman" w:eastAsia="Times New Roman" w:hAnsi="Times New Roman" w:cs="Times New Roman"/>
                <w:i/>
                <w:iCs/>
                <w:sz w:val="20"/>
                <w:szCs w:val="20"/>
                <w:lang w:eastAsia="lv-LV"/>
              </w:rPr>
            </w:pPr>
            <w:r w:rsidRPr="007920A6">
              <w:rPr>
                <w:rFonts w:ascii="Times New Roman" w:eastAsia="Times New Roman" w:hAnsi="Times New Roman" w:cs="Times New Roman"/>
                <w:i/>
                <w:iCs/>
                <w:sz w:val="20"/>
                <w:szCs w:val="20"/>
                <w:lang w:eastAsia="lv-LV"/>
              </w:rPr>
              <w:t>un slimības speciālais</w:t>
            </w:r>
          </w:p>
          <w:p w:rsidR="002A1D7B" w:rsidRPr="007920A6" w:rsidRDefault="002A1D7B" w:rsidP="002A1D7B">
            <w:pPr>
              <w:spacing w:after="0" w:line="240" w:lineRule="auto"/>
              <w:rPr>
                <w:rFonts w:ascii="Times New Roman" w:eastAsia="Times New Roman" w:hAnsi="Times New Roman" w:cs="Times New Roman"/>
                <w:i/>
                <w:iCs/>
                <w:sz w:val="20"/>
                <w:szCs w:val="20"/>
                <w:lang w:eastAsia="lv-LV"/>
              </w:rPr>
            </w:pPr>
            <w:r w:rsidRPr="007920A6">
              <w:rPr>
                <w:rFonts w:ascii="Times New Roman" w:eastAsia="Times New Roman" w:hAnsi="Times New Roman" w:cs="Times New Roman"/>
                <w:i/>
                <w:iCs/>
                <w:sz w:val="20"/>
                <w:szCs w:val="20"/>
                <w:lang w:eastAsia="lv-LV"/>
              </w:rPr>
              <w:t>budžets”</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1 376 823</w:t>
            </w: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0</w:t>
            </w:r>
          </w:p>
        </w:tc>
        <w:tc>
          <w:tcPr>
            <w:tcW w:w="1157"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1 434 089</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414 525</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1 487 088</w:t>
            </w: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414 525</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414 525</w:t>
            </w:r>
          </w:p>
        </w:tc>
      </w:tr>
      <w:tr w:rsidR="002A1D7B" w:rsidRPr="007920A6" w:rsidTr="002A1D7B">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right"/>
              <w:rPr>
                <w:rFonts w:ascii="Times New Roman" w:eastAsia="Times New Roman" w:hAnsi="Times New Roman" w:cs="Times New Roman"/>
                <w:i/>
                <w:iCs/>
                <w:sz w:val="20"/>
                <w:szCs w:val="20"/>
                <w:lang w:eastAsia="lv-LV"/>
              </w:rPr>
            </w:pPr>
            <w:r w:rsidRPr="007920A6">
              <w:rPr>
                <w:rFonts w:ascii="Times New Roman" w:eastAsia="Times New Roman" w:hAnsi="Times New Roman" w:cs="Times New Roman"/>
                <w:i/>
                <w:iCs/>
                <w:sz w:val="20"/>
                <w:szCs w:val="20"/>
                <w:lang w:eastAsia="lv-LV"/>
              </w:rPr>
              <w:t>Darbā nodarītā kaitējuma atlīdzība</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1 376 823</w:t>
            </w: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0</w:t>
            </w:r>
          </w:p>
        </w:tc>
        <w:tc>
          <w:tcPr>
            <w:tcW w:w="1157"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1 434 089</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414 525</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1 487 088</w:t>
            </w: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414 525</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i/>
                <w:sz w:val="18"/>
                <w:szCs w:val="18"/>
                <w:lang w:eastAsia="lv-LV"/>
              </w:rPr>
            </w:pPr>
            <w:r w:rsidRPr="007920A6">
              <w:rPr>
                <w:rFonts w:ascii="Times New Roman" w:eastAsia="Times New Roman" w:hAnsi="Times New Roman" w:cs="Times New Roman"/>
                <w:i/>
                <w:sz w:val="18"/>
                <w:szCs w:val="18"/>
                <w:lang w:eastAsia="lv-LV"/>
              </w:rPr>
              <w:t>414 525</w:t>
            </w:r>
          </w:p>
        </w:tc>
      </w:tr>
      <w:tr w:rsidR="002A1D7B" w:rsidRPr="007920A6" w:rsidTr="002A1D7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2.3. pašvaldību budžets</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hAnsi="Times New Roman" w:cs="Times New Roman"/>
                <w:sz w:val="18"/>
                <w:szCs w:val="18"/>
              </w:rPr>
              <w:t>0</w:t>
            </w:r>
          </w:p>
        </w:tc>
        <w:tc>
          <w:tcPr>
            <w:tcW w:w="1157"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100" w:afterAutospacing="1" w:line="276" w:lineRule="auto"/>
              <w:jc w:val="center"/>
              <w:rPr>
                <w:rFonts w:ascii="Times New Roman" w:eastAsia="Calibri" w:hAnsi="Times New Roman" w:cs="Times New Roman"/>
                <w:sz w:val="18"/>
                <w:szCs w:val="18"/>
              </w:rPr>
            </w:pPr>
            <w:r w:rsidRPr="007920A6">
              <w:rPr>
                <w:rFonts w:ascii="Times New Roman" w:hAnsi="Times New Roman" w:cs="Times New Roman"/>
                <w:sz w:val="18"/>
                <w:szCs w:val="18"/>
              </w:rPr>
              <w:t>0</w:t>
            </w:r>
          </w:p>
        </w:tc>
      </w:tr>
      <w:tr w:rsidR="002A1D7B" w:rsidRPr="007920A6" w:rsidTr="002A1D7B">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000000" w:fill="D9D9D9"/>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1157" w:type="dxa"/>
            <w:tcBorders>
              <w:top w:val="nil"/>
              <w:left w:val="nil"/>
              <w:bottom w:val="single" w:sz="8" w:space="0" w:color="414142"/>
              <w:right w:val="single" w:sz="8" w:space="0" w:color="414142"/>
            </w:tcBorders>
            <w:shd w:val="clear" w:color="000000" w:fill="D9D9D9"/>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2A1D7B" w:rsidRPr="007920A6" w:rsidRDefault="002A1D7B" w:rsidP="002A1D7B">
            <w:pPr>
              <w:spacing w:after="0" w:line="240" w:lineRule="auto"/>
              <w:jc w:val="center"/>
              <w:rPr>
                <w:rFonts w:ascii="Times New Roman" w:hAnsi="Times New Roman" w:cs="Times New Roman"/>
                <w:sz w:val="18"/>
                <w:szCs w:val="18"/>
              </w:rPr>
            </w:pPr>
            <w:r w:rsidRPr="007920A6">
              <w:rPr>
                <w:rFonts w:ascii="Times New Roman" w:hAnsi="Times New Roman" w:cs="Times New Roman"/>
                <w:sz w:val="18"/>
                <w:szCs w:val="18"/>
              </w:rPr>
              <w:t>-1 327 375</w:t>
            </w:r>
          </w:p>
        </w:tc>
        <w:tc>
          <w:tcPr>
            <w:tcW w:w="1134" w:type="dxa"/>
            <w:tcBorders>
              <w:top w:val="nil"/>
              <w:left w:val="nil"/>
              <w:bottom w:val="single" w:sz="8" w:space="0" w:color="414142"/>
              <w:right w:val="single" w:sz="8" w:space="0" w:color="414142"/>
            </w:tcBorders>
            <w:shd w:val="clear" w:color="000000" w:fill="D9D9D9"/>
            <w:vAlign w:val="center"/>
          </w:tcPr>
          <w:p w:rsidR="002A1D7B" w:rsidRPr="007920A6" w:rsidRDefault="002A1D7B" w:rsidP="002A1D7B">
            <w:pPr>
              <w:spacing w:after="0" w:line="240" w:lineRule="auto"/>
              <w:jc w:val="center"/>
              <w:rPr>
                <w:rFonts w:ascii="Times New Roman" w:hAnsi="Times New Roman" w:cs="Times New Roman"/>
                <w:sz w:val="18"/>
                <w:szCs w:val="18"/>
              </w:rPr>
            </w:pPr>
            <w:r w:rsidRPr="007920A6">
              <w:rPr>
                <w:rFonts w:ascii="Times New Roman" w:hAnsi="Times New Roman" w:cs="Times New Roman"/>
                <w:sz w:val="18"/>
                <w:szCs w:val="18"/>
              </w:rPr>
              <w:t>0</w:t>
            </w:r>
          </w:p>
        </w:tc>
        <w:tc>
          <w:tcPr>
            <w:tcW w:w="1252" w:type="dxa"/>
            <w:tcBorders>
              <w:top w:val="nil"/>
              <w:left w:val="nil"/>
              <w:bottom w:val="single" w:sz="8" w:space="0" w:color="414142"/>
              <w:right w:val="single" w:sz="8" w:space="0" w:color="414142"/>
            </w:tcBorders>
            <w:shd w:val="clear" w:color="000000" w:fill="D9D9D9"/>
            <w:vAlign w:val="center"/>
          </w:tcPr>
          <w:p w:rsidR="002A1D7B" w:rsidRPr="007920A6" w:rsidRDefault="002A1D7B" w:rsidP="002A1D7B">
            <w:pPr>
              <w:spacing w:after="0" w:line="240" w:lineRule="auto"/>
              <w:jc w:val="center"/>
              <w:rPr>
                <w:rFonts w:ascii="Times New Roman" w:hAnsi="Times New Roman" w:cs="Times New Roman"/>
                <w:sz w:val="18"/>
                <w:szCs w:val="18"/>
              </w:rPr>
            </w:pPr>
            <w:r w:rsidRPr="007920A6">
              <w:rPr>
                <w:rFonts w:ascii="Times New Roman" w:hAnsi="Times New Roman" w:cs="Times New Roman"/>
                <w:sz w:val="18"/>
                <w:szCs w:val="18"/>
              </w:rPr>
              <w:t>-1 365 923</w:t>
            </w:r>
          </w:p>
        </w:tc>
        <w:tc>
          <w:tcPr>
            <w:tcW w:w="1560" w:type="dxa"/>
            <w:tcBorders>
              <w:top w:val="nil"/>
              <w:left w:val="nil"/>
              <w:bottom w:val="single" w:sz="8" w:space="0" w:color="414142"/>
              <w:right w:val="single" w:sz="8" w:space="0" w:color="414142"/>
            </w:tcBorders>
            <w:shd w:val="clear" w:color="000000" w:fill="D9D9D9"/>
            <w:vAlign w:val="center"/>
          </w:tcPr>
          <w:p w:rsidR="002A1D7B" w:rsidRPr="007920A6" w:rsidRDefault="002A1D7B" w:rsidP="002A1D7B">
            <w:pPr>
              <w:spacing w:after="0" w:line="240" w:lineRule="auto"/>
              <w:jc w:val="center"/>
              <w:rPr>
                <w:rFonts w:ascii="Times New Roman" w:hAnsi="Times New Roman" w:cs="Times New Roman"/>
                <w:sz w:val="18"/>
                <w:szCs w:val="18"/>
              </w:rPr>
            </w:pPr>
            <w:r w:rsidRPr="007920A6">
              <w:rPr>
                <w:rFonts w:ascii="Times New Roman" w:hAnsi="Times New Roman" w:cs="Times New Roman"/>
                <w:sz w:val="18"/>
                <w:szCs w:val="18"/>
              </w:rPr>
              <w:t>-1 370 651</w:t>
            </w:r>
          </w:p>
        </w:tc>
      </w:tr>
      <w:tr w:rsidR="002A1D7B" w:rsidRPr="007920A6" w:rsidTr="002A1D7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hAnsi="Times New Roman" w:cs="Times New Roman"/>
                <w:sz w:val="18"/>
                <w:szCs w:val="18"/>
              </w:rPr>
              <w:t>0</w:t>
            </w:r>
          </w:p>
        </w:tc>
        <w:tc>
          <w:tcPr>
            <w:tcW w:w="1157"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hAnsi="Times New Roman" w:cs="Times New Roman"/>
                <w:sz w:val="18"/>
                <w:szCs w:val="18"/>
              </w:rPr>
            </w:pPr>
            <w:r w:rsidRPr="007920A6">
              <w:rPr>
                <w:rFonts w:ascii="Times New Roman" w:hAnsi="Times New Roman" w:cs="Times New Roman"/>
                <w:sz w:val="18"/>
                <w:szCs w:val="18"/>
              </w:rPr>
              <w:t>-1 327 375</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hAnsi="Times New Roman" w:cs="Times New Roman"/>
                <w:sz w:val="18"/>
                <w:szCs w:val="18"/>
              </w:rPr>
            </w:pPr>
            <w:r w:rsidRPr="007920A6">
              <w:rPr>
                <w:rFonts w:ascii="Times New Roman" w:hAnsi="Times New Roman" w:cs="Times New Roman"/>
                <w:sz w:val="18"/>
                <w:szCs w:val="18"/>
              </w:rPr>
              <w:t>0</w:t>
            </w: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hAnsi="Times New Roman" w:cs="Times New Roman"/>
                <w:sz w:val="18"/>
                <w:szCs w:val="18"/>
              </w:rPr>
            </w:pPr>
            <w:r w:rsidRPr="007920A6">
              <w:rPr>
                <w:rFonts w:ascii="Times New Roman" w:hAnsi="Times New Roman" w:cs="Times New Roman"/>
                <w:sz w:val="18"/>
                <w:szCs w:val="18"/>
              </w:rPr>
              <w:t>-1 365 923</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hAnsi="Times New Roman" w:cs="Times New Roman"/>
                <w:sz w:val="18"/>
                <w:szCs w:val="18"/>
              </w:rPr>
            </w:pPr>
            <w:r w:rsidRPr="007920A6">
              <w:rPr>
                <w:rFonts w:ascii="Times New Roman" w:hAnsi="Times New Roman" w:cs="Times New Roman"/>
                <w:sz w:val="18"/>
                <w:szCs w:val="18"/>
              </w:rPr>
              <w:t>-1 370 651</w:t>
            </w:r>
          </w:p>
        </w:tc>
      </w:tr>
      <w:tr w:rsidR="002A1D7B" w:rsidRPr="007920A6" w:rsidTr="002A1D7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1157"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FFFFFF" w:themeFill="background1"/>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100" w:afterAutospacing="1" w:line="276" w:lineRule="auto"/>
              <w:jc w:val="center"/>
              <w:rPr>
                <w:rFonts w:ascii="Times New Roman" w:eastAsia="Calibri" w:hAnsi="Times New Roman" w:cs="Times New Roman"/>
                <w:sz w:val="18"/>
                <w:szCs w:val="18"/>
              </w:rPr>
            </w:pPr>
            <w:r w:rsidRPr="007920A6">
              <w:rPr>
                <w:rFonts w:ascii="Times New Roman" w:hAnsi="Times New Roman" w:cs="Times New Roman"/>
                <w:sz w:val="18"/>
                <w:szCs w:val="18"/>
              </w:rPr>
              <w:t>0</w:t>
            </w:r>
          </w:p>
        </w:tc>
      </w:tr>
      <w:tr w:rsidR="002A1D7B" w:rsidRPr="007920A6" w:rsidTr="002A1D7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hAnsi="Times New Roman" w:cs="Times New Roman"/>
                <w:sz w:val="18"/>
                <w:szCs w:val="18"/>
              </w:rPr>
              <w:t>0</w:t>
            </w:r>
          </w:p>
        </w:tc>
        <w:tc>
          <w:tcPr>
            <w:tcW w:w="1157"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hAnsi="Times New Roman" w:cs="Times New Roman"/>
                <w:sz w:val="18"/>
                <w:szCs w:val="18"/>
              </w:rPr>
              <w:t>0</w:t>
            </w: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100" w:afterAutospacing="1" w:line="276" w:lineRule="auto"/>
              <w:jc w:val="center"/>
              <w:rPr>
                <w:rFonts w:ascii="Times New Roman" w:eastAsia="Calibri" w:hAnsi="Times New Roman" w:cs="Times New Roman"/>
                <w:sz w:val="18"/>
                <w:szCs w:val="18"/>
              </w:rPr>
            </w:pPr>
            <w:r w:rsidRPr="007920A6">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100" w:afterAutospacing="1" w:line="276" w:lineRule="auto"/>
              <w:jc w:val="center"/>
              <w:rPr>
                <w:rFonts w:ascii="Times New Roman" w:eastAsia="Calibri" w:hAnsi="Times New Roman" w:cs="Times New Roman"/>
                <w:sz w:val="18"/>
                <w:szCs w:val="18"/>
              </w:rPr>
            </w:pPr>
            <w:r w:rsidRPr="007920A6">
              <w:rPr>
                <w:rFonts w:ascii="Times New Roman" w:hAnsi="Times New Roman" w:cs="Times New Roman"/>
                <w:sz w:val="18"/>
                <w:szCs w:val="18"/>
              </w:rPr>
              <w:t>0</w:t>
            </w:r>
          </w:p>
        </w:tc>
      </w:tr>
      <w:tr w:rsidR="002A1D7B" w:rsidRPr="007920A6" w:rsidTr="002A1D7B">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1157"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X</w:t>
            </w: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r>
      <w:tr w:rsidR="002A1D7B" w:rsidRPr="007920A6" w:rsidTr="002A1D7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1157" w:type="dxa"/>
            <w:vMerge w:val="restart"/>
            <w:tcBorders>
              <w:top w:val="nil"/>
              <w:left w:val="single" w:sz="8" w:space="0" w:color="414142"/>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X</w:t>
            </w: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r>
      <w:tr w:rsidR="002A1D7B" w:rsidRPr="007920A6" w:rsidTr="002A1D7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rsidR="002A1D7B" w:rsidRPr="007920A6" w:rsidRDefault="002A1D7B" w:rsidP="002A1D7B">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1157" w:type="dxa"/>
            <w:vMerge/>
            <w:tcBorders>
              <w:top w:val="nil"/>
              <w:left w:val="single" w:sz="8" w:space="0" w:color="414142"/>
              <w:bottom w:val="single" w:sz="8" w:space="0" w:color="414142"/>
              <w:right w:val="single" w:sz="8" w:space="0" w:color="414142"/>
            </w:tcBorders>
            <w:vAlign w:val="center"/>
          </w:tcPr>
          <w:p w:rsidR="002A1D7B" w:rsidRPr="007920A6" w:rsidRDefault="002A1D7B" w:rsidP="002A1D7B">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2A1D7B" w:rsidRPr="007920A6" w:rsidRDefault="002A1D7B" w:rsidP="002A1D7B">
            <w:pPr>
              <w:spacing w:after="0" w:line="240" w:lineRule="auto"/>
              <w:rPr>
                <w:rFonts w:ascii="Times New Roman" w:eastAsia="Times New Roman" w:hAnsi="Times New Roman" w:cs="Times New Roman"/>
                <w:sz w:val="18"/>
                <w:szCs w:val="18"/>
                <w:lang w:eastAsia="lv-LV"/>
              </w:rPr>
            </w:pP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r>
      <w:tr w:rsidR="002A1D7B" w:rsidRPr="007920A6" w:rsidTr="002A1D7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rsidR="002A1D7B" w:rsidRPr="007920A6" w:rsidRDefault="002A1D7B" w:rsidP="002A1D7B">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20"/>
                <w:szCs w:val="20"/>
                <w:lang w:eastAsia="lv-LV"/>
              </w:rPr>
              <w:t>0</w:t>
            </w:r>
          </w:p>
        </w:tc>
        <w:tc>
          <w:tcPr>
            <w:tcW w:w="1157" w:type="dxa"/>
            <w:vMerge/>
            <w:tcBorders>
              <w:top w:val="nil"/>
              <w:left w:val="single" w:sz="8" w:space="0" w:color="414142"/>
              <w:bottom w:val="single" w:sz="8" w:space="0" w:color="414142"/>
              <w:right w:val="single" w:sz="8" w:space="0" w:color="414142"/>
            </w:tcBorders>
            <w:vAlign w:val="center"/>
          </w:tcPr>
          <w:p w:rsidR="002A1D7B" w:rsidRPr="007920A6" w:rsidRDefault="002A1D7B" w:rsidP="002A1D7B">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2A1D7B" w:rsidRPr="007920A6" w:rsidRDefault="002A1D7B" w:rsidP="002A1D7B">
            <w:pPr>
              <w:spacing w:after="0" w:line="240" w:lineRule="auto"/>
              <w:rPr>
                <w:rFonts w:ascii="Times New Roman" w:eastAsia="Times New Roman" w:hAnsi="Times New Roman" w:cs="Times New Roman"/>
                <w:sz w:val="18"/>
                <w:szCs w:val="18"/>
                <w:lang w:eastAsia="lv-LV"/>
              </w:rPr>
            </w:pP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r>
      <w:tr w:rsidR="002A1D7B" w:rsidRPr="007920A6" w:rsidTr="002A1D7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rsidR="002A1D7B" w:rsidRPr="007920A6" w:rsidRDefault="002A1D7B" w:rsidP="002A1D7B">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1157" w:type="dxa"/>
            <w:vMerge/>
            <w:tcBorders>
              <w:top w:val="nil"/>
              <w:left w:val="single" w:sz="8" w:space="0" w:color="414142"/>
              <w:bottom w:val="single" w:sz="8" w:space="0" w:color="414142"/>
              <w:right w:val="single" w:sz="8" w:space="0" w:color="414142"/>
            </w:tcBorders>
            <w:vAlign w:val="center"/>
          </w:tcPr>
          <w:p w:rsidR="002A1D7B" w:rsidRPr="007920A6" w:rsidRDefault="002A1D7B" w:rsidP="002A1D7B">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2A1D7B" w:rsidRPr="007920A6" w:rsidRDefault="002A1D7B" w:rsidP="002A1D7B">
            <w:pPr>
              <w:spacing w:after="0" w:line="240" w:lineRule="auto"/>
              <w:rPr>
                <w:rFonts w:ascii="Times New Roman" w:eastAsia="Times New Roman" w:hAnsi="Times New Roman" w:cs="Times New Roman"/>
                <w:sz w:val="18"/>
                <w:szCs w:val="18"/>
                <w:lang w:eastAsia="lv-LV"/>
              </w:rPr>
            </w:pPr>
          </w:p>
        </w:tc>
        <w:tc>
          <w:tcPr>
            <w:tcW w:w="1252"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jc w:val="center"/>
              <w:rPr>
                <w:rFonts w:ascii="Times New Roman" w:eastAsia="Times New Roman" w:hAnsi="Times New Roman" w:cs="Times New Roman"/>
                <w:sz w:val="18"/>
                <w:szCs w:val="18"/>
                <w:lang w:eastAsia="lv-LV"/>
              </w:rPr>
            </w:pPr>
            <w:r w:rsidRPr="007920A6">
              <w:rPr>
                <w:rFonts w:ascii="Times New Roman" w:eastAsia="Times New Roman" w:hAnsi="Times New Roman" w:cs="Times New Roman"/>
                <w:sz w:val="18"/>
                <w:szCs w:val="18"/>
                <w:lang w:eastAsia="lv-LV"/>
              </w:rPr>
              <w:t>0</w:t>
            </w:r>
          </w:p>
        </w:tc>
      </w:tr>
      <w:tr w:rsidR="002A1D7B" w:rsidRPr="007920A6" w:rsidTr="002A1D7B">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rsidR="002A1D7B" w:rsidRPr="007920A6" w:rsidRDefault="002A1D7B" w:rsidP="002A1D7B">
            <w:pPr>
              <w:spacing w:after="0" w:line="240" w:lineRule="auto"/>
              <w:jc w:val="both"/>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*ar FM rīkojumiem uz 10.09.2020.</w:t>
            </w:r>
          </w:p>
        </w:tc>
      </w:tr>
      <w:tr w:rsidR="002A1D7B" w:rsidRPr="007920A6" w:rsidTr="002A1D7B">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p>
        </w:tc>
      </w:tr>
      <w:tr w:rsidR="002A1D7B" w:rsidRPr="007920A6" w:rsidTr="002A1D7B">
        <w:trPr>
          <w:trHeight w:val="3767"/>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rsidR="002A1D7B" w:rsidRPr="007D08C9" w:rsidRDefault="002A1D7B" w:rsidP="002A1D7B">
            <w:pPr>
              <w:spacing w:after="0" w:line="240" w:lineRule="auto"/>
              <w:jc w:val="both"/>
              <w:rPr>
                <w:rFonts w:ascii="Times New Roman" w:eastAsia="Times New Roman" w:hAnsi="Times New Roman" w:cs="Times New Roman"/>
                <w:iCs/>
                <w:sz w:val="20"/>
                <w:szCs w:val="16"/>
                <w:lang w:eastAsia="lv-LV"/>
              </w:rPr>
            </w:pPr>
            <w:r w:rsidRPr="007D08C9">
              <w:rPr>
                <w:rFonts w:ascii="Times New Roman" w:eastAsia="Times New Roman" w:hAnsi="Times New Roman" w:cs="Times New Roman"/>
                <w:b/>
                <w:iCs/>
                <w:sz w:val="20"/>
                <w:szCs w:val="16"/>
                <w:lang w:eastAsia="lv-LV"/>
              </w:rPr>
              <w:t>Izdevumu palielinājums</w:t>
            </w:r>
            <w:r w:rsidRPr="007D08C9">
              <w:rPr>
                <w:rFonts w:ascii="Times New Roman" w:eastAsia="Times New Roman" w:hAnsi="Times New Roman" w:cs="Times New Roman"/>
                <w:iCs/>
                <w:sz w:val="20"/>
                <w:szCs w:val="16"/>
                <w:lang w:eastAsia="lv-LV"/>
              </w:rPr>
              <w:t xml:space="preserve"> valsts sociālās apdrošināšanas speciālajā budžetā, lai nodrošinātu apdrošināšanas atlīdzību, kas piešķirtas sakarā ar nelaimes gadījumu darbā vai arodslimību, paaugstināšanu:</w:t>
            </w:r>
          </w:p>
          <w:p w:rsidR="002A1D7B" w:rsidRPr="007D08C9" w:rsidRDefault="002A1D7B" w:rsidP="002A1D7B">
            <w:pPr>
              <w:spacing w:after="0" w:line="240" w:lineRule="auto"/>
              <w:jc w:val="both"/>
              <w:rPr>
                <w:rFonts w:ascii="Times New Roman" w:eastAsia="Times New Roman" w:hAnsi="Times New Roman" w:cs="Times New Roman"/>
                <w:iCs/>
                <w:sz w:val="20"/>
                <w:szCs w:val="16"/>
                <w:lang w:eastAsia="lv-LV"/>
              </w:rPr>
            </w:pPr>
          </w:p>
          <w:tbl>
            <w:tblPr>
              <w:tblW w:w="807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566"/>
              <w:gridCol w:w="705"/>
              <w:gridCol w:w="763"/>
              <w:gridCol w:w="656"/>
              <w:gridCol w:w="794"/>
              <w:gridCol w:w="794"/>
              <w:gridCol w:w="14"/>
              <w:gridCol w:w="662"/>
              <w:gridCol w:w="713"/>
              <w:gridCol w:w="850"/>
            </w:tblGrid>
            <w:tr w:rsidR="002A1D7B" w:rsidRPr="007D08C9" w:rsidTr="002A1D7B">
              <w:trPr>
                <w:trHeight w:val="20"/>
              </w:trPr>
              <w:tc>
                <w:tcPr>
                  <w:tcW w:w="1553" w:type="dxa"/>
                </w:tcPr>
                <w:p w:rsidR="002A1D7B" w:rsidRPr="007D08C9" w:rsidRDefault="002A1D7B" w:rsidP="002A1D7B">
                  <w:pPr>
                    <w:spacing w:after="0" w:line="240" w:lineRule="auto"/>
                    <w:ind w:left="-110"/>
                    <w:jc w:val="center"/>
                    <w:rPr>
                      <w:rFonts w:eastAsia="Times New Roman" w:cstheme="minorHAnsi"/>
                      <w:sz w:val="12"/>
                      <w:szCs w:val="16"/>
                      <w:lang w:eastAsia="lv-LV"/>
                    </w:rPr>
                  </w:pPr>
                </w:p>
              </w:tc>
              <w:tc>
                <w:tcPr>
                  <w:tcW w:w="2034" w:type="dxa"/>
                  <w:gridSpan w:val="3"/>
                  <w:vAlign w:val="center"/>
                </w:tcPr>
                <w:p w:rsidR="002A1D7B" w:rsidRPr="007D08C9" w:rsidRDefault="002A1D7B" w:rsidP="002A1D7B">
                  <w:pPr>
                    <w:spacing w:after="0" w:line="240" w:lineRule="auto"/>
                    <w:ind w:left="-110"/>
                    <w:jc w:val="center"/>
                    <w:rPr>
                      <w:rFonts w:eastAsia="Times New Roman" w:cstheme="minorHAnsi"/>
                      <w:sz w:val="12"/>
                      <w:szCs w:val="16"/>
                      <w:lang w:eastAsia="lv-LV"/>
                    </w:rPr>
                  </w:pPr>
                  <w:r w:rsidRPr="007D08C9">
                    <w:rPr>
                      <w:rFonts w:eastAsia="Times New Roman" w:cstheme="minorHAnsi"/>
                      <w:sz w:val="12"/>
                      <w:szCs w:val="16"/>
                      <w:lang w:eastAsia="lv-LV"/>
                    </w:rPr>
                    <w:t>2021.gads</w:t>
                  </w:r>
                </w:p>
              </w:tc>
              <w:tc>
                <w:tcPr>
                  <w:tcW w:w="2258" w:type="dxa"/>
                  <w:gridSpan w:val="4"/>
                  <w:shd w:val="clear" w:color="auto" w:fill="auto"/>
                  <w:vAlign w:val="center"/>
                </w:tcPr>
                <w:p w:rsidR="002A1D7B" w:rsidRPr="007D08C9" w:rsidRDefault="002A1D7B" w:rsidP="002A1D7B">
                  <w:pPr>
                    <w:spacing w:after="0" w:line="240" w:lineRule="auto"/>
                    <w:ind w:left="-110"/>
                    <w:jc w:val="center"/>
                    <w:rPr>
                      <w:rFonts w:eastAsia="Times New Roman" w:cstheme="minorHAnsi"/>
                      <w:sz w:val="12"/>
                      <w:szCs w:val="16"/>
                      <w:lang w:eastAsia="lv-LV"/>
                    </w:rPr>
                  </w:pPr>
                  <w:r w:rsidRPr="007D08C9">
                    <w:rPr>
                      <w:rFonts w:eastAsia="Times New Roman" w:cstheme="minorHAnsi"/>
                      <w:sz w:val="12"/>
                      <w:szCs w:val="16"/>
                      <w:lang w:eastAsia="lv-LV"/>
                    </w:rPr>
                    <w:t>2022.gads</w:t>
                  </w:r>
                </w:p>
              </w:tc>
              <w:tc>
                <w:tcPr>
                  <w:tcW w:w="2225" w:type="dxa"/>
                  <w:gridSpan w:val="3"/>
                  <w:shd w:val="clear" w:color="auto" w:fill="auto"/>
                  <w:vAlign w:val="center"/>
                </w:tcPr>
                <w:p w:rsidR="002A1D7B" w:rsidRPr="007D08C9" w:rsidRDefault="002A1D7B" w:rsidP="002A1D7B">
                  <w:pPr>
                    <w:spacing w:after="0" w:line="240" w:lineRule="auto"/>
                    <w:ind w:left="-110"/>
                    <w:jc w:val="center"/>
                    <w:rPr>
                      <w:rFonts w:eastAsia="Times New Roman" w:cstheme="minorHAnsi"/>
                      <w:sz w:val="12"/>
                      <w:szCs w:val="16"/>
                      <w:lang w:eastAsia="lv-LV"/>
                    </w:rPr>
                  </w:pPr>
                  <w:r w:rsidRPr="007D08C9">
                    <w:rPr>
                      <w:rFonts w:eastAsia="Times New Roman" w:cstheme="minorHAnsi"/>
                      <w:sz w:val="12"/>
                      <w:szCs w:val="16"/>
                      <w:lang w:eastAsia="lv-LV"/>
                    </w:rPr>
                    <w:t>2023.gads</w:t>
                  </w:r>
                </w:p>
              </w:tc>
            </w:tr>
            <w:tr w:rsidR="002A1D7B" w:rsidRPr="007D08C9" w:rsidTr="002A1D7B">
              <w:trPr>
                <w:trHeight w:val="20"/>
              </w:trPr>
              <w:tc>
                <w:tcPr>
                  <w:tcW w:w="1553" w:type="dxa"/>
                </w:tcPr>
                <w:p w:rsidR="002A1D7B" w:rsidRPr="007D08C9" w:rsidRDefault="002A1D7B" w:rsidP="002A1D7B">
                  <w:pPr>
                    <w:spacing w:after="0" w:line="240" w:lineRule="auto"/>
                    <w:ind w:left="-110"/>
                    <w:jc w:val="center"/>
                    <w:rPr>
                      <w:rFonts w:eastAsia="Times New Roman" w:cstheme="minorHAnsi"/>
                      <w:sz w:val="12"/>
                      <w:szCs w:val="16"/>
                      <w:lang w:eastAsia="lv-LV"/>
                    </w:rPr>
                  </w:pPr>
                </w:p>
              </w:tc>
              <w:tc>
                <w:tcPr>
                  <w:tcW w:w="566" w:type="dxa"/>
                  <w:vAlign w:val="center"/>
                </w:tcPr>
                <w:p w:rsidR="002A1D7B" w:rsidRPr="007D08C9" w:rsidRDefault="002A1D7B" w:rsidP="002A1D7B">
                  <w:pPr>
                    <w:spacing w:after="0" w:line="240" w:lineRule="auto"/>
                    <w:ind w:left="-110"/>
                    <w:jc w:val="center"/>
                    <w:rPr>
                      <w:rFonts w:eastAsia="Times New Roman" w:cstheme="minorHAnsi"/>
                      <w:sz w:val="10"/>
                      <w:szCs w:val="16"/>
                      <w:lang w:eastAsia="lv-LV"/>
                    </w:rPr>
                  </w:pPr>
                  <w:r w:rsidRPr="007D08C9">
                    <w:rPr>
                      <w:rFonts w:eastAsia="Times New Roman" w:cstheme="minorHAnsi"/>
                      <w:sz w:val="10"/>
                      <w:szCs w:val="16"/>
                      <w:lang w:eastAsia="lv-LV"/>
                    </w:rPr>
                    <w:t>Skaits*, vidēji mēnesī</w:t>
                  </w:r>
                </w:p>
              </w:tc>
              <w:tc>
                <w:tcPr>
                  <w:tcW w:w="705" w:type="dxa"/>
                  <w:shd w:val="clear" w:color="auto" w:fill="auto"/>
                  <w:vAlign w:val="center"/>
                  <w:hideMark/>
                </w:tcPr>
                <w:p w:rsidR="002A1D7B" w:rsidRPr="007D08C9" w:rsidRDefault="002A1D7B" w:rsidP="002A1D7B">
                  <w:pPr>
                    <w:spacing w:after="0" w:line="240" w:lineRule="auto"/>
                    <w:ind w:left="-110"/>
                    <w:jc w:val="center"/>
                    <w:rPr>
                      <w:rFonts w:eastAsia="Times New Roman" w:cstheme="minorHAnsi"/>
                      <w:sz w:val="10"/>
                      <w:szCs w:val="16"/>
                      <w:lang w:eastAsia="lv-LV"/>
                    </w:rPr>
                  </w:pPr>
                  <w:r w:rsidRPr="007D08C9">
                    <w:rPr>
                      <w:rFonts w:eastAsia="Times New Roman" w:cstheme="minorHAnsi"/>
                      <w:sz w:val="10"/>
                      <w:szCs w:val="16"/>
                      <w:lang w:eastAsia="lv-LV"/>
                    </w:rPr>
                    <w:t xml:space="preserve">Vidējais apmēra palielinājums*, </w:t>
                  </w:r>
                  <w:proofErr w:type="spellStart"/>
                  <w:r w:rsidRPr="007D08C9">
                    <w:rPr>
                      <w:rFonts w:eastAsia="Times New Roman" w:cstheme="minorHAnsi"/>
                      <w:i/>
                      <w:sz w:val="10"/>
                      <w:szCs w:val="16"/>
                      <w:lang w:eastAsia="lv-LV"/>
                    </w:rPr>
                    <w:t>euro</w:t>
                  </w:r>
                  <w:proofErr w:type="spellEnd"/>
                </w:p>
              </w:tc>
              <w:tc>
                <w:tcPr>
                  <w:tcW w:w="763" w:type="dxa"/>
                  <w:shd w:val="clear" w:color="000000" w:fill="D9D9D9"/>
                  <w:vAlign w:val="center"/>
                  <w:hideMark/>
                </w:tcPr>
                <w:p w:rsidR="002A1D7B" w:rsidRPr="007D08C9" w:rsidRDefault="002A1D7B" w:rsidP="002A1D7B">
                  <w:pPr>
                    <w:spacing w:after="0" w:line="240" w:lineRule="auto"/>
                    <w:ind w:left="-110"/>
                    <w:jc w:val="center"/>
                    <w:rPr>
                      <w:rFonts w:eastAsia="Times New Roman" w:cstheme="minorHAnsi"/>
                      <w:sz w:val="10"/>
                      <w:szCs w:val="16"/>
                      <w:lang w:eastAsia="lv-LV"/>
                    </w:rPr>
                  </w:pPr>
                  <w:r w:rsidRPr="007D08C9">
                    <w:rPr>
                      <w:rFonts w:eastAsia="Times New Roman" w:cstheme="minorHAnsi"/>
                      <w:sz w:val="10"/>
                      <w:szCs w:val="16"/>
                      <w:lang w:eastAsia="lv-LV"/>
                    </w:rPr>
                    <w:t xml:space="preserve">Izdevumu palielinājums gadā, </w:t>
                  </w:r>
                  <w:proofErr w:type="spellStart"/>
                  <w:r w:rsidRPr="007D08C9">
                    <w:rPr>
                      <w:rFonts w:eastAsia="Times New Roman" w:cstheme="minorHAnsi"/>
                      <w:i/>
                      <w:sz w:val="10"/>
                      <w:szCs w:val="16"/>
                      <w:lang w:eastAsia="lv-LV"/>
                    </w:rPr>
                    <w:t>euro</w:t>
                  </w:r>
                  <w:proofErr w:type="spellEnd"/>
                </w:p>
              </w:tc>
              <w:tc>
                <w:tcPr>
                  <w:tcW w:w="656" w:type="dxa"/>
                  <w:shd w:val="clear" w:color="auto" w:fill="auto"/>
                  <w:vAlign w:val="center"/>
                  <w:hideMark/>
                </w:tcPr>
                <w:p w:rsidR="002A1D7B" w:rsidRPr="007D08C9" w:rsidRDefault="002A1D7B" w:rsidP="002A1D7B">
                  <w:pPr>
                    <w:spacing w:after="0" w:line="240" w:lineRule="auto"/>
                    <w:ind w:left="-110"/>
                    <w:jc w:val="center"/>
                    <w:rPr>
                      <w:rFonts w:eastAsia="Times New Roman" w:cstheme="minorHAnsi"/>
                      <w:sz w:val="10"/>
                      <w:szCs w:val="16"/>
                      <w:lang w:eastAsia="lv-LV"/>
                    </w:rPr>
                  </w:pPr>
                  <w:r w:rsidRPr="007D08C9">
                    <w:rPr>
                      <w:rFonts w:eastAsia="Times New Roman" w:cstheme="minorHAnsi"/>
                      <w:sz w:val="10"/>
                      <w:szCs w:val="16"/>
                      <w:lang w:eastAsia="lv-LV"/>
                    </w:rPr>
                    <w:t>Skaits*, vidēji mēnesī</w:t>
                  </w:r>
                </w:p>
              </w:tc>
              <w:tc>
                <w:tcPr>
                  <w:tcW w:w="794" w:type="dxa"/>
                  <w:shd w:val="clear" w:color="auto" w:fill="auto"/>
                  <w:vAlign w:val="center"/>
                  <w:hideMark/>
                </w:tcPr>
                <w:p w:rsidR="002A1D7B" w:rsidRPr="007D08C9" w:rsidRDefault="002A1D7B" w:rsidP="002A1D7B">
                  <w:pPr>
                    <w:spacing w:after="0" w:line="240" w:lineRule="auto"/>
                    <w:ind w:left="-110"/>
                    <w:jc w:val="center"/>
                    <w:rPr>
                      <w:rFonts w:eastAsia="Times New Roman" w:cstheme="minorHAnsi"/>
                      <w:sz w:val="10"/>
                      <w:szCs w:val="16"/>
                      <w:lang w:eastAsia="lv-LV"/>
                    </w:rPr>
                  </w:pPr>
                  <w:r w:rsidRPr="007D08C9">
                    <w:rPr>
                      <w:rFonts w:eastAsia="Times New Roman" w:cstheme="minorHAnsi"/>
                      <w:sz w:val="10"/>
                      <w:szCs w:val="16"/>
                      <w:lang w:eastAsia="lv-LV"/>
                    </w:rPr>
                    <w:t>Vidējais apmēra palielinājums, *</w:t>
                  </w:r>
                  <w:proofErr w:type="spellStart"/>
                  <w:r w:rsidRPr="007D08C9">
                    <w:rPr>
                      <w:rFonts w:eastAsia="Times New Roman" w:cstheme="minorHAnsi"/>
                      <w:i/>
                      <w:sz w:val="10"/>
                      <w:szCs w:val="16"/>
                      <w:lang w:eastAsia="lv-LV"/>
                    </w:rPr>
                    <w:t>euro</w:t>
                  </w:r>
                  <w:proofErr w:type="spellEnd"/>
                </w:p>
              </w:tc>
              <w:tc>
                <w:tcPr>
                  <w:tcW w:w="794" w:type="dxa"/>
                  <w:shd w:val="clear" w:color="000000" w:fill="D9D9D9"/>
                  <w:vAlign w:val="center"/>
                  <w:hideMark/>
                </w:tcPr>
                <w:p w:rsidR="002A1D7B" w:rsidRPr="007D08C9" w:rsidRDefault="002A1D7B" w:rsidP="002A1D7B">
                  <w:pPr>
                    <w:spacing w:after="0" w:line="240" w:lineRule="auto"/>
                    <w:ind w:left="-110"/>
                    <w:jc w:val="center"/>
                    <w:rPr>
                      <w:rFonts w:eastAsia="Times New Roman" w:cstheme="minorHAnsi"/>
                      <w:sz w:val="10"/>
                      <w:szCs w:val="16"/>
                      <w:lang w:eastAsia="lv-LV"/>
                    </w:rPr>
                  </w:pPr>
                  <w:r w:rsidRPr="007D08C9">
                    <w:rPr>
                      <w:rFonts w:eastAsia="Times New Roman" w:cstheme="minorHAnsi"/>
                      <w:sz w:val="10"/>
                      <w:szCs w:val="16"/>
                      <w:lang w:eastAsia="lv-LV"/>
                    </w:rPr>
                    <w:t xml:space="preserve">Izdevumu palielinājums gadā, </w:t>
                  </w:r>
                  <w:proofErr w:type="spellStart"/>
                  <w:r w:rsidRPr="007D08C9">
                    <w:rPr>
                      <w:rFonts w:eastAsia="Times New Roman" w:cstheme="minorHAnsi"/>
                      <w:i/>
                      <w:sz w:val="10"/>
                      <w:szCs w:val="16"/>
                      <w:lang w:eastAsia="lv-LV"/>
                    </w:rPr>
                    <w:t>euro</w:t>
                  </w:r>
                  <w:proofErr w:type="spellEnd"/>
                </w:p>
              </w:tc>
              <w:tc>
                <w:tcPr>
                  <w:tcW w:w="676" w:type="dxa"/>
                  <w:gridSpan w:val="2"/>
                  <w:shd w:val="clear" w:color="auto" w:fill="auto"/>
                  <w:vAlign w:val="center"/>
                  <w:hideMark/>
                </w:tcPr>
                <w:p w:rsidR="002A1D7B" w:rsidRPr="007D08C9" w:rsidRDefault="002A1D7B" w:rsidP="002A1D7B">
                  <w:pPr>
                    <w:spacing w:after="0" w:line="240" w:lineRule="auto"/>
                    <w:ind w:left="-110"/>
                    <w:jc w:val="center"/>
                    <w:rPr>
                      <w:rFonts w:eastAsia="Times New Roman" w:cstheme="minorHAnsi"/>
                      <w:sz w:val="10"/>
                      <w:szCs w:val="16"/>
                      <w:lang w:eastAsia="lv-LV"/>
                    </w:rPr>
                  </w:pPr>
                  <w:r w:rsidRPr="007D08C9">
                    <w:rPr>
                      <w:rFonts w:eastAsia="Times New Roman" w:cstheme="minorHAnsi"/>
                      <w:sz w:val="10"/>
                      <w:szCs w:val="16"/>
                      <w:lang w:eastAsia="lv-LV"/>
                    </w:rPr>
                    <w:t>Skaits*, vidēji mēnesī</w:t>
                  </w:r>
                </w:p>
              </w:tc>
              <w:tc>
                <w:tcPr>
                  <w:tcW w:w="713" w:type="dxa"/>
                  <w:shd w:val="clear" w:color="auto" w:fill="auto"/>
                  <w:vAlign w:val="center"/>
                  <w:hideMark/>
                </w:tcPr>
                <w:p w:rsidR="002A1D7B" w:rsidRPr="007D08C9" w:rsidRDefault="002A1D7B" w:rsidP="002A1D7B">
                  <w:pPr>
                    <w:spacing w:after="0" w:line="240" w:lineRule="auto"/>
                    <w:ind w:left="-110"/>
                    <w:jc w:val="center"/>
                    <w:rPr>
                      <w:rFonts w:eastAsia="Times New Roman" w:cstheme="minorHAnsi"/>
                      <w:sz w:val="10"/>
                      <w:szCs w:val="16"/>
                      <w:lang w:eastAsia="lv-LV"/>
                    </w:rPr>
                  </w:pPr>
                  <w:r w:rsidRPr="007D08C9">
                    <w:rPr>
                      <w:rFonts w:eastAsia="Times New Roman" w:cstheme="minorHAnsi"/>
                      <w:sz w:val="10"/>
                      <w:szCs w:val="16"/>
                      <w:lang w:eastAsia="lv-LV"/>
                    </w:rPr>
                    <w:t>Vidējais apmēra palielinājums, *</w:t>
                  </w:r>
                  <w:proofErr w:type="spellStart"/>
                  <w:r w:rsidRPr="007D08C9">
                    <w:rPr>
                      <w:rFonts w:eastAsia="Times New Roman" w:cstheme="minorHAnsi"/>
                      <w:i/>
                      <w:sz w:val="10"/>
                      <w:szCs w:val="16"/>
                      <w:lang w:eastAsia="lv-LV"/>
                    </w:rPr>
                    <w:t>euro</w:t>
                  </w:r>
                  <w:proofErr w:type="spellEnd"/>
                </w:p>
              </w:tc>
              <w:tc>
                <w:tcPr>
                  <w:tcW w:w="850" w:type="dxa"/>
                  <w:shd w:val="clear" w:color="000000" w:fill="D9D9D9"/>
                  <w:vAlign w:val="center"/>
                  <w:hideMark/>
                </w:tcPr>
                <w:p w:rsidR="002A1D7B" w:rsidRPr="007D08C9" w:rsidRDefault="002A1D7B" w:rsidP="002A1D7B">
                  <w:pPr>
                    <w:spacing w:after="0" w:line="240" w:lineRule="auto"/>
                    <w:ind w:left="-110"/>
                    <w:jc w:val="center"/>
                    <w:rPr>
                      <w:rFonts w:eastAsia="Times New Roman" w:cstheme="minorHAnsi"/>
                      <w:sz w:val="10"/>
                      <w:szCs w:val="16"/>
                      <w:lang w:eastAsia="lv-LV"/>
                    </w:rPr>
                  </w:pPr>
                  <w:r w:rsidRPr="007D08C9">
                    <w:rPr>
                      <w:rFonts w:eastAsia="Times New Roman" w:cstheme="minorHAnsi"/>
                      <w:sz w:val="10"/>
                      <w:szCs w:val="16"/>
                      <w:lang w:eastAsia="lv-LV"/>
                    </w:rPr>
                    <w:t xml:space="preserve">Izdevumu palielinājums gadā, </w:t>
                  </w:r>
                  <w:proofErr w:type="spellStart"/>
                  <w:r w:rsidRPr="007D08C9">
                    <w:rPr>
                      <w:rFonts w:eastAsia="Times New Roman" w:cstheme="minorHAnsi"/>
                      <w:i/>
                      <w:sz w:val="10"/>
                      <w:szCs w:val="16"/>
                      <w:lang w:eastAsia="lv-LV"/>
                    </w:rPr>
                    <w:t>euro</w:t>
                  </w:r>
                  <w:proofErr w:type="spellEnd"/>
                </w:p>
              </w:tc>
            </w:tr>
            <w:tr w:rsidR="002A1D7B" w:rsidRPr="007D08C9" w:rsidTr="002A1D7B">
              <w:trPr>
                <w:trHeight w:val="20"/>
              </w:trPr>
              <w:tc>
                <w:tcPr>
                  <w:tcW w:w="8070" w:type="dxa"/>
                  <w:gridSpan w:val="11"/>
                  <w:tcBorders>
                    <w:right w:val="single" w:sz="4" w:space="0" w:color="auto"/>
                  </w:tcBorders>
                  <w:vAlign w:val="center"/>
                </w:tcPr>
                <w:p w:rsidR="002A1D7B" w:rsidRPr="007D08C9" w:rsidRDefault="002A1D7B" w:rsidP="002A1D7B">
                  <w:pPr>
                    <w:spacing w:before="100" w:beforeAutospacing="1" w:after="100" w:afterAutospacing="1"/>
                    <w:rPr>
                      <w:rFonts w:asciiTheme="majorHAnsi" w:hAnsiTheme="majorHAnsi" w:cstheme="majorHAnsi"/>
                      <w:sz w:val="12"/>
                    </w:rPr>
                  </w:pPr>
                  <w:r w:rsidRPr="007D08C9">
                    <w:rPr>
                      <w:rFonts w:eastAsia="Times New Roman" w:cstheme="minorHAnsi"/>
                      <w:sz w:val="12"/>
                      <w:szCs w:val="16"/>
                      <w:lang w:eastAsia="lv-LV"/>
                    </w:rPr>
                    <w:t>apakšprogrammai 04.03.00 “Darba negadījumu speciālais budžets”:</w:t>
                  </w:r>
                </w:p>
              </w:tc>
            </w:tr>
            <w:tr w:rsidR="002A1D7B" w:rsidRPr="007D08C9" w:rsidTr="002A1D7B">
              <w:trPr>
                <w:trHeight w:val="20"/>
              </w:trPr>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2A1D7B" w:rsidRPr="007D08C9" w:rsidRDefault="002A1D7B" w:rsidP="002A1D7B">
                  <w:pPr>
                    <w:spacing w:after="0" w:line="240" w:lineRule="auto"/>
                    <w:rPr>
                      <w:rFonts w:eastAsia="Times New Roman" w:cstheme="minorHAnsi"/>
                      <w:sz w:val="12"/>
                      <w:szCs w:val="16"/>
                      <w:lang w:eastAsia="lv-LV"/>
                    </w:rPr>
                  </w:pPr>
                  <w:r w:rsidRPr="007D08C9">
                    <w:rPr>
                      <w:rFonts w:eastAsia="Times New Roman" w:cstheme="minorHAnsi"/>
                      <w:sz w:val="12"/>
                      <w:szCs w:val="16"/>
                      <w:lang w:eastAsia="lv-LV"/>
                    </w:rPr>
                    <w:t>Apdrošināšanas atlīdzība par darbspēju zaudējumu (saistībā ar minimālo apmēru)</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1 339</w:t>
                  </w:r>
                </w:p>
              </w:tc>
              <w:tc>
                <w:tcPr>
                  <w:tcW w:w="705" w:type="dxa"/>
                  <w:tcBorders>
                    <w:top w:val="single" w:sz="4" w:space="0" w:color="auto"/>
                    <w:left w:val="nil"/>
                    <w:bottom w:val="single" w:sz="4" w:space="0" w:color="auto"/>
                    <w:right w:val="single" w:sz="4" w:space="0" w:color="auto"/>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27.42</w:t>
                  </w:r>
                </w:p>
              </w:tc>
              <w:tc>
                <w:tcPr>
                  <w:tcW w:w="763" w:type="dxa"/>
                  <w:tcBorders>
                    <w:top w:val="single" w:sz="4" w:space="0" w:color="auto"/>
                    <w:left w:val="nil"/>
                    <w:bottom w:val="single" w:sz="4" w:space="0" w:color="auto"/>
                    <w:right w:val="single" w:sz="4" w:space="0" w:color="auto"/>
                  </w:tcBorders>
                  <w:shd w:val="clear" w:color="000000" w:fill="D9D9D9"/>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440 508</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1 420</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27.42</w:t>
                  </w:r>
                </w:p>
              </w:tc>
              <w:tc>
                <w:tcPr>
                  <w:tcW w:w="794" w:type="dxa"/>
                  <w:tcBorders>
                    <w:top w:val="single" w:sz="4" w:space="0" w:color="auto"/>
                    <w:left w:val="nil"/>
                    <w:bottom w:val="single" w:sz="4" w:space="0" w:color="auto"/>
                    <w:right w:val="single" w:sz="4" w:space="0" w:color="auto"/>
                  </w:tcBorders>
                  <w:shd w:val="clear" w:color="000000" w:fill="D9D9D9"/>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467 259</w:t>
                  </w:r>
                </w:p>
              </w:tc>
              <w:tc>
                <w:tcPr>
                  <w:tcW w:w="676" w:type="dxa"/>
                  <w:gridSpan w:val="2"/>
                  <w:tcBorders>
                    <w:top w:val="single" w:sz="4" w:space="0" w:color="auto"/>
                    <w:left w:val="nil"/>
                    <w:bottom w:val="single" w:sz="4" w:space="0" w:color="auto"/>
                    <w:right w:val="single" w:sz="4" w:space="0" w:color="auto"/>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1 506</w:t>
                  </w:r>
                </w:p>
              </w:tc>
              <w:tc>
                <w:tcPr>
                  <w:tcW w:w="713" w:type="dxa"/>
                  <w:tcBorders>
                    <w:top w:val="single" w:sz="4" w:space="0" w:color="auto"/>
                    <w:left w:val="nil"/>
                    <w:bottom w:val="single" w:sz="4" w:space="0" w:color="auto"/>
                    <w:right w:val="single" w:sz="4" w:space="0" w:color="auto"/>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27.42</w:t>
                  </w:r>
                </w:p>
              </w:tc>
              <w:tc>
                <w:tcPr>
                  <w:tcW w:w="850" w:type="dxa"/>
                  <w:tcBorders>
                    <w:top w:val="single" w:sz="4" w:space="0" w:color="auto"/>
                    <w:left w:val="nil"/>
                    <w:bottom w:val="single" w:sz="4" w:space="0" w:color="auto"/>
                    <w:right w:val="single" w:sz="4" w:space="0" w:color="auto"/>
                  </w:tcBorders>
                  <w:shd w:val="clear" w:color="000000" w:fill="D9D9D9"/>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495 582</w:t>
                  </w:r>
                </w:p>
              </w:tc>
            </w:tr>
            <w:tr w:rsidR="002A1D7B" w:rsidRPr="007D08C9" w:rsidTr="002A1D7B">
              <w:trPr>
                <w:trHeight w:val="20"/>
              </w:trPr>
              <w:tc>
                <w:tcPr>
                  <w:tcW w:w="1553" w:type="dxa"/>
                  <w:tcBorders>
                    <w:top w:val="nil"/>
                    <w:left w:val="single" w:sz="4" w:space="0" w:color="auto"/>
                    <w:bottom w:val="single" w:sz="4" w:space="0" w:color="auto"/>
                    <w:right w:val="single" w:sz="4" w:space="0" w:color="auto"/>
                  </w:tcBorders>
                  <w:shd w:val="clear" w:color="auto" w:fill="auto"/>
                  <w:vAlign w:val="center"/>
                </w:tcPr>
                <w:p w:rsidR="002A1D7B" w:rsidRPr="007D08C9" w:rsidRDefault="002A1D7B" w:rsidP="002A1D7B">
                  <w:pPr>
                    <w:spacing w:after="0" w:line="240" w:lineRule="auto"/>
                    <w:rPr>
                      <w:rFonts w:eastAsia="Times New Roman" w:cstheme="minorHAnsi"/>
                      <w:sz w:val="12"/>
                      <w:szCs w:val="16"/>
                      <w:lang w:eastAsia="lv-LV"/>
                    </w:rPr>
                  </w:pPr>
                  <w:r w:rsidRPr="007D08C9">
                    <w:rPr>
                      <w:rFonts w:eastAsia="Times New Roman" w:cstheme="minorHAnsi"/>
                      <w:sz w:val="12"/>
                      <w:szCs w:val="16"/>
                      <w:lang w:eastAsia="lv-LV"/>
                    </w:rPr>
                    <w:t>Atlīdzība  par ārstēšanās izdevumiem (pārējie pabalsti)</w:t>
                  </w:r>
                </w:p>
              </w:tc>
              <w:tc>
                <w:tcPr>
                  <w:tcW w:w="566" w:type="dxa"/>
                  <w:tcBorders>
                    <w:top w:val="nil"/>
                    <w:left w:val="single" w:sz="4" w:space="0" w:color="auto"/>
                    <w:bottom w:val="single" w:sz="4" w:space="0" w:color="auto"/>
                    <w:right w:val="single" w:sz="4" w:space="0" w:color="auto"/>
                  </w:tcBorders>
                  <w:shd w:val="clear" w:color="auto" w:fill="auto"/>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3</w:t>
                  </w:r>
                </w:p>
              </w:tc>
              <w:tc>
                <w:tcPr>
                  <w:tcW w:w="705" w:type="dxa"/>
                  <w:tcBorders>
                    <w:top w:val="nil"/>
                    <w:left w:val="nil"/>
                    <w:bottom w:val="single" w:sz="4" w:space="0" w:color="auto"/>
                    <w:right w:val="single" w:sz="4" w:space="0" w:color="auto"/>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1 124.25</w:t>
                  </w:r>
                </w:p>
              </w:tc>
              <w:tc>
                <w:tcPr>
                  <w:tcW w:w="763" w:type="dxa"/>
                  <w:tcBorders>
                    <w:top w:val="nil"/>
                    <w:left w:val="nil"/>
                    <w:bottom w:val="single" w:sz="4" w:space="0" w:color="auto"/>
                    <w:right w:val="single" w:sz="4" w:space="0" w:color="auto"/>
                  </w:tcBorders>
                  <w:shd w:val="clear" w:color="000000" w:fill="D9D9D9"/>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40 473</w:t>
                  </w:r>
                </w:p>
              </w:tc>
              <w:tc>
                <w:tcPr>
                  <w:tcW w:w="656" w:type="dxa"/>
                  <w:tcBorders>
                    <w:top w:val="nil"/>
                    <w:left w:val="nil"/>
                    <w:bottom w:val="single" w:sz="4" w:space="0" w:color="auto"/>
                    <w:right w:val="single" w:sz="4" w:space="0" w:color="auto"/>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3</w:t>
                  </w:r>
                </w:p>
              </w:tc>
              <w:tc>
                <w:tcPr>
                  <w:tcW w:w="794" w:type="dxa"/>
                  <w:tcBorders>
                    <w:top w:val="nil"/>
                    <w:left w:val="nil"/>
                    <w:bottom w:val="single" w:sz="4" w:space="0" w:color="auto"/>
                    <w:right w:val="single" w:sz="4" w:space="0" w:color="auto"/>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1 124.25</w:t>
                  </w:r>
                </w:p>
              </w:tc>
              <w:tc>
                <w:tcPr>
                  <w:tcW w:w="794" w:type="dxa"/>
                  <w:tcBorders>
                    <w:top w:val="nil"/>
                    <w:left w:val="nil"/>
                    <w:bottom w:val="single" w:sz="4" w:space="0" w:color="auto"/>
                    <w:right w:val="single" w:sz="4" w:space="0" w:color="auto"/>
                  </w:tcBorders>
                  <w:shd w:val="clear" w:color="000000" w:fill="D9D9D9"/>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40 473</w:t>
                  </w:r>
                </w:p>
              </w:tc>
              <w:tc>
                <w:tcPr>
                  <w:tcW w:w="676" w:type="dxa"/>
                  <w:gridSpan w:val="2"/>
                  <w:tcBorders>
                    <w:top w:val="nil"/>
                    <w:left w:val="nil"/>
                    <w:bottom w:val="single" w:sz="4" w:space="0" w:color="auto"/>
                    <w:right w:val="single" w:sz="4" w:space="0" w:color="auto"/>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3</w:t>
                  </w:r>
                </w:p>
              </w:tc>
              <w:tc>
                <w:tcPr>
                  <w:tcW w:w="713" w:type="dxa"/>
                  <w:tcBorders>
                    <w:top w:val="nil"/>
                    <w:left w:val="nil"/>
                    <w:bottom w:val="single" w:sz="4" w:space="0" w:color="auto"/>
                    <w:right w:val="single" w:sz="4" w:space="0" w:color="auto"/>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1 124.25</w:t>
                  </w:r>
                </w:p>
              </w:tc>
              <w:tc>
                <w:tcPr>
                  <w:tcW w:w="850" w:type="dxa"/>
                  <w:tcBorders>
                    <w:top w:val="nil"/>
                    <w:left w:val="nil"/>
                    <w:bottom w:val="single" w:sz="4" w:space="0" w:color="auto"/>
                    <w:right w:val="single" w:sz="4" w:space="0" w:color="auto"/>
                  </w:tcBorders>
                  <w:shd w:val="clear" w:color="000000" w:fill="D9D9D9"/>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40 473</w:t>
                  </w:r>
                </w:p>
              </w:tc>
            </w:tr>
            <w:tr w:rsidR="002A1D7B" w:rsidRPr="007D08C9" w:rsidTr="002A1D7B">
              <w:trPr>
                <w:trHeight w:val="20"/>
              </w:trPr>
              <w:tc>
                <w:tcPr>
                  <w:tcW w:w="1553" w:type="dxa"/>
                </w:tcPr>
                <w:p w:rsidR="002A1D7B" w:rsidRPr="007D08C9" w:rsidRDefault="002A1D7B" w:rsidP="002A1D7B">
                  <w:pPr>
                    <w:spacing w:after="0" w:line="240" w:lineRule="auto"/>
                    <w:rPr>
                      <w:rFonts w:eastAsia="Times New Roman" w:cstheme="minorHAnsi"/>
                      <w:sz w:val="12"/>
                      <w:szCs w:val="16"/>
                      <w:lang w:eastAsia="lv-LV"/>
                    </w:rPr>
                  </w:pPr>
                  <w:r w:rsidRPr="007D08C9">
                    <w:rPr>
                      <w:rFonts w:eastAsia="Times New Roman" w:cstheme="minorHAnsi"/>
                      <w:sz w:val="12"/>
                      <w:szCs w:val="16"/>
                      <w:lang w:eastAsia="lv-LV"/>
                    </w:rPr>
                    <w:t>Slimības pabalsti (saistībā ar maksimālo apmēru)</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41</w:t>
                  </w:r>
                </w:p>
              </w:tc>
              <w:tc>
                <w:tcPr>
                  <w:tcW w:w="705" w:type="dxa"/>
                  <w:tcBorders>
                    <w:top w:val="single" w:sz="4" w:space="0" w:color="auto"/>
                    <w:left w:val="nil"/>
                    <w:bottom w:val="single" w:sz="4" w:space="0" w:color="auto"/>
                    <w:right w:val="single" w:sz="4" w:space="0" w:color="auto"/>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308.20</w:t>
                  </w:r>
                </w:p>
              </w:tc>
              <w:tc>
                <w:tcPr>
                  <w:tcW w:w="763" w:type="dxa"/>
                  <w:tcBorders>
                    <w:top w:val="single" w:sz="4" w:space="0" w:color="auto"/>
                    <w:left w:val="nil"/>
                    <w:bottom w:val="single" w:sz="4" w:space="0" w:color="auto"/>
                    <w:right w:val="single" w:sz="4" w:space="0" w:color="auto"/>
                  </w:tcBorders>
                  <w:shd w:val="clear" w:color="000000" w:fill="D9D9D9"/>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151 632</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41</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308.20</w:t>
                  </w:r>
                </w:p>
              </w:tc>
              <w:tc>
                <w:tcPr>
                  <w:tcW w:w="794" w:type="dxa"/>
                  <w:tcBorders>
                    <w:top w:val="single" w:sz="4" w:space="0" w:color="auto"/>
                    <w:left w:val="nil"/>
                    <w:bottom w:val="single" w:sz="4" w:space="0" w:color="auto"/>
                    <w:right w:val="single" w:sz="4" w:space="0" w:color="auto"/>
                  </w:tcBorders>
                  <w:shd w:val="clear" w:color="000000" w:fill="D9D9D9"/>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151 632</w:t>
                  </w:r>
                </w:p>
              </w:tc>
              <w:tc>
                <w:tcPr>
                  <w:tcW w:w="676" w:type="dxa"/>
                  <w:gridSpan w:val="2"/>
                  <w:tcBorders>
                    <w:top w:val="single" w:sz="4" w:space="0" w:color="auto"/>
                    <w:left w:val="nil"/>
                    <w:bottom w:val="single" w:sz="4" w:space="0" w:color="auto"/>
                    <w:right w:val="single" w:sz="4" w:space="0" w:color="auto"/>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41</w:t>
                  </w:r>
                </w:p>
              </w:tc>
              <w:tc>
                <w:tcPr>
                  <w:tcW w:w="713" w:type="dxa"/>
                  <w:tcBorders>
                    <w:top w:val="single" w:sz="4" w:space="0" w:color="auto"/>
                    <w:left w:val="nil"/>
                    <w:bottom w:val="single" w:sz="4" w:space="0" w:color="auto"/>
                    <w:right w:val="single" w:sz="4" w:space="0" w:color="auto"/>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308.20</w:t>
                  </w:r>
                </w:p>
              </w:tc>
              <w:tc>
                <w:tcPr>
                  <w:tcW w:w="850" w:type="dxa"/>
                  <w:tcBorders>
                    <w:top w:val="single" w:sz="4" w:space="0" w:color="auto"/>
                    <w:left w:val="nil"/>
                    <w:bottom w:val="single" w:sz="4" w:space="0" w:color="auto"/>
                    <w:right w:val="single" w:sz="4" w:space="0" w:color="auto"/>
                  </w:tcBorders>
                  <w:shd w:val="clear" w:color="000000" w:fill="D9D9D9"/>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151 632</w:t>
                  </w:r>
                </w:p>
              </w:tc>
            </w:tr>
            <w:tr w:rsidR="002A1D7B" w:rsidRPr="007D08C9" w:rsidTr="002A1D7B">
              <w:trPr>
                <w:trHeight w:val="20"/>
              </w:trPr>
              <w:tc>
                <w:tcPr>
                  <w:tcW w:w="1553" w:type="dxa"/>
                </w:tcPr>
                <w:p w:rsidR="002A1D7B" w:rsidRPr="007D08C9" w:rsidRDefault="002A1D7B" w:rsidP="002A1D7B">
                  <w:pPr>
                    <w:spacing w:after="0" w:line="240" w:lineRule="auto"/>
                    <w:rPr>
                      <w:rFonts w:eastAsia="Times New Roman" w:cstheme="minorHAnsi"/>
                      <w:sz w:val="12"/>
                      <w:szCs w:val="16"/>
                      <w:lang w:eastAsia="lv-LV"/>
                    </w:rPr>
                  </w:pPr>
                  <w:r w:rsidRPr="007D08C9">
                    <w:rPr>
                      <w:rFonts w:eastAsia="Times New Roman" w:cstheme="minorHAnsi"/>
                      <w:sz w:val="12"/>
                      <w:szCs w:val="16"/>
                      <w:lang w:eastAsia="lv-LV"/>
                    </w:rPr>
                    <w:t>Atlīdzība par darbspēju zaudējumu (saistībā ar maksimālo apmēru)</w:t>
                  </w:r>
                </w:p>
              </w:tc>
              <w:tc>
                <w:tcPr>
                  <w:tcW w:w="566" w:type="dxa"/>
                  <w:tcBorders>
                    <w:top w:val="nil"/>
                    <w:left w:val="single" w:sz="4" w:space="0" w:color="auto"/>
                    <w:bottom w:val="nil"/>
                    <w:right w:val="single" w:sz="4" w:space="0" w:color="auto"/>
                  </w:tcBorders>
                  <w:shd w:val="clear" w:color="auto" w:fill="auto"/>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90</w:t>
                  </w:r>
                </w:p>
              </w:tc>
              <w:tc>
                <w:tcPr>
                  <w:tcW w:w="705" w:type="dxa"/>
                  <w:tcBorders>
                    <w:top w:val="nil"/>
                    <w:left w:val="nil"/>
                    <w:bottom w:val="nil"/>
                    <w:right w:val="single" w:sz="4" w:space="0" w:color="auto"/>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239.46</w:t>
                  </w:r>
                </w:p>
              </w:tc>
              <w:tc>
                <w:tcPr>
                  <w:tcW w:w="763" w:type="dxa"/>
                  <w:tcBorders>
                    <w:top w:val="nil"/>
                    <w:left w:val="nil"/>
                    <w:bottom w:val="nil"/>
                    <w:right w:val="single" w:sz="4" w:space="0" w:color="auto"/>
                  </w:tcBorders>
                  <w:shd w:val="clear" w:color="000000" w:fill="D9D9D9"/>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258 617</w:t>
                  </w:r>
                </w:p>
              </w:tc>
              <w:tc>
                <w:tcPr>
                  <w:tcW w:w="656" w:type="dxa"/>
                  <w:tcBorders>
                    <w:top w:val="nil"/>
                    <w:left w:val="nil"/>
                    <w:bottom w:val="nil"/>
                    <w:right w:val="single" w:sz="4" w:space="0" w:color="auto"/>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90</w:t>
                  </w:r>
                </w:p>
              </w:tc>
              <w:tc>
                <w:tcPr>
                  <w:tcW w:w="794" w:type="dxa"/>
                  <w:tcBorders>
                    <w:top w:val="nil"/>
                    <w:left w:val="nil"/>
                    <w:bottom w:val="nil"/>
                    <w:right w:val="single" w:sz="4" w:space="0" w:color="auto"/>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239.46</w:t>
                  </w:r>
                </w:p>
              </w:tc>
              <w:tc>
                <w:tcPr>
                  <w:tcW w:w="794" w:type="dxa"/>
                  <w:tcBorders>
                    <w:top w:val="nil"/>
                    <w:left w:val="nil"/>
                    <w:bottom w:val="nil"/>
                    <w:right w:val="single" w:sz="4" w:space="0" w:color="auto"/>
                  </w:tcBorders>
                  <w:shd w:val="clear" w:color="000000" w:fill="D9D9D9"/>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258 617</w:t>
                  </w:r>
                </w:p>
              </w:tc>
              <w:tc>
                <w:tcPr>
                  <w:tcW w:w="676" w:type="dxa"/>
                  <w:gridSpan w:val="2"/>
                  <w:tcBorders>
                    <w:top w:val="nil"/>
                    <w:left w:val="nil"/>
                    <w:bottom w:val="nil"/>
                    <w:right w:val="single" w:sz="4" w:space="0" w:color="auto"/>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90</w:t>
                  </w:r>
                </w:p>
              </w:tc>
              <w:tc>
                <w:tcPr>
                  <w:tcW w:w="713" w:type="dxa"/>
                  <w:tcBorders>
                    <w:top w:val="nil"/>
                    <w:left w:val="nil"/>
                    <w:bottom w:val="nil"/>
                    <w:right w:val="single" w:sz="4" w:space="0" w:color="auto"/>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239.46</w:t>
                  </w:r>
                </w:p>
              </w:tc>
              <w:tc>
                <w:tcPr>
                  <w:tcW w:w="850" w:type="dxa"/>
                  <w:tcBorders>
                    <w:top w:val="nil"/>
                    <w:left w:val="nil"/>
                    <w:bottom w:val="nil"/>
                    <w:right w:val="single" w:sz="4" w:space="0" w:color="auto"/>
                  </w:tcBorders>
                  <w:shd w:val="clear" w:color="000000" w:fill="D9D9D9"/>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258 617</w:t>
                  </w:r>
                </w:p>
              </w:tc>
            </w:tr>
            <w:tr w:rsidR="002A1D7B" w:rsidRPr="007D08C9" w:rsidTr="002A1D7B">
              <w:trPr>
                <w:trHeight w:val="20"/>
              </w:trPr>
              <w:tc>
                <w:tcPr>
                  <w:tcW w:w="1553" w:type="dxa"/>
                  <w:vAlign w:val="center"/>
                </w:tcPr>
                <w:p w:rsidR="002A1D7B" w:rsidRPr="007D08C9" w:rsidRDefault="002A1D7B" w:rsidP="002A1D7B">
                  <w:pPr>
                    <w:spacing w:after="0" w:line="240" w:lineRule="auto"/>
                    <w:rPr>
                      <w:rFonts w:eastAsia="Times New Roman" w:cstheme="minorHAnsi"/>
                      <w:sz w:val="12"/>
                      <w:szCs w:val="16"/>
                      <w:lang w:eastAsia="lv-LV"/>
                    </w:rPr>
                  </w:pPr>
                  <w:r w:rsidRPr="007D08C9">
                    <w:rPr>
                      <w:rFonts w:eastAsia="Times New Roman" w:cstheme="minorHAnsi"/>
                      <w:sz w:val="12"/>
                      <w:szCs w:val="16"/>
                      <w:lang w:eastAsia="lv-LV"/>
                    </w:rPr>
                    <w:t>Apdrošināšanas atlīdzība par apgādnieka zaudējumu</w:t>
                  </w:r>
                </w:p>
              </w:tc>
              <w:tc>
                <w:tcPr>
                  <w:tcW w:w="566" w:type="dxa"/>
                  <w:tcBorders>
                    <w:top w:val="single" w:sz="4" w:space="0" w:color="auto"/>
                    <w:left w:val="single" w:sz="4" w:space="0" w:color="auto"/>
                    <w:bottom w:val="single" w:sz="4" w:space="0" w:color="auto"/>
                    <w:right w:val="nil"/>
                  </w:tcBorders>
                  <w:shd w:val="clear" w:color="auto" w:fill="auto"/>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26</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31.48</w:t>
                  </w:r>
                </w:p>
              </w:tc>
              <w:tc>
                <w:tcPr>
                  <w:tcW w:w="763" w:type="dxa"/>
                  <w:tcBorders>
                    <w:top w:val="single" w:sz="4" w:space="0" w:color="auto"/>
                    <w:left w:val="nil"/>
                    <w:bottom w:val="single" w:sz="4" w:space="0" w:color="auto"/>
                    <w:right w:val="single" w:sz="4" w:space="0" w:color="auto"/>
                  </w:tcBorders>
                  <w:shd w:val="clear" w:color="000000" w:fill="D9D9D9"/>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9 822</w:t>
                  </w:r>
                </w:p>
              </w:tc>
              <w:tc>
                <w:tcPr>
                  <w:tcW w:w="656" w:type="dxa"/>
                  <w:tcBorders>
                    <w:top w:val="single" w:sz="4" w:space="0" w:color="auto"/>
                    <w:left w:val="nil"/>
                    <w:bottom w:val="single" w:sz="4" w:space="0" w:color="auto"/>
                    <w:right w:val="nil"/>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26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31.48</w:t>
                  </w:r>
                </w:p>
              </w:tc>
              <w:tc>
                <w:tcPr>
                  <w:tcW w:w="794" w:type="dxa"/>
                  <w:tcBorders>
                    <w:top w:val="single" w:sz="4" w:space="0" w:color="auto"/>
                    <w:left w:val="nil"/>
                    <w:bottom w:val="single" w:sz="4" w:space="0" w:color="auto"/>
                    <w:right w:val="single" w:sz="4" w:space="0" w:color="auto"/>
                  </w:tcBorders>
                  <w:shd w:val="clear" w:color="000000" w:fill="D9D9D9"/>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9 822</w:t>
                  </w:r>
                </w:p>
              </w:tc>
              <w:tc>
                <w:tcPr>
                  <w:tcW w:w="676" w:type="dxa"/>
                  <w:gridSpan w:val="2"/>
                  <w:tcBorders>
                    <w:top w:val="single" w:sz="4" w:space="0" w:color="auto"/>
                    <w:left w:val="nil"/>
                    <w:bottom w:val="single" w:sz="4" w:space="0" w:color="auto"/>
                    <w:right w:val="nil"/>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26</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31.48</w:t>
                  </w:r>
                </w:p>
              </w:tc>
              <w:tc>
                <w:tcPr>
                  <w:tcW w:w="850" w:type="dxa"/>
                  <w:tcBorders>
                    <w:top w:val="single" w:sz="4" w:space="0" w:color="auto"/>
                    <w:left w:val="nil"/>
                    <w:bottom w:val="single" w:sz="4" w:space="0" w:color="auto"/>
                    <w:right w:val="single" w:sz="4" w:space="0" w:color="auto"/>
                  </w:tcBorders>
                  <w:shd w:val="clear" w:color="000000" w:fill="D9D9D9"/>
                  <w:noWrap/>
                  <w:vAlign w:val="bottom"/>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9 822</w:t>
                  </w:r>
                </w:p>
              </w:tc>
            </w:tr>
            <w:tr w:rsidR="002A1D7B" w:rsidRPr="007D08C9" w:rsidTr="002A1D7B">
              <w:trPr>
                <w:trHeight w:val="20"/>
              </w:trPr>
              <w:tc>
                <w:tcPr>
                  <w:tcW w:w="8070" w:type="dxa"/>
                  <w:gridSpan w:val="11"/>
                  <w:tcBorders>
                    <w:right w:val="single" w:sz="4" w:space="0" w:color="auto"/>
                  </w:tcBorders>
                  <w:vAlign w:val="center"/>
                </w:tcPr>
                <w:p w:rsidR="002A1D7B" w:rsidRPr="007D08C9" w:rsidRDefault="002A1D7B" w:rsidP="002A1D7B">
                  <w:pPr>
                    <w:spacing w:before="100" w:beforeAutospacing="1" w:after="100" w:afterAutospacing="1"/>
                    <w:rPr>
                      <w:rFonts w:asciiTheme="majorHAnsi" w:hAnsiTheme="majorHAnsi" w:cstheme="majorHAnsi"/>
                      <w:sz w:val="12"/>
                    </w:rPr>
                  </w:pPr>
                  <w:r w:rsidRPr="007D08C9">
                    <w:rPr>
                      <w:rFonts w:eastAsia="Times New Roman" w:cstheme="minorHAnsi"/>
                      <w:sz w:val="12"/>
                      <w:szCs w:val="16"/>
                      <w:lang w:eastAsia="lv-LV"/>
                    </w:rPr>
                    <w:t>apakšprogrammai 04.04.00 “Invaliditātes, maternitātes un slimības speciālais budžets”:</w:t>
                  </w:r>
                </w:p>
              </w:tc>
            </w:tr>
            <w:tr w:rsidR="002A1D7B" w:rsidRPr="007D08C9" w:rsidTr="002A1D7B">
              <w:trPr>
                <w:trHeight w:val="20"/>
              </w:trPr>
              <w:tc>
                <w:tcPr>
                  <w:tcW w:w="1553" w:type="dxa"/>
                  <w:vAlign w:val="center"/>
                </w:tcPr>
                <w:p w:rsidR="002A1D7B" w:rsidRPr="007D08C9" w:rsidRDefault="002A1D7B" w:rsidP="002A1D7B">
                  <w:pPr>
                    <w:spacing w:after="0" w:line="240" w:lineRule="auto"/>
                    <w:rPr>
                      <w:rFonts w:eastAsia="Times New Roman" w:cstheme="minorHAnsi"/>
                      <w:sz w:val="12"/>
                      <w:szCs w:val="16"/>
                      <w:lang w:eastAsia="lv-LV"/>
                    </w:rPr>
                  </w:pPr>
                  <w:r w:rsidRPr="007D08C9">
                    <w:rPr>
                      <w:rFonts w:eastAsia="Times New Roman" w:cstheme="minorHAnsi"/>
                      <w:sz w:val="12"/>
                      <w:szCs w:val="16"/>
                      <w:lang w:eastAsia="lv-LV"/>
                    </w:rPr>
                    <w:t>Darbā nodarītā kaitējuma atlīdzība</w:t>
                  </w:r>
                </w:p>
              </w:tc>
              <w:tc>
                <w:tcPr>
                  <w:tcW w:w="566" w:type="dxa"/>
                  <w:tcBorders>
                    <w:top w:val="single" w:sz="4" w:space="0" w:color="auto"/>
                    <w:left w:val="single" w:sz="4" w:space="0" w:color="auto"/>
                    <w:bottom w:val="single" w:sz="4" w:space="0" w:color="auto"/>
                    <w:right w:val="nil"/>
                  </w:tcBorders>
                  <w:shd w:val="clear" w:color="auto" w:fill="auto"/>
                  <w:vAlign w:val="center"/>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666</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51.87</w:t>
                  </w:r>
                </w:p>
              </w:tc>
              <w:tc>
                <w:tcPr>
                  <w:tcW w:w="763" w:type="dxa"/>
                  <w:tcBorders>
                    <w:top w:val="single" w:sz="4" w:space="0" w:color="auto"/>
                    <w:left w:val="nil"/>
                    <w:bottom w:val="single" w:sz="4" w:space="0" w:color="auto"/>
                    <w:right w:val="single" w:sz="4" w:space="0" w:color="auto"/>
                  </w:tcBorders>
                  <w:shd w:val="clear" w:color="000000" w:fill="D9D9D9"/>
                  <w:noWrap/>
                  <w:vAlign w:val="center"/>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414 525</w:t>
                  </w:r>
                </w:p>
              </w:tc>
              <w:tc>
                <w:tcPr>
                  <w:tcW w:w="656" w:type="dxa"/>
                  <w:tcBorders>
                    <w:top w:val="single" w:sz="4" w:space="0" w:color="auto"/>
                    <w:left w:val="nil"/>
                    <w:bottom w:val="single" w:sz="4" w:space="0" w:color="auto"/>
                    <w:right w:val="nil"/>
                  </w:tcBorders>
                  <w:shd w:val="clear" w:color="auto" w:fill="auto"/>
                  <w:noWrap/>
                  <w:vAlign w:val="center"/>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666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51.87</w:t>
                  </w:r>
                </w:p>
              </w:tc>
              <w:tc>
                <w:tcPr>
                  <w:tcW w:w="794" w:type="dxa"/>
                  <w:tcBorders>
                    <w:top w:val="single" w:sz="4" w:space="0" w:color="auto"/>
                    <w:left w:val="nil"/>
                    <w:bottom w:val="single" w:sz="4" w:space="0" w:color="auto"/>
                    <w:right w:val="single" w:sz="4" w:space="0" w:color="auto"/>
                  </w:tcBorders>
                  <w:shd w:val="clear" w:color="000000" w:fill="D9D9D9"/>
                  <w:noWrap/>
                  <w:vAlign w:val="center"/>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414 525</w:t>
                  </w:r>
                </w:p>
              </w:tc>
              <w:tc>
                <w:tcPr>
                  <w:tcW w:w="676" w:type="dxa"/>
                  <w:gridSpan w:val="2"/>
                  <w:tcBorders>
                    <w:top w:val="single" w:sz="4" w:space="0" w:color="auto"/>
                    <w:left w:val="nil"/>
                    <w:bottom w:val="single" w:sz="4" w:space="0" w:color="auto"/>
                    <w:right w:val="nil"/>
                  </w:tcBorders>
                  <w:shd w:val="clear" w:color="auto" w:fill="auto"/>
                  <w:noWrap/>
                  <w:vAlign w:val="center"/>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666</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51.87</w:t>
                  </w:r>
                </w:p>
              </w:tc>
              <w:tc>
                <w:tcPr>
                  <w:tcW w:w="850" w:type="dxa"/>
                  <w:tcBorders>
                    <w:top w:val="single" w:sz="4" w:space="0" w:color="auto"/>
                    <w:left w:val="nil"/>
                    <w:bottom w:val="single" w:sz="4" w:space="0" w:color="auto"/>
                    <w:right w:val="single" w:sz="4" w:space="0" w:color="auto"/>
                  </w:tcBorders>
                  <w:shd w:val="clear" w:color="000000" w:fill="D9D9D9"/>
                  <w:noWrap/>
                  <w:vAlign w:val="center"/>
                </w:tcPr>
                <w:p w:rsidR="002A1D7B" w:rsidRPr="007D08C9" w:rsidRDefault="002A1D7B" w:rsidP="002A1D7B">
                  <w:pPr>
                    <w:spacing w:before="100" w:beforeAutospacing="1" w:after="100" w:afterAutospacing="1"/>
                    <w:jc w:val="center"/>
                    <w:rPr>
                      <w:rFonts w:asciiTheme="majorHAnsi" w:hAnsiTheme="majorHAnsi" w:cstheme="majorHAnsi"/>
                      <w:sz w:val="12"/>
                    </w:rPr>
                  </w:pPr>
                  <w:r w:rsidRPr="007D08C9">
                    <w:rPr>
                      <w:rFonts w:asciiTheme="majorHAnsi" w:hAnsiTheme="majorHAnsi" w:cstheme="majorHAnsi"/>
                      <w:sz w:val="12"/>
                    </w:rPr>
                    <w:t>414 525</w:t>
                  </w:r>
                </w:p>
              </w:tc>
            </w:tr>
          </w:tbl>
          <w:p w:rsidR="002A1D7B" w:rsidRPr="007D08C9" w:rsidRDefault="002A1D7B" w:rsidP="002A1D7B">
            <w:pPr>
              <w:spacing w:after="0" w:line="240" w:lineRule="auto"/>
              <w:jc w:val="both"/>
              <w:rPr>
                <w:rFonts w:ascii="Times New Roman" w:eastAsia="Times New Roman" w:hAnsi="Times New Roman" w:cs="Times New Roman"/>
                <w:i/>
                <w:iCs/>
                <w:sz w:val="14"/>
                <w:szCs w:val="16"/>
                <w:lang w:eastAsia="lv-LV"/>
              </w:rPr>
            </w:pPr>
            <w:r w:rsidRPr="007D08C9">
              <w:rPr>
                <w:rFonts w:ascii="Times New Roman" w:eastAsia="Times New Roman" w:hAnsi="Times New Roman" w:cs="Times New Roman"/>
                <w:i/>
                <w:iCs/>
                <w:sz w:val="14"/>
                <w:szCs w:val="16"/>
                <w:lang w:eastAsia="lv-LV"/>
              </w:rPr>
              <w:t xml:space="preserve">*ņemta vērā VSAA statistika par pakalpojumu saņēmējiem, kuru apmērs ir līdz jaunajam minimumam, to vidējiem apmēriem, īpatsvars pielīdzināts budžeta bāzes kontingentam; ņemta vērā esošā statistika par pakalpojumu saņēmējiem, kuru apmērs pārsniedz esošo </w:t>
            </w:r>
            <w:proofErr w:type="spellStart"/>
            <w:r w:rsidRPr="007D08C9">
              <w:rPr>
                <w:rFonts w:ascii="Times New Roman" w:eastAsia="Times New Roman" w:hAnsi="Times New Roman" w:cs="Times New Roman"/>
                <w:i/>
                <w:iCs/>
                <w:sz w:val="14"/>
                <w:szCs w:val="16"/>
                <w:lang w:eastAsia="lv-LV"/>
              </w:rPr>
              <w:t>divdesmitpieckāršu</w:t>
            </w:r>
            <w:proofErr w:type="spellEnd"/>
            <w:r w:rsidRPr="007D08C9">
              <w:rPr>
                <w:rFonts w:ascii="Times New Roman" w:eastAsia="Times New Roman" w:hAnsi="Times New Roman" w:cs="Times New Roman"/>
                <w:i/>
                <w:iCs/>
                <w:sz w:val="14"/>
                <w:szCs w:val="16"/>
                <w:lang w:eastAsia="lv-LV"/>
              </w:rPr>
              <w:t xml:space="preserve"> valsts sociālā nodrošinājuma pabalstu, un to vidējiem apmēriem; kā arī izmantoti dati par apgādājamo skaitu, kuriem pakalpojuma apmērs ir līdz jaunajam minimumam, un to vidējiem apmēriem.</w:t>
            </w:r>
          </w:p>
          <w:p w:rsidR="002A1D7B" w:rsidRPr="007D08C9" w:rsidRDefault="002A1D7B" w:rsidP="002A1D7B">
            <w:pPr>
              <w:spacing w:after="0" w:line="240" w:lineRule="auto"/>
              <w:jc w:val="both"/>
              <w:rPr>
                <w:rFonts w:ascii="Times New Roman" w:eastAsia="Times New Roman" w:hAnsi="Times New Roman" w:cs="Times New Roman"/>
                <w:i/>
                <w:iCs/>
                <w:sz w:val="14"/>
                <w:szCs w:val="16"/>
                <w:lang w:eastAsia="lv-LV"/>
              </w:rPr>
            </w:pPr>
          </w:p>
          <w:p w:rsidR="002A1D7B" w:rsidRPr="007D08C9" w:rsidRDefault="002A1D7B" w:rsidP="002A1D7B">
            <w:pPr>
              <w:spacing w:after="0" w:line="240" w:lineRule="auto"/>
              <w:jc w:val="both"/>
              <w:rPr>
                <w:rFonts w:ascii="Times New Roman" w:eastAsia="Times New Roman" w:hAnsi="Times New Roman" w:cs="Times New Roman"/>
                <w:iCs/>
                <w:sz w:val="20"/>
                <w:szCs w:val="16"/>
                <w:lang w:eastAsia="lv-LV"/>
              </w:rPr>
            </w:pPr>
            <w:r w:rsidRPr="007D08C9">
              <w:rPr>
                <w:rFonts w:ascii="Times New Roman" w:eastAsia="Times New Roman" w:hAnsi="Times New Roman" w:cs="Times New Roman"/>
                <w:iCs/>
                <w:sz w:val="20"/>
                <w:szCs w:val="16"/>
                <w:lang w:eastAsia="lv-LV"/>
              </w:rPr>
              <w:t xml:space="preserve">Ņemot vērā, ka minimālo atlīdzību un no to apmēriem izrietošo pabalstu pārskatīšana uz augstākām aprēķina bāzes vērtībām personām ir ar sociālās apdrošināšanas iemaksām nesaistīti izdevumi, norādītie izdevumi nodrošināmi no valsts pamatbudžeta. Attiecīgi, lai nodrošinātu pakalpojuma izmaksu minimālā apmērā, apmēra daļa, kas personai aprēķināta no iepriekš veiktajām sociālās apdrošināšanas iemaksām, arī turpmāk tiks izmaksāta no sociālās apdrošināšanas speciālā budžeta, </w:t>
            </w:r>
            <w:r w:rsidRPr="007D08C9">
              <w:rPr>
                <w:rFonts w:ascii="Times New Roman" w:eastAsia="Times New Roman" w:hAnsi="Times New Roman" w:cs="Times New Roman"/>
                <w:iCs/>
                <w:sz w:val="20"/>
                <w:szCs w:val="16"/>
                <w:lang w:eastAsia="lv-LV"/>
              </w:rPr>
              <w:lastRenderedPageBreak/>
              <w:t xml:space="preserve">savukārt iztrūkstošā starpība līdz jaunajam minimumam – no </w:t>
            </w:r>
            <w:r>
              <w:rPr>
                <w:rFonts w:ascii="Times New Roman" w:eastAsia="Times New Roman" w:hAnsi="Times New Roman" w:cs="Times New Roman"/>
                <w:iCs/>
                <w:sz w:val="20"/>
                <w:szCs w:val="16"/>
                <w:lang w:eastAsia="lv-LV"/>
              </w:rPr>
              <w:t xml:space="preserve">LM </w:t>
            </w:r>
            <w:r w:rsidRPr="007D08C9">
              <w:rPr>
                <w:rFonts w:ascii="Times New Roman" w:eastAsia="Times New Roman" w:hAnsi="Times New Roman" w:cs="Times New Roman"/>
                <w:iCs/>
                <w:sz w:val="20"/>
                <w:szCs w:val="16"/>
                <w:lang w:eastAsia="lv-LV"/>
              </w:rPr>
              <w:t>pamatbudžeta programmas 04.00.00 “Valsts atbalsts sociālajai apdrošināšanai”.</w:t>
            </w:r>
          </w:p>
          <w:p w:rsidR="002A1D7B" w:rsidRPr="007D08C9" w:rsidRDefault="002A1D7B" w:rsidP="002A1D7B">
            <w:pPr>
              <w:spacing w:after="0" w:line="240" w:lineRule="auto"/>
              <w:jc w:val="both"/>
              <w:rPr>
                <w:rFonts w:ascii="Times New Roman" w:eastAsia="Times New Roman" w:hAnsi="Times New Roman" w:cs="Times New Roman"/>
                <w:iCs/>
                <w:sz w:val="20"/>
                <w:szCs w:val="16"/>
                <w:lang w:eastAsia="lv-LV"/>
              </w:rPr>
            </w:pPr>
          </w:p>
          <w:p w:rsidR="002A1D7B" w:rsidRPr="007D08C9" w:rsidRDefault="002A1D7B" w:rsidP="002A1D7B">
            <w:pPr>
              <w:spacing w:after="0" w:line="240" w:lineRule="auto"/>
              <w:jc w:val="both"/>
              <w:rPr>
                <w:rFonts w:ascii="Times New Roman" w:eastAsia="Times New Roman" w:hAnsi="Times New Roman" w:cs="Times New Roman"/>
                <w:sz w:val="20"/>
                <w:szCs w:val="20"/>
                <w:lang w:eastAsia="lv-LV"/>
              </w:rPr>
            </w:pPr>
            <w:r w:rsidRPr="007D08C9">
              <w:rPr>
                <w:rFonts w:ascii="Times New Roman" w:eastAsia="Times New Roman" w:hAnsi="Times New Roman" w:cs="Times New Roman"/>
                <w:sz w:val="20"/>
                <w:szCs w:val="20"/>
                <w:lang w:eastAsia="lv-LV"/>
              </w:rPr>
              <w:t xml:space="preserve">Lai realizētu izmaiņas likumprojektā un nodrošinātu apdrošināšanas atlīdzību, kas piešķirtas sakarā ar nelaimes gadījumu darbā vai arodslimību, paaugstināšanu, Valsts sociālās apdrošināšanas aģentūrai IS izmaiņām 2021.gadā nepieciešami 11 798 </w:t>
            </w:r>
            <w:proofErr w:type="spellStart"/>
            <w:r w:rsidRPr="007D08C9">
              <w:rPr>
                <w:rFonts w:ascii="Times New Roman" w:eastAsia="Times New Roman" w:hAnsi="Times New Roman" w:cs="Times New Roman"/>
                <w:i/>
                <w:sz w:val="20"/>
                <w:szCs w:val="20"/>
                <w:lang w:eastAsia="lv-LV"/>
              </w:rPr>
              <w:t>euro</w:t>
            </w:r>
            <w:proofErr w:type="spellEnd"/>
            <w:r w:rsidRPr="007D08C9">
              <w:rPr>
                <w:rFonts w:ascii="Times New Roman" w:eastAsia="Times New Roman" w:hAnsi="Times New Roman" w:cs="Times New Roman"/>
                <w:sz w:val="20"/>
                <w:szCs w:val="20"/>
                <w:lang w:eastAsia="lv-LV"/>
              </w:rPr>
              <w:t xml:space="preserve"> (25 c/d * 471,90 </w:t>
            </w:r>
            <w:proofErr w:type="spellStart"/>
            <w:r w:rsidRPr="007D08C9">
              <w:rPr>
                <w:rFonts w:ascii="Times New Roman" w:eastAsia="Times New Roman" w:hAnsi="Times New Roman" w:cs="Times New Roman"/>
                <w:i/>
                <w:sz w:val="20"/>
                <w:szCs w:val="20"/>
                <w:lang w:eastAsia="lv-LV"/>
              </w:rPr>
              <w:t>euro</w:t>
            </w:r>
            <w:proofErr w:type="spellEnd"/>
            <w:r w:rsidRPr="007D08C9">
              <w:rPr>
                <w:rFonts w:ascii="Times New Roman" w:eastAsia="Times New Roman" w:hAnsi="Times New Roman" w:cs="Times New Roman"/>
                <w:sz w:val="20"/>
                <w:szCs w:val="20"/>
                <w:lang w:eastAsia="lv-LV"/>
              </w:rPr>
              <w:t xml:space="preserve"> c/d, noapaļojot līdz veseliem </w:t>
            </w:r>
            <w:proofErr w:type="spellStart"/>
            <w:r w:rsidRPr="007D08C9">
              <w:rPr>
                <w:rFonts w:ascii="Times New Roman" w:eastAsia="Times New Roman" w:hAnsi="Times New Roman" w:cs="Times New Roman"/>
                <w:i/>
                <w:sz w:val="20"/>
                <w:szCs w:val="20"/>
                <w:lang w:eastAsia="lv-LV"/>
              </w:rPr>
              <w:t>euro</w:t>
            </w:r>
            <w:proofErr w:type="spellEnd"/>
            <w:r w:rsidRPr="007D08C9">
              <w:rPr>
                <w:rFonts w:ascii="Times New Roman" w:eastAsia="Times New Roman" w:hAnsi="Times New Roman" w:cs="Times New Roman"/>
                <w:sz w:val="20"/>
                <w:szCs w:val="20"/>
                <w:lang w:eastAsia="lv-LV"/>
              </w:rPr>
              <w:t>), 2022.gadā – 23 595 </w:t>
            </w:r>
            <w:proofErr w:type="spellStart"/>
            <w:r w:rsidRPr="007D08C9">
              <w:rPr>
                <w:rFonts w:ascii="Times New Roman" w:eastAsia="Times New Roman" w:hAnsi="Times New Roman" w:cs="Times New Roman"/>
                <w:i/>
                <w:sz w:val="20"/>
                <w:szCs w:val="20"/>
                <w:lang w:eastAsia="lv-LV"/>
              </w:rPr>
              <w:t>euro</w:t>
            </w:r>
            <w:proofErr w:type="spellEnd"/>
            <w:r w:rsidRPr="007D08C9">
              <w:rPr>
                <w:rFonts w:ascii="Times New Roman" w:eastAsia="Times New Roman" w:hAnsi="Times New Roman" w:cs="Times New Roman"/>
                <w:sz w:val="20"/>
                <w:szCs w:val="20"/>
                <w:lang w:eastAsia="lv-LV"/>
              </w:rPr>
              <w:t xml:space="preserve"> (50 c/d * 471,90 </w:t>
            </w:r>
            <w:proofErr w:type="spellStart"/>
            <w:r w:rsidRPr="007D08C9">
              <w:rPr>
                <w:rFonts w:ascii="Times New Roman" w:eastAsia="Times New Roman" w:hAnsi="Times New Roman" w:cs="Times New Roman"/>
                <w:i/>
                <w:sz w:val="20"/>
                <w:szCs w:val="20"/>
                <w:lang w:eastAsia="lv-LV"/>
              </w:rPr>
              <w:t>euro</w:t>
            </w:r>
            <w:proofErr w:type="spellEnd"/>
            <w:r w:rsidRPr="007D08C9">
              <w:rPr>
                <w:rFonts w:ascii="Times New Roman" w:eastAsia="Times New Roman" w:hAnsi="Times New Roman" w:cs="Times New Roman"/>
                <w:sz w:val="20"/>
                <w:szCs w:val="20"/>
                <w:lang w:eastAsia="lv-LV"/>
              </w:rPr>
              <w:t xml:space="preserve"> c/d). Tas ietver: atlīdzību minimālo apmēru piesaisti ienākumu mediānai un masveida uzdevumu ikgadējai atlīdzības apmēra pārskatīšanu. Finansējums VSAA IS izmaiņām tiks nodrošināts no LM pamatbudžeta apakšprogrammas  </w:t>
            </w:r>
            <w:r w:rsidRPr="007D08C9">
              <w:rPr>
                <w:rFonts w:ascii="Times New Roman" w:eastAsia="Times New Roman" w:hAnsi="Times New Roman" w:cs="Times New Roman"/>
                <w:iCs/>
                <w:sz w:val="20"/>
                <w:szCs w:val="16"/>
                <w:lang w:eastAsia="lv-LV"/>
              </w:rPr>
              <w:t>97.02.00 “</w:t>
            </w:r>
            <w:r w:rsidRPr="007D08C9">
              <w:rPr>
                <w:rFonts w:ascii="Times New Roman" w:eastAsia="Times New Roman" w:hAnsi="Times New Roman" w:cs="Times New Roman"/>
                <w:iCs/>
                <w:sz w:val="20"/>
                <w:szCs w:val="20"/>
                <w:lang w:eastAsia="lv-LV"/>
              </w:rPr>
              <w:t>Nozares centralizēto funkciju izpilde</w:t>
            </w:r>
            <w:r w:rsidRPr="007D08C9">
              <w:rPr>
                <w:rFonts w:ascii="Times New Roman" w:eastAsia="Times New Roman" w:hAnsi="Times New Roman" w:cs="Times New Roman"/>
                <w:iCs/>
                <w:sz w:val="20"/>
                <w:szCs w:val="16"/>
                <w:lang w:eastAsia="lv-LV"/>
              </w:rPr>
              <w:t>”.</w:t>
            </w:r>
          </w:p>
          <w:p w:rsidR="002A1D7B" w:rsidRPr="007D08C9" w:rsidRDefault="002A1D7B" w:rsidP="002A1D7B">
            <w:pPr>
              <w:spacing w:after="0" w:line="240" w:lineRule="auto"/>
              <w:jc w:val="both"/>
              <w:rPr>
                <w:rFonts w:ascii="Times New Roman" w:eastAsia="Times New Roman" w:hAnsi="Times New Roman" w:cs="Times New Roman"/>
                <w:iCs/>
                <w:sz w:val="20"/>
                <w:szCs w:val="16"/>
                <w:lang w:eastAsia="lv-LV"/>
              </w:rPr>
            </w:pPr>
          </w:p>
          <w:p w:rsidR="002A1D7B" w:rsidRPr="007D08C9" w:rsidRDefault="002A1D7B" w:rsidP="002A1D7B">
            <w:pPr>
              <w:spacing w:after="0" w:line="240" w:lineRule="auto"/>
              <w:jc w:val="both"/>
              <w:rPr>
                <w:rFonts w:ascii="Times New Roman" w:eastAsia="Times New Roman" w:hAnsi="Times New Roman" w:cs="Times New Roman"/>
                <w:iCs/>
                <w:sz w:val="20"/>
                <w:szCs w:val="16"/>
                <w:lang w:eastAsia="lv-LV"/>
              </w:rPr>
            </w:pPr>
            <w:r w:rsidRPr="007D08C9">
              <w:rPr>
                <w:rFonts w:ascii="Times New Roman" w:eastAsia="Times New Roman" w:hAnsi="Times New Roman" w:cs="Times New Roman"/>
                <w:iCs/>
                <w:sz w:val="20"/>
                <w:szCs w:val="16"/>
                <w:lang w:eastAsia="lv-LV"/>
              </w:rPr>
              <w:t>Likumprojekta ietekmē palielinās:</w:t>
            </w:r>
          </w:p>
          <w:p w:rsidR="002A1D7B" w:rsidRPr="007D08C9" w:rsidRDefault="002A1D7B" w:rsidP="002A1D7B">
            <w:pPr>
              <w:pStyle w:val="ListParagraph"/>
              <w:numPr>
                <w:ilvl w:val="0"/>
                <w:numId w:val="6"/>
              </w:numPr>
              <w:spacing w:after="0" w:line="240" w:lineRule="auto"/>
              <w:jc w:val="both"/>
              <w:rPr>
                <w:rFonts w:ascii="Times New Roman" w:eastAsia="Times New Roman" w:hAnsi="Times New Roman" w:cs="Times New Roman"/>
                <w:iCs/>
                <w:sz w:val="20"/>
                <w:szCs w:val="16"/>
                <w:lang w:eastAsia="lv-LV"/>
              </w:rPr>
            </w:pPr>
            <w:r w:rsidRPr="007D08C9">
              <w:rPr>
                <w:rFonts w:ascii="Times New Roman" w:eastAsia="Times New Roman" w:hAnsi="Times New Roman" w:cs="Times New Roman"/>
                <w:iCs/>
                <w:sz w:val="20"/>
                <w:szCs w:val="16"/>
                <w:lang w:eastAsia="lv-LV"/>
              </w:rPr>
              <w:t xml:space="preserve">LM pamatbudžeta programmas 04.00.00 “Valsts atbalsts sociālajai apdrošināšanai” valsts budžeta uzturēšanas izdevumu </w:t>
            </w:r>
            <w:proofErr w:type="spellStart"/>
            <w:r w:rsidRPr="007D08C9">
              <w:rPr>
                <w:rFonts w:ascii="Times New Roman" w:eastAsia="Times New Roman" w:hAnsi="Times New Roman" w:cs="Times New Roman"/>
                <w:iCs/>
                <w:sz w:val="20"/>
                <w:szCs w:val="16"/>
                <w:lang w:eastAsia="lv-LV"/>
              </w:rPr>
              <w:t>transferti</w:t>
            </w:r>
            <w:proofErr w:type="spellEnd"/>
            <w:r w:rsidRPr="007D08C9">
              <w:rPr>
                <w:rFonts w:ascii="Times New Roman" w:eastAsia="Times New Roman" w:hAnsi="Times New Roman" w:cs="Times New Roman"/>
                <w:iCs/>
                <w:sz w:val="20"/>
                <w:szCs w:val="16"/>
                <w:lang w:eastAsia="lv-LV"/>
              </w:rPr>
              <w:t xml:space="preserve"> no valsts pamatbudžeta uz valsts speciālo budžetu,  tai skaitā:</w:t>
            </w:r>
          </w:p>
          <w:p w:rsidR="002A1D7B" w:rsidRPr="007D08C9" w:rsidRDefault="002A1D7B" w:rsidP="002A1D7B">
            <w:pPr>
              <w:pStyle w:val="ListParagraph"/>
              <w:numPr>
                <w:ilvl w:val="1"/>
                <w:numId w:val="6"/>
              </w:numPr>
              <w:spacing w:after="0" w:line="240" w:lineRule="auto"/>
              <w:jc w:val="both"/>
              <w:rPr>
                <w:rFonts w:ascii="Times New Roman" w:eastAsia="Times New Roman" w:hAnsi="Times New Roman" w:cs="Times New Roman"/>
                <w:iCs/>
                <w:sz w:val="20"/>
                <w:szCs w:val="16"/>
                <w:lang w:eastAsia="lv-LV"/>
              </w:rPr>
            </w:pPr>
            <w:r w:rsidRPr="007D08C9">
              <w:rPr>
                <w:rFonts w:ascii="Times New Roman" w:eastAsia="Times New Roman" w:hAnsi="Times New Roman" w:cs="Times New Roman"/>
                <w:iCs/>
                <w:sz w:val="20"/>
                <w:szCs w:val="16"/>
                <w:lang w:eastAsia="lv-LV"/>
              </w:rPr>
              <w:t xml:space="preserve">2021.gadā 1 315 577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 vienlaikus palielinot speciālā budžeta apakšprogrammas 04.03.00 “</w:t>
            </w:r>
            <w:r w:rsidRPr="007D08C9">
              <w:rPr>
                <w:rFonts w:ascii="Times New Roman" w:eastAsia="Times New Roman" w:hAnsi="Times New Roman" w:cs="Times New Roman"/>
                <w:i/>
                <w:iCs/>
                <w:sz w:val="20"/>
                <w:szCs w:val="16"/>
                <w:lang w:eastAsia="lv-LV"/>
              </w:rPr>
              <w:t>Darba negadījumu speciālais budžet</w:t>
            </w:r>
            <w:r w:rsidRPr="007D08C9">
              <w:rPr>
                <w:rFonts w:ascii="Times New Roman" w:eastAsia="Times New Roman" w:hAnsi="Times New Roman" w:cs="Times New Roman"/>
                <w:iCs/>
                <w:sz w:val="20"/>
                <w:szCs w:val="16"/>
                <w:lang w:eastAsia="lv-LV"/>
              </w:rPr>
              <w:t xml:space="preserve">s” saņemtos </w:t>
            </w:r>
            <w:proofErr w:type="spellStart"/>
            <w:r w:rsidRPr="007D08C9">
              <w:rPr>
                <w:rFonts w:ascii="Times New Roman" w:eastAsia="Times New Roman" w:hAnsi="Times New Roman" w:cs="Times New Roman"/>
                <w:iCs/>
                <w:sz w:val="20"/>
                <w:szCs w:val="16"/>
                <w:lang w:eastAsia="lv-LV"/>
              </w:rPr>
              <w:t>transfertus</w:t>
            </w:r>
            <w:proofErr w:type="spellEnd"/>
            <w:r w:rsidRPr="007D08C9">
              <w:rPr>
                <w:rFonts w:ascii="Times New Roman" w:eastAsia="Times New Roman" w:hAnsi="Times New Roman" w:cs="Times New Roman"/>
                <w:iCs/>
                <w:sz w:val="20"/>
                <w:szCs w:val="16"/>
                <w:lang w:eastAsia="lv-LV"/>
              </w:rPr>
              <w:t xml:space="preserve"> no valsts pamatbudžeta un izdevumus sociāla rakstura maksājumiem un kompensācijām 901 052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 xml:space="preserve"> apmērā un speciālā budžeta apakšprogrammas 04.04.00 “</w:t>
            </w:r>
            <w:r w:rsidRPr="007D08C9">
              <w:rPr>
                <w:rFonts w:ascii="Times New Roman" w:eastAsia="Times New Roman" w:hAnsi="Times New Roman" w:cs="Times New Roman"/>
                <w:i/>
                <w:iCs/>
                <w:sz w:val="20"/>
                <w:szCs w:val="16"/>
                <w:lang w:eastAsia="lv-LV"/>
              </w:rPr>
              <w:t>Invaliditātes, maternitātes un slimības speciālais budžets</w:t>
            </w:r>
            <w:r w:rsidRPr="007D08C9">
              <w:rPr>
                <w:rFonts w:ascii="Times New Roman" w:eastAsia="Times New Roman" w:hAnsi="Times New Roman" w:cs="Times New Roman"/>
                <w:iCs/>
                <w:sz w:val="20"/>
                <w:szCs w:val="16"/>
                <w:lang w:eastAsia="lv-LV"/>
              </w:rPr>
              <w:t xml:space="preserve">” saņemtos </w:t>
            </w:r>
            <w:proofErr w:type="spellStart"/>
            <w:r w:rsidRPr="007D08C9">
              <w:rPr>
                <w:rFonts w:ascii="Times New Roman" w:eastAsia="Times New Roman" w:hAnsi="Times New Roman" w:cs="Times New Roman"/>
                <w:iCs/>
                <w:sz w:val="20"/>
                <w:szCs w:val="16"/>
                <w:lang w:eastAsia="lv-LV"/>
              </w:rPr>
              <w:t>transfertus</w:t>
            </w:r>
            <w:proofErr w:type="spellEnd"/>
            <w:r w:rsidRPr="007D08C9">
              <w:rPr>
                <w:rFonts w:ascii="Times New Roman" w:eastAsia="Times New Roman" w:hAnsi="Times New Roman" w:cs="Times New Roman"/>
                <w:iCs/>
                <w:sz w:val="20"/>
                <w:szCs w:val="16"/>
                <w:lang w:eastAsia="lv-LV"/>
              </w:rPr>
              <w:t xml:space="preserve"> no valsts pamatbudžeta un izdevum</w:t>
            </w:r>
            <w:r>
              <w:rPr>
                <w:rFonts w:ascii="Times New Roman" w:eastAsia="Times New Roman" w:hAnsi="Times New Roman" w:cs="Times New Roman"/>
                <w:iCs/>
                <w:sz w:val="20"/>
                <w:szCs w:val="16"/>
                <w:lang w:eastAsia="lv-LV"/>
              </w:rPr>
              <w:t>us</w:t>
            </w:r>
            <w:r w:rsidRPr="007D08C9">
              <w:rPr>
                <w:rFonts w:ascii="Times New Roman" w:eastAsia="Times New Roman" w:hAnsi="Times New Roman" w:cs="Times New Roman"/>
                <w:iCs/>
                <w:sz w:val="20"/>
                <w:szCs w:val="16"/>
                <w:lang w:eastAsia="lv-LV"/>
              </w:rPr>
              <w:t xml:space="preserve"> sociāla rakstura maksājumiem un kompensācijām 414 525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 xml:space="preserve"> apmērā,</w:t>
            </w:r>
          </w:p>
          <w:p w:rsidR="002A1D7B" w:rsidRPr="007D08C9" w:rsidRDefault="002A1D7B" w:rsidP="002A1D7B">
            <w:pPr>
              <w:pStyle w:val="ListParagraph"/>
              <w:numPr>
                <w:ilvl w:val="1"/>
                <w:numId w:val="6"/>
              </w:numPr>
              <w:spacing w:after="0" w:line="240" w:lineRule="auto"/>
              <w:jc w:val="both"/>
              <w:rPr>
                <w:rFonts w:ascii="Times New Roman" w:eastAsia="Times New Roman" w:hAnsi="Times New Roman" w:cs="Times New Roman"/>
                <w:iCs/>
                <w:sz w:val="20"/>
                <w:szCs w:val="16"/>
                <w:lang w:eastAsia="lv-LV"/>
              </w:rPr>
            </w:pPr>
            <w:r w:rsidRPr="007D08C9">
              <w:rPr>
                <w:rFonts w:ascii="Times New Roman" w:eastAsia="Times New Roman" w:hAnsi="Times New Roman" w:cs="Times New Roman"/>
                <w:iCs/>
                <w:sz w:val="20"/>
                <w:szCs w:val="16"/>
                <w:lang w:eastAsia="lv-LV"/>
              </w:rPr>
              <w:t xml:space="preserve">2022.gadā 1 342 328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 vienlaikus palielinot speciālā budžeta apakšprogrammas 04.03.00 “</w:t>
            </w:r>
            <w:r w:rsidRPr="007D08C9">
              <w:rPr>
                <w:rFonts w:ascii="Times New Roman" w:eastAsia="Times New Roman" w:hAnsi="Times New Roman" w:cs="Times New Roman"/>
                <w:i/>
                <w:iCs/>
                <w:sz w:val="20"/>
                <w:szCs w:val="16"/>
                <w:lang w:eastAsia="lv-LV"/>
              </w:rPr>
              <w:t>Darba negadījumu speciālais budžet</w:t>
            </w:r>
            <w:r w:rsidRPr="007D08C9">
              <w:rPr>
                <w:rFonts w:ascii="Times New Roman" w:eastAsia="Times New Roman" w:hAnsi="Times New Roman" w:cs="Times New Roman"/>
                <w:iCs/>
                <w:sz w:val="20"/>
                <w:szCs w:val="16"/>
                <w:lang w:eastAsia="lv-LV"/>
              </w:rPr>
              <w:t xml:space="preserve">s” saņemtos </w:t>
            </w:r>
            <w:proofErr w:type="spellStart"/>
            <w:r w:rsidRPr="007D08C9">
              <w:rPr>
                <w:rFonts w:ascii="Times New Roman" w:eastAsia="Times New Roman" w:hAnsi="Times New Roman" w:cs="Times New Roman"/>
                <w:iCs/>
                <w:sz w:val="20"/>
                <w:szCs w:val="16"/>
                <w:lang w:eastAsia="lv-LV"/>
              </w:rPr>
              <w:t>transfertus</w:t>
            </w:r>
            <w:proofErr w:type="spellEnd"/>
            <w:r w:rsidRPr="007D08C9">
              <w:rPr>
                <w:rFonts w:ascii="Times New Roman" w:eastAsia="Times New Roman" w:hAnsi="Times New Roman" w:cs="Times New Roman"/>
                <w:iCs/>
                <w:sz w:val="20"/>
                <w:szCs w:val="16"/>
                <w:lang w:eastAsia="lv-LV"/>
              </w:rPr>
              <w:t xml:space="preserve"> no valsts pamatbudžeta un izdevumus sociāla rakstura maksājumiem un kompensācijām 927 803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 xml:space="preserve"> apmērā un speciālā budžeta apakšprogrammas 04.04.00 “</w:t>
            </w:r>
            <w:r w:rsidRPr="007D08C9">
              <w:rPr>
                <w:rFonts w:ascii="Times New Roman" w:eastAsia="Times New Roman" w:hAnsi="Times New Roman" w:cs="Times New Roman"/>
                <w:i/>
                <w:iCs/>
                <w:sz w:val="20"/>
                <w:szCs w:val="16"/>
                <w:lang w:eastAsia="lv-LV"/>
              </w:rPr>
              <w:t>Invaliditātes, maternitātes un slimības speciālais budžets</w:t>
            </w:r>
            <w:r w:rsidRPr="007D08C9">
              <w:rPr>
                <w:rFonts w:ascii="Times New Roman" w:eastAsia="Times New Roman" w:hAnsi="Times New Roman" w:cs="Times New Roman"/>
                <w:iCs/>
                <w:sz w:val="20"/>
                <w:szCs w:val="16"/>
                <w:lang w:eastAsia="lv-LV"/>
              </w:rPr>
              <w:t xml:space="preserve">” saņemtos </w:t>
            </w:r>
            <w:proofErr w:type="spellStart"/>
            <w:r w:rsidRPr="007D08C9">
              <w:rPr>
                <w:rFonts w:ascii="Times New Roman" w:eastAsia="Times New Roman" w:hAnsi="Times New Roman" w:cs="Times New Roman"/>
                <w:iCs/>
                <w:sz w:val="20"/>
                <w:szCs w:val="16"/>
                <w:lang w:eastAsia="lv-LV"/>
              </w:rPr>
              <w:t>transfertus</w:t>
            </w:r>
            <w:proofErr w:type="spellEnd"/>
            <w:r w:rsidRPr="007D08C9">
              <w:rPr>
                <w:rFonts w:ascii="Times New Roman" w:eastAsia="Times New Roman" w:hAnsi="Times New Roman" w:cs="Times New Roman"/>
                <w:iCs/>
                <w:sz w:val="20"/>
                <w:szCs w:val="16"/>
                <w:lang w:eastAsia="lv-LV"/>
              </w:rPr>
              <w:t xml:space="preserve"> no valsts pamatbudžeta un izdevum</w:t>
            </w:r>
            <w:r>
              <w:rPr>
                <w:rFonts w:ascii="Times New Roman" w:eastAsia="Times New Roman" w:hAnsi="Times New Roman" w:cs="Times New Roman"/>
                <w:iCs/>
                <w:sz w:val="20"/>
                <w:szCs w:val="16"/>
                <w:lang w:eastAsia="lv-LV"/>
              </w:rPr>
              <w:t>us</w:t>
            </w:r>
            <w:r w:rsidRPr="007D08C9">
              <w:rPr>
                <w:rFonts w:ascii="Times New Roman" w:eastAsia="Times New Roman" w:hAnsi="Times New Roman" w:cs="Times New Roman"/>
                <w:iCs/>
                <w:sz w:val="20"/>
                <w:szCs w:val="16"/>
                <w:lang w:eastAsia="lv-LV"/>
              </w:rPr>
              <w:t xml:space="preserve"> sociāla rakstura maksājumiem un kompensācijām 414 525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 xml:space="preserve"> apmērā,</w:t>
            </w:r>
          </w:p>
          <w:p w:rsidR="002A1D7B" w:rsidRPr="007D08C9" w:rsidRDefault="002A1D7B" w:rsidP="002A1D7B">
            <w:pPr>
              <w:pStyle w:val="ListParagraph"/>
              <w:numPr>
                <w:ilvl w:val="1"/>
                <w:numId w:val="6"/>
              </w:numPr>
              <w:spacing w:after="0" w:line="240" w:lineRule="auto"/>
              <w:jc w:val="both"/>
              <w:rPr>
                <w:rFonts w:ascii="Times New Roman" w:eastAsia="Times New Roman" w:hAnsi="Times New Roman" w:cs="Times New Roman"/>
                <w:iCs/>
                <w:sz w:val="20"/>
                <w:szCs w:val="16"/>
                <w:lang w:eastAsia="lv-LV"/>
              </w:rPr>
            </w:pPr>
            <w:r w:rsidRPr="007D08C9">
              <w:rPr>
                <w:rFonts w:ascii="Times New Roman" w:eastAsia="Times New Roman" w:hAnsi="Times New Roman" w:cs="Times New Roman"/>
                <w:iCs/>
                <w:sz w:val="20"/>
                <w:szCs w:val="16"/>
                <w:lang w:eastAsia="lv-LV"/>
              </w:rPr>
              <w:t xml:space="preserve">2023.gadā 1 370 651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 vienlaikus palielinot speciālā budžeta apakšprogrammas 04.03.00 “</w:t>
            </w:r>
            <w:r w:rsidRPr="007D08C9">
              <w:rPr>
                <w:rFonts w:ascii="Times New Roman" w:eastAsia="Times New Roman" w:hAnsi="Times New Roman" w:cs="Times New Roman"/>
                <w:i/>
                <w:iCs/>
                <w:sz w:val="20"/>
                <w:szCs w:val="16"/>
                <w:lang w:eastAsia="lv-LV"/>
              </w:rPr>
              <w:t>Darba negadījumu speciālais budžet</w:t>
            </w:r>
            <w:r w:rsidRPr="007D08C9">
              <w:rPr>
                <w:rFonts w:ascii="Times New Roman" w:eastAsia="Times New Roman" w:hAnsi="Times New Roman" w:cs="Times New Roman"/>
                <w:iCs/>
                <w:sz w:val="20"/>
                <w:szCs w:val="16"/>
                <w:lang w:eastAsia="lv-LV"/>
              </w:rPr>
              <w:t xml:space="preserve">s” saņemtos </w:t>
            </w:r>
            <w:proofErr w:type="spellStart"/>
            <w:r w:rsidRPr="007D08C9">
              <w:rPr>
                <w:rFonts w:ascii="Times New Roman" w:eastAsia="Times New Roman" w:hAnsi="Times New Roman" w:cs="Times New Roman"/>
                <w:iCs/>
                <w:sz w:val="20"/>
                <w:szCs w:val="16"/>
                <w:lang w:eastAsia="lv-LV"/>
              </w:rPr>
              <w:t>transfertus</w:t>
            </w:r>
            <w:proofErr w:type="spellEnd"/>
            <w:r w:rsidRPr="007D08C9">
              <w:rPr>
                <w:rFonts w:ascii="Times New Roman" w:eastAsia="Times New Roman" w:hAnsi="Times New Roman" w:cs="Times New Roman"/>
                <w:iCs/>
                <w:sz w:val="20"/>
                <w:szCs w:val="16"/>
                <w:lang w:eastAsia="lv-LV"/>
              </w:rPr>
              <w:t xml:space="preserve"> no valsts pamatbudžeta un izdevumus sociāla rakstura maksājumiem un kompensācijām 956 126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 xml:space="preserve"> apmērā un speciālā budžeta apakšprogrammas 04.04.00 “</w:t>
            </w:r>
            <w:r w:rsidRPr="007D08C9">
              <w:rPr>
                <w:rFonts w:ascii="Times New Roman" w:eastAsia="Times New Roman" w:hAnsi="Times New Roman" w:cs="Times New Roman"/>
                <w:i/>
                <w:iCs/>
                <w:sz w:val="20"/>
                <w:szCs w:val="16"/>
                <w:lang w:eastAsia="lv-LV"/>
              </w:rPr>
              <w:t>Invaliditātes, maternitātes un slimības speciālais budžets</w:t>
            </w:r>
            <w:r w:rsidRPr="007D08C9">
              <w:rPr>
                <w:rFonts w:ascii="Times New Roman" w:eastAsia="Times New Roman" w:hAnsi="Times New Roman" w:cs="Times New Roman"/>
                <w:iCs/>
                <w:sz w:val="20"/>
                <w:szCs w:val="16"/>
                <w:lang w:eastAsia="lv-LV"/>
              </w:rPr>
              <w:t xml:space="preserve">” saņemtos </w:t>
            </w:r>
            <w:proofErr w:type="spellStart"/>
            <w:r w:rsidRPr="007D08C9">
              <w:rPr>
                <w:rFonts w:ascii="Times New Roman" w:eastAsia="Times New Roman" w:hAnsi="Times New Roman" w:cs="Times New Roman"/>
                <w:iCs/>
                <w:sz w:val="20"/>
                <w:szCs w:val="16"/>
                <w:lang w:eastAsia="lv-LV"/>
              </w:rPr>
              <w:t>transfertus</w:t>
            </w:r>
            <w:proofErr w:type="spellEnd"/>
            <w:r w:rsidRPr="007D08C9">
              <w:rPr>
                <w:rFonts w:ascii="Times New Roman" w:eastAsia="Times New Roman" w:hAnsi="Times New Roman" w:cs="Times New Roman"/>
                <w:iCs/>
                <w:sz w:val="20"/>
                <w:szCs w:val="16"/>
                <w:lang w:eastAsia="lv-LV"/>
              </w:rPr>
              <w:t xml:space="preserve"> no valsts pamatbudžeta un izdevum</w:t>
            </w:r>
            <w:r>
              <w:rPr>
                <w:rFonts w:ascii="Times New Roman" w:eastAsia="Times New Roman" w:hAnsi="Times New Roman" w:cs="Times New Roman"/>
                <w:iCs/>
                <w:sz w:val="20"/>
                <w:szCs w:val="16"/>
                <w:lang w:eastAsia="lv-LV"/>
              </w:rPr>
              <w:t>us</w:t>
            </w:r>
            <w:r w:rsidRPr="007D08C9">
              <w:rPr>
                <w:rFonts w:ascii="Times New Roman" w:eastAsia="Times New Roman" w:hAnsi="Times New Roman" w:cs="Times New Roman"/>
                <w:iCs/>
                <w:sz w:val="20"/>
                <w:szCs w:val="16"/>
                <w:lang w:eastAsia="lv-LV"/>
              </w:rPr>
              <w:t xml:space="preserve"> sociāla rakstura maksājumiem un kompensācijām 414 525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 xml:space="preserve"> apmērā;</w:t>
            </w:r>
          </w:p>
          <w:p w:rsidR="002A1D7B" w:rsidRPr="007D08C9" w:rsidRDefault="002A1D7B" w:rsidP="002A1D7B">
            <w:pPr>
              <w:pStyle w:val="ListParagraph"/>
              <w:numPr>
                <w:ilvl w:val="0"/>
                <w:numId w:val="6"/>
              </w:numPr>
              <w:spacing w:after="0" w:line="240" w:lineRule="auto"/>
              <w:jc w:val="both"/>
              <w:rPr>
                <w:rFonts w:ascii="Times New Roman" w:eastAsia="Times New Roman" w:hAnsi="Times New Roman" w:cs="Times New Roman"/>
                <w:iCs/>
                <w:sz w:val="20"/>
                <w:szCs w:val="16"/>
                <w:lang w:eastAsia="lv-LV"/>
              </w:rPr>
            </w:pPr>
            <w:r w:rsidRPr="007D08C9">
              <w:rPr>
                <w:rFonts w:ascii="Times New Roman" w:eastAsia="Times New Roman" w:hAnsi="Times New Roman" w:cs="Times New Roman"/>
                <w:iCs/>
                <w:sz w:val="20"/>
                <w:szCs w:val="16"/>
                <w:lang w:eastAsia="lv-LV"/>
              </w:rPr>
              <w:t xml:space="preserve">LM pamatbudžeta apakšprogrammas 97.02.00 </w:t>
            </w:r>
            <w:r w:rsidRPr="007D08C9">
              <w:rPr>
                <w:rFonts w:ascii="Times New Roman" w:eastAsia="Times New Roman" w:hAnsi="Times New Roman" w:cs="Times New Roman"/>
                <w:i/>
                <w:iCs/>
                <w:sz w:val="20"/>
                <w:szCs w:val="16"/>
                <w:lang w:eastAsia="lv-LV"/>
              </w:rPr>
              <w:t>“</w:t>
            </w:r>
            <w:r w:rsidRPr="007D08C9">
              <w:rPr>
                <w:rFonts w:ascii="Times New Roman" w:eastAsia="Times New Roman" w:hAnsi="Times New Roman" w:cs="Times New Roman"/>
                <w:i/>
                <w:iCs/>
                <w:sz w:val="20"/>
                <w:szCs w:val="20"/>
                <w:lang w:eastAsia="lv-LV"/>
              </w:rPr>
              <w:t>Nozares centralizēto funkciju izpilde</w:t>
            </w:r>
            <w:r w:rsidRPr="007D08C9">
              <w:rPr>
                <w:rFonts w:ascii="Times New Roman" w:eastAsia="Times New Roman" w:hAnsi="Times New Roman" w:cs="Times New Roman"/>
                <w:i/>
                <w:iCs/>
                <w:sz w:val="20"/>
                <w:szCs w:val="16"/>
                <w:lang w:eastAsia="lv-LV"/>
              </w:rPr>
              <w:t>”</w:t>
            </w:r>
            <w:r w:rsidRPr="007D08C9">
              <w:rPr>
                <w:rFonts w:ascii="Times New Roman" w:eastAsia="Times New Roman" w:hAnsi="Times New Roman" w:cs="Times New Roman"/>
                <w:iCs/>
                <w:sz w:val="20"/>
                <w:szCs w:val="16"/>
                <w:lang w:eastAsia="lv-LV"/>
              </w:rPr>
              <w:t xml:space="preserve"> izdevumi pamatkapitāla veidošanai 2021.gadā 11 798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 xml:space="preserve"> apmērā un 2022.gadā 23 595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 xml:space="preserve"> apmērā.</w:t>
            </w:r>
          </w:p>
          <w:p w:rsidR="002A1D7B" w:rsidRPr="007D08C9" w:rsidRDefault="002A1D7B" w:rsidP="002A1D7B">
            <w:pPr>
              <w:pStyle w:val="ListParagraph"/>
              <w:spacing w:after="0" w:line="240" w:lineRule="auto"/>
              <w:ind w:left="1080"/>
              <w:jc w:val="both"/>
              <w:rPr>
                <w:rFonts w:ascii="Times New Roman" w:eastAsia="Times New Roman" w:hAnsi="Times New Roman" w:cs="Times New Roman"/>
                <w:iCs/>
                <w:sz w:val="20"/>
                <w:szCs w:val="16"/>
                <w:lang w:eastAsia="lv-LV"/>
              </w:rPr>
            </w:pPr>
          </w:p>
          <w:p w:rsidR="00184BAD" w:rsidRDefault="00184BAD" w:rsidP="002A1D7B">
            <w:pPr>
              <w:pStyle w:val="ListParagraph"/>
              <w:spacing w:after="0" w:line="240" w:lineRule="auto"/>
              <w:ind w:left="1080"/>
              <w:jc w:val="both"/>
              <w:rPr>
                <w:rFonts w:ascii="Times New Roman" w:eastAsia="Times New Roman" w:hAnsi="Times New Roman" w:cs="Times New Roman"/>
                <w:iCs/>
                <w:sz w:val="20"/>
                <w:szCs w:val="16"/>
                <w:lang w:eastAsia="lv-LV"/>
              </w:rPr>
            </w:pPr>
          </w:p>
          <w:p w:rsidR="00184BAD" w:rsidRPr="007D08C9" w:rsidRDefault="00184BAD" w:rsidP="002A1D7B">
            <w:pPr>
              <w:pStyle w:val="ListParagraph"/>
              <w:spacing w:after="0" w:line="240" w:lineRule="auto"/>
              <w:ind w:left="1080"/>
              <w:jc w:val="both"/>
              <w:rPr>
                <w:rFonts w:ascii="Times New Roman" w:eastAsia="Times New Roman" w:hAnsi="Times New Roman" w:cs="Times New Roman"/>
                <w:iCs/>
                <w:sz w:val="20"/>
                <w:szCs w:val="16"/>
                <w:lang w:eastAsia="lv-LV"/>
              </w:rPr>
            </w:pPr>
          </w:p>
          <w:p w:rsidR="002A1D7B" w:rsidRPr="007D08C9" w:rsidRDefault="002A1D7B" w:rsidP="002A1D7B">
            <w:pPr>
              <w:spacing w:after="0" w:line="240" w:lineRule="auto"/>
              <w:jc w:val="both"/>
              <w:rPr>
                <w:rFonts w:ascii="Times New Roman" w:eastAsia="Times New Roman" w:hAnsi="Times New Roman" w:cs="Times New Roman"/>
                <w:iCs/>
                <w:sz w:val="20"/>
                <w:szCs w:val="16"/>
                <w:lang w:eastAsia="lv-LV"/>
              </w:rPr>
            </w:pPr>
            <w:r w:rsidRPr="007D08C9">
              <w:rPr>
                <w:rFonts w:ascii="Times New Roman" w:eastAsia="Times New Roman" w:hAnsi="Times New Roman" w:cs="Times New Roman"/>
                <w:iCs/>
                <w:sz w:val="20"/>
                <w:szCs w:val="16"/>
                <w:lang w:eastAsia="lv-LV"/>
              </w:rPr>
              <w:t>Ministru kabinet</w:t>
            </w:r>
            <w:r>
              <w:rPr>
                <w:rFonts w:ascii="Times New Roman" w:eastAsia="Times New Roman" w:hAnsi="Times New Roman" w:cs="Times New Roman"/>
                <w:iCs/>
                <w:sz w:val="20"/>
                <w:szCs w:val="16"/>
                <w:lang w:eastAsia="lv-LV"/>
              </w:rPr>
              <w:t>a</w:t>
            </w:r>
            <w:r w:rsidRPr="007D08C9">
              <w:rPr>
                <w:rFonts w:ascii="Times New Roman" w:eastAsia="Times New Roman" w:hAnsi="Times New Roman" w:cs="Times New Roman"/>
                <w:iCs/>
                <w:sz w:val="20"/>
                <w:szCs w:val="16"/>
                <w:lang w:eastAsia="lv-LV"/>
              </w:rPr>
              <w:t xml:space="preserve"> 2020.gada 22.septembra sēdē tika atbalstīts LM priekšlikums par papildu finansējuma piešķiršanu LM prioritārā pasākuma “Satversmes tiesas spriedumu izpilde labklājības jomā “ īstenošanai. Pasākuma nodrošināšanai ir atbalstīts kopējais papildu finansējums 2021.gadā 70 662 394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 xml:space="preserve"> apmērā, 2022.gadā 70 998 851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 xml:space="preserve"> apmērā un 2023.gadā 71 014 751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 xml:space="preserve"> apmērā, t.sk. likumprojekta ieviešanai 2021.gadā 1 327 375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 xml:space="preserve"> apmērā, 2022.gadā </w:t>
            </w:r>
            <w:r w:rsidRPr="007D08C9">
              <w:rPr>
                <w:rFonts w:ascii="Times New Roman" w:hAnsi="Times New Roman" w:cs="Times New Roman"/>
                <w:sz w:val="18"/>
                <w:szCs w:val="18"/>
              </w:rPr>
              <w:t xml:space="preserve">1 365 923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 xml:space="preserve"> apmērā un 2023.gadā </w:t>
            </w:r>
            <w:r w:rsidRPr="007D08C9">
              <w:rPr>
                <w:rFonts w:ascii="Times New Roman" w:hAnsi="Times New Roman" w:cs="Times New Roman"/>
                <w:sz w:val="18"/>
                <w:szCs w:val="18"/>
              </w:rPr>
              <w:t xml:space="preserve">1 370 651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 xml:space="preserve"> apmērā šādu </w:t>
            </w:r>
            <w:proofErr w:type="spellStart"/>
            <w:r w:rsidRPr="007D08C9">
              <w:rPr>
                <w:rFonts w:ascii="Times New Roman" w:eastAsia="Times New Roman" w:hAnsi="Times New Roman" w:cs="Times New Roman"/>
                <w:iCs/>
                <w:sz w:val="20"/>
                <w:szCs w:val="16"/>
                <w:lang w:eastAsia="lv-LV"/>
              </w:rPr>
              <w:t>apakšpasākumu</w:t>
            </w:r>
            <w:proofErr w:type="spellEnd"/>
            <w:r w:rsidRPr="007D08C9">
              <w:rPr>
                <w:rFonts w:ascii="Times New Roman" w:eastAsia="Times New Roman" w:hAnsi="Times New Roman" w:cs="Times New Roman"/>
                <w:iCs/>
                <w:sz w:val="20"/>
                <w:szCs w:val="16"/>
                <w:lang w:eastAsia="lv-LV"/>
              </w:rPr>
              <w:t xml:space="preserve"> īstenošanai:</w:t>
            </w:r>
          </w:p>
          <w:p w:rsidR="002A1D7B" w:rsidRPr="007D08C9" w:rsidRDefault="002A1D7B" w:rsidP="002A1D7B">
            <w:pPr>
              <w:pStyle w:val="ListParagraph"/>
              <w:numPr>
                <w:ilvl w:val="0"/>
                <w:numId w:val="7"/>
              </w:numPr>
              <w:spacing w:after="0" w:line="240" w:lineRule="auto"/>
              <w:jc w:val="both"/>
              <w:rPr>
                <w:rFonts w:ascii="Times New Roman" w:eastAsia="Times New Roman" w:hAnsi="Times New Roman" w:cs="Times New Roman"/>
                <w:iCs/>
                <w:sz w:val="20"/>
                <w:szCs w:val="16"/>
                <w:lang w:eastAsia="lv-LV"/>
              </w:rPr>
            </w:pPr>
            <w:proofErr w:type="spellStart"/>
            <w:r w:rsidRPr="007D08C9">
              <w:rPr>
                <w:rFonts w:ascii="Times New Roman" w:eastAsia="Times New Roman" w:hAnsi="Times New Roman" w:cs="Times New Roman"/>
                <w:iCs/>
                <w:sz w:val="20"/>
                <w:szCs w:val="16"/>
                <w:lang w:eastAsia="lv-LV"/>
              </w:rPr>
              <w:t>apakšpasākuma</w:t>
            </w:r>
            <w:proofErr w:type="spellEnd"/>
            <w:r w:rsidRPr="007D08C9">
              <w:rPr>
                <w:rFonts w:ascii="Times New Roman" w:eastAsia="Times New Roman" w:hAnsi="Times New Roman" w:cs="Times New Roman"/>
                <w:iCs/>
                <w:sz w:val="20"/>
                <w:szCs w:val="16"/>
                <w:lang w:eastAsia="lv-LV"/>
              </w:rPr>
              <w:t xml:space="preserve"> “Ar valsts sociālā nodrošinājuma pabalsta un pensiju apmēru pārskatīšanu saistītie pakalpojumi” īstenošanai 2021.gadā 1 305 755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 xml:space="preserve">, 2022.gadā 1 332 506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 xml:space="preserve"> un 2023.gadā 1 360 829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w:t>
            </w:r>
          </w:p>
          <w:p w:rsidR="002A1D7B" w:rsidRPr="007D08C9" w:rsidRDefault="002A1D7B" w:rsidP="002A1D7B">
            <w:pPr>
              <w:pStyle w:val="ListParagraph"/>
              <w:numPr>
                <w:ilvl w:val="0"/>
                <w:numId w:val="7"/>
              </w:numPr>
              <w:spacing w:after="0" w:line="240" w:lineRule="auto"/>
              <w:jc w:val="both"/>
              <w:rPr>
                <w:rFonts w:ascii="Times New Roman" w:eastAsia="Times New Roman" w:hAnsi="Times New Roman" w:cs="Times New Roman"/>
                <w:iCs/>
                <w:sz w:val="20"/>
                <w:szCs w:val="16"/>
                <w:lang w:eastAsia="lv-LV"/>
              </w:rPr>
            </w:pPr>
            <w:proofErr w:type="spellStart"/>
            <w:r w:rsidRPr="007D08C9">
              <w:rPr>
                <w:rFonts w:ascii="Times New Roman" w:eastAsia="Times New Roman" w:hAnsi="Times New Roman" w:cs="Times New Roman"/>
                <w:iCs/>
                <w:sz w:val="20"/>
                <w:szCs w:val="16"/>
                <w:lang w:eastAsia="lv-LV"/>
              </w:rPr>
              <w:t>apakšpasākuma</w:t>
            </w:r>
            <w:proofErr w:type="spellEnd"/>
            <w:r w:rsidRPr="007D08C9">
              <w:rPr>
                <w:rFonts w:ascii="Times New Roman" w:eastAsia="Times New Roman" w:hAnsi="Times New Roman" w:cs="Times New Roman"/>
                <w:iCs/>
                <w:sz w:val="20"/>
                <w:szCs w:val="16"/>
                <w:lang w:eastAsia="lv-LV"/>
              </w:rPr>
              <w:t xml:space="preserve"> “Atbalsts bērniem apgādnieka </w:t>
            </w:r>
            <w:r>
              <w:rPr>
                <w:rFonts w:ascii="Times New Roman" w:eastAsia="Times New Roman" w:hAnsi="Times New Roman" w:cs="Times New Roman"/>
                <w:iCs/>
                <w:sz w:val="20"/>
                <w:szCs w:val="16"/>
                <w:lang w:eastAsia="lv-LV"/>
              </w:rPr>
              <w:t>nāves</w:t>
            </w:r>
            <w:r w:rsidRPr="007D08C9">
              <w:rPr>
                <w:rFonts w:ascii="Times New Roman" w:eastAsia="Times New Roman" w:hAnsi="Times New Roman" w:cs="Times New Roman"/>
                <w:iCs/>
                <w:sz w:val="20"/>
                <w:szCs w:val="16"/>
                <w:lang w:eastAsia="lv-LV"/>
              </w:rPr>
              <w:t xml:space="preserve"> gadījumā”  īstenošanai 2021.gadā 9 822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 xml:space="preserve">, 2022.gadā 9 822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 xml:space="preserve"> un 2023.gadā 9 822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w:t>
            </w:r>
          </w:p>
          <w:p w:rsidR="002A1D7B" w:rsidRPr="007D08C9" w:rsidRDefault="002A1D7B" w:rsidP="002A1D7B">
            <w:pPr>
              <w:pStyle w:val="ListParagraph"/>
              <w:numPr>
                <w:ilvl w:val="0"/>
                <w:numId w:val="7"/>
              </w:numPr>
              <w:spacing w:after="0" w:line="240" w:lineRule="auto"/>
              <w:jc w:val="both"/>
              <w:rPr>
                <w:rFonts w:ascii="Times New Roman" w:eastAsia="Times New Roman" w:hAnsi="Times New Roman" w:cs="Times New Roman"/>
                <w:iCs/>
                <w:sz w:val="20"/>
                <w:szCs w:val="16"/>
                <w:lang w:eastAsia="lv-LV"/>
              </w:rPr>
            </w:pPr>
            <w:proofErr w:type="spellStart"/>
            <w:r w:rsidRPr="007D08C9">
              <w:rPr>
                <w:rFonts w:ascii="Times New Roman" w:eastAsia="Times New Roman" w:hAnsi="Times New Roman" w:cs="Times New Roman"/>
                <w:iCs/>
                <w:sz w:val="20"/>
                <w:szCs w:val="16"/>
                <w:lang w:eastAsia="lv-LV"/>
              </w:rPr>
              <w:t>apakšpasākuma</w:t>
            </w:r>
            <w:proofErr w:type="spellEnd"/>
            <w:r w:rsidRPr="007D08C9">
              <w:rPr>
                <w:rFonts w:ascii="Times New Roman" w:eastAsia="Times New Roman" w:hAnsi="Times New Roman" w:cs="Times New Roman"/>
                <w:iCs/>
                <w:sz w:val="20"/>
                <w:szCs w:val="16"/>
                <w:lang w:eastAsia="lv-LV"/>
              </w:rPr>
              <w:t xml:space="preserve"> “IT sistēmu pielāgošana” īstenošanai 2021.gadā 11 798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 xml:space="preserve"> un 2022.gadā 23 595 </w:t>
            </w:r>
            <w:proofErr w:type="spellStart"/>
            <w:r w:rsidRPr="007D08C9">
              <w:rPr>
                <w:rFonts w:ascii="Times New Roman" w:eastAsia="Times New Roman" w:hAnsi="Times New Roman" w:cs="Times New Roman"/>
                <w:i/>
                <w:iCs/>
                <w:sz w:val="20"/>
                <w:szCs w:val="16"/>
                <w:lang w:eastAsia="lv-LV"/>
              </w:rPr>
              <w:t>euro</w:t>
            </w:r>
            <w:proofErr w:type="spellEnd"/>
            <w:r w:rsidRPr="007D08C9">
              <w:rPr>
                <w:rFonts w:ascii="Times New Roman" w:eastAsia="Times New Roman" w:hAnsi="Times New Roman" w:cs="Times New Roman"/>
                <w:iCs/>
                <w:sz w:val="20"/>
                <w:szCs w:val="16"/>
                <w:lang w:eastAsia="lv-LV"/>
              </w:rPr>
              <w:t>.</w:t>
            </w:r>
          </w:p>
          <w:p w:rsidR="002A1D7B" w:rsidRPr="007D08C9" w:rsidRDefault="002A1D7B" w:rsidP="002A1D7B">
            <w:pPr>
              <w:spacing w:after="0" w:line="240" w:lineRule="auto"/>
              <w:jc w:val="both"/>
              <w:rPr>
                <w:rFonts w:ascii="Times New Roman" w:eastAsia="Times New Roman" w:hAnsi="Times New Roman" w:cs="Times New Roman"/>
                <w:iCs/>
                <w:sz w:val="20"/>
                <w:szCs w:val="16"/>
                <w:lang w:eastAsia="lv-LV"/>
              </w:rPr>
            </w:pPr>
          </w:p>
          <w:p w:rsidR="002A1D7B" w:rsidRPr="007D08C9" w:rsidRDefault="002A1D7B" w:rsidP="002A1D7B">
            <w:pPr>
              <w:spacing w:after="0" w:line="240" w:lineRule="auto"/>
              <w:jc w:val="both"/>
              <w:rPr>
                <w:rFonts w:ascii="Times New Roman" w:eastAsia="Times New Roman" w:hAnsi="Times New Roman" w:cs="Times New Roman"/>
                <w:iCs/>
                <w:sz w:val="20"/>
                <w:szCs w:val="16"/>
                <w:lang w:eastAsia="lv-LV"/>
              </w:rPr>
            </w:pPr>
          </w:p>
          <w:p w:rsidR="002A1D7B" w:rsidRPr="007D08C9" w:rsidRDefault="002A1D7B" w:rsidP="002A1D7B">
            <w:pPr>
              <w:spacing w:after="0" w:line="240" w:lineRule="auto"/>
              <w:jc w:val="both"/>
              <w:rPr>
                <w:rFonts w:ascii="Times New Roman" w:eastAsia="Times New Roman" w:hAnsi="Times New Roman" w:cs="Times New Roman"/>
                <w:iCs/>
                <w:sz w:val="24"/>
                <w:szCs w:val="16"/>
                <w:lang w:eastAsia="lv-LV"/>
              </w:rPr>
            </w:pPr>
          </w:p>
        </w:tc>
      </w:tr>
      <w:tr w:rsidR="002A1D7B" w:rsidRPr="007920A6" w:rsidTr="002A1D7B">
        <w:trPr>
          <w:trHeight w:val="2548"/>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lastRenderedPageBreak/>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rPr>
                <w:rFonts w:ascii="Times New Roman" w:eastAsia="Times New Roman" w:hAnsi="Times New Roman" w:cs="Times New Roman"/>
                <w:i/>
                <w:iCs/>
                <w:sz w:val="16"/>
                <w:szCs w:val="16"/>
                <w:lang w:eastAsia="lv-LV"/>
              </w:rPr>
            </w:pPr>
          </w:p>
        </w:tc>
      </w:tr>
      <w:tr w:rsidR="002A1D7B" w:rsidRPr="007920A6" w:rsidTr="002A1D7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Nav.</w:t>
            </w:r>
          </w:p>
        </w:tc>
      </w:tr>
      <w:tr w:rsidR="002A1D7B" w:rsidRPr="007920A6" w:rsidTr="002A1D7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2A1D7B" w:rsidRPr="007920A6" w:rsidRDefault="002A1D7B" w:rsidP="002A1D7B">
            <w:pPr>
              <w:spacing w:after="0" w:line="240" w:lineRule="auto"/>
              <w:rPr>
                <w:rFonts w:ascii="Times New Roman" w:eastAsia="Times New Roman" w:hAnsi="Times New Roman" w:cs="Times New Roman"/>
                <w:sz w:val="20"/>
                <w:szCs w:val="20"/>
                <w:lang w:eastAsia="lv-LV"/>
              </w:rPr>
            </w:pPr>
            <w:r w:rsidRPr="007920A6">
              <w:rPr>
                <w:rFonts w:ascii="Times New Roman" w:eastAsia="Times New Roman" w:hAnsi="Times New Roman" w:cs="Times New Roman"/>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2A1D7B" w:rsidRPr="007920A6" w:rsidRDefault="002A1D7B" w:rsidP="002A1D7B">
            <w:pPr>
              <w:spacing w:after="60"/>
              <w:jc w:val="both"/>
              <w:rPr>
                <w:rFonts w:ascii="Times New Roman" w:hAnsi="Times New Roman" w:cs="Times New Roman"/>
                <w:sz w:val="20"/>
                <w:szCs w:val="20"/>
              </w:rPr>
            </w:pPr>
            <w:r w:rsidRPr="007920A6">
              <w:rPr>
                <w:rFonts w:ascii="Times New Roman" w:hAnsi="Times New Roman" w:cs="Times New Roman"/>
                <w:sz w:val="20"/>
                <w:szCs w:val="20"/>
              </w:rPr>
              <w:t>Finansējums likumprojekta ieviešanai iekļauts Labklājības ministrijas maksimāli pieļaujamajā valsts</w:t>
            </w:r>
            <w:r>
              <w:rPr>
                <w:rFonts w:ascii="Times New Roman" w:hAnsi="Times New Roman" w:cs="Times New Roman"/>
                <w:sz w:val="20"/>
                <w:szCs w:val="20"/>
              </w:rPr>
              <w:t xml:space="preserve"> pamatbudžeta un</w:t>
            </w:r>
            <w:r w:rsidRPr="007920A6">
              <w:rPr>
                <w:rFonts w:ascii="Times New Roman" w:hAnsi="Times New Roman" w:cs="Times New Roman"/>
                <w:sz w:val="20"/>
                <w:szCs w:val="20"/>
              </w:rPr>
              <w:t xml:space="preserve"> speciālā budžeta izdevumu kopējā apjomā 2021., 2022. un 2023.gadam un atbilstoši tiks iestrādāts likumprojektā “Par valsts budžetu 2021.gadam” un likumprojektā “Par vidēja termiņa budžeta ietvaru 2021., 2022. un 2023.gadam”.</w:t>
            </w:r>
          </w:p>
        </w:tc>
      </w:tr>
      <w:bookmarkEnd w:id="5"/>
    </w:tbl>
    <w:p w:rsidR="002A1D7B" w:rsidRDefault="002A1D7B" w:rsidP="002A1D7B">
      <w:pPr>
        <w:spacing w:after="0" w:line="240" w:lineRule="auto"/>
        <w:rPr>
          <w:rFonts w:ascii="Times New Roman" w:eastAsia="Times New Roman" w:hAnsi="Times New Roman" w:cs="Times New Roman"/>
          <w:iCs/>
          <w:color w:val="414142"/>
          <w:sz w:val="24"/>
          <w:szCs w:val="24"/>
          <w:lang w:eastAsia="lv-LV"/>
        </w:rPr>
      </w:pPr>
    </w:p>
    <w:p w:rsidR="002A1D7B"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A1D7B" w:rsidRPr="00AB38D0" w:rsidTr="002A1D7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A1D7B" w:rsidRPr="00AB38D0" w:rsidRDefault="002A1D7B" w:rsidP="002A1D7B">
            <w:pPr>
              <w:spacing w:after="0" w:line="240" w:lineRule="auto"/>
              <w:rPr>
                <w:rFonts w:ascii="Times New Roman" w:eastAsia="Times New Roman" w:hAnsi="Times New Roman" w:cs="Times New Roman"/>
                <w:b/>
                <w:bCs/>
                <w:iCs/>
                <w:sz w:val="24"/>
                <w:szCs w:val="24"/>
                <w:lang w:eastAsia="lv-LV"/>
              </w:rPr>
            </w:pPr>
            <w:r w:rsidRPr="00AB38D0">
              <w:rPr>
                <w:rFonts w:ascii="Times New Roman" w:eastAsia="Times New Roman" w:hAnsi="Times New Roman" w:cs="Times New Roman"/>
                <w:b/>
                <w:bCs/>
                <w:iCs/>
                <w:sz w:val="24"/>
                <w:szCs w:val="24"/>
                <w:lang w:eastAsia="lv-LV"/>
              </w:rPr>
              <w:t>IV. Tiesību akta projekta ietekme uz spēkā esošo tiesību normu sistēmu</w:t>
            </w:r>
          </w:p>
        </w:tc>
      </w:tr>
      <w:tr w:rsidR="002A1D7B" w:rsidRPr="003E6FFD" w:rsidTr="002A1D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1D7B" w:rsidRPr="003E6FFD" w:rsidRDefault="002A1D7B" w:rsidP="002A1D7B">
            <w:pPr>
              <w:spacing w:after="0" w:line="240" w:lineRule="auto"/>
              <w:rPr>
                <w:rFonts w:ascii="Times New Roman" w:eastAsia="Times New Roman" w:hAnsi="Times New Roman" w:cs="Times New Roman"/>
                <w:iCs/>
                <w:sz w:val="24"/>
                <w:szCs w:val="24"/>
                <w:lang w:eastAsia="lv-LV"/>
              </w:rPr>
            </w:pPr>
            <w:bookmarkStart w:id="6" w:name="_Hlk47020016"/>
            <w:r w:rsidRPr="003E6FF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2A1D7B" w:rsidRPr="003E6FFD" w:rsidRDefault="002A1D7B" w:rsidP="002A1D7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rsidR="002A1D7B" w:rsidRPr="00430FBF" w:rsidRDefault="002A1D7B" w:rsidP="002A1D7B">
            <w:pPr>
              <w:spacing w:after="0" w:line="240" w:lineRule="auto"/>
              <w:jc w:val="both"/>
              <w:rPr>
                <w:rFonts w:ascii="Times New Roman" w:eastAsia="Times New Roman" w:hAnsi="Times New Roman"/>
                <w:sz w:val="24"/>
                <w:szCs w:val="24"/>
                <w:lang w:eastAsia="ar-SA"/>
              </w:rPr>
            </w:pPr>
            <w:r w:rsidRPr="00430FBF">
              <w:rPr>
                <w:rFonts w:ascii="Times New Roman" w:eastAsia="Times New Roman" w:hAnsi="Times New Roman"/>
                <w:sz w:val="24"/>
                <w:szCs w:val="24"/>
                <w:lang w:eastAsia="ar-SA"/>
              </w:rPr>
              <w:t>Likumprojekts izskatāms vienotā paketē ar šādiem likumprojektiem:</w:t>
            </w:r>
          </w:p>
          <w:p w:rsidR="002A1D7B" w:rsidRDefault="002A1D7B" w:rsidP="002A1D7B">
            <w:pPr>
              <w:pStyle w:val="ListParagraph"/>
              <w:numPr>
                <w:ilvl w:val="0"/>
                <w:numId w:val="2"/>
              </w:numPr>
              <w:spacing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shd w:val="clear" w:color="auto" w:fill="FFFFFF"/>
              </w:rPr>
              <w:t>likumprojekts „Par valsts budžetu 2021.gadam”;</w:t>
            </w:r>
          </w:p>
          <w:p w:rsidR="002A1D7B" w:rsidRPr="00430FBF" w:rsidRDefault="002A1D7B" w:rsidP="002A1D7B">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30FBF">
              <w:rPr>
                <w:rFonts w:ascii="Times New Roman" w:eastAsia="Times New Roman" w:hAnsi="Times New Roman"/>
                <w:sz w:val="24"/>
                <w:szCs w:val="24"/>
                <w:lang w:eastAsia="ar-SA"/>
              </w:rPr>
              <w:t>Grozījumi likumā “Par sociālo drošību”;</w:t>
            </w:r>
          </w:p>
          <w:p w:rsidR="002A1D7B" w:rsidRPr="00430FBF" w:rsidRDefault="002A1D7B" w:rsidP="002A1D7B">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30FBF">
              <w:rPr>
                <w:rFonts w:ascii="Times New Roman" w:eastAsia="Times New Roman" w:hAnsi="Times New Roman"/>
                <w:sz w:val="24"/>
                <w:szCs w:val="24"/>
                <w:lang w:eastAsia="ar-SA"/>
              </w:rPr>
              <w:t>Grozījumi Valsts sociālo pabalstu likumā;</w:t>
            </w:r>
          </w:p>
          <w:p w:rsidR="002A1D7B" w:rsidRPr="00430FBF" w:rsidRDefault="002A1D7B" w:rsidP="002A1D7B">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30FBF">
              <w:rPr>
                <w:rFonts w:ascii="Times New Roman" w:eastAsia="Times New Roman" w:hAnsi="Times New Roman" w:cs="Times New Roman"/>
                <w:iCs/>
                <w:sz w:val="24"/>
                <w:szCs w:val="24"/>
                <w:lang w:eastAsia="lv-LV"/>
              </w:rPr>
              <w:t>Grozījumi likumā “Par valsts pensijām”;</w:t>
            </w:r>
          </w:p>
          <w:p w:rsidR="002A1D7B" w:rsidRPr="00430FBF" w:rsidRDefault="002A1D7B" w:rsidP="002A1D7B">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30FBF">
              <w:rPr>
                <w:rFonts w:ascii="Times New Roman" w:eastAsia="Times New Roman" w:hAnsi="Times New Roman" w:cs="Times New Roman"/>
                <w:iCs/>
                <w:sz w:val="24"/>
                <w:szCs w:val="24"/>
                <w:lang w:eastAsia="lv-LV"/>
              </w:rPr>
              <w:t xml:space="preserve">Grozījumi Valsts </w:t>
            </w:r>
            <w:proofErr w:type="spellStart"/>
            <w:r w:rsidRPr="00430FBF">
              <w:rPr>
                <w:rFonts w:ascii="Times New Roman" w:eastAsia="Times New Roman" w:hAnsi="Times New Roman" w:cs="Times New Roman"/>
                <w:iCs/>
                <w:sz w:val="24"/>
                <w:szCs w:val="24"/>
                <w:lang w:eastAsia="lv-LV"/>
              </w:rPr>
              <w:t>fondēto</w:t>
            </w:r>
            <w:proofErr w:type="spellEnd"/>
            <w:r w:rsidRPr="00430FBF">
              <w:rPr>
                <w:rFonts w:ascii="Times New Roman" w:eastAsia="Times New Roman" w:hAnsi="Times New Roman" w:cs="Times New Roman"/>
                <w:iCs/>
                <w:sz w:val="24"/>
                <w:szCs w:val="24"/>
                <w:lang w:eastAsia="lv-LV"/>
              </w:rPr>
              <w:t xml:space="preserve"> pensiju likumā;</w:t>
            </w:r>
          </w:p>
          <w:p w:rsidR="002A1D7B" w:rsidRPr="00430FBF" w:rsidRDefault="002A1D7B" w:rsidP="002A1D7B">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30FBF">
              <w:rPr>
                <w:rFonts w:ascii="Times New Roman" w:eastAsia="Times New Roman" w:hAnsi="Times New Roman" w:cs="Times New Roman"/>
                <w:iCs/>
                <w:sz w:val="24"/>
                <w:szCs w:val="24"/>
                <w:lang w:eastAsia="lv-LV"/>
              </w:rPr>
              <w:t>Grozījum</w:t>
            </w:r>
            <w:r>
              <w:rPr>
                <w:rFonts w:ascii="Times New Roman" w:eastAsia="Times New Roman" w:hAnsi="Times New Roman" w:cs="Times New Roman"/>
                <w:iCs/>
                <w:sz w:val="24"/>
                <w:szCs w:val="24"/>
                <w:lang w:eastAsia="lv-LV"/>
              </w:rPr>
              <w:t>s</w:t>
            </w:r>
            <w:r w:rsidRPr="00430FBF">
              <w:rPr>
                <w:rFonts w:ascii="Times New Roman" w:eastAsia="Times New Roman" w:hAnsi="Times New Roman" w:cs="Times New Roman"/>
                <w:iCs/>
                <w:sz w:val="24"/>
                <w:szCs w:val="24"/>
                <w:lang w:eastAsia="lv-LV"/>
              </w:rPr>
              <w:t xml:space="preserve"> likumā “Par maternitātes un slimības apdrošināšanu”</w:t>
            </w:r>
            <w:r>
              <w:rPr>
                <w:rFonts w:ascii="Times New Roman" w:eastAsia="Times New Roman" w:hAnsi="Times New Roman" w:cs="Times New Roman"/>
                <w:iCs/>
                <w:sz w:val="24"/>
                <w:szCs w:val="24"/>
                <w:lang w:eastAsia="lv-LV"/>
              </w:rPr>
              <w:t>;</w:t>
            </w:r>
          </w:p>
          <w:p w:rsidR="002A1D7B" w:rsidRPr="00430FBF" w:rsidRDefault="002A1D7B" w:rsidP="002A1D7B">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30FBF">
              <w:rPr>
                <w:rFonts w:ascii="Times New Roman" w:eastAsia="Times New Roman" w:hAnsi="Times New Roman" w:cs="Times New Roman"/>
                <w:iCs/>
                <w:sz w:val="24"/>
                <w:szCs w:val="24"/>
                <w:lang w:eastAsia="lv-LV"/>
              </w:rPr>
              <w:t>Grozījumi likumā “Par apdrošināšanu bezdarba gadījumam”;</w:t>
            </w:r>
          </w:p>
          <w:p w:rsidR="002A1D7B" w:rsidRPr="00430FBF" w:rsidRDefault="002A1D7B" w:rsidP="002A1D7B">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30FBF">
              <w:rPr>
                <w:rFonts w:ascii="Times New Roman" w:eastAsia="Times New Roman" w:hAnsi="Times New Roman" w:cs="Times New Roman"/>
                <w:sz w:val="24"/>
                <w:szCs w:val="24"/>
                <w:lang w:eastAsia="lv-LV"/>
              </w:rPr>
              <w:t>Grozījumi Sociālo pakalpojumu un sociālās palīdzības likumā;</w:t>
            </w:r>
          </w:p>
          <w:p w:rsidR="002A1D7B" w:rsidRPr="00002258" w:rsidRDefault="002A1D7B" w:rsidP="002A1D7B">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30FBF">
              <w:rPr>
                <w:rFonts w:ascii="Times New Roman" w:eastAsia="Times New Roman" w:hAnsi="Times New Roman" w:cs="Times New Roman"/>
                <w:sz w:val="24"/>
                <w:szCs w:val="24"/>
                <w:lang w:eastAsia="lv-LV"/>
              </w:rPr>
              <w:t>Grozījumi Černobiļas atomelektrostacijas avārijas seku likvidēšanas dalībnieku un Černobiļas atomelektrostacijas avārijas rezultātā cietušo personu sociālās aizsardzības likumā.</w:t>
            </w:r>
          </w:p>
          <w:p w:rsidR="002A1D7B" w:rsidRDefault="002A1D7B" w:rsidP="002A1D7B">
            <w:pPr>
              <w:pStyle w:val="ListParagraph"/>
              <w:spacing w:after="0" w:line="240" w:lineRule="auto"/>
              <w:jc w:val="both"/>
              <w:rPr>
                <w:rFonts w:ascii="Times New Roman" w:eastAsia="Times New Roman" w:hAnsi="Times New Roman" w:cs="Times New Roman"/>
                <w:iCs/>
                <w:sz w:val="24"/>
                <w:szCs w:val="24"/>
                <w:lang w:eastAsia="lv-LV"/>
              </w:rPr>
            </w:pPr>
          </w:p>
          <w:p w:rsidR="002A1D7B" w:rsidRPr="00135BCD" w:rsidRDefault="002A1D7B" w:rsidP="002A1D7B">
            <w:pPr>
              <w:shd w:val="clear" w:color="auto" w:fill="FFFFFF"/>
              <w:spacing w:line="240" w:lineRule="auto"/>
              <w:jc w:val="both"/>
              <w:rPr>
                <w:rFonts w:ascii="Times New Roman" w:eastAsia="Times New Roman" w:hAnsi="Times New Roman" w:cs="Times New Roman"/>
                <w:iCs/>
                <w:sz w:val="24"/>
                <w:szCs w:val="24"/>
                <w:lang w:eastAsia="lv-LV"/>
              </w:rPr>
            </w:pPr>
            <w:r w:rsidRPr="00135BCD">
              <w:rPr>
                <w:rFonts w:ascii="Times New Roman" w:eastAsia="Times New Roman" w:hAnsi="Times New Roman" w:cs="Times New Roman"/>
                <w:iCs/>
                <w:sz w:val="24"/>
                <w:szCs w:val="24"/>
                <w:lang w:eastAsia="lv-LV"/>
              </w:rPr>
              <w:t>Pēc likumprojekta pieņemšanas Saeimā nepieciešams veikt grozījumus:</w:t>
            </w:r>
          </w:p>
          <w:p w:rsidR="002A1D7B" w:rsidRPr="00135BCD" w:rsidRDefault="002A1D7B" w:rsidP="002A1D7B">
            <w:pPr>
              <w:pStyle w:val="ListParagraph"/>
              <w:numPr>
                <w:ilvl w:val="0"/>
                <w:numId w:val="5"/>
              </w:numPr>
              <w:shd w:val="clear" w:color="auto" w:fill="FFFFFF"/>
              <w:spacing w:line="240" w:lineRule="auto"/>
              <w:jc w:val="both"/>
              <w:rPr>
                <w:rFonts w:ascii="Times New Roman" w:eastAsia="Times New Roman" w:hAnsi="Times New Roman" w:cs="Times New Roman"/>
                <w:bCs/>
                <w:sz w:val="24"/>
                <w:szCs w:val="24"/>
                <w:lang w:eastAsia="lv-LV"/>
              </w:rPr>
            </w:pPr>
            <w:r w:rsidRPr="00135BCD">
              <w:rPr>
                <w:rFonts w:ascii="Times New Roman" w:eastAsia="Times New Roman" w:hAnsi="Times New Roman" w:cs="Times New Roman"/>
                <w:bCs/>
                <w:sz w:val="24"/>
                <w:szCs w:val="24"/>
                <w:lang w:eastAsia="lv-LV"/>
              </w:rPr>
              <w:t xml:space="preserve">Ministru kabineta </w:t>
            </w:r>
            <w:r w:rsidRPr="00135BCD">
              <w:rPr>
                <w:rFonts w:ascii="Times New Roman" w:eastAsia="Times New Roman" w:hAnsi="Times New Roman" w:cs="Times New Roman"/>
                <w:sz w:val="24"/>
                <w:szCs w:val="24"/>
                <w:lang w:eastAsia="lv-LV"/>
              </w:rPr>
              <w:t xml:space="preserve">1999.gada 16.februāra </w:t>
            </w:r>
            <w:r w:rsidRPr="00135BCD">
              <w:rPr>
                <w:rFonts w:ascii="Times New Roman" w:eastAsia="Times New Roman" w:hAnsi="Times New Roman" w:cs="Times New Roman"/>
                <w:bCs/>
                <w:sz w:val="24"/>
                <w:szCs w:val="24"/>
                <w:lang w:eastAsia="lv-LV"/>
              </w:rPr>
              <w:t>noteikumos Nr.50 “Obligātās sociālās apdrošināšanas pret nelaimes gadījumiem darbā un arodslimībām apdrošināšanas atlīdzības piešķiršanas un aprēķināšanas kārtība”;</w:t>
            </w:r>
          </w:p>
          <w:p w:rsidR="002A1D7B" w:rsidRDefault="002A1D7B" w:rsidP="002A1D7B">
            <w:pPr>
              <w:pStyle w:val="ListParagraph"/>
              <w:numPr>
                <w:ilvl w:val="0"/>
                <w:numId w:val="5"/>
              </w:numPr>
              <w:shd w:val="clear" w:color="auto" w:fill="FFFFFF"/>
              <w:spacing w:line="240" w:lineRule="auto"/>
              <w:jc w:val="both"/>
              <w:rPr>
                <w:rFonts w:ascii="Times New Roman" w:eastAsia="Times New Roman" w:hAnsi="Times New Roman" w:cs="Times New Roman"/>
                <w:iCs/>
                <w:sz w:val="24"/>
                <w:szCs w:val="24"/>
                <w:lang w:eastAsia="lv-LV"/>
              </w:rPr>
            </w:pPr>
            <w:r w:rsidRPr="00135BCD">
              <w:rPr>
                <w:rFonts w:ascii="Times New Roman" w:eastAsia="Times New Roman" w:hAnsi="Times New Roman" w:cs="Times New Roman"/>
                <w:bCs/>
                <w:sz w:val="24"/>
                <w:szCs w:val="24"/>
                <w:lang w:eastAsia="lv-LV"/>
              </w:rPr>
              <w:t xml:space="preserve"> Ministru kabineta </w:t>
            </w:r>
            <w:r w:rsidRPr="00135BCD">
              <w:rPr>
                <w:rFonts w:ascii="Times New Roman" w:eastAsia="Times New Roman" w:hAnsi="Times New Roman" w:cs="Times New Roman"/>
                <w:sz w:val="24"/>
                <w:szCs w:val="24"/>
                <w:lang w:eastAsia="lv-LV"/>
              </w:rPr>
              <w:t xml:space="preserve">2001.gada 23.augusta </w:t>
            </w:r>
            <w:r w:rsidRPr="00135BCD">
              <w:rPr>
                <w:rFonts w:ascii="Times New Roman" w:eastAsia="Times New Roman" w:hAnsi="Times New Roman" w:cs="Times New Roman"/>
                <w:bCs/>
                <w:sz w:val="24"/>
                <w:szCs w:val="24"/>
                <w:lang w:eastAsia="lv-LV"/>
              </w:rPr>
              <w:t>noteikumos Nr.378 “Darbā nodarītā kaitējuma atlīdzības aprēķināšanas, finansēšanas un izmaksas kārtība”.</w:t>
            </w:r>
            <w:r w:rsidRPr="00135BCD">
              <w:rPr>
                <w:rFonts w:ascii="Times New Roman" w:eastAsia="Times New Roman" w:hAnsi="Times New Roman" w:cs="Times New Roman"/>
                <w:iCs/>
                <w:sz w:val="24"/>
                <w:szCs w:val="24"/>
                <w:lang w:eastAsia="lv-LV"/>
              </w:rPr>
              <w:t xml:space="preserve"> </w:t>
            </w:r>
          </w:p>
          <w:p w:rsidR="002A1D7B" w:rsidRDefault="002A1D7B" w:rsidP="002A1D7B">
            <w:pPr>
              <w:pStyle w:val="ListParagraph"/>
              <w:shd w:val="clear" w:color="auto" w:fill="FFFFFF"/>
              <w:spacing w:line="240" w:lineRule="auto"/>
              <w:ind w:left="900"/>
              <w:jc w:val="both"/>
              <w:rPr>
                <w:rFonts w:ascii="Times New Roman" w:eastAsia="Times New Roman" w:hAnsi="Times New Roman" w:cs="Times New Roman"/>
                <w:iCs/>
                <w:sz w:val="24"/>
                <w:szCs w:val="24"/>
                <w:lang w:eastAsia="lv-LV"/>
              </w:rPr>
            </w:pPr>
          </w:p>
          <w:p w:rsidR="002A1D7B" w:rsidRPr="00002258" w:rsidRDefault="002A1D7B" w:rsidP="002A1D7B">
            <w:pPr>
              <w:pStyle w:val="ListParagraph"/>
              <w:shd w:val="clear" w:color="auto" w:fill="FFFFFF"/>
              <w:spacing w:line="240" w:lineRule="auto"/>
              <w:ind w:left="108"/>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Stājoties spēkā likumprojektam, spēku zaudēs 2017.gada 21.marta Ministru kabineta noteikumi Nr.156 “Noteikumi par apgādnieka zaudējuma pensijas, atlīdzības par apgādnieka zaudējumu un valsts sociālā nodrošinājuma pabalsta apgādnieka zaudējuma gadījumā minimālo apmēru un tā pārskatīšanas kārtību”.</w:t>
            </w:r>
          </w:p>
        </w:tc>
      </w:tr>
      <w:bookmarkEnd w:id="6"/>
      <w:tr w:rsidR="002A1D7B" w:rsidRPr="003E6FFD" w:rsidTr="002A1D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1D7B" w:rsidRPr="003E6FFD" w:rsidRDefault="002A1D7B" w:rsidP="002A1D7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2A1D7B" w:rsidRPr="003E6FFD" w:rsidRDefault="002A1D7B" w:rsidP="002A1D7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rsidR="002A1D7B" w:rsidRPr="003E6FFD" w:rsidRDefault="002A1D7B" w:rsidP="002A1D7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Labklājības ministrija</w:t>
            </w:r>
          </w:p>
        </w:tc>
      </w:tr>
      <w:tr w:rsidR="002A1D7B" w:rsidRPr="003E6FFD" w:rsidTr="002A1D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1D7B" w:rsidRPr="003E6FFD" w:rsidRDefault="002A1D7B" w:rsidP="002A1D7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2A1D7B" w:rsidRPr="003E6FFD" w:rsidRDefault="002A1D7B" w:rsidP="002A1D7B">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2A1D7B" w:rsidRPr="003E6FFD" w:rsidRDefault="002A1D7B" w:rsidP="002A1D7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Likumprojekta virzība ir tieši saistīta ar likumu “Par valsts budžetu 2021.gadam”.</w:t>
            </w:r>
          </w:p>
        </w:tc>
      </w:tr>
    </w:tbl>
    <w:p w:rsidR="002A1D7B" w:rsidRDefault="002A1D7B" w:rsidP="002A1D7B">
      <w:pPr>
        <w:spacing w:after="0" w:line="240" w:lineRule="auto"/>
        <w:rPr>
          <w:rFonts w:ascii="Times New Roman" w:eastAsia="Times New Roman" w:hAnsi="Times New Roman" w:cs="Times New Roman"/>
          <w:iCs/>
          <w:color w:val="414142"/>
          <w:sz w:val="24"/>
          <w:szCs w:val="24"/>
          <w:lang w:eastAsia="lv-LV"/>
        </w:rPr>
      </w:pPr>
    </w:p>
    <w:p w:rsidR="00184BAD" w:rsidRPr="002F1E39" w:rsidRDefault="00184BAD" w:rsidP="002A1D7B">
      <w:pPr>
        <w:spacing w:after="0" w:line="240" w:lineRule="auto"/>
        <w:rPr>
          <w:rFonts w:ascii="Times New Roman" w:eastAsia="Times New Roman" w:hAnsi="Times New Roman" w:cs="Times New Roman"/>
          <w:iCs/>
          <w:color w:val="414142"/>
          <w:sz w:val="24"/>
          <w:szCs w:val="24"/>
          <w:lang w:eastAsia="lv-LV"/>
        </w:rPr>
      </w:pPr>
    </w:p>
    <w:tbl>
      <w:tblPr>
        <w:tblW w:w="509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0"/>
      </w:tblGrid>
      <w:tr w:rsidR="002A1D7B" w:rsidRPr="002F1E39" w:rsidTr="002A1D7B">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A1D7B" w:rsidRPr="002F1E39" w:rsidRDefault="002A1D7B" w:rsidP="002A1D7B">
            <w:pPr>
              <w:spacing w:after="0" w:line="240" w:lineRule="auto"/>
              <w:rPr>
                <w:rFonts w:ascii="Times New Roman" w:eastAsia="Times New Roman" w:hAnsi="Times New Roman" w:cs="Times New Roman"/>
                <w:b/>
                <w:bCs/>
                <w:iCs/>
                <w:sz w:val="24"/>
                <w:szCs w:val="24"/>
                <w:lang w:eastAsia="lv-LV"/>
              </w:rPr>
            </w:pPr>
            <w:r w:rsidRPr="002F1E39">
              <w:rPr>
                <w:rFonts w:ascii="Times New Roman" w:eastAsia="Times New Roman" w:hAnsi="Times New Roman" w:cs="Times New Roman"/>
                <w:iCs/>
                <w:sz w:val="24"/>
                <w:szCs w:val="24"/>
                <w:lang w:eastAsia="lv-LV"/>
              </w:rPr>
              <w:t xml:space="preserve">  </w:t>
            </w:r>
            <w:r w:rsidRPr="002F1E3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A1D7B" w:rsidRPr="002F1E39" w:rsidTr="002A1D7B">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tcPr>
          <w:p w:rsidR="002A1D7B" w:rsidRPr="002F1E39" w:rsidRDefault="002A1D7B" w:rsidP="002A1D7B">
            <w:pPr>
              <w:spacing w:after="0" w:line="240" w:lineRule="auto"/>
              <w:jc w:val="center"/>
              <w:rPr>
                <w:rFonts w:ascii="Times New Roman" w:eastAsia="Times New Roman" w:hAnsi="Times New Roman" w:cs="Times New Roman"/>
                <w:b/>
                <w:bCs/>
                <w:iCs/>
                <w:sz w:val="24"/>
                <w:szCs w:val="24"/>
                <w:lang w:eastAsia="lv-LV"/>
              </w:rPr>
            </w:pPr>
            <w:r w:rsidRPr="002F1E39">
              <w:rPr>
                <w:rFonts w:ascii="Times New Roman" w:eastAsia="Times New Roman" w:hAnsi="Times New Roman" w:cs="Times New Roman"/>
                <w:bCs/>
                <w:sz w:val="24"/>
                <w:szCs w:val="24"/>
                <w:lang w:eastAsia="lv-LV"/>
              </w:rPr>
              <w:t>Likumprojekts šo jomu neskar</w:t>
            </w:r>
          </w:p>
        </w:tc>
      </w:tr>
    </w:tbl>
    <w:p w:rsidR="002A1D7B"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p w:rsidR="00184BAD" w:rsidRPr="002F1E39" w:rsidRDefault="00184BAD" w:rsidP="002A1D7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A1D7B" w:rsidRPr="002F1E39" w:rsidTr="002A1D7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A1D7B" w:rsidRPr="002F1E39" w:rsidRDefault="002A1D7B" w:rsidP="002A1D7B">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r w:rsidRPr="002F1E39">
              <w:rPr>
                <w:rFonts w:ascii="Times New Roman" w:eastAsia="Times New Roman" w:hAnsi="Times New Roman" w:cs="Times New Roman"/>
                <w:b/>
                <w:bCs/>
                <w:iCs/>
                <w:color w:val="414142"/>
                <w:sz w:val="24"/>
                <w:szCs w:val="24"/>
                <w:lang w:eastAsia="lv-LV"/>
              </w:rPr>
              <w:t>VI. Sabiedrības līdzdalība un komunikācijas aktivitātes</w:t>
            </w:r>
          </w:p>
        </w:tc>
      </w:tr>
      <w:tr w:rsidR="002A1D7B" w:rsidRPr="002F1E39" w:rsidTr="002A1D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Atsevišķa sabiedrības līdzdalība un komunikācija par likumprojektu nav paredzēta. Stājoties spēkā likumprojekta un ar likumprojektu saistīto normatīvo aktu grozījumiem, sabiedrība kompleksi tiks informēta par izmaiņām normatīvajos regulējumos un to ietekmi uz tās ikdienu, gan izmantojot valsts iestāžu tīmekļa vietnes, gan medijus, gan uzrunājot nevalstiskās organizācijas.</w:t>
            </w:r>
          </w:p>
        </w:tc>
      </w:tr>
      <w:tr w:rsidR="002A1D7B" w:rsidRPr="002F1E39" w:rsidTr="002A1D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2A1D7B" w:rsidRDefault="002A1D7B" w:rsidP="002A1D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2A1D7B" w:rsidRPr="002F1E39" w:rsidTr="002A1D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2A1D7B" w:rsidRDefault="002A1D7B" w:rsidP="002A1D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2A1D7B" w:rsidRPr="002F1E39" w:rsidTr="002A1D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2A1D7B" w:rsidRDefault="002A1D7B" w:rsidP="002A1D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Nav</w:t>
            </w:r>
          </w:p>
        </w:tc>
      </w:tr>
    </w:tbl>
    <w:p w:rsidR="002A1D7B"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p w:rsidR="00184BAD" w:rsidRPr="002F1E39" w:rsidRDefault="00184BAD" w:rsidP="002A1D7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A1D7B" w:rsidRPr="002F1E39" w:rsidTr="002A1D7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A1D7B" w:rsidRPr="002F1E39" w:rsidRDefault="002A1D7B" w:rsidP="002A1D7B">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2A1D7B" w:rsidRPr="002F1E39" w:rsidTr="002A1D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rsidR="002A1D7B" w:rsidRPr="003A05D0" w:rsidRDefault="002A1D7B" w:rsidP="002A1D7B">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VSAA</w:t>
            </w:r>
          </w:p>
        </w:tc>
      </w:tr>
      <w:tr w:rsidR="002A1D7B" w:rsidRPr="002F1E39" w:rsidTr="002A1D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2A1D7B"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Projekta izpildes ietekme uz pārvaldes funkcijām un institucionālo struktūru.</w:t>
            </w:r>
            <w:r w:rsidRPr="002F1E39">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p w:rsidR="00253B06" w:rsidRDefault="00253B06" w:rsidP="002A1D7B">
            <w:pPr>
              <w:spacing w:after="0" w:line="240" w:lineRule="auto"/>
              <w:rPr>
                <w:rFonts w:ascii="Times New Roman" w:eastAsia="Times New Roman" w:hAnsi="Times New Roman" w:cs="Times New Roman"/>
                <w:iCs/>
                <w:color w:val="414142"/>
                <w:sz w:val="24"/>
                <w:szCs w:val="24"/>
                <w:lang w:eastAsia="lv-LV"/>
              </w:rPr>
            </w:pPr>
            <w:bookmarkStart w:id="7" w:name="_GoBack"/>
            <w:bookmarkEnd w:id="7"/>
          </w:p>
          <w:p w:rsidR="00184BAD" w:rsidRPr="002F1E39" w:rsidRDefault="00184BAD" w:rsidP="002A1D7B">
            <w:pPr>
              <w:spacing w:after="0" w:line="240" w:lineRule="auto"/>
              <w:rPr>
                <w:rFonts w:ascii="Times New Roman" w:eastAsia="Times New Roman" w:hAnsi="Times New Roman" w:cs="Times New Roman"/>
                <w:iCs/>
                <w:color w:val="414142"/>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rsidR="002A1D7B" w:rsidRPr="003A05D0" w:rsidRDefault="002A1D7B" w:rsidP="002A1D7B">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 plānota esošu institūciju likvidācija vai reorganizācija. Pēc likuma spēkā stāšanās tā īstenošana notiks, izmantojot esošos cilvēkresursus.</w:t>
            </w:r>
          </w:p>
        </w:tc>
      </w:tr>
      <w:tr w:rsidR="002A1D7B" w:rsidRPr="002F1E39" w:rsidTr="002A1D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2A1D7B" w:rsidRPr="002F1E39" w:rsidRDefault="002A1D7B" w:rsidP="002A1D7B">
            <w:pPr>
              <w:spacing w:after="0" w:line="240" w:lineRule="auto"/>
              <w:rPr>
                <w:rFonts w:ascii="Times New Roman" w:eastAsia="Times New Roman" w:hAnsi="Times New Roman" w:cs="Times New Roman"/>
                <w:iCs/>
                <w:color w:val="A6A6A6" w:themeColor="background1" w:themeShade="A6"/>
                <w:sz w:val="24"/>
                <w:szCs w:val="24"/>
                <w:lang w:eastAsia="lv-LV"/>
              </w:rPr>
            </w:pPr>
            <w:r w:rsidRPr="003E6FFD">
              <w:rPr>
                <w:rFonts w:ascii="Times New Roman" w:eastAsia="Times New Roman" w:hAnsi="Times New Roman" w:cs="Times New Roman"/>
                <w:iCs/>
                <w:sz w:val="24"/>
                <w:szCs w:val="24"/>
                <w:lang w:eastAsia="lv-LV"/>
              </w:rPr>
              <w:t>Nav</w:t>
            </w:r>
          </w:p>
        </w:tc>
      </w:tr>
    </w:tbl>
    <w:p w:rsidR="002A1D7B" w:rsidRDefault="002A1D7B" w:rsidP="002A1D7B">
      <w:pPr>
        <w:spacing w:after="0" w:line="240" w:lineRule="auto"/>
        <w:rPr>
          <w:rFonts w:ascii="Times New Roman" w:hAnsi="Times New Roman" w:cs="Times New Roman"/>
          <w:sz w:val="28"/>
          <w:szCs w:val="28"/>
        </w:rPr>
      </w:pPr>
    </w:p>
    <w:p w:rsidR="002A1D7B" w:rsidRPr="002F1E39" w:rsidRDefault="002A1D7B" w:rsidP="002A1D7B">
      <w:pPr>
        <w:spacing w:after="0" w:line="240" w:lineRule="auto"/>
        <w:rPr>
          <w:rFonts w:ascii="Times New Roman" w:hAnsi="Times New Roman" w:cs="Times New Roman"/>
          <w:sz w:val="28"/>
          <w:szCs w:val="28"/>
        </w:rPr>
      </w:pPr>
    </w:p>
    <w:p w:rsidR="002A1D7B" w:rsidRPr="002F1E39" w:rsidRDefault="002A1D7B" w:rsidP="002A1D7B">
      <w:pPr>
        <w:spacing w:after="0" w:line="240" w:lineRule="auto"/>
        <w:rPr>
          <w:rFonts w:ascii="Times New Roman" w:hAnsi="Times New Roman" w:cs="Times New Roman"/>
          <w:sz w:val="28"/>
          <w:szCs w:val="28"/>
        </w:rPr>
      </w:pPr>
    </w:p>
    <w:p w:rsidR="002A1D7B" w:rsidRPr="006C0B3A" w:rsidRDefault="002A1D7B" w:rsidP="002A1D7B">
      <w:pPr>
        <w:tabs>
          <w:tab w:val="left" w:pos="6237"/>
        </w:tabs>
        <w:spacing w:after="0" w:line="240" w:lineRule="auto"/>
        <w:rPr>
          <w:rFonts w:ascii="Times New Roman" w:hAnsi="Times New Roman" w:cs="Times New Roman"/>
          <w:sz w:val="28"/>
          <w:szCs w:val="28"/>
        </w:rPr>
      </w:pPr>
      <w:r w:rsidRPr="006C0B3A">
        <w:rPr>
          <w:rFonts w:ascii="Times New Roman" w:hAnsi="Times New Roman" w:cs="Times New Roman"/>
          <w:sz w:val="28"/>
          <w:szCs w:val="28"/>
        </w:rPr>
        <w:t>Labklājības ministre</w:t>
      </w:r>
      <w:r w:rsidRPr="006C0B3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6C0B3A">
        <w:rPr>
          <w:rFonts w:ascii="Times New Roman" w:hAnsi="Times New Roman" w:cs="Times New Roman"/>
          <w:sz w:val="28"/>
          <w:szCs w:val="28"/>
        </w:rPr>
        <w:t>R.Pet</w:t>
      </w:r>
      <w:r>
        <w:rPr>
          <w:rFonts w:ascii="Times New Roman" w:hAnsi="Times New Roman" w:cs="Times New Roman"/>
          <w:sz w:val="28"/>
          <w:szCs w:val="28"/>
        </w:rPr>
        <w:t>r</w:t>
      </w:r>
      <w:r w:rsidRPr="006C0B3A">
        <w:rPr>
          <w:rFonts w:ascii="Times New Roman" w:hAnsi="Times New Roman" w:cs="Times New Roman"/>
          <w:sz w:val="28"/>
          <w:szCs w:val="28"/>
        </w:rPr>
        <w:t>aviča</w:t>
      </w:r>
      <w:proofErr w:type="spellEnd"/>
    </w:p>
    <w:p w:rsidR="002A1D7B" w:rsidRPr="006C0B3A" w:rsidRDefault="002A1D7B" w:rsidP="002A1D7B">
      <w:pPr>
        <w:tabs>
          <w:tab w:val="left" w:pos="6237"/>
        </w:tabs>
        <w:spacing w:after="0" w:line="240" w:lineRule="auto"/>
        <w:rPr>
          <w:rFonts w:ascii="Times New Roman" w:hAnsi="Times New Roman" w:cs="Times New Roman"/>
          <w:sz w:val="28"/>
          <w:szCs w:val="28"/>
        </w:rPr>
      </w:pPr>
      <w:r w:rsidRPr="006C0B3A">
        <w:rPr>
          <w:rFonts w:ascii="Times New Roman" w:hAnsi="Times New Roman" w:cs="Times New Roman"/>
          <w:sz w:val="28"/>
          <w:szCs w:val="28"/>
        </w:rPr>
        <w:tab/>
      </w:r>
      <w:r w:rsidRPr="006C0B3A">
        <w:rPr>
          <w:rFonts w:ascii="Times New Roman" w:hAnsi="Times New Roman" w:cs="Times New Roman"/>
          <w:sz w:val="28"/>
          <w:szCs w:val="28"/>
        </w:rPr>
        <w:tab/>
      </w:r>
    </w:p>
    <w:p w:rsidR="002A1D7B" w:rsidRPr="006C0B3A" w:rsidRDefault="002A1D7B" w:rsidP="002A1D7B">
      <w:pPr>
        <w:tabs>
          <w:tab w:val="left" w:pos="6237"/>
        </w:tabs>
        <w:spacing w:after="0" w:line="240" w:lineRule="auto"/>
        <w:rPr>
          <w:rFonts w:ascii="Times New Roman" w:hAnsi="Times New Roman" w:cs="Times New Roman"/>
          <w:sz w:val="24"/>
          <w:szCs w:val="24"/>
        </w:rPr>
      </w:pPr>
    </w:p>
    <w:p w:rsidR="002A1D7B" w:rsidRPr="002F1E39" w:rsidRDefault="002A1D7B" w:rsidP="002A1D7B">
      <w:pPr>
        <w:spacing w:after="0" w:line="240" w:lineRule="auto"/>
        <w:rPr>
          <w:rFonts w:ascii="Times New Roman" w:hAnsi="Times New Roman" w:cs="Times New Roman"/>
          <w:sz w:val="28"/>
          <w:szCs w:val="28"/>
        </w:rPr>
      </w:pPr>
      <w:r w:rsidRPr="006C0B3A">
        <w:rPr>
          <w:rFonts w:ascii="Times New Roman" w:hAnsi="Times New Roman" w:cs="Times New Roman"/>
          <w:sz w:val="28"/>
          <w:szCs w:val="28"/>
        </w:rPr>
        <w:t>Valsts sekretārs</w:t>
      </w:r>
      <w:r w:rsidRPr="006C0B3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6C0B3A">
        <w:rPr>
          <w:rFonts w:ascii="Times New Roman" w:hAnsi="Times New Roman" w:cs="Times New Roman"/>
          <w:sz w:val="28"/>
          <w:szCs w:val="28"/>
        </w:rPr>
        <w:t>I.Alliks</w:t>
      </w:r>
      <w:proofErr w:type="spellEnd"/>
      <w:r w:rsidRPr="006C0B3A">
        <w:rPr>
          <w:rFonts w:ascii="Times New Roman" w:hAnsi="Times New Roman" w:cs="Times New Roman"/>
          <w:sz w:val="28"/>
          <w:szCs w:val="28"/>
        </w:rPr>
        <w:tab/>
      </w:r>
      <w:r w:rsidRPr="006C0B3A">
        <w:rPr>
          <w:rFonts w:ascii="Times New Roman" w:hAnsi="Times New Roman" w:cs="Times New Roman"/>
          <w:sz w:val="28"/>
          <w:szCs w:val="28"/>
        </w:rPr>
        <w:tab/>
      </w:r>
    </w:p>
    <w:p w:rsidR="002A1D7B" w:rsidRPr="002F1E39" w:rsidRDefault="002A1D7B" w:rsidP="002A1D7B">
      <w:pPr>
        <w:tabs>
          <w:tab w:val="left" w:pos="6237"/>
        </w:tabs>
        <w:spacing w:after="0" w:line="240" w:lineRule="auto"/>
        <w:ind w:firstLine="720"/>
        <w:rPr>
          <w:rFonts w:ascii="Times New Roman" w:hAnsi="Times New Roman" w:cs="Times New Roman"/>
          <w:sz w:val="28"/>
          <w:szCs w:val="28"/>
        </w:rPr>
      </w:pPr>
    </w:p>
    <w:p w:rsidR="002A1D7B" w:rsidRDefault="002A1D7B" w:rsidP="002A1D7B">
      <w:pPr>
        <w:tabs>
          <w:tab w:val="left" w:pos="6237"/>
        </w:tabs>
        <w:spacing w:after="0" w:line="240" w:lineRule="auto"/>
        <w:ind w:firstLine="720"/>
        <w:rPr>
          <w:rFonts w:ascii="Times New Roman" w:hAnsi="Times New Roman" w:cs="Times New Roman"/>
          <w:sz w:val="28"/>
          <w:szCs w:val="28"/>
        </w:rPr>
      </w:pPr>
    </w:p>
    <w:p w:rsidR="002A1D7B" w:rsidRDefault="002A1D7B" w:rsidP="002A1D7B">
      <w:pPr>
        <w:tabs>
          <w:tab w:val="left" w:pos="6237"/>
        </w:tabs>
        <w:spacing w:after="0" w:line="240" w:lineRule="auto"/>
        <w:ind w:firstLine="720"/>
        <w:rPr>
          <w:rFonts w:ascii="Times New Roman" w:hAnsi="Times New Roman" w:cs="Times New Roman"/>
          <w:sz w:val="28"/>
          <w:szCs w:val="28"/>
        </w:rPr>
      </w:pPr>
    </w:p>
    <w:p w:rsidR="002A1D7B" w:rsidRPr="002F1E39" w:rsidRDefault="002A1D7B" w:rsidP="002A1D7B">
      <w:pPr>
        <w:tabs>
          <w:tab w:val="left" w:pos="6237"/>
        </w:tabs>
        <w:spacing w:after="0" w:line="240" w:lineRule="auto"/>
        <w:ind w:firstLine="720"/>
        <w:rPr>
          <w:rFonts w:ascii="Times New Roman" w:hAnsi="Times New Roman" w:cs="Times New Roman"/>
          <w:sz w:val="28"/>
          <w:szCs w:val="28"/>
        </w:rPr>
      </w:pPr>
    </w:p>
    <w:p w:rsidR="002A1D7B" w:rsidRPr="00904444" w:rsidRDefault="002A1D7B" w:rsidP="002A1D7B">
      <w:pPr>
        <w:spacing w:after="0" w:line="240" w:lineRule="auto"/>
        <w:rPr>
          <w:rFonts w:ascii="Times New Roman" w:hAnsi="Times New Roman" w:cs="Times New Roman"/>
        </w:rPr>
      </w:pPr>
      <w:proofErr w:type="spellStart"/>
      <w:r w:rsidRPr="00904444">
        <w:rPr>
          <w:rFonts w:ascii="Times New Roman" w:hAnsi="Times New Roman" w:cs="Times New Roman"/>
        </w:rPr>
        <w:t>D.Trušinska</w:t>
      </w:r>
      <w:proofErr w:type="spellEnd"/>
      <w:r w:rsidRPr="00904444">
        <w:rPr>
          <w:rFonts w:ascii="Times New Roman" w:hAnsi="Times New Roman" w:cs="Times New Roman"/>
        </w:rPr>
        <w:t>, 67021553</w:t>
      </w:r>
    </w:p>
    <w:p w:rsidR="002A1D7B" w:rsidRPr="00904444" w:rsidRDefault="002A1D7B" w:rsidP="002A1D7B">
      <w:pPr>
        <w:spacing w:after="0" w:line="240" w:lineRule="auto"/>
        <w:rPr>
          <w:rFonts w:ascii="Times New Roman" w:hAnsi="Times New Roman" w:cs="Times New Roman"/>
        </w:rPr>
      </w:pPr>
      <w:proofErr w:type="spellStart"/>
      <w:r w:rsidRPr="00904444">
        <w:rPr>
          <w:rFonts w:ascii="Times New Roman" w:hAnsi="Times New Roman" w:cs="Times New Roman"/>
        </w:rPr>
        <w:t>K.Zirnīte</w:t>
      </w:r>
      <w:proofErr w:type="spellEnd"/>
      <w:r w:rsidRPr="00904444">
        <w:rPr>
          <w:rFonts w:ascii="Times New Roman" w:hAnsi="Times New Roman" w:cs="Times New Roman"/>
        </w:rPr>
        <w:t>, 67021520</w:t>
      </w:r>
    </w:p>
    <w:p w:rsidR="00F7306B" w:rsidRDefault="00F7306B"/>
    <w:sectPr w:rsidR="00F7306B" w:rsidSect="002A1D7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10B" w:rsidRDefault="0097410B" w:rsidP="004E54C5">
      <w:pPr>
        <w:spacing w:after="0" w:line="240" w:lineRule="auto"/>
      </w:pPr>
      <w:r>
        <w:separator/>
      </w:r>
    </w:p>
  </w:endnote>
  <w:endnote w:type="continuationSeparator" w:id="0">
    <w:p w:rsidR="0097410B" w:rsidRDefault="0097410B" w:rsidP="004E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D7B" w:rsidRPr="009A2654" w:rsidRDefault="002A1D7B" w:rsidP="002A1D7B">
    <w:pPr>
      <w:pStyle w:val="Footer"/>
      <w:rPr>
        <w:rFonts w:ascii="Times New Roman" w:hAnsi="Times New Roman" w:cs="Times New Roman"/>
        <w:sz w:val="20"/>
        <w:szCs w:val="20"/>
      </w:rPr>
    </w:pPr>
    <w:r>
      <w:rPr>
        <w:rFonts w:ascii="Times New Roman" w:hAnsi="Times New Roman" w:cs="Times New Roman"/>
        <w:sz w:val="20"/>
        <w:szCs w:val="20"/>
      </w:rPr>
      <w:t>LManot_2</w:t>
    </w:r>
    <w:r w:rsidR="006E34D4">
      <w:rPr>
        <w:rFonts w:ascii="Times New Roman" w:hAnsi="Times New Roman" w:cs="Times New Roman"/>
        <w:sz w:val="20"/>
        <w:szCs w:val="20"/>
      </w:rPr>
      <w:t>8</w:t>
    </w:r>
    <w:r>
      <w:rPr>
        <w:rFonts w:ascii="Times New Roman" w:hAnsi="Times New Roman" w:cs="Times New Roman"/>
        <w:sz w:val="20"/>
        <w:szCs w:val="20"/>
      </w:rPr>
      <w:t>0920_nelaimes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D7B" w:rsidRPr="009A2654" w:rsidRDefault="002A1D7B">
    <w:pPr>
      <w:pStyle w:val="Footer"/>
      <w:rPr>
        <w:rFonts w:ascii="Times New Roman" w:hAnsi="Times New Roman" w:cs="Times New Roman"/>
        <w:sz w:val="20"/>
        <w:szCs w:val="20"/>
      </w:rPr>
    </w:pPr>
    <w:r>
      <w:rPr>
        <w:rFonts w:ascii="Times New Roman" w:hAnsi="Times New Roman" w:cs="Times New Roman"/>
        <w:sz w:val="20"/>
        <w:szCs w:val="20"/>
      </w:rPr>
      <w:t>LManot_2</w:t>
    </w:r>
    <w:r w:rsidR="006E34D4">
      <w:rPr>
        <w:rFonts w:ascii="Times New Roman" w:hAnsi="Times New Roman" w:cs="Times New Roman"/>
        <w:sz w:val="20"/>
        <w:szCs w:val="20"/>
      </w:rPr>
      <w:t>8</w:t>
    </w:r>
    <w:r>
      <w:rPr>
        <w:rFonts w:ascii="Times New Roman" w:hAnsi="Times New Roman" w:cs="Times New Roman"/>
        <w:sz w:val="20"/>
        <w:szCs w:val="20"/>
      </w:rPr>
      <w:t>0920_nelaimes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10B" w:rsidRDefault="0097410B" w:rsidP="004E54C5">
      <w:pPr>
        <w:spacing w:after="0" w:line="240" w:lineRule="auto"/>
      </w:pPr>
      <w:r>
        <w:separator/>
      </w:r>
    </w:p>
  </w:footnote>
  <w:footnote w:type="continuationSeparator" w:id="0">
    <w:p w:rsidR="0097410B" w:rsidRDefault="0097410B" w:rsidP="004E5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2A1D7B" w:rsidRPr="00C25B49" w:rsidRDefault="002A1D7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EC4"/>
    <w:multiLevelType w:val="hybridMultilevel"/>
    <w:tmpl w:val="40A0A7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E67D6B"/>
    <w:multiLevelType w:val="hybridMultilevel"/>
    <w:tmpl w:val="C568A894"/>
    <w:lvl w:ilvl="0" w:tplc="3CF28BA6">
      <w:start w:val="1"/>
      <w:numFmt w:val="decimal"/>
      <w:lvlText w:val="%1)"/>
      <w:lvlJc w:val="left"/>
      <w:pPr>
        <w:ind w:left="900" w:hanging="54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7609A4"/>
    <w:multiLevelType w:val="hybridMultilevel"/>
    <w:tmpl w:val="10F265CA"/>
    <w:lvl w:ilvl="0" w:tplc="92486CCC">
      <w:start w:val="1"/>
      <w:numFmt w:val="bullet"/>
      <w:lvlText w:val=""/>
      <w:lvlJc w:val="left"/>
      <w:pPr>
        <w:tabs>
          <w:tab w:val="num" w:pos="720"/>
        </w:tabs>
        <w:ind w:left="720" w:hanging="360"/>
      </w:pPr>
      <w:rPr>
        <w:rFonts w:ascii="Wingdings" w:hAnsi="Wingdings" w:hint="default"/>
      </w:rPr>
    </w:lvl>
    <w:lvl w:ilvl="1" w:tplc="3828E046">
      <w:start w:val="1"/>
      <w:numFmt w:val="bullet"/>
      <w:lvlText w:val=""/>
      <w:lvlJc w:val="left"/>
      <w:pPr>
        <w:tabs>
          <w:tab w:val="num" w:pos="1440"/>
        </w:tabs>
        <w:ind w:left="1440" w:hanging="360"/>
      </w:pPr>
      <w:rPr>
        <w:rFonts w:ascii="Wingdings" w:hAnsi="Wingdings" w:hint="default"/>
      </w:rPr>
    </w:lvl>
    <w:lvl w:ilvl="2" w:tplc="7A34ACEC">
      <w:start w:val="1"/>
      <w:numFmt w:val="bullet"/>
      <w:lvlText w:val=""/>
      <w:lvlJc w:val="left"/>
      <w:pPr>
        <w:tabs>
          <w:tab w:val="num" w:pos="2160"/>
        </w:tabs>
        <w:ind w:left="2160" w:hanging="360"/>
      </w:pPr>
      <w:rPr>
        <w:rFonts w:ascii="Wingdings" w:hAnsi="Wingdings" w:hint="default"/>
      </w:rPr>
    </w:lvl>
    <w:lvl w:ilvl="3" w:tplc="61208018">
      <w:start w:val="1"/>
      <w:numFmt w:val="bullet"/>
      <w:lvlText w:val=""/>
      <w:lvlJc w:val="left"/>
      <w:pPr>
        <w:tabs>
          <w:tab w:val="num" w:pos="2880"/>
        </w:tabs>
        <w:ind w:left="2880" w:hanging="360"/>
      </w:pPr>
      <w:rPr>
        <w:rFonts w:ascii="Wingdings" w:hAnsi="Wingdings" w:hint="default"/>
      </w:rPr>
    </w:lvl>
    <w:lvl w:ilvl="4" w:tplc="8B20AF04">
      <w:start w:val="1"/>
      <w:numFmt w:val="bullet"/>
      <w:lvlText w:val=""/>
      <w:lvlJc w:val="left"/>
      <w:pPr>
        <w:tabs>
          <w:tab w:val="num" w:pos="3600"/>
        </w:tabs>
        <w:ind w:left="3600" w:hanging="360"/>
      </w:pPr>
      <w:rPr>
        <w:rFonts w:ascii="Wingdings" w:hAnsi="Wingdings" w:hint="default"/>
      </w:rPr>
    </w:lvl>
    <w:lvl w:ilvl="5" w:tplc="AE66F900">
      <w:start w:val="1"/>
      <w:numFmt w:val="bullet"/>
      <w:lvlText w:val=""/>
      <w:lvlJc w:val="left"/>
      <w:pPr>
        <w:tabs>
          <w:tab w:val="num" w:pos="4320"/>
        </w:tabs>
        <w:ind w:left="4320" w:hanging="360"/>
      </w:pPr>
      <w:rPr>
        <w:rFonts w:ascii="Wingdings" w:hAnsi="Wingdings" w:hint="default"/>
      </w:rPr>
    </w:lvl>
    <w:lvl w:ilvl="6" w:tplc="0AEE8F20">
      <w:start w:val="1"/>
      <w:numFmt w:val="bullet"/>
      <w:lvlText w:val=""/>
      <w:lvlJc w:val="left"/>
      <w:pPr>
        <w:tabs>
          <w:tab w:val="num" w:pos="5040"/>
        </w:tabs>
        <w:ind w:left="5040" w:hanging="360"/>
      </w:pPr>
      <w:rPr>
        <w:rFonts w:ascii="Wingdings" w:hAnsi="Wingdings" w:hint="default"/>
      </w:rPr>
    </w:lvl>
    <w:lvl w:ilvl="7" w:tplc="4CB090AC">
      <w:start w:val="1"/>
      <w:numFmt w:val="bullet"/>
      <w:lvlText w:val=""/>
      <w:lvlJc w:val="left"/>
      <w:pPr>
        <w:tabs>
          <w:tab w:val="num" w:pos="5760"/>
        </w:tabs>
        <w:ind w:left="5760" w:hanging="360"/>
      </w:pPr>
      <w:rPr>
        <w:rFonts w:ascii="Wingdings" w:hAnsi="Wingdings" w:hint="default"/>
      </w:rPr>
    </w:lvl>
    <w:lvl w:ilvl="8" w:tplc="A31873F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C3F1F"/>
    <w:multiLevelType w:val="hybridMultilevel"/>
    <w:tmpl w:val="C0B8E73C"/>
    <w:lvl w:ilvl="0" w:tplc="796A6CC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58064D"/>
    <w:multiLevelType w:val="multilevel"/>
    <w:tmpl w:val="E64A3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4E6C5B42"/>
    <w:multiLevelType w:val="hybridMultilevel"/>
    <w:tmpl w:val="B96268AE"/>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F3F791B"/>
    <w:multiLevelType w:val="hybridMultilevel"/>
    <w:tmpl w:val="B5ACF5D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6146565"/>
    <w:multiLevelType w:val="hybridMultilevel"/>
    <w:tmpl w:val="5AA875F0"/>
    <w:lvl w:ilvl="0" w:tplc="F51A759C">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7B"/>
    <w:rsid w:val="000D372D"/>
    <w:rsid w:val="00184BAD"/>
    <w:rsid w:val="002139AC"/>
    <w:rsid w:val="00253B06"/>
    <w:rsid w:val="002A1D7B"/>
    <w:rsid w:val="004E54C5"/>
    <w:rsid w:val="006E34D4"/>
    <w:rsid w:val="0097410B"/>
    <w:rsid w:val="00B04E0D"/>
    <w:rsid w:val="00F05FFF"/>
    <w:rsid w:val="00F349E5"/>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8394"/>
  <w15:chartTrackingRefBased/>
  <w15:docId w15:val="{4651AA97-08D2-4B05-A36B-82887800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D7B"/>
    <w:rPr>
      <w:color w:val="0000FF"/>
      <w:u w:val="single"/>
    </w:rPr>
  </w:style>
  <w:style w:type="paragraph" w:styleId="Header">
    <w:name w:val="header"/>
    <w:basedOn w:val="Normal"/>
    <w:link w:val="HeaderChar"/>
    <w:uiPriority w:val="99"/>
    <w:unhideWhenUsed/>
    <w:rsid w:val="002A1D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1D7B"/>
  </w:style>
  <w:style w:type="paragraph" w:styleId="Footer">
    <w:name w:val="footer"/>
    <w:basedOn w:val="Normal"/>
    <w:link w:val="FooterChar"/>
    <w:uiPriority w:val="99"/>
    <w:unhideWhenUsed/>
    <w:rsid w:val="002A1D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1D7B"/>
  </w:style>
  <w:style w:type="paragraph" w:styleId="ListParagraph">
    <w:name w:val="List Paragraph"/>
    <w:aliases w:val="2,Akapit z listą BS,H&amp;P List Paragraph,Strip"/>
    <w:basedOn w:val="Normal"/>
    <w:link w:val="ListParagraphChar"/>
    <w:uiPriority w:val="34"/>
    <w:qFormat/>
    <w:rsid w:val="002A1D7B"/>
    <w:pPr>
      <w:ind w:left="720"/>
      <w:contextualSpacing/>
    </w:pPr>
  </w:style>
  <w:style w:type="character" w:customStyle="1" w:styleId="ListParagraphChar">
    <w:name w:val="List Paragraph Char"/>
    <w:aliases w:val="2 Char,Akapit z listą BS Char,H&amp;P List Paragraph Char,Strip Char"/>
    <w:link w:val="ListParagraph"/>
    <w:uiPriority w:val="34"/>
    <w:locked/>
    <w:rsid w:val="002A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3-valsts-socialo-pabalstu-likum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likumi.lv/ta/id/68483-valsts-socialo-pabalstu-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55CE10E3FD4C50BDF544EB6C23D84F"/>
        <w:category>
          <w:name w:val="General"/>
          <w:gallery w:val="placeholder"/>
        </w:category>
        <w:types>
          <w:type w:val="bbPlcHdr"/>
        </w:types>
        <w:behaviors>
          <w:behavior w:val="content"/>
        </w:behaviors>
        <w:guid w:val="{55A38A94-D0C0-43FF-AF40-2294C92687E4}"/>
      </w:docPartPr>
      <w:docPartBody>
        <w:p w:rsidR="00945D7E" w:rsidRDefault="00945D7E" w:rsidP="00945D7E">
          <w:pPr>
            <w:pStyle w:val="D155CE10E3FD4C50BDF544EB6C23D84F"/>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7E"/>
    <w:rsid w:val="000A0195"/>
    <w:rsid w:val="000E7FFB"/>
    <w:rsid w:val="00945D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D7E"/>
    <w:rPr>
      <w:color w:val="808080"/>
    </w:rPr>
  </w:style>
  <w:style w:type="paragraph" w:customStyle="1" w:styleId="D155CE10E3FD4C50BDF544EB6C23D84F">
    <w:name w:val="D155CE10E3FD4C50BDF544EB6C23D84F"/>
    <w:rsid w:val="00945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15163</Words>
  <Characters>8643</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Grozījumi likumā “Par obligāto sociālo apdrošināšanu pret nelaimes gadījumiem darbā un arodslimībām”</vt:lpstr>
    </vt:vector>
  </TitlesOfParts>
  <Company>LM</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obligāto sociālo apdrošināšanu pret nelaimes gadījumiem darbā un arodslimībām”</dc:title>
  <dc:subject>anotācija</dc:subject>
  <dc:creator>Dace Trusinska</dc:creator>
  <cp:keywords/>
  <dc:description>D.Trušinska, 67021553
Dace.Trusinska@lm.gov.lv</dc:description>
  <cp:lastModifiedBy>Dace Trusinska</cp:lastModifiedBy>
  <cp:revision>6</cp:revision>
  <cp:lastPrinted>2020-09-29T06:42:00Z</cp:lastPrinted>
  <dcterms:created xsi:type="dcterms:W3CDTF">2020-09-24T12:10:00Z</dcterms:created>
  <dcterms:modified xsi:type="dcterms:W3CDTF">2020-09-29T06:42:00Z</dcterms:modified>
</cp:coreProperties>
</file>