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95" w:rsidRDefault="00BE1095" w:rsidP="00BE1095">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r>
        <w:rPr>
          <w:rFonts w:ascii="Times New Roman" w:eastAsia="Times New Roman" w:hAnsi="Times New Roman" w:cs="Times New Roman"/>
          <w:b/>
          <w:bCs/>
          <w:sz w:val="28"/>
          <w:szCs w:val="28"/>
          <w:lang w:eastAsia="lv-LV"/>
        </w:rPr>
        <w:t>Izziņa par atzinumos sniegtajiem iebildumiem</w:t>
      </w:r>
    </w:p>
    <w:bookmarkEnd w:id="0"/>
    <w:p w:rsidR="00BE1095" w:rsidRDefault="00BE1095" w:rsidP="00BE1095">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BE1095" w:rsidTr="00BB4224">
        <w:trPr>
          <w:jc w:val="center"/>
        </w:trPr>
        <w:tc>
          <w:tcPr>
            <w:tcW w:w="10188" w:type="dxa"/>
            <w:tcBorders>
              <w:top w:val="nil"/>
              <w:left w:val="nil"/>
              <w:bottom w:val="single" w:sz="6" w:space="0" w:color="000000"/>
              <w:right w:val="nil"/>
            </w:tcBorders>
            <w:hideMark/>
          </w:tcPr>
          <w:p w:rsidR="00BE1095" w:rsidRDefault="00BE1095" w:rsidP="00BB4224">
            <w:pPr>
              <w:spacing w:after="0" w:line="240" w:lineRule="auto"/>
              <w:ind w:firstLine="11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likumā</w:t>
            </w:r>
            <w:r>
              <w:rPr>
                <w:rFonts w:ascii="Times New Roman" w:eastAsia="Times New Roman" w:hAnsi="Times New Roman" w:cs="Times New Roman"/>
                <w:sz w:val="24"/>
                <w:szCs w:val="24"/>
                <w:lang w:eastAsia="lv-LV"/>
              </w:rPr>
              <w:t xml:space="preserve"> “Par valsts pensijām</w:t>
            </w:r>
            <w:r>
              <w:rPr>
                <w:rFonts w:ascii="Times New Roman" w:eastAsia="Times New Roman" w:hAnsi="Times New Roman" w:cs="Times New Roman"/>
                <w:sz w:val="24"/>
                <w:szCs w:val="24"/>
                <w:lang w:eastAsia="lv-LV"/>
              </w:rPr>
              <w:t>”</w:t>
            </w:r>
            <w:r w:rsidR="003639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Likumprojekts)</w:t>
            </w:r>
          </w:p>
        </w:tc>
      </w:tr>
    </w:tbl>
    <w:p w:rsidR="00BE1095" w:rsidRDefault="00BE1095" w:rsidP="00BE1095">
      <w:pPr>
        <w:spacing w:after="0" w:line="240" w:lineRule="auto"/>
        <w:ind w:firstLine="10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veids un nosaukums)</w:t>
      </w:r>
    </w:p>
    <w:p w:rsidR="00BE1095" w:rsidRDefault="00BE1095" w:rsidP="00BE1095">
      <w:pPr>
        <w:suppressAutoHyphens/>
        <w:spacing w:after="0" w:line="240" w:lineRule="auto"/>
        <w:contextualSpacing/>
        <w:jc w:val="both"/>
        <w:rPr>
          <w:rFonts w:ascii="Times New Roman" w:eastAsia="Times New Roman" w:hAnsi="Times New Roman" w:cs="Times New Roman"/>
          <w:b/>
          <w:sz w:val="24"/>
          <w:szCs w:val="24"/>
          <w:lang w:eastAsia="zh-CN"/>
        </w:rPr>
      </w:pPr>
    </w:p>
    <w:p w:rsidR="000D5FCC" w:rsidRDefault="000D5FCC" w:rsidP="00BE1095">
      <w:pPr>
        <w:suppressAutoHyphens/>
        <w:spacing w:after="0" w:line="240" w:lineRule="auto"/>
        <w:contextualSpacing/>
        <w:jc w:val="both"/>
        <w:rPr>
          <w:rFonts w:ascii="Times New Roman" w:eastAsia="Times New Roman" w:hAnsi="Times New Roman" w:cs="Times New Roman"/>
          <w:b/>
          <w:sz w:val="24"/>
          <w:szCs w:val="24"/>
          <w:lang w:eastAsia="zh-CN"/>
        </w:rPr>
      </w:pPr>
    </w:p>
    <w:p w:rsidR="00BE1095" w:rsidRPr="0054714E" w:rsidRDefault="00BE1095" w:rsidP="00BE1095">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b/>
          <w:sz w:val="24"/>
          <w:szCs w:val="24"/>
          <w:lang w:eastAsia="zh-CN"/>
        </w:rPr>
        <w:t>I. Jautājumi, par kuriem saskaņošanā vienošanās nav panākta</w:t>
      </w:r>
    </w:p>
    <w:p w:rsidR="00BE1095" w:rsidRPr="0054714E" w:rsidRDefault="00BE1095" w:rsidP="00BE1095">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200" w:type="pct"/>
        <w:tblInd w:w="-14" w:type="dxa"/>
        <w:tblLayout w:type="fixed"/>
        <w:tblLook w:val="04A0" w:firstRow="1" w:lastRow="0" w:firstColumn="1" w:lastColumn="0" w:noHBand="0" w:noVBand="1"/>
      </w:tblPr>
      <w:tblGrid>
        <w:gridCol w:w="577"/>
        <w:gridCol w:w="2089"/>
        <w:gridCol w:w="4855"/>
        <w:gridCol w:w="3817"/>
        <w:gridCol w:w="1533"/>
        <w:gridCol w:w="1973"/>
      </w:tblGrid>
      <w:tr w:rsidR="00BE1095" w:rsidRPr="0054714E" w:rsidTr="00BB4224">
        <w:tc>
          <w:tcPr>
            <w:tcW w:w="577" w:type="dxa"/>
            <w:tcBorders>
              <w:top w:val="single" w:sz="6" w:space="0" w:color="000000"/>
              <w:left w:val="single" w:sz="6" w:space="0" w:color="000000"/>
              <w:bottom w:val="single" w:sz="6" w:space="0" w:color="000000"/>
              <w:right w:val="nil"/>
            </w:tcBorders>
            <w:vAlign w:val="center"/>
            <w:hideMark/>
          </w:tcPr>
          <w:p w:rsidR="00BE1095" w:rsidRPr="0054714E" w:rsidRDefault="00BE1095" w:rsidP="00BB4224">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54714E">
              <w:rPr>
                <w:rFonts w:ascii="Times New Roman" w:eastAsia="Times New Roman" w:hAnsi="Times New Roman" w:cs="Times New Roman"/>
                <w:sz w:val="24"/>
                <w:szCs w:val="24"/>
                <w:lang w:eastAsia="zh-CN"/>
              </w:rPr>
              <w:t>Nr. p.k.</w:t>
            </w:r>
          </w:p>
        </w:tc>
        <w:tc>
          <w:tcPr>
            <w:tcW w:w="2089" w:type="dxa"/>
            <w:tcBorders>
              <w:top w:val="single" w:sz="6" w:space="0" w:color="000000"/>
              <w:left w:val="single" w:sz="6" w:space="0" w:color="000000"/>
              <w:bottom w:val="single" w:sz="6" w:space="0" w:color="000000"/>
              <w:right w:val="nil"/>
            </w:tcBorders>
            <w:vAlign w:val="center"/>
            <w:hideMark/>
          </w:tcPr>
          <w:p w:rsidR="00BE1095" w:rsidRPr="0054714E" w:rsidRDefault="00BE1095" w:rsidP="00BB4224">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Saskaņošanai nosūtītā projekta redakcija (konkrēta punkta (panta) redakcija)</w:t>
            </w:r>
          </w:p>
        </w:tc>
        <w:tc>
          <w:tcPr>
            <w:tcW w:w="4855" w:type="dxa"/>
            <w:tcBorders>
              <w:top w:val="single" w:sz="6" w:space="0" w:color="000000"/>
              <w:left w:val="single" w:sz="6" w:space="0" w:color="000000"/>
              <w:bottom w:val="single" w:sz="6" w:space="0" w:color="000000"/>
              <w:right w:val="nil"/>
            </w:tcBorders>
            <w:vAlign w:val="center"/>
            <w:hideMark/>
          </w:tcPr>
          <w:p w:rsidR="00BE1095" w:rsidRPr="0054714E" w:rsidRDefault="00BE1095" w:rsidP="00BB4224">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817" w:type="dxa"/>
            <w:tcBorders>
              <w:top w:val="single" w:sz="6" w:space="0" w:color="000000"/>
              <w:left w:val="single" w:sz="6" w:space="0" w:color="000000"/>
              <w:bottom w:val="single" w:sz="6" w:space="0" w:color="000000"/>
              <w:right w:val="nil"/>
            </w:tcBorders>
            <w:vAlign w:val="center"/>
            <w:hideMark/>
          </w:tcPr>
          <w:p w:rsidR="00BE1095" w:rsidRPr="0054714E" w:rsidRDefault="00BE1095" w:rsidP="00BB4224">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Atbildīgās ministrijas pamatojums iebilduma noraidījumam</w:t>
            </w:r>
          </w:p>
        </w:tc>
        <w:tc>
          <w:tcPr>
            <w:tcW w:w="1533" w:type="dxa"/>
            <w:tcBorders>
              <w:top w:val="single" w:sz="4" w:space="0" w:color="000000"/>
              <w:left w:val="single" w:sz="6" w:space="0" w:color="000000"/>
              <w:bottom w:val="single" w:sz="4" w:space="0" w:color="000000"/>
              <w:right w:val="nil"/>
            </w:tcBorders>
            <w:vAlign w:val="center"/>
            <w:hideMark/>
          </w:tcPr>
          <w:p w:rsidR="00BE1095" w:rsidRPr="0054714E" w:rsidRDefault="00BE1095"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BE1095" w:rsidRPr="0054714E" w:rsidRDefault="00BE1095"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Projekta attiecīgā punkta (panta) galīgā redakcija</w:t>
            </w:r>
          </w:p>
        </w:tc>
      </w:tr>
      <w:tr w:rsidR="00BE1095" w:rsidRPr="0054714E" w:rsidTr="00BB4224">
        <w:tc>
          <w:tcPr>
            <w:tcW w:w="577" w:type="dxa"/>
            <w:tcBorders>
              <w:top w:val="single" w:sz="6" w:space="0" w:color="000000"/>
              <w:left w:val="single" w:sz="6" w:space="0" w:color="000000"/>
              <w:bottom w:val="single" w:sz="6" w:space="0" w:color="000000"/>
              <w:right w:val="nil"/>
            </w:tcBorders>
            <w:hideMark/>
          </w:tcPr>
          <w:p w:rsidR="00BE1095" w:rsidRPr="0054714E" w:rsidRDefault="00BE1095"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1</w:t>
            </w:r>
          </w:p>
        </w:tc>
        <w:tc>
          <w:tcPr>
            <w:tcW w:w="2089" w:type="dxa"/>
            <w:tcBorders>
              <w:top w:val="single" w:sz="6" w:space="0" w:color="000000"/>
              <w:left w:val="single" w:sz="6" w:space="0" w:color="000000"/>
              <w:bottom w:val="single" w:sz="6" w:space="0" w:color="000000"/>
              <w:right w:val="nil"/>
            </w:tcBorders>
            <w:hideMark/>
          </w:tcPr>
          <w:p w:rsidR="00BE1095" w:rsidRPr="0054714E" w:rsidRDefault="00BE1095" w:rsidP="00BB4224">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2</w:t>
            </w:r>
          </w:p>
        </w:tc>
        <w:tc>
          <w:tcPr>
            <w:tcW w:w="4855" w:type="dxa"/>
            <w:tcBorders>
              <w:top w:val="single" w:sz="6" w:space="0" w:color="000000"/>
              <w:left w:val="single" w:sz="6" w:space="0" w:color="000000"/>
              <w:bottom w:val="single" w:sz="6" w:space="0" w:color="000000"/>
              <w:right w:val="nil"/>
            </w:tcBorders>
            <w:hideMark/>
          </w:tcPr>
          <w:p w:rsidR="00BE1095" w:rsidRPr="0054714E" w:rsidRDefault="00BE1095" w:rsidP="00BB4224">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3</w:t>
            </w:r>
          </w:p>
        </w:tc>
        <w:tc>
          <w:tcPr>
            <w:tcW w:w="3817" w:type="dxa"/>
            <w:tcBorders>
              <w:top w:val="single" w:sz="6" w:space="0" w:color="000000"/>
              <w:left w:val="single" w:sz="6" w:space="0" w:color="000000"/>
              <w:bottom w:val="single" w:sz="6" w:space="0" w:color="000000"/>
              <w:right w:val="nil"/>
            </w:tcBorders>
            <w:hideMark/>
          </w:tcPr>
          <w:p w:rsidR="00BE1095" w:rsidRPr="0054714E" w:rsidRDefault="00BE1095" w:rsidP="00BB4224">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4</w:t>
            </w:r>
          </w:p>
        </w:tc>
        <w:tc>
          <w:tcPr>
            <w:tcW w:w="1533" w:type="dxa"/>
            <w:tcBorders>
              <w:top w:val="single" w:sz="4" w:space="0" w:color="000000"/>
              <w:left w:val="single" w:sz="6" w:space="0" w:color="000000"/>
              <w:bottom w:val="single" w:sz="4" w:space="0" w:color="000000"/>
              <w:right w:val="nil"/>
            </w:tcBorders>
            <w:hideMark/>
          </w:tcPr>
          <w:p w:rsidR="00BE1095" w:rsidRPr="0054714E" w:rsidRDefault="00BE1095"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5</w:t>
            </w:r>
          </w:p>
        </w:tc>
        <w:tc>
          <w:tcPr>
            <w:tcW w:w="1973" w:type="dxa"/>
            <w:tcBorders>
              <w:top w:val="single" w:sz="4" w:space="0" w:color="000000"/>
              <w:left w:val="single" w:sz="4" w:space="0" w:color="000000"/>
              <w:bottom w:val="single" w:sz="4" w:space="0" w:color="000000"/>
              <w:right w:val="single" w:sz="4" w:space="0" w:color="000000"/>
            </w:tcBorders>
            <w:hideMark/>
          </w:tcPr>
          <w:p w:rsidR="00BE1095" w:rsidRPr="0054714E" w:rsidRDefault="00BE1095" w:rsidP="00BB4224">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6</w:t>
            </w:r>
          </w:p>
        </w:tc>
      </w:tr>
      <w:tr w:rsidR="00BE1095" w:rsidRPr="0054714E" w:rsidTr="00BB4224">
        <w:tc>
          <w:tcPr>
            <w:tcW w:w="14844" w:type="dxa"/>
            <w:gridSpan w:val="6"/>
            <w:tcBorders>
              <w:top w:val="single" w:sz="4" w:space="0" w:color="000000"/>
              <w:left w:val="single" w:sz="6" w:space="0" w:color="000000"/>
              <w:bottom w:val="single" w:sz="4" w:space="0" w:color="000000"/>
              <w:right w:val="single" w:sz="4" w:space="0" w:color="000000"/>
            </w:tcBorders>
            <w:hideMark/>
          </w:tcPr>
          <w:p w:rsidR="00BE1095" w:rsidRPr="0054714E" w:rsidRDefault="00BE1095" w:rsidP="00BB4224">
            <w:pPr>
              <w:suppressAutoHyphens/>
              <w:snapToGrid w:val="0"/>
              <w:spacing w:after="0" w:line="240" w:lineRule="auto"/>
              <w:contextualSpacing/>
              <w:jc w:val="center"/>
              <w:rPr>
                <w:rFonts w:ascii="Times New Roman" w:eastAsia="Times New Roman" w:hAnsi="Times New Roman" w:cs="Times New Roman"/>
                <w:b/>
                <w:bCs/>
                <w:sz w:val="24"/>
                <w:szCs w:val="24"/>
                <w:lang w:eastAsia="zh-CN"/>
              </w:rPr>
            </w:pPr>
            <w:r w:rsidRPr="0054714E">
              <w:rPr>
                <w:rFonts w:ascii="Times New Roman" w:eastAsia="Times New Roman" w:hAnsi="Times New Roman" w:cs="Times New Roman"/>
                <w:b/>
                <w:bCs/>
                <w:sz w:val="24"/>
                <w:szCs w:val="24"/>
                <w:lang w:eastAsia="zh-CN"/>
              </w:rPr>
              <w:t>Finanšu ministrija</w:t>
            </w:r>
          </w:p>
        </w:tc>
      </w:tr>
      <w:tr w:rsidR="00BE1095" w:rsidRPr="0054714E" w:rsidTr="00BB4224">
        <w:tc>
          <w:tcPr>
            <w:tcW w:w="577" w:type="dxa"/>
            <w:tcBorders>
              <w:top w:val="single" w:sz="4" w:space="0" w:color="000000"/>
              <w:left w:val="single" w:sz="6" w:space="0" w:color="000000"/>
              <w:bottom w:val="single" w:sz="4" w:space="0" w:color="000000"/>
              <w:right w:val="nil"/>
            </w:tcBorders>
          </w:tcPr>
          <w:p w:rsidR="00BE1095" w:rsidRPr="0054714E" w:rsidRDefault="00BE1095"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089" w:type="dxa"/>
            <w:tcBorders>
              <w:top w:val="single" w:sz="4" w:space="0" w:color="000000"/>
              <w:left w:val="single" w:sz="6" w:space="0" w:color="000000"/>
              <w:bottom w:val="single" w:sz="4" w:space="0" w:color="000000"/>
              <w:right w:val="nil"/>
            </w:tcBorders>
            <w:hideMark/>
          </w:tcPr>
          <w:p w:rsidR="00BE1095" w:rsidRPr="0054714E" w:rsidRDefault="00BE1095"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w:t>
            </w:r>
            <w:r w:rsidRPr="0054714E">
              <w:rPr>
                <w:rFonts w:ascii="Times New Roman" w:eastAsia="Times New Roman" w:hAnsi="Times New Roman" w:cs="Times New Roman"/>
                <w:sz w:val="24"/>
                <w:szCs w:val="24"/>
                <w:lang w:eastAsia="zh-CN"/>
              </w:rPr>
              <w:t>ikumprojekt</w:t>
            </w:r>
            <w:r w:rsidR="00031419">
              <w:rPr>
                <w:rFonts w:ascii="Times New Roman" w:eastAsia="Times New Roman" w:hAnsi="Times New Roman" w:cs="Times New Roman"/>
                <w:sz w:val="24"/>
                <w:szCs w:val="24"/>
                <w:lang w:eastAsia="zh-CN"/>
              </w:rPr>
              <w:t>u</w:t>
            </w:r>
            <w:r>
              <w:rPr>
                <w:rFonts w:ascii="Times New Roman" w:eastAsia="Times New Roman" w:hAnsi="Times New Roman" w:cs="Times New Roman"/>
                <w:sz w:val="24"/>
                <w:szCs w:val="24"/>
                <w:lang w:eastAsia="zh-CN"/>
              </w:rPr>
              <w:t>.</w:t>
            </w:r>
            <w:r w:rsidRPr="0054714E">
              <w:rPr>
                <w:rFonts w:ascii="Times New Roman" w:eastAsia="Times New Roman" w:hAnsi="Times New Roman" w:cs="Times New Roman"/>
                <w:sz w:val="24"/>
                <w:szCs w:val="24"/>
                <w:lang w:eastAsia="zh-CN"/>
              </w:rPr>
              <w:t xml:space="preserve"> </w:t>
            </w:r>
          </w:p>
        </w:tc>
        <w:tc>
          <w:tcPr>
            <w:tcW w:w="4855" w:type="dxa"/>
            <w:tcBorders>
              <w:top w:val="single" w:sz="6" w:space="0" w:color="000000"/>
              <w:left w:val="single" w:sz="6" w:space="0" w:color="000000"/>
              <w:bottom w:val="single" w:sz="6" w:space="0" w:color="000000"/>
              <w:right w:val="nil"/>
            </w:tcBorders>
          </w:tcPr>
          <w:p w:rsidR="00031419" w:rsidRPr="00031419" w:rsidRDefault="00031419" w:rsidP="00031419">
            <w:pPr>
              <w:spacing w:after="0" w:line="240" w:lineRule="auto"/>
              <w:ind w:firstLine="720"/>
              <w:jc w:val="both"/>
              <w:rPr>
                <w:rFonts w:ascii="Times New Roman" w:hAnsi="Times New Roman" w:cs="Times New Roman"/>
                <w:sz w:val="24"/>
                <w:szCs w:val="24"/>
              </w:rPr>
            </w:pPr>
            <w:r w:rsidRPr="00031419">
              <w:rPr>
                <w:rFonts w:ascii="Times New Roman" w:hAnsi="Times New Roman" w:cs="Times New Roman"/>
                <w:sz w:val="24"/>
                <w:szCs w:val="24"/>
              </w:rPr>
              <w:t xml:space="preserve">Likumprojekts paredz paaugstināt minimālās vecuma pensijas aprēķina bāzi, invaliditātes pensijas un apgādnieka zaudējuma pensijas minimālo apmēru, nosakot to procentuālā apmērā no Centrālās statistikas pārvaldes pārskata gadā tīmekļa vietnē publicētās mājsaimniecību rīcībā esošās ienākumu mediānas uz vienu ekvivalento patērētāju (turpmāk – ienākumu mediāna), to regulāru pārskatīšanu atbilstoši likumā “Par sociālo drošību” noteikto minimālo ienākumu sliekšņu pārskatīšanas kārtībai, kā arī noteikt minimālo vecuma pensijas apmēru par katru </w:t>
            </w:r>
            <w:r w:rsidRPr="00031419">
              <w:rPr>
                <w:rFonts w:ascii="Times New Roman" w:hAnsi="Times New Roman" w:cs="Times New Roman"/>
                <w:sz w:val="24"/>
                <w:szCs w:val="24"/>
              </w:rPr>
              <w:lastRenderedPageBreak/>
              <w:t xml:space="preserve">apdrošināšanas stāža gadu, piemērojot vecuma pensijas aprēķina bāzei atšķirīgus koeficientus – laikā no 2021. – 2024.gadam koeficientu 1,1 un no 2025.gada – koeficientu 1,2 (turpmāk – koeficients), un par katru nākamo gadu, kas pārsniedz vecuma pensijas piešķiršanai nepieciešamo apdrošināšanas stāžu, apmēru palielinot par diviem procentiem no minimālās vecuma pensijas aprēķina bāzes. </w:t>
            </w:r>
          </w:p>
          <w:p w:rsidR="00031419" w:rsidRPr="00031419" w:rsidRDefault="00031419" w:rsidP="00031419">
            <w:pPr>
              <w:spacing w:after="0" w:line="240" w:lineRule="auto"/>
              <w:ind w:firstLine="720"/>
              <w:jc w:val="both"/>
              <w:rPr>
                <w:rFonts w:ascii="Times New Roman" w:hAnsi="Times New Roman" w:cs="Times New Roman"/>
                <w:sz w:val="24"/>
                <w:szCs w:val="24"/>
              </w:rPr>
            </w:pPr>
            <w:bookmarkStart w:id="2" w:name="_Hlk52179144"/>
            <w:r w:rsidRPr="00031419">
              <w:rPr>
                <w:rFonts w:ascii="Times New Roman" w:hAnsi="Times New Roman" w:cs="Times New Roman"/>
                <w:sz w:val="24"/>
                <w:szCs w:val="24"/>
              </w:rPr>
              <w:t>Neatbalstām, ka likumprojektā noteiktie pensijas minimālie apmēri/bāze tiek piesaistīti mainīgai vērtībai - ienākumu mediānai, un uzskatām, ka likumprojektā tie nosakāmi kā konstanti apmēri, savukārt to pārskatīšanu, kā arī koeficienta noteikšanu ar 2025.gadu palielinātā apmērā (koeficients 1,2) var veikt, sagatavojot gadskārtējo valsts budžeta likumprojektu un vidēja termiņa budžeta ietvara likumprojektu, LM iesniedzot attiecīgu pieteikumu prioritārajam pasākumam un jautājumu izskatot Ministru kabinetā kopā ar visu ministriju un centrālo valsts iestāžu iesniegtajiem prioritāro pasākumu pieteikumiem atbilstoši valsts budžeta finansiālajām iespējām. Līdz ar to LM nepieciešams precizēt likumprojektu un anotāciju.</w:t>
            </w:r>
          </w:p>
          <w:bookmarkEnd w:id="2"/>
          <w:p w:rsidR="00BE1095" w:rsidRPr="00031419" w:rsidRDefault="00BE1095" w:rsidP="00031419">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3817" w:type="dxa"/>
            <w:tcBorders>
              <w:top w:val="single" w:sz="4" w:space="0" w:color="000000"/>
              <w:left w:val="single" w:sz="6" w:space="0" w:color="000000"/>
              <w:bottom w:val="single" w:sz="4" w:space="0" w:color="000000"/>
              <w:right w:val="nil"/>
            </w:tcBorders>
          </w:tcPr>
          <w:p w:rsidR="000A3E07" w:rsidRDefault="000A3E07" w:rsidP="000A3E07">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Nav ņemts vērā:</w:t>
            </w:r>
          </w:p>
          <w:p w:rsidR="000A3E07" w:rsidRDefault="000A3E07" w:rsidP="000A3E07">
            <w:pPr>
              <w:jc w:val="both"/>
              <w:rPr>
                <w:rFonts w:ascii="Times New Roman" w:eastAsia="Times New Roman" w:hAnsi="Times New Roman" w:cs="Times New Roman"/>
                <w:sz w:val="24"/>
                <w:szCs w:val="24"/>
                <w:lang w:eastAsia="lv-LV"/>
              </w:rPr>
            </w:pPr>
            <w:bookmarkStart w:id="3" w:name="_Hlk52185135"/>
            <w:r>
              <w:rPr>
                <w:rFonts w:ascii="Times New Roman" w:eastAsia="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eastAsia="Times New Roman" w:hAnsi="Times New Roman" w:cs="Times New Roman"/>
                <w:sz w:val="24"/>
                <w:szCs w:val="24"/>
                <w:lang w:eastAsia="lv-LV"/>
              </w:rPr>
              <w:t xml:space="preserve">alstij sava izvēle jābalsta uz konstitucionāli pamatotiem </w:t>
            </w:r>
            <w:r>
              <w:rPr>
                <w:rFonts w:ascii="Times New Roman" w:eastAsia="Times New Roman" w:hAnsi="Times New Roman" w:cs="Times New Roman"/>
                <w:sz w:val="24"/>
                <w:szCs w:val="24"/>
                <w:lang w:eastAsia="lv-LV"/>
              </w:rPr>
              <w:lastRenderedPageBreak/>
              <w:t>apsvērumiem un pierādījumos 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rsidR="000A3E07" w:rsidRDefault="000A3E07" w:rsidP="000A3E0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w:t>
            </w:r>
            <w:r>
              <w:rPr>
                <w:rFonts w:ascii="Times New Roman" w:eastAsia="Times New Roman" w:hAnsi="Times New Roman" w:cs="Times New Roman"/>
                <w:sz w:val="24"/>
                <w:szCs w:val="24"/>
                <w:lang w:eastAsia="lv-LV"/>
              </w:rPr>
              <w:lastRenderedPageBreak/>
              <w:t>(turpmāk – ienākumu mediāna) – tātad piedāvātā metode minimālo ienākumu sliekšņu noteikšanā ir 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eastAsia="Times New Roman" w:hAnsi="Times New Roman" w:cs="Times New Roman"/>
                <w:sz w:val="24"/>
                <w:szCs w:val="24"/>
                <w:lang w:eastAsia="lv-LV"/>
              </w:rPr>
              <w:t xml:space="preserve">  Lai nodrošinātu iedzīvotājiem ar zemiem ienākumiem iespēju saņemt adekvātu un vienlaikus ar pārējās sabiedrības interesēm samērīgu atbalstu, nepieciešams noteikt regulāru minimālo ienākumu sliekšņu </w:t>
            </w:r>
            <w:r>
              <w:rPr>
                <w:rFonts w:ascii="Times New Roman" w:eastAsia="Times New Roman" w:hAnsi="Times New Roman" w:cs="Times New Roman"/>
                <w:sz w:val="24"/>
                <w:szCs w:val="24"/>
                <w:lang w:eastAsia="lv-LV"/>
              </w:rPr>
              <w:lastRenderedPageBreak/>
              <w:t>pārskatīšanu atbilstoši sociālekonomiskajām izmaiņām valstī.</w:t>
            </w:r>
            <w:r>
              <w:t xml:space="preserve"> </w:t>
            </w:r>
          </w:p>
          <w:p w:rsidR="000A3E07" w:rsidRDefault="000A3E07" w:rsidP="000A3E0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Turklāt jāņem vērā, ka pat Latvijas Bankas veiktajā ietekmes novērtējumā par piedāvātā risinājuma ietekmi uz </w:t>
            </w:r>
            <w:r>
              <w:rPr>
                <w:rFonts w:ascii="Times New Roman" w:eastAsia="Times New Roman" w:hAnsi="Times New Roman" w:cs="Times New Roman"/>
                <w:iCs/>
                <w:sz w:val="24"/>
                <w:szCs w:val="24"/>
                <w:lang w:eastAsia="lv-LV"/>
              </w:rPr>
              <w:t xml:space="preserve">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bookmarkEnd w:id="3"/>
          </w:p>
          <w:p w:rsidR="00BC278C" w:rsidRPr="00BC278C" w:rsidRDefault="000A3E07" w:rsidP="000A3E0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Minimālo vecuma pensijas apmēru par katru apdrošināšanas stāža gadu no 2021.gada 1.janvāra noteiks, piemērojot </w:t>
            </w:r>
            <w:r>
              <w:rPr>
                <w:rFonts w:ascii="Times New Roman" w:hAnsi="Times New Roman" w:cs="Times New Roman"/>
                <w:sz w:val="24"/>
                <w:szCs w:val="24"/>
                <w:lang w:eastAsia="lv-LV"/>
              </w:rPr>
              <w:t xml:space="preserve">vecuma pensijas aprēķina bāzei koeficientu – 1,1 (laikā no 2021.-2024.gadam un koeficientu 1,2 no 2025.gada), un par katru nākamo gadu, kas pārsniedz vecuma pensijas piešķiršanai nepieciešamo apdrošināšanas stāžu, apmēru palielinot par diviem </w:t>
            </w:r>
            <w:r w:rsidRPr="000D5FCC">
              <w:rPr>
                <w:rFonts w:ascii="Times New Roman" w:hAnsi="Times New Roman" w:cs="Times New Roman"/>
                <w:sz w:val="24"/>
                <w:szCs w:val="24"/>
                <w:lang w:eastAsia="lv-LV"/>
              </w:rPr>
              <w:t xml:space="preserve">procentiem no </w:t>
            </w:r>
            <w:r w:rsidRPr="000D5FCC">
              <w:rPr>
                <w:rFonts w:ascii="Times New Roman" w:hAnsi="Times New Roman" w:cs="Times New Roman"/>
                <w:sz w:val="24"/>
                <w:szCs w:val="24"/>
                <w:lang w:eastAsia="lv-LV"/>
              </w:rPr>
              <w:lastRenderedPageBreak/>
              <w:t xml:space="preserve">minimālās vecuma pensijas aprēķina bāzes. </w:t>
            </w:r>
            <w:r w:rsidRPr="000D5FCC">
              <w:rPr>
                <w:rFonts w:ascii="Times New Roman" w:hAnsi="Times New Roman" w:cs="Times New Roman"/>
                <w:sz w:val="24"/>
                <w:szCs w:val="24"/>
              </w:rPr>
              <w:t xml:space="preserve">No 2025.gada 1.janvāra vecuma pensijas piešķiršanai nepieciešamais stāžs ir 20 gadi (līdz 2024.gadam – 15 gadi), tāpēc lai saglabātu esošo koeficientu pie 20 gadu stāža 1,2, jānosaka, ka no 2025.gada koeficients ir 1,2. </w:t>
            </w:r>
          </w:p>
        </w:tc>
        <w:tc>
          <w:tcPr>
            <w:tcW w:w="1533" w:type="dxa"/>
            <w:tcBorders>
              <w:top w:val="single" w:sz="4" w:space="0" w:color="000000"/>
              <w:left w:val="single" w:sz="6" w:space="0" w:color="000000"/>
              <w:bottom w:val="single" w:sz="4" w:space="0" w:color="000000"/>
              <w:right w:val="nil"/>
            </w:tcBorders>
          </w:tcPr>
          <w:p w:rsidR="00BE1095" w:rsidRPr="0054714E" w:rsidRDefault="00BE1095"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1973" w:type="dxa"/>
            <w:tcBorders>
              <w:top w:val="single" w:sz="4" w:space="0" w:color="000000"/>
              <w:left w:val="single" w:sz="4" w:space="0" w:color="000000"/>
              <w:bottom w:val="single" w:sz="4" w:space="0" w:color="000000"/>
              <w:right w:val="single" w:sz="4" w:space="0" w:color="000000"/>
            </w:tcBorders>
          </w:tcPr>
          <w:p w:rsidR="00BE1095" w:rsidRPr="0054714E" w:rsidRDefault="00BE1095" w:rsidP="00BB4224">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w:t>
            </w:r>
            <w:r w:rsidRPr="0054714E">
              <w:rPr>
                <w:rFonts w:ascii="Times New Roman" w:eastAsia="Times New Roman" w:hAnsi="Times New Roman" w:cs="Times New Roman"/>
                <w:sz w:val="24"/>
                <w:szCs w:val="24"/>
                <w:lang w:eastAsia="zh-CN"/>
              </w:rPr>
              <w:t>ikumprojekt</w:t>
            </w:r>
            <w:r w:rsidR="00031419">
              <w:rPr>
                <w:rFonts w:ascii="Times New Roman" w:eastAsia="Times New Roman" w:hAnsi="Times New Roman" w:cs="Times New Roman"/>
                <w:sz w:val="24"/>
                <w:szCs w:val="24"/>
                <w:lang w:eastAsia="zh-CN"/>
              </w:rPr>
              <w:t>u</w:t>
            </w:r>
            <w:r>
              <w:rPr>
                <w:rFonts w:ascii="Times New Roman" w:eastAsia="Times New Roman" w:hAnsi="Times New Roman" w:cs="Times New Roman"/>
                <w:sz w:val="24"/>
                <w:szCs w:val="24"/>
                <w:lang w:eastAsia="zh-CN"/>
              </w:rPr>
              <w:t>.</w:t>
            </w:r>
            <w:r w:rsidRPr="0054714E">
              <w:rPr>
                <w:rFonts w:ascii="Times New Roman" w:eastAsia="Times New Roman" w:hAnsi="Times New Roman" w:cs="Times New Roman"/>
                <w:sz w:val="24"/>
                <w:szCs w:val="24"/>
                <w:lang w:eastAsia="zh-CN"/>
              </w:rPr>
              <w:t xml:space="preserve"> </w:t>
            </w:r>
          </w:p>
        </w:tc>
      </w:tr>
    </w:tbl>
    <w:p w:rsidR="00BE1095" w:rsidRDefault="00BE1095" w:rsidP="00BE1095">
      <w:pPr>
        <w:suppressAutoHyphens/>
        <w:spacing w:after="0" w:line="240" w:lineRule="auto"/>
        <w:rPr>
          <w:rFonts w:ascii="Times New Roman" w:eastAsia="Times New Roman" w:hAnsi="Times New Roman" w:cs="Times New Roman"/>
          <w:sz w:val="24"/>
          <w:szCs w:val="24"/>
          <w:lang w:eastAsia="zh-CN"/>
        </w:rPr>
      </w:pPr>
    </w:p>
    <w:p w:rsidR="00F709E2" w:rsidRDefault="00F709E2" w:rsidP="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II. Jautājumi, par kuriem saskaņošanā vienošanās ir panākta</w:t>
      </w:r>
    </w:p>
    <w:p w:rsidR="00F709E2" w:rsidRDefault="00F709E2" w:rsidP="00F709E2">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100" w:type="pct"/>
        <w:tblInd w:w="-14" w:type="dxa"/>
        <w:tblLayout w:type="fixed"/>
        <w:tblLook w:val="04A0" w:firstRow="1" w:lastRow="0" w:firstColumn="1" w:lastColumn="0" w:noHBand="0" w:noVBand="1"/>
      </w:tblPr>
      <w:tblGrid>
        <w:gridCol w:w="573"/>
        <w:gridCol w:w="2127"/>
        <w:gridCol w:w="5244"/>
        <w:gridCol w:w="3403"/>
        <w:gridCol w:w="3211"/>
      </w:tblGrid>
      <w:tr w:rsidR="00F709E2" w:rsidTr="00F709E2">
        <w:tc>
          <w:tcPr>
            <w:tcW w:w="573" w:type="dxa"/>
            <w:tcBorders>
              <w:top w:val="single" w:sz="6" w:space="0" w:color="000000"/>
              <w:left w:val="single" w:sz="6" w:space="0" w:color="000000"/>
              <w:bottom w:val="single" w:sz="6" w:space="0" w:color="000000"/>
              <w:right w:val="nil"/>
            </w:tcBorders>
            <w:vAlign w:val="center"/>
            <w:hideMark/>
          </w:tcPr>
          <w:p w:rsidR="00F709E2" w:rsidRDefault="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Nr. p.k.</w:t>
            </w:r>
          </w:p>
        </w:tc>
        <w:tc>
          <w:tcPr>
            <w:tcW w:w="2127" w:type="dxa"/>
            <w:tcBorders>
              <w:top w:val="single" w:sz="6" w:space="0" w:color="000000"/>
              <w:left w:val="single" w:sz="6" w:space="0" w:color="000000"/>
              <w:bottom w:val="single" w:sz="6" w:space="0" w:color="000000"/>
              <w:right w:val="nil"/>
            </w:tcBorders>
            <w:vAlign w:val="center"/>
            <w:hideMark/>
          </w:tcPr>
          <w:p w:rsidR="00F709E2" w:rsidRDefault="00F709E2">
            <w:pPr>
              <w:suppressAutoHyphens/>
              <w:spacing w:after="0" w:line="240" w:lineRule="auto"/>
              <w:ind w:firstLine="12"/>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Saskaņošanai nosūtītā projekta redakcija (konkrēta punkta (panta) redakcija)</w:t>
            </w:r>
          </w:p>
        </w:tc>
        <w:tc>
          <w:tcPr>
            <w:tcW w:w="5244" w:type="dxa"/>
            <w:tcBorders>
              <w:top w:val="single" w:sz="6" w:space="0" w:color="000000"/>
              <w:left w:val="single" w:sz="6" w:space="0" w:color="000000"/>
              <w:bottom w:val="single" w:sz="6" w:space="0" w:color="000000"/>
              <w:right w:val="nil"/>
            </w:tcBorders>
            <w:vAlign w:val="center"/>
            <w:hideMark/>
          </w:tcPr>
          <w:p w:rsidR="00F709E2" w:rsidRDefault="00F709E2">
            <w:pPr>
              <w:suppressAutoHyphens/>
              <w:spacing w:after="0" w:line="240" w:lineRule="auto"/>
              <w:ind w:right="3"/>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403" w:type="dxa"/>
            <w:tcBorders>
              <w:top w:val="single" w:sz="6" w:space="0" w:color="000000"/>
              <w:left w:val="single" w:sz="6" w:space="0" w:color="000000"/>
              <w:bottom w:val="single" w:sz="6" w:space="0" w:color="000000"/>
              <w:right w:val="nil"/>
            </w:tcBorders>
            <w:vAlign w:val="center"/>
            <w:hideMark/>
          </w:tcPr>
          <w:p w:rsidR="00F709E2" w:rsidRDefault="00F709E2">
            <w:pPr>
              <w:suppressAutoHyphens/>
              <w:spacing w:after="0" w:line="240" w:lineRule="auto"/>
              <w:ind w:firstLine="21"/>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Atbildīgās ministrijas norāde par to, ka iebildums ir ņemts vērā, vai informācija par saskaņošanā panākto alternatīvo risinājumu</w:t>
            </w:r>
          </w:p>
        </w:tc>
        <w:tc>
          <w:tcPr>
            <w:tcW w:w="3211" w:type="dxa"/>
            <w:tcBorders>
              <w:top w:val="single" w:sz="4" w:space="0" w:color="000000"/>
              <w:left w:val="single" w:sz="6" w:space="0" w:color="000000"/>
              <w:bottom w:val="single" w:sz="4" w:space="0" w:color="000000"/>
              <w:right w:val="single" w:sz="4" w:space="0" w:color="000000"/>
            </w:tcBorders>
            <w:vAlign w:val="center"/>
            <w:hideMark/>
          </w:tcPr>
          <w:p w:rsidR="00F709E2" w:rsidRDefault="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Projekta attiecīgā punkta (panta) galīgā redakcija</w:t>
            </w:r>
          </w:p>
        </w:tc>
      </w:tr>
      <w:tr w:rsidR="00F709E2" w:rsidTr="00F709E2">
        <w:tc>
          <w:tcPr>
            <w:tcW w:w="573" w:type="dxa"/>
            <w:tcBorders>
              <w:top w:val="single" w:sz="6" w:space="0" w:color="000000"/>
              <w:left w:val="single" w:sz="6" w:space="0" w:color="000000"/>
              <w:bottom w:val="single" w:sz="6" w:space="0" w:color="000000"/>
              <w:right w:val="nil"/>
            </w:tcBorders>
            <w:hideMark/>
          </w:tcPr>
          <w:p w:rsidR="00F709E2" w:rsidRDefault="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127" w:type="dxa"/>
            <w:tcBorders>
              <w:top w:val="single" w:sz="6" w:space="0" w:color="000000"/>
              <w:left w:val="single" w:sz="6" w:space="0" w:color="000000"/>
              <w:bottom w:val="single" w:sz="6" w:space="0" w:color="000000"/>
              <w:right w:val="nil"/>
            </w:tcBorders>
            <w:hideMark/>
          </w:tcPr>
          <w:p w:rsidR="00F709E2" w:rsidRDefault="00F709E2">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5244" w:type="dxa"/>
            <w:tcBorders>
              <w:top w:val="single" w:sz="6" w:space="0" w:color="000000"/>
              <w:left w:val="single" w:sz="6" w:space="0" w:color="000000"/>
              <w:bottom w:val="single" w:sz="6" w:space="0" w:color="000000"/>
              <w:right w:val="nil"/>
            </w:tcBorders>
            <w:hideMark/>
          </w:tcPr>
          <w:p w:rsidR="00F709E2" w:rsidRDefault="00F709E2">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3403" w:type="dxa"/>
            <w:tcBorders>
              <w:top w:val="single" w:sz="6" w:space="0" w:color="000000"/>
              <w:left w:val="single" w:sz="6" w:space="0" w:color="000000"/>
              <w:bottom w:val="single" w:sz="6" w:space="0" w:color="000000"/>
              <w:right w:val="nil"/>
            </w:tcBorders>
            <w:hideMark/>
          </w:tcPr>
          <w:p w:rsidR="00F709E2" w:rsidRDefault="00F709E2">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3211" w:type="dxa"/>
            <w:tcBorders>
              <w:top w:val="single" w:sz="4" w:space="0" w:color="000000"/>
              <w:left w:val="single" w:sz="6" w:space="0" w:color="000000"/>
              <w:bottom w:val="single" w:sz="4" w:space="0" w:color="000000"/>
              <w:right w:val="single" w:sz="4" w:space="0" w:color="000000"/>
            </w:tcBorders>
            <w:hideMark/>
          </w:tcPr>
          <w:p w:rsidR="00F709E2" w:rsidRDefault="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r>
      <w:tr w:rsidR="00F709E2" w:rsidTr="002F1356">
        <w:tc>
          <w:tcPr>
            <w:tcW w:w="14558" w:type="dxa"/>
            <w:gridSpan w:val="5"/>
            <w:tcBorders>
              <w:top w:val="single" w:sz="6" w:space="0" w:color="000000"/>
              <w:left w:val="single" w:sz="6" w:space="0" w:color="000000"/>
              <w:bottom w:val="single" w:sz="6" w:space="0" w:color="000000"/>
              <w:right w:val="single" w:sz="4" w:space="0" w:color="000000"/>
            </w:tcBorders>
          </w:tcPr>
          <w:p w:rsidR="00F709E2" w:rsidRPr="00F709E2" w:rsidRDefault="00F709E2">
            <w:pPr>
              <w:suppressAutoHyphens/>
              <w:spacing w:after="0" w:line="240" w:lineRule="auto"/>
              <w:contextualSpacing/>
              <w:jc w:val="center"/>
              <w:rPr>
                <w:rFonts w:ascii="Times New Roman" w:eastAsia="Times New Roman" w:hAnsi="Times New Roman" w:cs="Times New Roman"/>
                <w:b/>
                <w:sz w:val="24"/>
                <w:szCs w:val="24"/>
                <w:lang w:eastAsia="zh-CN"/>
              </w:rPr>
            </w:pPr>
            <w:r w:rsidRPr="00F709E2">
              <w:rPr>
                <w:rFonts w:ascii="Times New Roman" w:eastAsia="Times New Roman" w:hAnsi="Times New Roman" w:cs="Times New Roman"/>
                <w:b/>
                <w:sz w:val="24"/>
                <w:szCs w:val="24"/>
                <w:lang w:eastAsia="zh-CN"/>
              </w:rPr>
              <w:t>Tieslietu ministrija</w:t>
            </w:r>
          </w:p>
        </w:tc>
      </w:tr>
      <w:tr w:rsidR="00F709E2" w:rsidTr="00F709E2">
        <w:tc>
          <w:tcPr>
            <w:tcW w:w="573" w:type="dxa"/>
            <w:tcBorders>
              <w:top w:val="single" w:sz="6" w:space="0" w:color="000000"/>
              <w:left w:val="single" w:sz="6" w:space="0" w:color="000000"/>
              <w:bottom w:val="single" w:sz="6" w:space="0" w:color="000000"/>
              <w:right w:val="nil"/>
            </w:tcBorders>
          </w:tcPr>
          <w:p w:rsidR="00F709E2" w:rsidRDefault="00F709E2" w:rsidP="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127" w:type="dxa"/>
            <w:tcBorders>
              <w:top w:val="single" w:sz="6" w:space="0" w:color="000000"/>
              <w:left w:val="single" w:sz="6" w:space="0" w:color="000000"/>
              <w:bottom w:val="single" w:sz="6" w:space="0" w:color="000000"/>
              <w:right w:val="nil"/>
            </w:tcBorders>
          </w:tcPr>
          <w:p w:rsidR="00F709E2" w:rsidRDefault="00F709E2" w:rsidP="00F709E2">
            <w:pPr>
              <w:suppressAutoHyphens/>
              <w:spacing w:after="0" w:line="240" w:lineRule="auto"/>
              <w:ind w:hanging="107"/>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likumprojekta anotāciju.</w:t>
            </w:r>
          </w:p>
        </w:tc>
        <w:tc>
          <w:tcPr>
            <w:tcW w:w="5244" w:type="dxa"/>
            <w:tcBorders>
              <w:top w:val="single" w:sz="6" w:space="0" w:color="000000"/>
              <w:left w:val="single" w:sz="6" w:space="0" w:color="000000"/>
              <w:bottom w:val="single" w:sz="6" w:space="0" w:color="000000"/>
              <w:right w:val="nil"/>
            </w:tcBorders>
          </w:tcPr>
          <w:p w:rsidR="00F709E2" w:rsidRPr="00F709E2" w:rsidRDefault="00F709E2" w:rsidP="00F709E2">
            <w:pPr>
              <w:jc w:val="both"/>
              <w:rPr>
                <w:rFonts w:ascii="Times New Roman" w:hAnsi="Times New Roman" w:cs="Times New Roman"/>
                <w:color w:val="000000"/>
                <w:sz w:val="24"/>
                <w:szCs w:val="24"/>
                <w:bdr w:val="none" w:sz="0" w:space="0" w:color="auto" w:frame="1"/>
              </w:rPr>
            </w:pPr>
            <w:r w:rsidRPr="00F709E2">
              <w:rPr>
                <w:rFonts w:ascii="Times New Roman" w:hAnsi="Times New Roman" w:cs="Times New Roman"/>
                <w:sz w:val="24"/>
                <w:szCs w:val="24"/>
              </w:rPr>
              <w:t xml:space="preserve">Projekts paredz noteikt minimālās vecuma pensijas, invaliditātes pensijas un apgādnieka zaudējuma pensijas aprēķina bāzi. Ievērojot minēto projektā iekļauto aprēķina metodi, lūdzam papildināt projekta anotāciju ar skaidrojumu, par šāda minimālā vecuma pensijas, invaliditātes pensijas un apgādnieka zaudējuma pensijas sliekšņa izvēles pamatojumu un mērķi, </w:t>
            </w:r>
            <w:r w:rsidRPr="00F709E2">
              <w:rPr>
                <w:rFonts w:ascii="Times New Roman" w:hAnsi="Times New Roman" w:cs="Times New Roman"/>
                <w:color w:val="000000"/>
                <w:sz w:val="24"/>
                <w:szCs w:val="24"/>
                <w:bdr w:val="none" w:sz="0" w:space="0" w:color="auto" w:frame="1"/>
              </w:rPr>
              <w:t xml:space="preserve">un vai šādi sliekšņi spēs nodrošināt personas pamatvajadzību apmierināšanu un ļautu dzīvot tādu dzīvu, kas atbilst cilvēka cieņai, diferencējot vecuma pensijas, invaliditātes pensijas un apgādnieka zaudējuma pensijas saņēmējus. Satversmes tiesas </w:t>
            </w:r>
            <w:r w:rsidRPr="00F709E2">
              <w:rPr>
                <w:rFonts w:ascii="Times New Roman" w:hAnsi="Times New Roman" w:cs="Times New Roman"/>
                <w:color w:val="000000"/>
                <w:sz w:val="24"/>
                <w:szCs w:val="24"/>
                <w:bdr w:val="none" w:sz="0" w:space="0" w:color="auto" w:frame="1"/>
              </w:rPr>
              <w:lastRenderedPageBreak/>
              <w:t xml:space="preserve">savā 2020. gada 9. jūlija spriedumā lietā Nr. 2019-27-03 "Par Ministru kabineta 2009. gada 22. decembra noteikumu Nr.1605 "Noteikumi par valsts sociālā nodrošinājuma pabalsta un apbedīšanas pabalsta apmēru, tā pārskatīšanas kārtību un pabalstu piešķiršanas un izmaksas kārtību" 2.punkta atbilstību Latvijas Republikas Satversmes 1. pantam, 91. panta otrajam teikumam un 109. pantam" ir norādījusi, ka nenodarbinātas personas ar invaliditāti ir īpaši aizsargājama personu grupa, kuras vienlīdzīgo iespēju, un likumisko brīvību nodrošināšanai valstij ir jāveic īpaši pasākumi, kā arī īpaši jārūpējas par senioriem. Turklāt abas šīs personu grupas uzskatāmas par tādām, kas īpaši pakļautas nabadzības un sociālās atstumtības riskam </w:t>
            </w:r>
            <w:r w:rsidRPr="00F709E2">
              <w:rPr>
                <w:rFonts w:ascii="Times New Roman" w:hAnsi="Times New Roman" w:cs="Times New Roman"/>
                <w:i/>
                <w:iCs/>
                <w:color w:val="000000"/>
                <w:sz w:val="24"/>
                <w:szCs w:val="24"/>
                <w:bdr w:val="none" w:sz="0" w:space="0" w:color="auto" w:frame="1"/>
              </w:rPr>
              <w:t>(skat. Satversmes tiesas sprieduma 25. punktu)</w:t>
            </w:r>
            <w:r w:rsidRPr="00F709E2">
              <w:rPr>
                <w:rFonts w:ascii="Times New Roman" w:hAnsi="Times New Roman" w:cs="Times New Roman"/>
                <w:color w:val="000000"/>
                <w:sz w:val="24"/>
                <w:szCs w:val="24"/>
                <w:bdr w:val="none" w:sz="0" w:space="0" w:color="auto" w:frame="1"/>
              </w:rPr>
              <w:t>.</w:t>
            </w:r>
          </w:p>
          <w:p w:rsidR="00F709E2" w:rsidRPr="00F709E2" w:rsidRDefault="00F709E2" w:rsidP="00F709E2">
            <w:pPr>
              <w:suppressAutoHyphens/>
              <w:spacing w:after="0" w:line="240" w:lineRule="auto"/>
              <w:ind w:firstLine="720"/>
              <w:contextualSpacing/>
              <w:jc w:val="both"/>
              <w:rPr>
                <w:rFonts w:ascii="Times New Roman" w:eastAsia="Times New Roman" w:hAnsi="Times New Roman" w:cs="Times New Roman"/>
                <w:sz w:val="24"/>
                <w:szCs w:val="24"/>
                <w:lang w:eastAsia="zh-CN"/>
              </w:rPr>
            </w:pPr>
          </w:p>
        </w:tc>
        <w:tc>
          <w:tcPr>
            <w:tcW w:w="3403" w:type="dxa"/>
            <w:tcBorders>
              <w:top w:val="single" w:sz="6" w:space="0" w:color="000000"/>
              <w:left w:val="single" w:sz="6" w:space="0" w:color="000000"/>
              <w:bottom w:val="single" w:sz="6" w:space="0" w:color="000000"/>
              <w:right w:val="nil"/>
            </w:tcBorders>
          </w:tcPr>
          <w:p w:rsidR="00F709E2" w:rsidRDefault="00F709E2" w:rsidP="00F709E2">
            <w:pPr>
              <w:suppressAutoHyphens/>
              <w:spacing w:after="0" w:line="240" w:lineRule="auto"/>
              <w:ind w:firstLine="41"/>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Iebildums ņemts vērā.</w:t>
            </w:r>
          </w:p>
        </w:tc>
        <w:tc>
          <w:tcPr>
            <w:tcW w:w="3211" w:type="dxa"/>
            <w:tcBorders>
              <w:top w:val="single" w:sz="4" w:space="0" w:color="000000"/>
              <w:left w:val="single" w:sz="6" w:space="0" w:color="000000"/>
              <w:bottom w:val="single" w:sz="4" w:space="0" w:color="000000"/>
              <w:right w:val="single" w:sz="4" w:space="0" w:color="000000"/>
            </w:tcBorders>
          </w:tcPr>
          <w:p w:rsidR="00F709E2" w:rsidRDefault="00F709E2" w:rsidP="00F709E2">
            <w:pPr>
              <w:suppressAutoHyphens/>
              <w:spacing w:after="0" w:line="240" w:lineRule="auto"/>
              <w:ind w:hanging="107"/>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likumprojekta anotāciju.</w:t>
            </w:r>
          </w:p>
        </w:tc>
      </w:tr>
      <w:tr w:rsidR="00F709E2" w:rsidTr="00F709E2">
        <w:tc>
          <w:tcPr>
            <w:tcW w:w="573" w:type="dxa"/>
            <w:tcBorders>
              <w:top w:val="single" w:sz="6" w:space="0" w:color="000000"/>
              <w:left w:val="single" w:sz="6" w:space="0" w:color="000000"/>
              <w:bottom w:val="single" w:sz="6" w:space="0" w:color="000000"/>
              <w:right w:val="nil"/>
            </w:tcBorders>
          </w:tcPr>
          <w:p w:rsidR="00F709E2" w:rsidRDefault="00F709E2" w:rsidP="00F709E2">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127" w:type="dxa"/>
            <w:tcBorders>
              <w:top w:val="single" w:sz="6" w:space="0" w:color="000000"/>
              <w:left w:val="single" w:sz="6" w:space="0" w:color="000000"/>
              <w:bottom w:val="single" w:sz="6" w:space="0" w:color="000000"/>
              <w:right w:val="nil"/>
            </w:tcBorders>
          </w:tcPr>
          <w:p w:rsidR="00F709E2" w:rsidRDefault="00F709E2" w:rsidP="00F709E2">
            <w:pPr>
              <w:suppressAutoHyphens/>
              <w:spacing w:after="0" w:line="240" w:lineRule="auto"/>
              <w:ind w:hanging="107"/>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likumprojekta anotāciju.</w:t>
            </w:r>
          </w:p>
        </w:tc>
        <w:tc>
          <w:tcPr>
            <w:tcW w:w="5244" w:type="dxa"/>
            <w:tcBorders>
              <w:top w:val="single" w:sz="6" w:space="0" w:color="000000"/>
              <w:left w:val="single" w:sz="6" w:space="0" w:color="000000"/>
              <w:bottom w:val="single" w:sz="6" w:space="0" w:color="000000"/>
              <w:right w:val="nil"/>
            </w:tcBorders>
          </w:tcPr>
          <w:p w:rsidR="00F709E2" w:rsidRPr="00F709E2" w:rsidRDefault="00F709E2" w:rsidP="00F709E2">
            <w:pPr>
              <w:jc w:val="both"/>
              <w:rPr>
                <w:rFonts w:ascii="Times New Roman" w:hAnsi="Times New Roman" w:cs="Times New Roman"/>
                <w:sz w:val="24"/>
                <w:szCs w:val="24"/>
                <w:shd w:val="clear" w:color="auto" w:fill="FFFFFF"/>
              </w:rPr>
            </w:pPr>
            <w:r w:rsidRPr="00F709E2">
              <w:rPr>
                <w:rFonts w:ascii="Times New Roman" w:hAnsi="Times New Roman" w:cs="Times New Roman"/>
                <w:sz w:val="24"/>
                <w:szCs w:val="24"/>
                <w:bdr w:val="none" w:sz="0" w:space="0" w:color="auto" w:frame="1"/>
              </w:rPr>
              <w:t>Projekta 3. pants paredz noteikt minimālo apgādnieka zaudējuma pensijas apmēru, nosakot, ka šīs pensijas apmērs no dzimšanas līdz septiņu gadu vecuma sasniegšanai ir 25 procenti no ienākuma mediānas, savukārt no septiņu gadu vecuma – 30 procenti no ienākuma mediānas. Norādām, ka atbilstoši Ministru kabineta 2017. gada 21. marta noteikumu Nr. 156 "</w:t>
            </w:r>
            <w:r w:rsidRPr="00F709E2">
              <w:rPr>
                <w:rFonts w:ascii="Times New Roman" w:hAnsi="Times New Roman" w:cs="Times New Roman"/>
                <w:sz w:val="24"/>
                <w:szCs w:val="24"/>
                <w:shd w:val="clear" w:color="auto" w:fill="FFFFFF"/>
              </w:rPr>
              <w:t>Noteikumi par apgādnieka zaudējuma pensijas, atlīdzības par apgādnieka zaudējumu un valsts sociālā nodrošinājuma pabalsta apgādnieka zaudējuma gadījumā minimālo apmēru un tā pārskatīšanas kārtību</w:t>
            </w:r>
            <w:r w:rsidRPr="00F709E2">
              <w:rPr>
                <w:rFonts w:ascii="Times New Roman" w:hAnsi="Times New Roman" w:cs="Times New Roman"/>
                <w:sz w:val="24"/>
                <w:szCs w:val="24"/>
                <w:bdr w:val="none" w:sz="0" w:space="0" w:color="auto" w:frame="1"/>
              </w:rPr>
              <w:t xml:space="preserve">" 2.1. apakšpunktam un 3. </w:t>
            </w:r>
            <w:r w:rsidRPr="00F709E2">
              <w:rPr>
                <w:rFonts w:ascii="Times New Roman" w:hAnsi="Times New Roman" w:cs="Times New Roman"/>
                <w:sz w:val="24"/>
                <w:szCs w:val="24"/>
                <w:bdr w:val="none" w:sz="0" w:space="0" w:color="auto" w:frame="1"/>
              </w:rPr>
              <w:lastRenderedPageBreak/>
              <w:t>punktam, a</w:t>
            </w:r>
            <w:r w:rsidRPr="00F709E2">
              <w:rPr>
                <w:rFonts w:ascii="Times New Roman" w:hAnsi="Times New Roman" w:cs="Times New Roman"/>
                <w:sz w:val="24"/>
                <w:szCs w:val="24"/>
                <w:shd w:val="clear" w:color="auto" w:fill="FFFFFF"/>
              </w:rPr>
              <w:t>pgādnieka zaudējuma pensijas apmērs bērnam ar invaliditāti kopš bērnības no dzimšanas līdz septiņu gadu vecuma sasniegšanai ir noteikts lielāks, nekā bērnam, kuras nav noteikta invaliditāte. Ievērojot minēto, lūdzam sniegt skaidrojumu projekta anotācijā, kāpēc šāda diferencēta pieeja bērniem no dzimšanas līdz septiņu gadu vecumam nav iekļauta projektā.</w:t>
            </w:r>
          </w:p>
          <w:p w:rsidR="00F709E2" w:rsidRPr="00F709E2" w:rsidRDefault="00F709E2" w:rsidP="00F709E2">
            <w:pPr>
              <w:suppressAutoHyphens/>
              <w:spacing w:after="0" w:line="240" w:lineRule="auto"/>
              <w:ind w:firstLine="720"/>
              <w:contextualSpacing/>
              <w:jc w:val="both"/>
              <w:rPr>
                <w:rFonts w:ascii="Times New Roman" w:eastAsia="Times New Roman" w:hAnsi="Times New Roman" w:cs="Times New Roman"/>
                <w:sz w:val="24"/>
                <w:szCs w:val="24"/>
                <w:lang w:eastAsia="zh-CN"/>
              </w:rPr>
            </w:pPr>
          </w:p>
        </w:tc>
        <w:tc>
          <w:tcPr>
            <w:tcW w:w="3403" w:type="dxa"/>
            <w:tcBorders>
              <w:top w:val="single" w:sz="6" w:space="0" w:color="000000"/>
              <w:left w:val="single" w:sz="6" w:space="0" w:color="000000"/>
              <w:bottom w:val="single" w:sz="6" w:space="0" w:color="000000"/>
              <w:right w:val="nil"/>
            </w:tcBorders>
          </w:tcPr>
          <w:p w:rsidR="00F709E2" w:rsidRDefault="00F709E2" w:rsidP="00F709E2">
            <w:pPr>
              <w:suppressAutoHyphens/>
              <w:spacing w:after="0" w:line="240" w:lineRule="auto"/>
              <w:ind w:firstLine="41"/>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Iebildums ņemts vērā.</w:t>
            </w:r>
          </w:p>
        </w:tc>
        <w:tc>
          <w:tcPr>
            <w:tcW w:w="3211" w:type="dxa"/>
            <w:tcBorders>
              <w:top w:val="single" w:sz="4" w:space="0" w:color="000000"/>
              <w:left w:val="single" w:sz="6" w:space="0" w:color="000000"/>
              <w:bottom w:val="single" w:sz="4" w:space="0" w:color="000000"/>
              <w:right w:val="single" w:sz="4" w:space="0" w:color="000000"/>
            </w:tcBorders>
          </w:tcPr>
          <w:p w:rsidR="00F709E2" w:rsidRDefault="00F709E2" w:rsidP="00F709E2">
            <w:pPr>
              <w:suppressAutoHyphens/>
              <w:spacing w:after="0" w:line="240" w:lineRule="auto"/>
              <w:ind w:hanging="107"/>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likumprojekta anotāciju.</w:t>
            </w:r>
          </w:p>
        </w:tc>
      </w:tr>
    </w:tbl>
    <w:p w:rsidR="00F709E2" w:rsidRDefault="00F709E2" w:rsidP="00BE1095">
      <w:pPr>
        <w:suppressAutoHyphens/>
        <w:spacing w:after="0" w:line="240" w:lineRule="auto"/>
        <w:rPr>
          <w:rFonts w:ascii="Times New Roman" w:eastAsia="Times New Roman" w:hAnsi="Times New Roman" w:cs="Times New Roman"/>
          <w:sz w:val="24"/>
          <w:szCs w:val="24"/>
          <w:lang w:eastAsia="zh-CN"/>
        </w:rPr>
      </w:pPr>
    </w:p>
    <w:p w:rsidR="00F709E2" w:rsidRDefault="00F709E2" w:rsidP="00BE1095">
      <w:pPr>
        <w:suppressAutoHyphens/>
        <w:spacing w:after="0" w:line="240" w:lineRule="auto"/>
        <w:rPr>
          <w:rFonts w:ascii="Times New Roman" w:eastAsia="Times New Roman" w:hAnsi="Times New Roman" w:cs="Times New Roman"/>
          <w:sz w:val="24"/>
          <w:szCs w:val="24"/>
          <w:lang w:eastAsia="zh-CN"/>
        </w:rPr>
      </w:pPr>
    </w:p>
    <w:tbl>
      <w:tblPr>
        <w:tblW w:w="4999" w:type="pct"/>
        <w:tblInd w:w="3" w:type="dxa"/>
        <w:tblLook w:val="00A0" w:firstRow="1" w:lastRow="0" w:firstColumn="1" w:lastColumn="0" w:noHBand="0" w:noVBand="0"/>
      </w:tblPr>
      <w:tblGrid>
        <w:gridCol w:w="4882"/>
        <w:gridCol w:w="9401"/>
      </w:tblGrid>
      <w:tr w:rsidR="00BE1095" w:rsidRPr="00C23F54" w:rsidTr="00BB4224">
        <w:tc>
          <w:tcPr>
            <w:tcW w:w="1709" w:type="pct"/>
          </w:tcPr>
          <w:p w:rsidR="0027114E" w:rsidRDefault="0027114E" w:rsidP="00BB4224">
            <w:pPr>
              <w:spacing w:after="0" w:line="240" w:lineRule="auto"/>
              <w:ind w:left="360"/>
              <w:rPr>
                <w:rFonts w:ascii="Times New Roman" w:hAnsi="Times New Roman" w:cs="Times New Roman"/>
                <w:sz w:val="24"/>
                <w:szCs w:val="24"/>
              </w:rPr>
            </w:pPr>
            <w:bookmarkStart w:id="4" w:name="_Hlk52181630"/>
          </w:p>
          <w:p w:rsidR="0027114E" w:rsidRDefault="0027114E" w:rsidP="00BB4224">
            <w:pPr>
              <w:spacing w:after="0" w:line="240" w:lineRule="auto"/>
              <w:ind w:left="360"/>
              <w:rPr>
                <w:rFonts w:ascii="Times New Roman" w:hAnsi="Times New Roman" w:cs="Times New Roman"/>
                <w:sz w:val="24"/>
                <w:szCs w:val="24"/>
              </w:rPr>
            </w:pPr>
          </w:p>
          <w:p w:rsidR="0027114E" w:rsidRDefault="0027114E" w:rsidP="00BB4224">
            <w:pPr>
              <w:spacing w:after="0" w:line="240" w:lineRule="auto"/>
              <w:ind w:left="360"/>
              <w:rPr>
                <w:rFonts w:ascii="Times New Roman" w:hAnsi="Times New Roman" w:cs="Times New Roman"/>
                <w:sz w:val="24"/>
                <w:szCs w:val="24"/>
              </w:rPr>
            </w:pPr>
          </w:p>
          <w:p w:rsidR="00F709E2" w:rsidRDefault="00F709E2" w:rsidP="00BB4224">
            <w:pPr>
              <w:spacing w:after="0" w:line="240" w:lineRule="auto"/>
              <w:ind w:left="360"/>
              <w:rPr>
                <w:rFonts w:ascii="Times New Roman" w:hAnsi="Times New Roman" w:cs="Times New Roman"/>
                <w:sz w:val="24"/>
                <w:szCs w:val="24"/>
              </w:rPr>
            </w:pPr>
          </w:p>
          <w:p w:rsidR="00BE1095" w:rsidRPr="00C23F54" w:rsidRDefault="00BE1095" w:rsidP="00BB4224">
            <w:pPr>
              <w:spacing w:after="0" w:line="240" w:lineRule="auto"/>
              <w:ind w:left="360"/>
              <w:rPr>
                <w:rFonts w:ascii="Times New Roman" w:hAnsi="Times New Roman" w:cs="Times New Roman"/>
                <w:sz w:val="24"/>
                <w:szCs w:val="24"/>
              </w:rPr>
            </w:pPr>
            <w:r w:rsidRPr="00C23F54">
              <w:rPr>
                <w:rFonts w:ascii="Times New Roman" w:hAnsi="Times New Roman" w:cs="Times New Roman"/>
                <w:sz w:val="24"/>
                <w:szCs w:val="24"/>
              </w:rPr>
              <w:t>Atbildīgā amatpersona</w:t>
            </w:r>
          </w:p>
        </w:tc>
        <w:tc>
          <w:tcPr>
            <w:tcW w:w="3291" w:type="pct"/>
          </w:tcPr>
          <w:p w:rsidR="0027114E" w:rsidRDefault="0027114E" w:rsidP="00BB4224">
            <w:pPr>
              <w:spacing w:after="0" w:line="240" w:lineRule="auto"/>
              <w:ind w:firstLine="720"/>
              <w:rPr>
                <w:rFonts w:ascii="Times New Roman" w:hAnsi="Times New Roman" w:cs="Times New Roman"/>
                <w:sz w:val="24"/>
                <w:szCs w:val="24"/>
              </w:rPr>
            </w:pPr>
          </w:p>
          <w:p w:rsidR="0027114E" w:rsidRDefault="0027114E" w:rsidP="00BB4224">
            <w:pPr>
              <w:spacing w:after="0" w:line="240" w:lineRule="auto"/>
              <w:ind w:firstLine="720"/>
              <w:rPr>
                <w:rFonts w:ascii="Times New Roman" w:hAnsi="Times New Roman" w:cs="Times New Roman"/>
                <w:sz w:val="24"/>
                <w:szCs w:val="24"/>
              </w:rPr>
            </w:pPr>
          </w:p>
          <w:p w:rsidR="00BE1095" w:rsidRPr="00C23F54" w:rsidRDefault="00BE1095" w:rsidP="00BB4224">
            <w:pPr>
              <w:spacing w:after="0" w:line="240" w:lineRule="auto"/>
              <w:ind w:firstLine="720"/>
              <w:rPr>
                <w:rFonts w:ascii="Times New Roman" w:hAnsi="Times New Roman" w:cs="Times New Roman"/>
                <w:sz w:val="24"/>
                <w:szCs w:val="24"/>
              </w:rPr>
            </w:pPr>
          </w:p>
          <w:p w:rsidR="00BE1095" w:rsidRPr="00C23F54" w:rsidRDefault="00BE1095" w:rsidP="00BB4224">
            <w:pPr>
              <w:spacing w:after="0" w:line="240" w:lineRule="auto"/>
              <w:ind w:firstLine="720"/>
              <w:jc w:val="center"/>
              <w:rPr>
                <w:rFonts w:ascii="Times New Roman" w:hAnsi="Times New Roman" w:cs="Times New Roman"/>
                <w:sz w:val="24"/>
                <w:szCs w:val="24"/>
              </w:rPr>
            </w:pPr>
          </w:p>
          <w:p w:rsidR="00BE1095" w:rsidRPr="00C23F54" w:rsidRDefault="00BE1095" w:rsidP="00BB4224">
            <w:pPr>
              <w:spacing w:after="0" w:line="240" w:lineRule="auto"/>
              <w:ind w:firstLine="720"/>
              <w:jc w:val="center"/>
              <w:rPr>
                <w:rFonts w:ascii="Times New Roman" w:hAnsi="Times New Roman" w:cs="Times New Roman"/>
                <w:sz w:val="24"/>
                <w:szCs w:val="24"/>
              </w:rPr>
            </w:pPr>
            <w:r w:rsidRPr="00C23F54">
              <w:rPr>
                <w:rFonts w:ascii="Times New Roman" w:hAnsi="Times New Roman" w:cs="Times New Roman"/>
                <w:sz w:val="24"/>
                <w:szCs w:val="24"/>
              </w:rPr>
              <w:t xml:space="preserve">                                                                                                            Dace </w:t>
            </w:r>
            <w:proofErr w:type="spellStart"/>
            <w:r w:rsidRPr="00C23F54">
              <w:rPr>
                <w:rFonts w:ascii="Times New Roman" w:hAnsi="Times New Roman" w:cs="Times New Roman"/>
                <w:sz w:val="24"/>
                <w:szCs w:val="24"/>
              </w:rPr>
              <w:t>Trušinska</w:t>
            </w:r>
            <w:proofErr w:type="spellEnd"/>
          </w:p>
        </w:tc>
      </w:tr>
      <w:tr w:rsidR="00BE1095" w:rsidRPr="00C23F54" w:rsidTr="00BB4224">
        <w:tc>
          <w:tcPr>
            <w:tcW w:w="1709" w:type="pct"/>
          </w:tcPr>
          <w:p w:rsidR="00BE1095" w:rsidRPr="00C23F54" w:rsidRDefault="00BE1095" w:rsidP="00BB4224">
            <w:pPr>
              <w:spacing w:after="0" w:line="240" w:lineRule="auto"/>
              <w:ind w:left="360"/>
              <w:rPr>
                <w:rFonts w:ascii="Times New Roman" w:hAnsi="Times New Roman" w:cs="Times New Roman"/>
                <w:sz w:val="24"/>
                <w:szCs w:val="24"/>
              </w:rPr>
            </w:pPr>
          </w:p>
        </w:tc>
        <w:tc>
          <w:tcPr>
            <w:tcW w:w="3291" w:type="pct"/>
            <w:tcBorders>
              <w:top w:val="single" w:sz="6" w:space="0" w:color="000000"/>
            </w:tcBorders>
          </w:tcPr>
          <w:p w:rsidR="00BE1095" w:rsidRPr="00C23F54" w:rsidRDefault="00BE1095" w:rsidP="00BB4224">
            <w:pPr>
              <w:spacing w:after="0" w:line="240" w:lineRule="auto"/>
              <w:ind w:firstLine="720"/>
              <w:jc w:val="right"/>
              <w:rPr>
                <w:rFonts w:ascii="Times New Roman" w:hAnsi="Times New Roman" w:cs="Times New Roman"/>
                <w:sz w:val="24"/>
                <w:szCs w:val="24"/>
              </w:rPr>
            </w:pPr>
            <w:r w:rsidRPr="00C23F54">
              <w:rPr>
                <w:rFonts w:ascii="Times New Roman" w:hAnsi="Times New Roman" w:cs="Times New Roman"/>
                <w:sz w:val="24"/>
                <w:szCs w:val="24"/>
              </w:rPr>
              <w:t xml:space="preserve">                     (vārds un uzvārds)</w:t>
            </w:r>
          </w:p>
        </w:tc>
      </w:tr>
    </w:tbl>
    <w:p w:rsidR="00BE1095" w:rsidRPr="00C23F54" w:rsidRDefault="00BE1095" w:rsidP="00BE1095">
      <w:pPr>
        <w:spacing w:after="0" w:line="240" w:lineRule="auto"/>
        <w:rPr>
          <w:rFonts w:ascii="Times New Roman" w:hAnsi="Times New Roman" w:cs="Times New Roman"/>
          <w:sz w:val="24"/>
          <w:szCs w:val="24"/>
        </w:rPr>
      </w:pPr>
    </w:p>
    <w:p w:rsidR="00BE1095" w:rsidRDefault="00BE1095" w:rsidP="00BE1095">
      <w:pPr>
        <w:spacing w:after="0" w:line="240" w:lineRule="auto"/>
        <w:rPr>
          <w:rFonts w:ascii="Times New Roman" w:hAnsi="Times New Roman" w:cs="Times New Roman"/>
          <w:sz w:val="24"/>
          <w:szCs w:val="24"/>
        </w:rPr>
      </w:pPr>
    </w:p>
    <w:p w:rsidR="00E129BA" w:rsidRDefault="00E129BA" w:rsidP="00BE1095">
      <w:pPr>
        <w:spacing w:after="0" w:line="240" w:lineRule="auto"/>
        <w:rPr>
          <w:rFonts w:ascii="Times New Roman" w:hAnsi="Times New Roman" w:cs="Times New Roman"/>
          <w:sz w:val="24"/>
          <w:szCs w:val="24"/>
        </w:rPr>
      </w:pPr>
    </w:p>
    <w:p w:rsidR="00E129BA" w:rsidRDefault="00E129BA" w:rsidP="00BE1095">
      <w:pPr>
        <w:spacing w:after="0" w:line="240" w:lineRule="auto"/>
        <w:rPr>
          <w:rFonts w:ascii="Times New Roman" w:hAnsi="Times New Roman" w:cs="Times New Roman"/>
          <w:sz w:val="24"/>
          <w:szCs w:val="24"/>
        </w:rPr>
      </w:pPr>
    </w:p>
    <w:p w:rsidR="00BE1095" w:rsidRPr="00C23F54" w:rsidRDefault="00BE1095" w:rsidP="00BE1095">
      <w:pPr>
        <w:spacing w:after="0" w:line="240" w:lineRule="auto"/>
        <w:jc w:val="both"/>
        <w:rPr>
          <w:rFonts w:ascii="Times New Roman" w:hAnsi="Times New Roman" w:cs="Times New Roman"/>
          <w:sz w:val="24"/>
          <w:szCs w:val="24"/>
        </w:rPr>
      </w:pPr>
      <w:r w:rsidRPr="00C23F54">
        <w:rPr>
          <w:rFonts w:ascii="Times New Roman" w:hAnsi="Times New Roman" w:cs="Times New Roman"/>
          <w:sz w:val="24"/>
          <w:szCs w:val="24"/>
        </w:rPr>
        <w:t xml:space="preserve">Dace </w:t>
      </w:r>
      <w:proofErr w:type="spellStart"/>
      <w:r w:rsidRPr="00C23F54">
        <w:rPr>
          <w:rFonts w:ascii="Times New Roman" w:hAnsi="Times New Roman" w:cs="Times New Roman"/>
          <w:sz w:val="24"/>
          <w:szCs w:val="24"/>
        </w:rPr>
        <w:t>Trušinska</w:t>
      </w:r>
      <w:proofErr w:type="spellEnd"/>
    </w:p>
    <w:p w:rsidR="00BE1095" w:rsidRPr="00C23F54" w:rsidRDefault="00BE1095" w:rsidP="00BE1095">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 xml:space="preserve">Labklājības ministrijas </w:t>
      </w:r>
    </w:p>
    <w:p w:rsidR="00BE1095" w:rsidRPr="00C23F54" w:rsidRDefault="00BE1095" w:rsidP="00BE1095">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Sociālās apdrošināšanas departamenta vecākā eksperte</w:t>
      </w:r>
    </w:p>
    <w:p w:rsidR="00BE1095" w:rsidRPr="00C23F54" w:rsidRDefault="00BE1095" w:rsidP="00BE1095">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Tālr.67021553</w:t>
      </w:r>
    </w:p>
    <w:p w:rsidR="00BE1095" w:rsidRPr="00C23F54" w:rsidRDefault="00BE1095" w:rsidP="00BE1095">
      <w:pPr>
        <w:spacing w:after="0" w:line="240" w:lineRule="auto"/>
        <w:rPr>
          <w:rFonts w:ascii="Times New Roman" w:hAnsi="Times New Roman" w:cs="Times New Roman"/>
          <w:sz w:val="24"/>
          <w:szCs w:val="24"/>
        </w:rPr>
      </w:pPr>
      <w:hyperlink r:id="rId6" w:history="1">
        <w:r w:rsidRPr="00C23F54">
          <w:rPr>
            <w:rStyle w:val="Hyperlink"/>
            <w:rFonts w:ascii="Times New Roman" w:hAnsi="Times New Roman" w:cs="Times New Roman"/>
            <w:sz w:val="24"/>
            <w:szCs w:val="24"/>
          </w:rPr>
          <w:t>Dace.Trusinska@lm.gov.lv</w:t>
        </w:r>
      </w:hyperlink>
    </w:p>
    <w:bookmarkEnd w:id="4"/>
    <w:p w:rsidR="00BE1095" w:rsidRDefault="00BE1095" w:rsidP="00BE1095"/>
    <w:p w:rsidR="00BE1095" w:rsidRDefault="00BE1095" w:rsidP="00BE1095"/>
    <w:p w:rsidR="00F7306B" w:rsidRDefault="00F7306B">
      <w:bookmarkStart w:id="5" w:name="_GoBack"/>
      <w:bookmarkEnd w:id="5"/>
    </w:p>
    <w:sectPr w:rsidR="00F7306B" w:rsidSect="0054714E">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AF" w:rsidRDefault="001973AF" w:rsidP="00031419">
      <w:pPr>
        <w:spacing w:after="0" w:line="240" w:lineRule="auto"/>
      </w:pPr>
      <w:r>
        <w:separator/>
      </w:r>
    </w:p>
  </w:endnote>
  <w:endnote w:type="continuationSeparator" w:id="0">
    <w:p w:rsidR="001973AF" w:rsidRDefault="001973AF" w:rsidP="0003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4E" w:rsidRPr="00C31DBC" w:rsidRDefault="001973AF">
    <w:pPr>
      <w:pStyle w:val="Footer"/>
      <w:rPr>
        <w:rFonts w:ascii="Times New Roman" w:hAnsi="Times New Roman" w:cs="Times New Roman"/>
        <w:sz w:val="24"/>
        <w:szCs w:val="24"/>
      </w:rPr>
    </w:pPr>
    <w:r w:rsidRPr="00C31DBC">
      <w:rPr>
        <w:rFonts w:ascii="Times New Roman" w:hAnsi="Times New Roman" w:cs="Times New Roman"/>
        <w:sz w:val="24"/>
        <w:szCs w:val="24"/>
      </w:rPr>
      <w:t>LMizz</w:t>
    </w:r>
    <w:r w:rsidRPr="00C31DBC">
      <w:rPr>
        <w:rFonts w:ascii="Times New Roman" w:hAnsi="Times New Roman" w:cs="Times New Roman"/>
        <w:sz w:val="24"/>
        <w:szCs w:val="24"/>
      </w:rPr>
      <w:t>_280920_</w:t>
    </w:r>
    <w:r>
      <w:rPr>
        <w:rFonts w:ascii="Times New Roman" w:hAnsi="Times New Roman" w:cs="Times New Roman"/>
        <w:sz w:val="24"/>
        <w:szCs w:val="24"/>
      </w:rPr>
      <w:t>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4E" w:rsidRPr="00C31DBC" w:rsidRDefault="001973AF">
    <w:pPr>
      <w:pStyle w:val="Footer"/>
      <w:rPr>
        <w:rFonts w:ascii="Times New Roman" w:hAnsi="Times New Roman" w:cs="Times New Roman"/>
        <w:sz w:val="24"/>
        <w:szCs w:val="24"/>
      </w:rPr>
    </w:pPr>
    <w:r w:rsidRPr="00C31DBC">
      <w:rPr>
        <w:rFonts w:ascii="Times New Roman" w:hAnsi="Times New Roman" w:cs="Times New Roman"/>
        <w:sz w:val="24"/>
        <w:szCs w:val="24"/>
      </w:rPr>
      <w:t>LMizz</w:t>
    </w:r>
    <w:r w:rsidRPr="00C31DBC">
      <w:rPr>
        <w:rFonts w:ascii="Times New Roman" w:hAnsi="Times New Roman" w:cs="Times New Roman"/>
        <w:sz w:val="24"/>
        <w:szCs w:val="24"/>
      </w:rPr>
      <w:t>_280920_</w:t>
    </w:r>
    <w:r>
      <w:rPr>
        <w:rFonts w:ascii="Times New Roman" w:hAnsi="Times New Roman" w:cs="Times New Roman"/>
        <w:sz w:val="24"/>
        <w:szCs w:val="24"/>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AF" w:rsidRDefault="001973AF" w:rsidP="00031419">
      <w:pPr>
        <w:spacing w:after="0" w:line="240" w:lineRule="auto"/>
      </w:pPr>
      <w:r>
        <w:separator/>
      </w:r>
    </w:p>
  </w:footnote>
  <w:footnote w:type="continuationSeparator" w:id="0">
    <w:p w:rsidR="001973AF" w:rsidRDefault="001973AF" w:rsidP="0003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74102"/>
      <w:docPartObj>
        <w:docPartGallery w:val="Page Numbers (Top of Page)"/>
        <w:docPartUnique/>
      </w:docPartObj>
    </w:sdtPr>
    <w:sdtEndPr>
      <w:rPr>
        <w:noProof/>
      </w:rPr>
    </w:sdtEndPr>
    <w:sdtContent>
      <w:p w:rsidR="0054714E" w:rsidRDefault="001973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4714E" w:rsidRDefault="00197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95"/>
    <w:rsid w:val="00031419"/>
    <w:rsid w:val="000A3E07"/>
    <w:rsid w:val="000D5FCC"/>
    <w:rsid w:val="001973AF"/>
    <w:rsid w:val="0027114E"/>
    <w:rsid w:val="00363950"/>
    <w:rsid w:val="006C5246"/>
    <w:rsid w:val="00A24DC7"/>
    <w:rsid w:val="00BC278C"/>
    <w:rsid w:val="00BE1095"/>
    <w:rsid w:val="00E129BA"/>
    <w:rsid w:val="00F349E5"/>
    <w:rsid w:val="00F709E2"/>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4BD0"/>
  <w15:chartTrackingRefBased/>
  <w15:docId w15:val="{CC81CE33-C84F-4AE9-A8E6-C503F28B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0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095"/>
  </w:style>
  <w:style w:type="paragraph" w:styleId="Footer">
    <w:name w:val="footer"/>
    <w:basedOn w:val="Normal"/>
    <w:link w:val="FooterChar"/>
    <w:uiPriority w:val="99"/>
    <w:unhideWhenUsed/>
    <w:rsid w:val="00BE1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095"/>
  </w:style>
  <w:style w:type="character" w:styleId="Hyperlink">
    <w:name w:val="Hyperlink"/>
    <w:basedOn w:val="DefaultParagraphFont"/>
    <w:uiPriority w:val="99"/>
    <w:unhideWhenUsed/>
    <w:rsid w:val="00BE1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6710">
      <w:bodyDiv w:val="1"/>
      <w:marLeft w:val="0"/>
      <w:marRight w:val="0"/>
      <w:marTop w:val="0"/>
      <w:marBottom w:val="0"/>
      <w:divBdr>
        <w:top w:val="none" w:sz="0" w:space="0" w:color="auto"/>
        <w:left w:val="none" w:sz="0" w:space="0" w:color="auto"/>
        <w:bottom w:val="none" w:sz="0" w:space="0" w:color="auto"/>
        <w:right w:val="none" w:sz="0" w:space="0" w:color="auto"/>
      </w:divBdr>
    </w:div>
    <w:div w:id="712998178">
      <w:bodyDiv w:val="1"/>
      <w:marLeft w:val="0"/>
      <w:marRight w:val="0"/>
      <w:marTop w:val="0"/>
      <w:marBottom w:val="0"/>
      <w:divBdr>
        <w:top w:val="none" w:sz="0" w:space="0" w:color="auto"/>
        <w:left w:val="none" w:sz="0" w:space="0" w:color="auto"/>
        <w:bottom w:val="none" w:sz="0" w:space="0" w:color="auto"/>
        <w:right w:val="none" w:sz="0" w:space="0" w:color="auto"/>
      </w:divBdr>
    </w:div>
    <w:div w:id="1012419346">
      <w:bodyDiv w:val="1"/>
      <w:marLeft w:val="0"/>
      <w:marRight w:val="0"/>
      <w:marTop w:val="0"/>
      <w:marBottom w:val="0"/>
      <w:divBdr>
        <w:top w:val="none" w:sz="0" w:space="0" w:color="auto"/>
        <w:left w:val="none" w:sz="0" w:space="0" w:color="auto"/>
        <w:bottom w:val="none" w:sz="0" w:space="0" w:color="auto"/>
        <w:right w:val="none" w:sz="0" w:space="0" w:color="auto"/>
      </w:divBdr>
    </w:div>
    <w:div w:id="1020467500">
      <w:bodyDiv w:val="1"/>
      <w:marLeft w:val="0"/>
      <w:marRight w:val="0"/>
      <w:marTop w:val="0"/>
      <w:marBottom w:val="0"/>
      <w:divBdr>
        <w:top w:val="none" w:sz="0" w:space="0" w:color="auto"/>
        <w:left w:val="none" w:sz="0" w:space="0" w:color="auto"/>
        <w:bottom w:val="none" w:sz="0" w:space="0" w:color="auto"/>
        <w:right w:val="none" w:sz="0" w:space="0" w:color="auto"/>
      </w:divBdr>
    </w:div>
    <w:div w:id="17229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Trusinska@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5928</Words>
  <Characters>3379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izziņa par atzinumos sniegtajiem iebildumiem</dc:subject>
  <dc:creator>Dace Trusinska</dc:creator>
  <cp:keywords/>
  <dc:description>D.Trušinska, 67021553
Dace.Trusinska@lm.gov.lv</dc:description>
  <cp:lastModifiedBy>Dace Trusinska</cp:lastModifiedBy>
  <cp:revision>6</cp:revision>
  <dcterms:created xsi:type="dcterms:W3CDTF">2020-09-28T07:34:00Z</dcterms:created>
  <dcterms:modified xsi:type="dcterms:W3CDTF">2020-09-28T13:12:00Z</dcterms:modified>
</cp:coreProperties>
</file>