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3A4" w:rsidRPr="0082694C" w:rsidRDefault="008F33A4" w:rsidP="008F33A4">
      <w:pPr>
        <w:jc w:val="right"/>
        <w:rPr>
          <w:sz w:val="28"/>
          <w:szCs w:val="28"/>
        </w:rPr>
      </w:pPr>
      <w:r w:rsidRPr="0082694C">
        <w:rPr>
          <w:sz w:val="28"/>
          <w:szCs w:val="28"/>
        </w:rPr>
        <w:t>Likumprojekts</w:t>
      </w:r>
    </w:p>
    <w:p w:rsidR="008F33A4" w:rsidRPr="0082694C" w:rsidRDefault="008F33A4" w:rsidP="008F33A4">
      <w:pPr>
        <w:rPr>
          <w:sz w:val="28"/>
          <w:szCs w:val="28"/>
        </w:rPr>
      </w:pPr>
    </w:p>
    <w:p w:rsidR="008F33A4" w:rsidRPr="0082694C" w:rsidRDefault="008F33A4" w:rsidP="008F33A4">
      <w:pPr>
        <w:jc w:val="center"/>
        <w:rPr>
          <w:b/>
          <w:sz w:val="28"/>
          <w:szCs w:val="28"/>
        </w:rPr>
      </w:pPr>
      <w:bookmarkStart w:id="0" w:name="n0"/>
      <w:bookmarkEnd w:id="0"/>
      <w:r w:rsidRPr="0082694C">
        <w:rPr>
          <w:b/>
          <w:sz w:val="28"/>
          <w:szCs w:val="28"/>
        </w:rPr>
        <w:t>Grozījumi likumā "</w:t>
      </w:r>
      <w:hyperlink r:id="rId6" w:tgtFrame="_blank" w:history="1">
        <w:r w:rsidRPr="0082694C">
          <w:rPr>
            <w:rStyle w:val="Hyperlink"/>
            <w:b/>
            <w:color w:val="auto"/>
            <w:sz w:val="28"/>
            <w:szCs w:val="28"/>
            <w:u w:val="none"/>
          </w:rPr>
          <w:t>Par valsts pensijām</w:t>
        </w:r>
      </w:hyperlink>
      <w:r w:rsidRPr="0082694C">
        <w:rPr>
          <w:b/>
          <w:sz w:val="28"/>
          <w:szCs w:val="28"/>
        </w:rPr>
        <w:t>"</w:t>
      </w:r>
    </w:p>
    <w:p w:rsidR="008F33A4" w:rsidRPr="0082694C" w:rsidRDefault="008F33A4" w:rsidP="008F33A4">
      <w:pPr>
        <w:jc w:val="center"/>
        <w:rPr>
          <w:b/>
          <w:sz w:val="28"/>
          <w:szCs w:val="28"/>
        </w:rPr>
      </w:pPr>
    </w:p>
    <w:p w:rsidR="008F33A4" w:rsidRPr="0082694C" w:rsidRDefault="008F33A4" w:rsidP="008F33A4">
      <w:pPr>
        <w:jc w:val="both"/>
        <w:rPr>
          <w:sz w:val="28"/>
          <w:szCs w:val="28"/>
        </w:rPr>
      </w:pPr>
      <w:r w:rsidRPr="0082694C">
        <w:rPr>
          <w:sz w:val="28"/>
          <w:szCs w:val="28"/>
        </w:rPr>
        <w:t>Izdarīt likumā "</w:t>
      </w:r>
      <w:hyperlink r:id="rId7" w:tgtFrame="_blank" w:history="1">
        <w:r w:rsidRPr="0082694C">
          <w:rPr>
            <w:rStyle w:val="Hyperlink"/>
            <w:color w:val="auto"/>
            <w:sz w:val="28"/>
            <w:szCs w:val="28"/>
            <w:u w:val="none"/>
          </w:rPr>
          <w:t>Par valsts pensijām</w:t>
        </w:r>
      </w:hyperlink>
      <w:r w:rsidRPr="0082694C">
        <w:rPr>
          <w:sz w:val="28"/>
          <w:szCs w:val="28"/>
        </w:rPr>
        <w:t>" (Latvijas Republikas Saeimas un Ministru Ziņotājs,</w:t>
      </w:r>
      <w:hyperlink r:id="rId8" w:anchor="n1" w:tgtFrame="_blank" w:history="1">
        <w:r w:rsidRPr="0082694C">
          <w:rPr>
            <w:rStyle w:val="Hyperlink"/>
            <w:color w:val="auto"/>
            <w:sz w:val="28"/>
            <w:szCs w:val="28"/>
            <w:u w:val="none"/>
          </w:rPr>
          <w:t>1996,</w:t>
        </w:r>
      </w:hyperlink>
      <w:r w:rsidRPr="0082694C">
        <w:rPr>
          <w:sz w:val="28"/>
          <w:szCs w:val="28"/>
        </w:rPr>
        <w:t> </w:t>
      </w:r>
      <w:hyperlink r:id="rId9" w:anchor="n1" w:tgtFrame="_blank" w:history="1">
        <w:r w:rsidRPr="0082694C">
          <w:rPr>
            <w:rStyle w:val="Hyperlink"/>
            <w:color w:val="auto"/>
            <w:sz w:val="28"/>
            <w:szCs w:val="28"/>
            <w:u w:val="none"/>
          </w:rPr>
          <w:t>1.</w:t>
        </w:r>
      </w:hyperlink>
      <w:r w:rsidRPr="0082694C">
        <w:rPr>
          <w:sz w:val="28"/>
          <w:szCs w:val="28"/>
        </w:rPr>
        <w:t>, </w:t>
      </w:r>
      <w:hyperlink r:id="rId10" w:anchor="n24" w:tgtFrame="_blank" w:history="1">
        <w:r w:rsidRPr="0082694C">
          <w:rPr>
            <w:rStyle w:val="Hyperlink"/>
            <w:color w:val="auto"/>
            <w:sz w:val="28"/>
            <w:szCs w:val="28"/>
            <w:u w:val="none"/>
          </w:rPr>
          <w:t>24. </w:t>
        </w:r>
      </w:hyperlink>
      <w:r w:rsidRPr="0082694C">
        <w:rPr>
          <w:sz w:val="28"/>
          <w:szCs w:val="28"/>
        </w:rPr>
        <w:t>nr.;</w:t>
      </w:r>
      <w:hyperlink r:id="rId11" w:anchor="n3" w:tgtFrame="_blank" w:history="1">
        <w:r w:rsidRPr="0082694C">
          <w:rPr>
            <w:rStyle w:val="Hyperlink"/>
            <w:color w:val="auto"/>
            <w:sz w:val="28"/>
            <w:szCs w:val="28"/>
            <w:u w:val="none"/>
          </w:rPr>
          <w:t> 1997,</w:t>
        </w:r>
      </w:hyperlink>
      <w:r w:rsidRPr="0082694C">
        <w:rPr>
          <w:sz w:val="28"/>
          <w:szCs w:val="28"/>
        </w:rPr>
        <w:t> </w:t>
      </w:r>
      <w:hyperlink r:id="rId12" w:anchor="n3" w:tgtFrame="_blank" w:history="1">
        <w:r w:rsidRPr="0082694C">
          <w:rPr>
            <w:rStyle w:val="Hyperlink"/>
            <w:color w:val="auto"/>
            <w:sz w:val="28"/>
            <w:szCs w:val="28"/>
            <w:u w:val="none"/>
          </w:rPr>
          <w:t>3.</w:t>
        </w:r>
      </w:hyperlink>
      <w:r w:rsidRPr="0082694C">
        <w:rPr>
          <w:sz w:val="28"/>
          <w:szCs w:val="28"/>
        </w:rPr>
        <w:t>, </w:t>
      </w:r>
      <w:hyperlink r:id="rId13" w:anchor="n13" w:tgtFrame="_blank" w:history="1">
        <w:r w:rsidRPr="0082694C">
          <w:rPr>
            <w:rStyle w:val="Hyperlink"/>
            <w:color w:val="auto"/>
            <w:sz w:val="28"/>
            <w:szCs w:val="28"/>
            <w:u w:val="none"/>
          </w:rPr>
          <w:t>13. </w:t>
        </w:r>
      </w:hyperlink>
      <w:r w:rsidRPr="0082694C">
        <w:rPr>
          <w:sz w:val="28"/>
          <w:szCs w:val="28"/>
        </w:rPr>
        <w:t>nr.;</w:t>
      </w:r>
      <w:hyperlink r:id="rId14" w:anchor="n1" w:tgtFrame="_blank" w:history="1">
        <w:r w:rsidRPr="0082694C">
          <w:rPr>
            <w:rStyle w:val="Hyperlink"/>
            <w:color w:val="auto"/>
            <w:sz w:val="28"/>
            <w:szCs w:val="28"/>
            <w:u w:val="none"/>
          </w:rPr>
          <w:t> 1998,</w:t>
        </w:r>
      </w:hyperlink>
      <w:r w:rsidRPr="0082694C">
        <w:rPr>
          <w:sz w:val="28"/>
          <w:szCs w:val="28"/>
        </w:rPr>
        <w:t> </w:t>
      </w:r>
      <w:hyperlink r:id="rId15" w:anchor="n1" w:tgtFrame="_blank" w:history="1">
        <w:r w:rsidRPr="0082694C">
          <w:rPr>
            <w:rStyle w:val="Hyperlink"/>
            <w:color w:val="auto"/>
            <w:sz w:val="28"/>
            <w:szCs w:val="28"/>
            <w:u w:val="none"/>
          </w:rPr>
          <w:t>1.</w:t>
        </w:r>
      </w:hyperlink>
      <w:r w:rsidRPr="0082694C">
        <w:rPr>
          <w:sz w:val="28"/>
          <w:szCs w:val="28"/>
        </w:rPr>
        <w:t>, </w:t>
      </w:r>
      <w:hyperlink r:id="rId16" w:anchor="n24" w:tgtFrame="_blank" w:history="1">
        <w:r w:rsidRPr="0082694C">
          <w:rPr>
            <w:rStyle w:val="Hyperlink"/>
            <w:color w:val="auto"/>
            <w:sz w:val="28"/>
            <w:szCs w:val="28"/>
            <w:u w:val="none"/>
          </w:rPr>
          <w:t>24. </w:t>
        </w:r>
      </w:hyperlink>
      <w:r w:rsidRPr="0082694C">
        <w:rPr>
          <w:sz w:val="28"/>
          <w:szCs w:val="28"/>
        </w:rPr>
        <w:t>nr.;</w:t>
      </w:r>
      <w:hyperlink r:id="rId17" w:anchor="n11" w:tgtFrame="_blank" w:history="1">
        <w:r w:rsidRPr="0082694C">
          <w:rPr>
            <w:rStyle w:val="Hyperlink"/>
            <w:color w:val="auto"/>
            <w:sz w:val="28"/>
            <w:szCs w:val="28"/>
            <w:u w:val="none"/>
          </w:rPr>
          <w:t> 1999,</w:t>
        </w:r>
      </w:hyperlink>
      <w:r w:rsidRPr="0082694C">
        <w:rPr>
          <w:sz w:val="28"/>
          <w:szCs w:val="28"/>
        </w:rPr>
        <w:t> </w:t>
      </w:r>
      <w:hyperlink r:id="rId18" w:anchor="n11" w:tgtFrame="_blank" w:history="1">
        <w:r w:rsidRPr="0082694C">
          <w:rPr>
            <w:rStyle w:val="Hyperlink"/>
            <w:color w:val="auto"/>
            <w:sz w:val="28"/>
            <w:szCs w:val="28"/>
            <w:u w:val="none"/>
          </w:rPr>
          <w:t>11.</w:t>
        </w:r>
      </w:hyperlink>
      <w:r w:rsidRPr="0082694C">
        <w:rPr>
          <w:sz w:val="28"/>
          <w:szCs w:val="28"/>
        </w:rPr>
        <w:t>, </w:t>
      </w:r>
      <w:hyperlink r:id="rId19" w:anchor="n23" w:tgtFrame="_blank" w:history="1">
        <w:r w:rsidRPr="0082694C">
          <w:rPr>
            <w:rStyle w:val="Hyperlink"/>
            <w:color w:val="auto"/>
            <w:sz w:val="28"/>
            <w:szCs w:val="28"/>
            <w:u w:val="none"/>
          </w:rPr>
          <w:t>23. </w:t>
        </w:r>
      </w:hyperlink>
      <w:r w:rsidRPr="0082694C">
        <w:rPr>
          <w:sz w:val="28"/>
          <w:szCs w:val="28"/>
        </w:rPr>
        <w:t>nr.;</w:t>
      </w:r>
      <w:hyperlink r:id="rId20" w:anchor="n2" w:tgtFrame="_blank" w:history="1">
        <w:r w:rsidRPr="0082694C">
          <w:rPr>
            <w:rStyle w:val="Hyperlink"/>
            <w:color w:val="auto"/>
            <w:sz w:val="28"/>
            <w:szCs w:val="28"/>
            <w:u w:val="none"/>
          </w:rPr>
          <w:t> 2002,</w:t>
        </w:r>
      </w:hyperlink>
      <w:r w:rsidRPr="0082694C">
        <w:rPr>
          <w:sz w:val="28"/>
          <w:szCs w:val="28"/>
        </w:rPr>
        <w:t> </w:t>
      </w:r>
      <w:hyperlink r:id="rId21" w:anchor="n2" w:tgtFrame="_blank" w:history="1">
        <w:r w:rsidRPr="0082694C">
          <w:rPr>
            <w:rStyle w:val="Hyperlink"/>
            <w:color w:val="auto"/>
            <w:sz w:val="28"/>
            <w:szCs w:val="28"/>
            <w:u w:val="none"/>
          </w:rPr>
          <w:t>2. </w:t>
        </w:r>
      </w:hyperlink>
      <w:r w:rsidRPr="0082694C">
        <w:rPr>
          <w:sz w:val="28"/>
          <w:szCs w:val="28"/>
        </w:rPr>
        <w:t>nr.; 2004, </w:t>
      </w:r>
      <w:hyperlink r:id="rId22" w:anchor="n6" w:tgtFrame="_blank" w:history="1">
        <w:r w:rsidRPr="0082694C">
          <w:rPr>
            <w:rStyle w:val="Hyperlink"/>
            <w:color w:val="auto"/>
            <w:sz w:val="28"/>
            <w:szCs w:val="28"/>
            <w:u w:val="none"/>
          </w:rPr>
          <w:t>6. </w:t>
        </w:r>
      </w:hyperlink>
      <w:r w:rsidRPr="0082694C">
        <w:rPr>
          <w:sz w:val="28"/>
          <w:szCs w:val="28"/>
        </w:rPr>
        <w:t>nr.;</w:t>
      </w:r>
      <w:hyperlink r:id="rId23" w:anchor="n13" w:tgtFrame="_blank" w:history="1">
        <w:r w:rsidRPr="0082694C">
          <w:rPr>
            <w:rStyle w:val="Hyperlink"/>
            <w:color w:val="auto"/>
            <w:sz w:val="28"/>
            <w:szCs w:val="28"/>
            <w:u w:val="none"/>
          </w:rPr>
          <w:t> 2005,</w:t>
        </w:r>
      </w:hyperlink>
      <w:r w:rsidRPr="0082694C">
        <w:rPr>
          <w:sz w:val="28"/>
          <w:szCs w:val="28"/>
        </w:rPr>
        <w:t> </w:t>
      </w:r>
      <w:hyperlink r:id="rId24" w:anchor="n13" w:tgtFrame="_blank" w:history="1">
        <w:r w:rsidRPr="0082694C">
          <w:rPr>
            <w:rStyle w:val="Hyperlink"/>
            <w:color w:val="auto"/>
            <w:sz w:val="28"/>
            <w:szCs w:val="28"/>
            <w:u w:val="none"/>
          </w:rPr>
          <w:t>13.</w:t>
        </w:r>
      </w:hyperlink>
      <w:r w:rsidRPr="0082694C">
        <w:rPr>
          <w:sz w:val="28"/>
          <w:szCs w:val="28"/>
        </w:rPr>
        <w:t>, </w:t>
      </w:r>
      <w:hyperlink r:id="rId25" w:anchor="n24" w:tgtFrame="_blank" w:history="1">
        <w:r w:rsidRPr="0082694C">
          <w:rPr>
            <w:rStyle w:val="Hyperlink"/>
            <w:color w:val="auto"/>
            <w:sz w:val="28"/>
            <w:szCs w:val="28"/>
            <w:u w:val="none"/>
          </w:rPr>
          <w:t>24. </w:t>
        </w:r>
      </w:hyperlink>
      <w:r w:rsidRPr="0082694C">
        <w:rPr>
          <w:sz w:val="28"/>
          <w:szCs w:val="28"/>
        </w:rPr>
        <w:t>nr.;</w:t>
      </w:r>
      <w:hyperlink r:id="rId26" w:anchor="n24" w:tgtFrame="_blank" w:history="1">
        <w:r w:rsidRPr="0082694C">
          <w:rPr>
            <w:rStyle w:val="Hyperlink"/>
            <w:color w:val="auto"/>
            <w:sz w:val="28"/>
            <w:szCs w:val="28"/>
            <w:u w:val="none"/>
          </w:rPr>
          <w:t> 2006,</w:t>
        </w:r>
      </w:hyperlink>
      <w:r w:rsidRPr="0082694C">
        <w:rPr>
          <w:sz w:val="28"/>
          <w:szCs w:val="28"/>
        </w:rPr>
        <w:t> </w:t>
      </w:r>
      <w:hyperlink r:id="rId27" w:anchor="n24" w:tgtFrame="_blank" w:history="1">
        <w:r w:rsidRPr="0082694C">
          <w:rPr>
            <w:rStyle w:val="Hyperlink"/>
            <w:color w:val="auto"/>
            <w:sz w:val="28"/>
            <w:szCs w:val="28"/>
            <w:u w:val="none"/>
          </w:rPr>
          <w:t>24. </w:t>
        </w:r>
      </w:hyperlink>
      <w:r w:rsidRPr="0082694C">
        <w:rPr>
          <w:sz w:val="28"/>
          <w:szCs w:val="28"/>
        </w:rPr>
        <w:t>nr.;</w:t>
      </w:r>
      <w:hyperlink r:id="rId28" w:anchor="n24" w:tgtFrame="_blank" w:history="1">
        <w:r w:rsidRPr="0082694C">
          <w:rPr>
            <w:rStyle w:val="Hyperlink"/>
            <w:color w:val="auto"/>
            <w:sz w:val="28"/>
            <w:szCs w:val="28"/>
            <w:u w:val="none"/>
          </w:rPr>
          <w:t> 2007,</w:t>
        </w:r>
      </w:hyperlink>
      <w:r w:rsidRPr="0082694C">
        <w:rPr>
          <w:sz w:val="28"/>
          <w:szCs w:val="28"/>
        </w:rPr>
        <w:t> </w:t>
      </w:r>
      <w:hyperlink r:id="rId29" w:anchor="n24" w:tgtFrame="_blank" w:history="1">
        <w:r w:rsidRPr="0082694C">
          <w:rPr>
            <w:rStyle w:val="Hyperlink"/>
            <w:color w:val="auto"/>
            <w:sz w:val="28"/>
            <w:szCs w:val="28"/>
            <w:u w:val="none"/>
          </w:rPr>
          <w:t>24. </w:t>
        </w:r>
      </w:hyperlink>
      <w:r w:rsidRPr="0082694C">
        <w:rPr>
          <w:sz w:val="28"/>
          <w:szCs w:val="28"/>
        </w:rPr>
        <w:t>nr.; 2008, </w:t>
      </w:r>
      <w:hyperlink r:id="rId30" w:anchor="n7" w:tgtFrame="_blank" w:history="1">
        <w:r w:rsidRPr="0082694C">
          <w:rPr>
            <w:rStyle w:val="Hyperlink"/>
            <w:color w:val="auto"/>
            <w:sz w:val="28"/>
            <w:szCs w:val="28"/>
            <w:u w:val="none"/>
          </w:rPr>
          <w:t>7.</w:t>
        </w:r>
      </w:hyperlink>
      <w:r w:rsidRPr="0082694C">
        <w:rPr>
          <w:sz w:val="28"/>
          <w:szCs w:val="28"/>
        </w:rPr>
        <w:t>, </w:t>
      </w:r>
      <w:hyperlink r:id="rId31" w:anchor="n10" w:tgtFrame="_blank" w:history="1">
        <w:r w:rsidRPr="0082694C">
          <w:rPr>
            <w:rStyle w:val="Hyperlink"/>
            <w:color w:val="auto"/>
            <w:sz w:val="28"/>
            <w:szCs w:val="28"/>
            <w:u w:val="none"/>
          </w:rPr>
          <w:t>10.</w:t>
        </w:r>
      </w:hyperlink>
      <w:r w:rsidRPr="0082694C">
        <w:rPr>
          <w:sz w:val="28"/>
          <w:szCs w:val="28"/>
        </w:rPr>
        <w:t>, </w:t>
      </w:r>
      <w:hyperlink r:id="rId32" w:anchor="n14" w:tgtFrame="_blank" w:history="1">
        <w:r w:rsidRPr="0082694C">
          <w:rPr>
            <w:rStyle w:val="Hyperlink"/>
            <w:color w:val="auto"/>
            <w:sz w:val="28"/>
            <w:szCs w:val="28"/>
            <w:u w:val="none"/>
          </w:rPr>
          <w:t>14. </w:t>
        </w:r>
      </w:hyperlink>
      <w:r w:rsidRPr="0082694C">
        <w:rPr>
          <w:sz w:val="28"/>
          <w:szCs w:val="28"/>
        </w:rPr>
        <w:t>nr.;</w:t>
      </w:r>
      <w:hyperlink r:id="rId33" w:anchor="n8" w:tgtFrame="_blank" w:history="1">
        <w:r w:rsidRPr="0082694C">
          <w:rPr>
            <w:rStyle w:val="Hyperlink"/>
            <w:color w:val="auto"/>
            <w:sz w:val="28"/>
            <w:szCs w:val="28"/>
            <w:u w:val="none"/>
          </w:rPr>
          <w:t> 2009,</w:t>
        </w:r>
      </w:hyperlink>
      <w:r w:rsidRPr="0082694C">
        <w:rPr>
          <w:sz w:val="28"/>
          <w:szCs w:val="28"/>
        </w:rPr>
        <w:t> </w:t>
      </w:r>
      <w:hyperlink r:id="rId34" w:anchor="n8" w:tgtFrame="_blank" w:history="1">
        <w:r w:rsidRPr="0082694C">
          <w:rPr>
            <w:rStyle w:val="Hyperlink"/>
            <w:color w:val="auto"/>
            <w:sz w:val="28"/>
            <w:szCs w:val="28"/>
            <w:u w:val="none"/>
          </w:rPr>
          <w:t>8.</w:t>
        </w:r>
      </w:hyperlink>
      <w:r w:rsidRPr="0082694C">
        <w:rPr>
          <w:sz w:val="28"/>
          <w:szCs w:val="28"/>
        </w:rPr>
        <w:t>, </w:t>
      </w:r>
      <w:hyperlink r:id="rId35" w:anchor="n15" w:tgtFrame="_blank" w:history="1">
        <w:r w:rsidRPr="0082694C">
          <w:rPr>
            <w:rStyle w:val="Hyperlink"/>
            <w:color w:val="auto"/>
            <w:sz w:val="28"/>
            <w:szCs w:val="28"/>
            <w:u w:val="none"/>
          </w:rPr>
          <w:t>15. </w:t>
        </w:r>
      </w:hyperlink>
      <w:r w:rsidRPr="0082694C">
        <w:rPr>
          <w:sz w:val="28"/>
          <w:szCs w:val="28"/>
        </w:rPr>
        <w:t>nr.; Latvijas Vēstnesis, 2009, 199. nr.; 2010, 16., 205. nr.; 2011, 202. nr.; 2012, 104. nr.; 2013, 112., 137., 194. nr.; 2014, 75. nr.; 2015, 122. nr.; 2016, 57., 241. nr.; 2017, 128. nr.; 2018, 87., 196. nr., 2019, 240.nr.) šādus grozījumus:</w:t>
      </w:r>
    </w:p>
    <w:p w:rsidR="008F33A4" w:rsidRPr="0082694C" w:rsidRDefault="008F33A4" w:rsidP="008F33A4">
      <w:pPr>
        <w:jc w:val="both"/>
        <w:rPr>
          <w:sz w:val="28"/>
          <w:szCs w:val="28"/>
        </w:rPr>
      </w:pPr>
    </w:p>
    <w:p w:rsidR="008F33A4" w:rsidRPr="0082694C" w:rsidRDefault="008F33A4" w:rsidP="008F33A4">
      <w:pPr>
        <w:jc w:val="both"/>
        <w:rPr>
          <w:sz w:val="28"/>
          <w:szCs w:val="28"/>
        </w:rPr>
      </w:pPr>
      <w:r w:rsidRPr="0082694C">
        <w:rPr>
          <w:sz w:val="28"/>
          <w:szCs w:val="28"/>
        </w:rPr>
        <w:t>1. 12.pantā:</w:t>
      </w:r>
    </w:p>
    <w:p w:rsidR="008F33A4" w:rsidRPr="0082694C" w:rsidRDefault="008F33A4" w:rsidP="008F33A4">
      <w:pPr>
        <w:jc w:val="both"/>
        <w:rPr>
          <w:sz w:val="28"/>
          <w:szCs w:val="28"/>
        </w:rPr>
      </w:pPr>
      <w:r w:rsidRPr="0082694C">
        <w:rPr>
          <w:sz w:val="28"/>
          <w:szCs w:val="28"/>
        </w:rPr>
        <w:t>izteikt otro daļu šādā redakcijā:</w:t>
      </w:r>
    </w:p>
    <w:p w:rsidR="008F33A4" w:rsidRPr="0082694C" w:rsidRDefault="008F33A4" w:rsidP="008F33A4">
      <w:pPr>
        <w:spacing w:after="120" w:line="120" w:lineRule="atLeast"/>
        <w:contextualSpacing/>
        <w:jc w:val="both"/>
        <w:rPr>
          <w:sz w:val="28"/>
          <w:szCs w:val="28"/>
          <w:lang w:eastAsia="lv-LV"/>
        </w:rPr>
      </w:pPr>
      <w:r w:rsidRPr="0082694C">
        <w:rPr>
          <w:sz w:val="28"/>
          <w:szCs w:val="28"/>
        </w:rPr>
        <w:t xml:space="preserve">“(2) </w:t>
      </w:r>
      <w:r w:rsidRPr="0082694C">
        <w:rPr>
          <w:sz w:val="28"/>
          <w:szCs w:val="28"/>
          <w:lang w:eastAsia="lv-LV"/>
        </w:rPr>
        <w:t xml:space="preserve">Personām, kurām ir šajā likumā </w:t>
      </w:r>
      <w:bookmarkStart w:id="1" w:name="_Hlk47426845"/>
      <w:r w:rsidRPr="0082694C">
        <w:rPr>
          <w:sz w:val="28"/>
          <w:szCs w:val="28"/>
          <w:lang w:eastAsia="lv-LV"/>
        </w:rPr>
        <w:t xml:space="preserve">noteiktais vecuma pensijas piešķiršanai nepieciešamais </w:t>
      </w:r>
      <w:bookmarkEnd w:id="1"/>
      <w:r w:rsidRPr="0082694C">
        <w:rPr>
          <w:sz w:val="28"/>
          <w:szCs w:val="28"/>
          <w:lang w:eastAsia="lv-LV"/>
        </w:rPr>
        <w:t>apdrošināšanas stāžs, piešķirtās (pārrēķinātās) vecuma pensijas apmērs nedrīkst būt mazāks par minimālās vecuma pensijas apmēru.”</w:t>
      </w:r>
    </w:p>
    <w:p w:rsidR="008F33A4" w:rsidRPr="0082694C" w:rsidRDefault="008F33A4" w:rsidP="008F33A4">
      <w:pPr>
        <w:spacing w:after="120" w:line="120" w:lineRule="atLeast"/>
        <w:contextualSpacing/>
        <w:jc w:val="both"/>
        <w:rPr>
          <w:sz w:val="28"/>
          <w:szCs w:val="28"/>
          <w:lang w:eastAsia="lv-LV"/>
        </w:rPr>
      </w:pPr>
    </w:p>
    <w:p w:rsidR="008F33A4" w:rsidRPr="0082694C" w:rsidRDefault="008F33A4" w:rsidP="008F33A4">
      <w:pPr>
        <w:spacing w:after="120" w:line="120" w:lineRule="atLeast"/>
        <w:contextualSpacing/>
        <w:rPr>
          <w:sz w:val="28"/>
          <w:szCs w:val="28"/>
          <w:lang w:eastAsia="lv-LV"/>
        </w:rPr>
      </w:pPr>
      <w:r w:rsidRPr="0082694C">
        <w:rPr>
          <w:sz w:val="28"/>
          <w:szCs w:val="28"/>
          <w:lang w:eastAsia="lv-LV"/>
        </w:rPr>
        <w:t>papildināt pantu ar 2.</w:t>
      </w:r>
      <w:r w:rsidRPr="0082694C">
        <w:rPr>
          <w:sz w:val="28"/>
          <w:szCs w:val="28"/>
          <w:vertAlign w:val="superscript"/>
          <w:lang w:eastAsia="lv-LV"/>
        </w:rPr>
        <w:t>1</w:t>
      </w:r>
      <w:bookmarkStart w:id="2" w:name="_Hlk47427308"/>
      <w:r w:rsidRPr="0082694C">
        <w:rPr>
          <w:sz w:val="28"/>
          <w:szCs w:val="28"/>
          <w:lang w:eastAsia="lv-LV"/>
        </w:rPr>
        <w:t xml:space="preserve"> un 2.</w:t>
      </w:r>
      <w:r w:rsidRPr="0082694C">
        <w:rPr>
          <w:sz w:val="28"/>
          <w:szCs w:val="28"/>
          <w:vertAlign w:val="superscript"/>
          <w:lang w:eastAsia="lv-LV"/>
        </w:rPr>
        <w:t>2</w:t>
      </w:r>
      <w:r w:rsidRPr="0082694C">
        <w:rPr>
          <w:sz w:val="28"/>
          <w:szCs w:val="28"/>
          <w:lang w:eastAsia="lv-LV"/>
        </w:rPr>
        <w:t xml:space="preserve"> </w:t>
      </w:r>
      <w:bookmarkEnd w:id="2"/>
      <w:r w:rsidRPr="0082694C">
        <w:rPr>
          <w:sz w:val="28"/>
          <w:szCs w:val="28"/>
          <w:lang w:eastAsia="lv-LV"/>
        </w:rPr>
        <w:t>daļu šādā redakcijā:</w:t>
      </w:r>
    </w:p>
    <w:p w:rsidR="008F33A4" w:rsidRPr="0082694C" w:rsidRDefault="008F33A4" w:rsidP="008F33A4">
      <w:pPr>
        <w:spacing w:after="120" w:line="120" w:lineRule="atLeast"/>
        <w:contextualSpacing/>
        <w:jc w:val="both"/>
        <w:rPr>
          <w:sz w:val="28"/>
          <w:szCs w:val="28"/>
          <w:lang w:eastAsia="lv-LV"/>
        </w:rPr>
      </w:pPr>
      <w:r w:rsidRPr="0082694C">
        <w:rPr>
          <w:sz w:val="28"/>
          <w:szCs w:val="28"/>
          <w:lang w:eastAsia="lv-LV"/>
        </w:rPr>
        <w:t>“(</w:t>
      </w:r>
      <w:bookmarkStart w:id="3" w:name="_Hlk47428246"/>
      <w:r w:rsidRPr="0082694C">
        <w:rPr>
          <w:sz w:val="28"/>
          <w:szCs w:val="28"/>
          <w:lang w:eastAsia="lv-LV"/>
        </w:rPr>
        <w:t>2</w:t>
      </w:r>
      <w:r w:rsidRPr="0082694C">
        <w:rPr>
          <w:sz w:val="28"/>
          <w:szCs w:val="28"/>
          <w:vertAlign w:val="superscript"/>
          <w:lang w:eastAsia="lv-LV"/>
        </w:rPr>
        <w:t>1</w:t>
      </w:r>
      <w:bookmarkEnd w:id="3"/>
      <w:r w:rsidRPr="0082694C">
        <w:rPr>
          <w:sz w:val="28"/>
          <w:szCs w:val="28"/>
          <w:lang w:eastAsia="lv-LV"/>
        </w:rPr>
        <w:t xml:space="preserve">) Minimālās vecuma pensijas aprēķina bāze ir </w:t>
      </w:r>
      <w:r w:rsidR="00977BA0" w:rsidRPr="0082694C">
        <w:rPr>
          <w:sz w:val="28"/>
          <w:szCs w:val="28"/>
          <w:lang w:eastAsia="lv-LV"/>
        </w:rPr>
        <w:t>25</w:t>
      </w:r>
      <w:r w:rsidRPr="0082694C">
        <w:rPr>
          <w:sz w:val="28"/>
          <w:szCs w:val="28"/>
          <w:lang w:eastAsia="lv-LV"/>
        </w:rPr>
        <w:t xml:space="preserve"> procenti </w:t>
      </w:r>
      <w:r w:rsidRPr="0082694C">
        <w:rPr>
          <w:sz w:val="28"/>
          <w:szCs w:val="28"/>
        </w:rPr>
        <w:t>no Centrālās statistikas pārvaldes pārskata gadā tīmekļa vietnē  publicētās mājsaimniecību rīcībā esošās ienākumu mediānas uz vienu ekvivalento patērētāju</w:t>
      </w:r>
      <w:bookmarkStart w:id="4" w:name="_Hlk47426961"/>
      <w:r w:rsidRPr="0082694C">
        <w:rPr>
          <w:sz w:val="28"/>
          <w:szCs w:val="28"/>
        </w:rPr>
        <w:t xml:space="preserve"> (turpmāk – ienākumu mediāna)</w:t>
      </w:r>
      <w:r w:rsidRPr="0082694C">
        <w:rPr>
          <w:sz w:val="28"/>
          <w:szCs w:val="28"/>
          <w:lang w:eastAsia="lv-LV"/>
        </w:rPr>
        <w:t xml:space="preserve">, </w:t>
      </w:r>
      <w:bookmarkEnd w:id="4"/>
      <w:r w:rsidRPr="0082694C">
        <w:rPr>
          <w:sz w:val="28"/>
          <w:szCs w:val="28"/>
          <w:lang w:eastAsia="lv-LV"/>
        </w:rPr>
        <w:t>personām ar invaliditāti kopš bērnības – 3</w:t>
      </w:r>
      <w:r w:rsidR="00977BA0" w:rsidRPr="0082694C">
        <w:rPr>
          <w:sz w:val="28"/>
          <w:szCs w:val="28"/>
          <w:lang w:eastAsia="lv-LV"/>
        </w:rPr>
        <w:t>0</w:t>
      </w:r>
      <w:r w:rsidRPr="0082694C">
        <w:rPr>
          <w:sz w:val="28"/>
          <w:szCs w:val="28"/>
          <w:lang w:eastAsia="lv-LV"/>
        </w:rPr>
        <w:t xml:space="preserve"> procenti no ienākumu mediānas. Minimālās vecuma pensijas apmēru nosaka, minimālās vecuma pensijas aprēķina bāzei piemērojot koeficientu – 1,2, </w:t>
      </w:r>
      <w:bookmarkStart w:id="5" w:name="_Hlk47945776"/>
      <w:r w:rsidRPr="0082694C">
        <w:rPr>
          <w:sz w:val="28"/>
          <w:szCs w:val="28"/>
          <w:lang w:eastAsia="lv-LV"/>
        </w:rPr>
        <w:t xml:space="preserve">un par katru nākamo gadu, kas pārsniedz šajā likumā noteikto vecuma pensijas piešķiršanai nepieciešamo apdrošināšanas stāžu, apmēru palielinot par diviem procentiem no minimālās vecuma pensijas aprēķina bāzes. </w:t>
      </w:r>
    </w:p>
    <w:bookmarkEnd w:id="5"/>
    <w:p w:rsidR="008F33A4" w:rsidRPr="0082694C" w:rsidRDefault="008F33A4" w:rsidP="008F33A4">
      <w:pPr>
        <w:spacing w:after="120" w:line="120" w:lineRule="atLeast"/>
        <w:contextualSpacing/>
        <w:jc w:val="both"/>
        <w:rPr>
          <w:sz w:val="28"/>
          <w:szCs w:val="28"/>
          <w:lang w:eastAsia="lv-LV"/>
        </w:rPr>
      </w:pPr>
    </w:p>
    <w:p w:rsidR="008F33A4" w:rsidRPr="0082694C" w:rsidRDefault="008F33A4" w:rsidP="008F33A4">
      <w:pPr>
        <w:spacing w:after="120" w:line="120" w:lineRule="atLeast"/>
        <w:contextualSpacing/>
        <w:jc w:val="both"/>
        <w:rPr>
          <w:sz w:val="28"/>
          <w:szCs w:val="28"/>
        </w:rPr>
      </w:pPr>
      <w:r w:rsidRPr="0082694C">
        <w:rPr>
          <w:sz w:val="28"/>
          <w:szCs w:val="28"/>
          <w:lang w:eastAsia="lv-LV"/>
        </w:rPr>
        <w:t>(2</w:t>
      </w:r>
      <w:r w:rsidRPr="0082694C">
        <w:rPr>
          <w:sz w:val="28"/>
          <w:szCs w:val="28"/>
          <w:vertAlign w:val="superscript"/>
          <w:lang w:eastAsia="lv-LV"/>
        </w:rPr>
        <w:t>2</w:t>
      </w:r>
      <w:r w:rsidRPr="0082694C">
        <w:rPr>
          <w:sz w:val="28"/>
          <w:szCs w:val="28"/>
          <w:lang w:eastAsia="lv-LV"/>
        </w:rPr>
        <w:t xml:space="preserve">) Minimālās vecuma pensijas apmēru nosaka pensijas piešķiršanas (pārrēķināšanas) dienā, kā arī pārskatot minimālās vecuma pensijas aprēķina bāzi. Minimālās vecuma pensijas aprēķina bāzi pārskata </w:t>
      </w:r>
      <w:bookmarkStart w:id="6" w:name="_Hlk47427356"/>
      <w:r w:rsidRPr="0082694C">
        <w:rPr>
          <w:sz w:val="28"/>
          <w:szCs w:val="28"/>
          <w:lang w:eastAsia="lv-LV"/>
        </w:rPr>
        <w:t>atb</w:t>
      </w:r>
      <w:bookmarkStart w:id="7" w:name="_GoBack"/>
      <w:bookmarkEnd w:id="7"/>
      <w:r w:rsidRPr="0082694C">
        <w:rPr>
          <w:sz w:val="28"/>
          <w:szCs w:val="28"/>
          <w:lang w:eastAsia="lv-LV"/>
        </w:rPr>
        <w:t>ilstoši likumā “Par sociālo drošību” noteikto minimālo ienākumu sliekšņu pārskatīšanas kārtībai.</w:t>
      </w:r>
      <w:r w:rsidRPr="0082694C">
        <w:rPr>
          <w:sz w:val="28"/>
          <w:szCs w:val="28"/>
        </w:rPr>
        <w:t xml:space="preserve">” </w:t>
      </w:r>
    </w:p>
    <w:p w:rsidR="008F33A4" w:rsidRPr="0082694C" w:rsidRDefault="008F33A4" w:rsidP="008F33A4">
      <w:pPr>
        <w:spacing w:after="120" w:line="120" w:lineRule="atLeast"/>
        <w:contextualSpacing/>
        <w:jc w:val="both"/>
        <w:rPr>
          <w:color w:val="538135" w:themeColor="accent6" w:themeShade="BF"/>
          <w:sz w:val="28"/>
          <w:szCs w:val="28"/>
        </w:rPr>
      </w:pPr>
    </w:p>
    <w:bookmarkEnd w:id="6"/>
    <w:p w:rsidR="008F33A4" w:rsidRPr="0082694C" w:rsidRDefault="008F33A4" w:rsidP="008F33A4">
      <w:pPr>
        <w:rPr>
          <w:sz w:val="28"/>
          <w:szCs w:val="28"/>
        </w:rPr>
      </w:pPr>
      <w:r w:rsidRPr="0082694C">
        <w:rPr>
          <w:sz w:val="28"/>
          <w:szCs w:val="28"/>
        </w:rPr>
        <w:t>2. 16.pantā:</w:t>
      </w:r>
    </w:p>
    <w:p w:rsidR="008F33A4" w:rsidRPr="0082694C" w:rsidRDefault="008F33A4" w:rsidP="008F33A4">
      <w:pPr>
        <w:rPr>
          <w:sz w:val="28"/>
          <w:szCs w:val="28"/>
          <w:lang w:eastAsia="lv-LV"/>
        </w:rPr>
      </w:pPr>
      <w:r w:rsidRPr="0082694C">
        <w:rPr>
          <w:sz w:val="28"/>
          <w:szCs w:val="28"/>
        </w:rPr>
        <w:t>aizstāt pirmās daļas 2.punktā vārdus “valsts sociālā nodrošinājuma pabalsta līmenī” ar vārdiem “</w:t>
      </w:r>
      <w:r w:rsidR="008A2E84" w:rsidRPr="0082694C">
        <w:rPr>
          <w:sz w:val="28"/>
          <w:szCs w:val="28"/>
        </w:rPr>
        <w:t>25</w:t>
      </w:r>
      <w:r w:rsidRPr="0082694C">
        <w:rPr>
          <w:sz w:val="28"/>
          <w:szCs w:val="28"/>
          <w:lang w:eastAsia="lv-LV"/>
        </w:rPr>
        <w:t xml:space="preserve"> procentu apmērā no ienākumu mediānas, bet personām ar invaliditāti kopš bērnības – 3</w:t>
      </w:r>
      <w:r w:rsidR="008A2E84" w:rsidRPr="0082694C">
        <w:rPr>
          <w:sz w:val="28"/>
          <w:szCs w:val="28"/>
          <w:lang w:eastAsia="lv-LV"/>
        </w:rPr>
        <w:t>0</w:t>
      </w:r>
      <w:r w:rsidRPr="0082694C">
        <w:rPr>
          <w:sz w:val="28"/>
          <w:szCs w:val="28"/>
          <w:lang w:eastAsia="lv-LV"/>
        </w:rPr>
        <w:t xml:space="preserve"> procentiem no ienākumu mediānas”;</w:t>
      </w:r>
    </w:p>
    <w:p w:rsidR="008F33A4" w:rsidRPr="0082694C" w:rsidRDefault="008F33A4" w:rsidP="008F33A4">
      <w:pPr>
        <w:rPr>
          <w:sz w:val="28"/>
          <w:szCs w:val="28"/>
        </w:rPr>
      </w:pPr>
    </w:p>
    <w:p w:rsidR="008F33A4" w:rsidRPr="0082694C" w:rsidRDefault="008F33A4" w:rsidP="008F33A4">
      <w:pPr>
        <w:rPr>
          <w:sz w:val="28"/>
          <w:szCs w:val="28"/>
        </w:rPr>
      </w:pPr>
      <w:r w:rsidRPr="0082694C">
        <w:rPr>
          <w:sz w:val="28"/>
          <w:szCs w:val="28"/>
        </w:rPr>
        <w:t>aizstāt otrajā daļā vārdus “valsts sociālā nodrošinājuma pabalstu, kuram” ar vārdiem “</w:t>
      </w:r>
      <w:r w:rsidR="008A2E84" w:rsidRPr="0082694C">
        <w:rPr>
          <w:sz w:val="28"/>
          <w:szCs w:val="28"/>
        </w:rPr>
        <w:t>25</w:t>
      </w:r>
      <w:r w:rsidRPr="0082694C">
        <w:rPr>
          <w:sz w:val="28"/>
          <w:szCs w:val="28"/>
          <w:lang w:eastAsia="lv-LV"/>
        </w:rPr>
        <w:t xml:space="preserve"> procentiem </w:t>
      </w:r>
      <w:r w:rsidRPr="0082694C">
        <w:rPr>
          <w:sz w:val="28"/>
          <w:szCs w:val="28"/>
        </w:rPr>
        <w:t>no ienākumu mediānas</w:t>
      </w:r>
      <w:r w:rsidRPr="0082694C">
        <w:rPr>
          <w:sz w:val="28"/>
          <w:szCs w:val="28"/>
          <w:lang w:eastAsia="lv-LV"/>
        </w:rPr>
        <w:t>, personām ar invaliditāti kopš bērnības – 3</w:t>
      </w:r>
      <w:r w:rsidR="008A2E84" w:rsidRPr="0082694C">
        <w:rPr>
          <w:sz w:val="28"/>
          <w:szCs w:val="28"/>
          <w:lang w:eastAsia="lv-LV"/>
        </w:rPr>
        <w:t>0</w:t>
      </w:r>
      <w:r w:rsidRPr="0082694C">
        <w:rPr>
          <w:sz w:val="28"/>
          <w:szCs w:val="28"/>
          <w:lang w:eastAsia="lv-LV"/>
        </w:rPr>
        <w:t xml:space="preserve"> procentiem no ienākumu mediānas, kur</w:t>
      </w:r>
      <w:r w:rsidR="008A2E84" w:rsidRPr="0082694C">
        <w:rPr>
          <w:sz w:val="28"/>
          <w:szCs w:val="28"/>
          <w:lang w:eastAsia="lv-LV"/>
        </w:rPr>
        <w:t>iem</w:t>
      </w:r>
      <w:r w:rsidRPr="0082694C">
        <w:rPr>
          <w:sz w:val="28"/>
          <w:szCs w:val="28"/>
          <w:lang w:eastAsia="lv-LV"/>
        </w:rPr>
        <w:t>”.</w:t>
      </w:r>
    </w:p>
    <w:p w:rsidR="008F33A4" w:rsidRPr="0082694C" w:rsidRDefault="008F33A4" w:rsidP="008F33A4">
      <w:pPr>
        <w:rPr>
          <w:sz w:val="28"/>
          <w:szCs w:val="28"/>
        </w:rPr>
      </w:pPr>
    </w:p>
    <w:p w:rsidR="008F33A4" w:rsidRPr="0082694C" w:rsidRDefault="008F33A4" w:rsidP="008F33A4">
      <w:pPr>
        <w:spacing w:after="120" w:line="120" w:lineRule="atLeast"/>
        <w:contextualSpacing/>
        <w:rPr>
          <w:sz w:val="28"/>
          <w:szCs w:val="28"/>
          <w:lang w:eastAsia="lv-LV"/>
        </w:rPr>
      </w:pPr>
      <w:r w:rsidRPr="0082694C">
        <w:rPr>
          <w:sz w:val="28"/>
          <w:szCs w:val="28"/>
          <w:lang w:eastAsia="lv-LV"/>
        </w:rPr>
        <w:t>papildināt pantu ar 2.</w:t>
      </w:r>
      <w:r w:rsidRPr="0082694C">
        <w:rPr>
          <w:sz w:val="28"/>
          <w:szCs w:val="28"/>
          <w:vertAlign w:val="superscript"/>
          <w:lang w:eastAsia="lv-LV"/>
        </w:rPr>
        <w:t>1</w:t>
      </w:r>
      <w:r w:rsidRPr="0082694C">
        <w:rPr>
          <w:sz w:val="28"/>
          <w:szCs w:val="28"/>
          <w:lang w:eastAsia="lv-LV"/>
        </w:rPr>
        <w:t xml:space="preserve"> daļu šādā redakcijā:</w:t>
      </w:r>
    </w:p>
    <w:p w:rsidR="008F33A4" w:rsidRPr="0082694C" w:rsidRDefault="008F33A4" w:rsidP="008F33A4">
      <w:pPr>
        <w:spacing w:after="120" w:line="120" w:lineRule="atLeast"/>
        <w:contextualSpacing/>
        <w:jc w:val="both"/>
        <w:rPr>
          <w:sz w:val="28"/>
          <w:szCs w:val="28"/>
        </w:rPr>
      </w:pPr>
      <w:r w:rsidRPr="0082694C">
        <w:rPr>
          <w:sz w:val="28"/>
          <w:szCs w:val="28"/>
          <w:lang w:eastAsia="lv-LV"/>
        </w:rPr>
        <w:lastRenderedPageBreak/>
        <w:t>“(2</w:t>
      </w:r>
      <w:r w:rsidRPr="0082694C">
        <w:rPr>
          <w:sz w:val="28"/>
          <w:szCs w:val="28"/>
          <w:vertAlign w:val="superscript"/>
          <w:lang w:eastAsia="lv-LV"/>
        </w:rPr>
        <w:t>1</w:t>
      </w:r>
      <w:r w:rsidRPr="0082694C">
        <w:rPr>
          <w:sz w:val="28"/>
          <w:szCs w:val="28"/>
          <w:lang w:eastAsia="lv-LV"/>
        </w:rPr>
        <w:t>) Invaliditātes pensijas apmēru, kāds atbilstoši invaliditātes grupai noteikts šā panta pirmās daļas 2.punktā un šā panta otrajā daļā, pārskata atbilstoši likumā “Par sociālo drošību” noteikto minimālo ienākumu sliekšņu pārskatīšanas kārtībai.</w:t>
      </w:r>
      <w:r w:rsidRPr="0082694C">
        <w:rPr>
          <w:sz w:val="28"/>
          <w:szCs w:val="28"/>
        </w:rPr>
        <w:t xml:space="preserve">” </w:t>
      </w:r>
    </w:p>
    <w:p w:rsidR="008F33A4" w:rsidRPr="0082694C" w:rsidRDefault="008F33A4" w:rsidP="008F33A4">
      <w:pPr>
        <w:rPr>
          <w:sz w:val="28"/>
          <w:szCs w:val="28"/>
        </w:rPr>
      </w:pPr>
    </w:p>
    <w:p w:rsidR="008F33A4" w:rsidRPr="0082694C" w:rsidRDefault="008F33A4" w:rsidP="008F33A4">
      <w:pPr>
        <w:rPr>
          <w:sz w:val="28"/>
          <w:szCs w:val="28"/>
        </w:rPr>
      </w:pPr>
      <w:r w:rsidRPr="0082694C">
        <w:rPr>
          <w:sz w:val="28"/>
          <w:szCs w:val="28"/>
        </w:rPr>
        <w:t>3. 23.pantā:</w:t>
      </w:r>
    </w:p>
    <w:p w:rsidR="008F33A4" w:rsidRPr="0082694C" w:rsidRDefault="008F33A4" w:rsidP="008F33A4">
      <w:pPr>
        <w:jc w:val="both"/>
        <w:rPr>
          <w:sz w:val="28"/>
          <w:szCs w:val="28"/>
        </w:rPr>
      </w:pPr>
      <w:r w:rsidRPr="0082694C">
        <w:rPr>
          <w:sz w:val="28"/>
          <w:szCs w:val="28"/>
        </w:rPr>
        <w:t>aizstāt ceturtajā un piektajā daļā vārdus “Ministru kabineta” ar vārdiem “šā panta devītajā daļā”;</w:t>
      </w:r>
    </w:p>
    <w:p w:rsidR="008F33A4" w:rsidRPr="0082694C" w:rsidRDefault="008F33A4" w:rsidP="008F33A4">
      <w:pPr>
        <w:rPr>
          <w:sz w:val="28"/>
          <w:szCs w:val="28"/>
        </w:rPr>
      </w:pPr>
    </w:p>
    <w:p w:rsidR="008F33A4" w:rsidRPr="0082694C" w:rsidRDefault="008F33A4" w:rsidP="008F33A4">
      <w:pPr>
        <w:jc w:val="both"/>
        <w:rPr>
          <w:sz w:val="28"/>
          <w:szCs w:val="28"/>
        </w:rPr>
      </w:pPr>
      <w:r w:rsidRPr="0082694C">
        <w:rPr>
          <w:sz w:val="28"/>
          <w:szCs w:val="28"/>
        </w:rPr>
        <w:t>izteikt devīto daļu šādā redakcijā:</w:t>
      </w:r>
    </w:p>
    <w:p w:rsidR="008F33A4" w:rsidRPr="0082694C" w:rsidRDefault="008F33A4" w:rsidP="008F33A4">
      <w:pPr>
        <w:jc w:val="both"/>
        <w:rPr>
          <w:sz w:val="28"/>
          <w:szCs w:val="28"/>
        </w:rPr>
      </w:pPr>
      <w:r w:rsidRPr="0082694C">
        <w:rPr>
          <w:sz w:val="28"/>
          <w:szCs w:val="28"/>
        </w:rPr>
        <w:t>“(9) Minimālās apgādnieka zaudējuma pensijas apmērs katram bērnam ir:</w:t>
      </w:r>
    </w:p>
    <w:p w:rsidR="008F33A4" w:rsidRPr="0082694C" w:rsidRDefault="008F33A4" w:rsidP="008F33A4">
      <w:pPr>
        <w:jc w:val="both"/>
        <w:rPr>
          <w:sz w:val="28"/>
          <w:szCs w:val="28"/>
        </w:rPr>
      </w:pPr>
      <w:r w:rsidRPr="0082694C">
        <w:rPr>
          <w:sz w:val="28"/>
          <w:szCs w:val="28"/>
        </w:rPr>
        <w:t xml:space="preserve">1) no dzimšanas līdz septiņu gadu vecuma sasniegšanai – </w:t>
      </w:r>
      <w:r w:rsidR="008A2E84" w:rsidRPr="0082694C">
        <w:rPr>
          <w:sz w:val="28"/>
          <w:szCs w:val="28"/>
        </w:rPr>
        <w:t>25</w:t>
      </w:r>
      <w:r w:rsidRPr="0082694C">
        <w:rPr>
          <w:sz w:val="28"/>
          <w:szCs w:val="28"/>
        </w:rPr>
        <w:t xml:space="preserve"> procenti  no ienākumu mediānas;</w:t>
      </w:r>
    </w:p>
    <w:p w:rsidR="008F33A4" w:rsidRPr="0082694C" w:rsidRDefault="008F33A4" w:rsidP="008F33A4">
      <w:pPr>
        <w:jc w:val="both"/>
        <w:rPr>
          <w:sz w:val="28"/>
          <w:szCs w:val="28"/>
        </w:rPr>
      </w:pPr>
      <w:r w:rsidRPr="0082694C">
        <w:rPr>
          <w:sz w:val="28"/>
          <w:szCs w:val="28"/>
        </w:rPr>
        <w:t>2) no septiņu gadu vecuma – 3</w:t>
      </w:r>
      <w:r w:rsidR="008A2E84" w:rsidRPr="0082694C">
        <w:rPr>
          <w:sz w:val="28"/>
          <w:szCs w:val="28"/>
        </w:rPr>
        <w:t>0</w:t>
      </w:r>
      <w:r w:rsidRPr="0082694C">
        <w:rPr>
          <w:sz w:val="28"/>
          <w:szCs w:val="28"/>
        </w:rPr>
        <w:t xml:space="preserve"> procenti no ienākumu mediānas.”;</w:t>
      </w:r>
    </w:p>
    <w:p w:rsidR="008F33A4" w:rsidRPr="0082694C" w:rsidRDefault="008F33A4" w:rsidP="008F33A4">
      <w:pPr>
        <w:jc w:val="both"/>
        <w:rPr>
          <w:sz w:val="28"/>
          <w:szCs w:val="28"/>
        </w:rPr>
      </w:pPr>
    </w:p>
    <w:p w:rsidR="008F33A4" w:rsidRPr="0082694C" w:rsidRDefault="008F33A4" w:rsidP="008F33A4">
      <w:pPr>
        <w:jc w:val="both"/>
        <w:rPr>
          <w:sz w:val="28"/>
          <w:szCs w:val="28"/>
        </w:rPr>
      </w:pPr>
      <w:r w:rsidRPr="0082694C">
        <w:rPr>
          <w:sz w:val="28"/>
          <w:szCs w:val="28"/>
        </w:rPr>
        <w:t>papildināt pantu ar desmito daļu šādā redakcijā:</w:t>
      </w:r>
    </w:p>
    <w:p w:rsidR="008F33A4" w:rsidRPr="0082694C" w:rsidRDefault="008F33A4" w:rsidP="008F33A4">
      <w:pPr>
        <w:jc w:val="both"/>
        <w:rPr>
          <w:sz w:val="28"/>
          <w:szCs w:val="28"/>
        </w:rPr>
      </w:pPr>
      <w:r w:rsidRPr="0082694C">
        <w:rPr>
          <w:sz w:val="28"/>
          <w:szCs w:val="28"/>
        </w:rPr>
        <w:t xml:space="preserve">“(10) Minimālās apgādnieka zaudējuma pensijas apmēru pārskata </w:t>
      </w:r>
      <w:bookmarkStart w:id="8" w:name="_Hlk47095978"/>
      <w:r w:rsidRPr="0082694C">
        <w:rPr>
          <w:sz w:val="28"/>
          <w:szCs w:val="28"/>
          <w:lang w:eastAsia="lv-LV"/>
        </w:rPr>
        <w:t>atbilstoši likumā “Par sociālo drošību” noteikto minimālo ienākumu sliekšņu pārskatīšanas kārtībai.</w:t>
      </w:r>
      <w:r w:rsidRPr="0082694C">
        <w:rPr>
          <w:sz w:val="28"/>
          <w:szCs w:val="28"/>
        </w:rPr>
        <w:t>”.</w:t>
      </w:r>
    </w:p>
    <w:p w:rsidR="008F33A4" w:rsidRPr="0082694C" w:rsidRDefault="008F33A4" w:rsidP="008F33A4">
      <w:pPr>
        <w:jc w:val="both"/>
        <w:rPr>
          <w:sz w:val="28"/>
          <w:szCs w:val="28"/>
        </w:rPr>
      </w:pPr>
    </w:p>
    <w:p w:rsidR="008F33A4" w:rsidRPr="0082694C" w:rsidRDefault="008F33A4" w:rsidP="008F33A4">
      <w:pPr>
        <w:jc w:val="both"/>
        <w:rPr>
          <w:sz w:val="28"/>
          <w:szCs w:val="28"/>
        </w:rPr>
      </w:pPr>
      <w:r w:rsidRPr="0082694C">
        <w:rPr>
          <w:sz w:val="28"/>
          <w:szCs w:val="28"/>
        </w:rPr>
        <w:t xml:space="preserve">4. Aizstāt 36.panta otrajā daļā vārdus “nedrīkst būt mazāks par valsts sociālā nodrošinājuma pabalstu” ar vārdiem “nedrīkst būt mazāks par </w:t>
      </w:r>
      <w:r w:rsidR="008A2E84" w:rsidRPr="0082694C">
        <w:rPr>
          <w:sz w:val="28"/>
          <w:szCs w:val="28"/>
        </w:rPr>
        <w:t>25</w:t>
      </w:r>
      <w:r w:rsidRPr="0082694C">
        <w:rPr>
          <w:sz w:val="28"/>
          <w:szCs w:val="28"/>
          <w:lang w:eastAsia="lv-LV"/>
        </w:rPr>
        <w:t xml:space="preserve"> procentiem </w:t>
      </w:r>
      <w:r w:rsidRPr="0082694C">
        <w:rPr>
          <w:sz w:val="28"/>
          <w:szCs w:val="28"/>
        </w:rPr>
        <w:t>no ienākumu mediānas</w:t>
      </w:r>
      <w:r w:rsidRPr="0082694C">
        <w:rPr>
          <w:sz w:val="28"/>
          <w:szCs w:val="28"/>
          <w:lang w:eastAsia="lv-LV"/>
        </w:rPr>
        <w:t>, personām ar invaliditāti kopš bērnības – 3</w:t>
      </w:r>
      <w:r w:rsidR="008A2E84" w:rsidRPr="0082694C">
        <w:rPr>
          <w:sz w:val="28"/>
          <w:szCs w:val="28"/>
          <w:lang w:eastAsia="lv-LV"/>
        </w:rPr>
        <w:t>0</w:t>
      </w:r>
      <w:r w:rsidRPr="0082694C">
        <w:rPr>
          <w:sz w:val="28"/>
          <w:szCs w:val="28"/>
          <w:lang w:eastAsia="lv-LV"/>
        </w:rPr>
        <w:t xml:space="preserve"> procentiem no ienākumu mediānas.”</w:t>
      </w:r>
    </w:p>
    <w:p w:rsidR="008F33A4" w:rsidRPr="0082694C" w:rsidRDefault="008F33A4" w:rsidP="008F33A4">
      <w:pPr>
        <w:jc w:val="both"/>
        <w:rPr>
          <w:sz w:val="28"/>
          <w:szCs w:val="28"/>
        </w:rPr>
      </w:pPr>
    </w:p>
    <w:p w:rsidR="008F33A4" w:rsidRPr="0082694C" w:rsidRDefault="008F33A4" w:rsidP="008F33A4">
      <w:pPr>
        <w:jc w:val="both"/>
        <w:rPr>
          <w:sz w:val="28"/>
          <w:szCs w:val="28"/>
        </w:rPr>
      </w:pPr>
      <w:r w:rsidRPr="0082694C">
        <w:rPr>
          <w:sz w:val="28"/>
          <w:szCs w:val="28"/>
        </w:rPr>
        <w:t>5. Papildināt pārejas noteikumus ar  74. un 75.punktu šādā redakcijā:</w:t>
      </w:r>
    </w:p>
    <w:p w:rsidR="008F33A4" w:rsidRPr="0082694C" w:rsidRDefault="008F33A4" w:rsidP="008F33A4">
      <w:pPr>
        <w:spacing w:after="120" w:line="120" w:lineRule="atLeast"/>
        <w:contextualSpacing/>
        <w:jc w:val="both"/>
        <w:rPr>
          <w:sz w:val="28"/>
          <w:szCs w:val="28"/>
          <w:lang w:eastAsia="lv-LV"/>
        </w:rPr>
      </w:pPr>
      <w:r w:rsidRPr="0082694C">
        <w:rPr>
          <w:sz w:val="28"/>
          <w:szCs w:val="28"/>
        </w:rPr>
        <w:t>“74. N</w:t>
      </w:r>
      <w:r w:rsidRPr="0082694C">
        <w:rPr>
          <w:sz w:val="28"/>
          <w:szCs w:val="28"/>
          <w:lang w:eastAsia="lv-LV"/>
        </w:rPr>
        <w:t>osakot</w:t>
      </w:r>
      <w:r w:rsidRPr="0082694C">
        <w:rPr>
          <w:sz w:val="28"/>
          <w:szCs w:val="28"/>
        </w:rPr>
        <w:t xml:space="preserve"> m</w:t>
      </w:r>
      <w:r w:rsidRPr="0082694C">
        <w:rPr>
          <w:sz w:val="28"/>
          <w:szCs w:val="28"/>
          <w:lang w:eastAsia="lv-LV"/>
        </w:rPr>
        <w:t>inimālās vecuma pensijas apmēru saskaņā ar šā likuma 12.panta 2.</w:t>
      </w:r>
      <w:r w:rsidRPr="0082694C">
        <w:rPr>
          <w:sz w:val="28"/>
          <w:szCs w:val="28"/>
          <w:vertAlign w:val="superscript"/>
          <w:lang w:eastAsia="lv-LV"/>
        </w:rPr>
        <w:t>1</w:t>
      </w:r>
      <w:r w:rsidR="0047124F" w:rsidRPr="0082694C">
        <w:rPr>
          <w:sz w:val="28"/>
          <w:szCs w:val="28"/>
          <w:vertAlign w:val="superscript"/>
          <w:lang w:eastAsia="lv-LV"/>
        </w:rPr>
        <w:t xml:space="preserve"> </w:t>
      </w:r>
      <w:r w:rsidRPr="0082694C">
        <w:rPr>
          <w:sz w:val="28"/>
          <w:szCs w:val="28"/>
          <w:lang w:eastAsia="lv-LV"/>
        </w:rPr>
        <w:t>daļu, laikā no 2021.gada 1.janvāra līdz 2024.gada 31.decembrim minimālās vecuma pensijas aprēķina bāzei piemēro koeficientu – 1,1.</w:t>
      </w:r>
    </w:p>
    <w:p w:rsidR="008F33A4" w:rsidRPr="0082694C" w:rsidRDefault="008F33A4" w:rsidP="008F33A4">
      <w:pPr>
        <w:jc w:val="both"/>
        <w:rPr>
          <w:sz w:val="28"/>
          <w:szCs w:val="28"/>
        </w:rPr>
      </w:pPr>
    </w:p>
    <w:p w:rsidR="008F33A4" w:rsidRPr="0082694C" w:rsidRDefault="008F33A4" w:rsidP="008F33A4">
      <w:pPr>
        <w:spacing w:after="120" w:line="120" w:lineRule="atLeast"/>
        <w:contextualSpacing/>
        <w:jc w:val="both"/>
        <w:rPr>
          <w:sz w:val="28"/>
          <w:szCs w:val="28"/>
          <w:lang w:eastAsia="lv-LV"/>
        </w:rPr>
      </w:pPr>
      <w:r w:rsidRPr="0082694C">
        <w:rPr>
          <w:sz w:val="28"/>
          <w:szCs w:val="28"/>
        </w:rPr>
        <w:t xml:space="preserve">75. </w:t>
      </w:r>
      <w:r w:rsidRPr="0082694C">
        <w:rPr>
          <w:sz w:val="28"/>
          <w:szCs w:val="28"/>
          <w:lang w:eastAsia="lv-LV"/>
        </w:rPr>
        <w:t xml:space="preserve">Par periodu no 2021.gada 1.janvāra līdz 2021.gada 30.aprīlim vecuma pensiju, invaliditātes pensiju un apgādnieka zaudējuma pensiju, kas nosakāma minimālās pensijas apmērā, izmaksā minimālās pensijas, kāda bija noteikta  atbilstoši normatīvajiem aktiem līdz 2020.gada 31.decembrim, apmērā  un ne vēlāk kā līdz 2021.gada maijam veic šo minimālo pensiju pārrēķinu, un starpību izmaksā vienlaikus ar 2021.gada maija mēneša pensiju.”. </w:t>
      </w:r>
    </w:p>
    <w:p w:rsidR="008F33A4" w:rsidRPr="0082694C" w:rsidRDefault="008F33A4" w:rsidP="008F33A4">
      <w:pPr>
        <w:jc w:val="both"/>
        <w:rPr>
          <w:sz w:val="28"/>
          <w:szCs w:val="28"/>
        </w:rPr>
      </w:pPr>
    </w:p>
    <w:p w:rsidR="008F33A4" w:rsidRPr="0082694C" w:rsidRDefault="008F33A4" w:rsidP="008F33A4">
      <w:pPr>
        <w:rPr>
          <w:sz w:val="28"/>
          <w:szCs w:val="28"/>
          <w:lang w:eastAsia="lv-LV"/>
        </w:rPr>
      </w:pPr>
      <w:r w:rsidRPr="0082694C">
        <w:rPr>
          <w:sz w:val="28"/>
          <w:szCs w:val="28"/>
          <w:lang w:eastAsia="lv-LV"/>
        </w:rPr>
        <w:t>Likums stājas spēkā 2021. gada 1. janvārī.</w:t>
      </w:r>
    </w:p>
    <w:p w:rsidR="008F33A4" w:rsidRPr="0082694C" w:rsidRDefault="008F33A4" w:rsidP="008F33A4">
      <w:pPr>
        <w:rPr>
          <w:sz w:val="28"/>
          <w:szCs w:val="28"/>
        </w:rPr>
      </w:pPr>
    </w:p>
    <w:bookmarkEnd w:id="8"/>
    <w:p w:rsidR="006E4C15" w:rsidRPr="004934CA" w:rsidRDefault="006E4C15" w:rsidP="006E4C15">
      <w:pPr>
        <w:ind w:firstLine="709"/>
        <w:rPr>
          <w:sz w:val="28"/>
          <w:szCs w:val="28"/>
          <w:lang w:val="de-DE"/>
        </w:rPr>
      </w:pPr>
      <w:proofErr w:type="spellStart"/>
      <w:r w:rsidRPr="004934CA">
        <w:rPr>
          <w:sz w:val="28"/>
          <w:szCs w:val="28"/>
          <w:lang w:val="de-DE"/>
        </w:rPr>
        <w:t>Iesniedzējs</w:t>
      </w:r>
      <w:proofErr w:type="spellEnd"/>
      <w:r>
        <w:rPr>
          <w:sz w:val="28"/>
          <w:szCs w:val="28"/>
          <w:lang w:val="de-DE"/>
        </w:rPr>
        <w:t>:</w:t>
      </w:r>
    </w:p>
    <w:p w:rsidR="006E4C15" w:rsidRPr="004934CA" w:rsidRDefault="006E4C15" w:rsidP="006E4C15">
      <w:pPr>
        <w:ind w:firstLine="709"/>
      </w:pPr>
      <w:proofErr w:type="spellStart"/>
      <w:r w:rsidRPr="004934CA">
        <w:rPr>
          <w:sz w:val="28"/>
          <w:szCs w:val="28"/>
          <w:lang w:val="de-DE"/>
        </w:rPr>
        <w:t>labklājības</w:t>
      </w:r>
      <w:proofErr w:type="spellEnd"/>
      <w:r w:rsidRPr="004934CA">
        <w:rPr>
          <w:sz w:val="28"/>
          <w:szCs w:val="28"/>
          <w:lang w:val="de-DE"/>
        </w:rPr>
        <w:t xml:space="preserve"> </w:t>
      </w:r>
      <w:proofErr w:type="spellStart"/>
      <w:r w:rsidRPr="004934CA">
        <w:rPr>
          <w:sz w:val="28"/>
          <w:szCs w:val="28"/>
          <w:lang w:val="de-DE"/>
        </w:rPr>
        <w:t>ministr</w:t>
      </w:r>
      <w:r>
        <w:rPr>
          <w:sz w:val="28"/>
          <w:szCs w:val="28"/>
          <w:lang w:val="de-DE"/>
        </w:rPr>
        <w:t>e</w:t>
      </w:r>
      <w:proofErr w:type="spellEnd"/>
      <w:r w:rsidRPr="004934CA">
        <w:rPr>
          <w:sz w:val="28"/>
          <w:szCs w:val="28"/>
          <w:lang w:val="de-DE"/>
        </w:rPr>
        <w:tab/>
      </w:r>
      <w:r w:rsidRPr="004934CA">
        <w:rPr>
          <w:sz w:val="28"/>
          <w:szCs w:val="28"/>
          <w:lang w:val="de-DE"/>
        </w:rPr>
        <w:tab/>
      </w:r>
      <w:r w:rsidRPr="004934CA">
        <w:rPr>
          <w:sz w:val="28"/>
          <w:szCs w:val="28"/>
          <w:lang w:val="de-DE"/>
        </w:rPr>
        <w:tab/>
      </w:r>
      <w:r w:rsidRPr="004934CA">
        <w:rPr>
          <w:sz w:val="28"/>
          <w:szCs w:val="28"/>
          <w:lang w:val="de-DE"/>
        </w:rPr>
        <w:tab/>
      </w:r>
      <w:r w:rsidRPr="004934CA">
        <w:rPr>
          <w:sz w:val="28"/>
          <w:szCs w:val="28"/>
          <w:lang w:val="de-DE"/>
        </w:rPr>
        <w:tab/>
      </w:r>
      <w:r w:rsidRPr="004934CA">
        <w:rPr>
          <w:sz w:val="28"/>
          <w:szCs w:val="28"/>
          <w:lang w:val="de-DE"/>
        </w:rPr>
        <w:tab/>
      </w:r>
      <w:proofErr w:type="spellStart"/>
      <w:r>
        <w:rPr>
          <w:sz w:val="28"/>
          <w:szCs w:val="28"/>
          <w:lang w:val="de-DE"/>
        </w:rPr>
        <w:t>R.Petraviča</w:t>
      </w:r>
      <w:proofErr w:type="spellEnd"/>
    </w:p>
    <w:p w:rsidR="006E4C15" w:rsidRDefault="006E4C15" w:rsidP="006E4C15"/>
    <w:p w:rsidR="006E4C15" w:rsidRPr="004934CA" w:rsidRDefault="006E4C15" w:rsidP="006E4C15"/>
    <w:p w:rsidR="006E4C15" w:rsidRDefault="006E4C15" w:rsidP="006E4C15"/>
    <w:p w:rsidR="006E4C15" w:rsidRPr="00862311" w:rsidRDefault="006E4C15" w:rsidP="006E4C15">
      <w:proofErr w:type="spellStart"/>
      <w:r w:rsidRPr="00862311">
        <w:t>D.Trušinska</w:t>
      </w:r>
      <w:proofErr w:type="spellEnd"/>
      <w:r w:rsidRPr="00862311">
        <w:t>, 67021553</w:t>
      </w:r>
    </w:p>
    <w:p w:rsidR="00F7306B" w:rsidRDefault="006E4C15" w:rsidP="006E4C15">
      <w:r w:rsidRPr="00862311">
        <w:t>Dace.Trusinska@lm.gov.lv</w:t>
      </w:r>
    </w:p>
    <w:sectPr w:rsidR="00F7306B" w:rsidSect="0026665A">
      <w:headerReference w:type="default" r:id="rId36"/>
      <w:footerReference w:type="default" r:id="rId37"/>
      <w:footerReference w:type="first" r:id="rId38"/>
      <w:pgSz w:w="11906" w:h="16838"/>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435E" w:rsidRDefault="00F8435E">
      <w:r>
        <w:separator/>
      </w:r>
    </w:p>
  </w:endnote>
  <w:endnote w:type="continuationSeparator" w:id="0">
    <w:p w:rsidR="00F8435E" w:rsidRDefault="00F84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520" w:rsidRDefault="008F33A4">
    <w:pPr>
      <w:pStyle w:val="Footer"/>
    </w:pPr>
    <w:r>
      <w:t>LMlik_</w:t>
    </w:r>
    <w:r w:rsidR="00487CA1">
      <w:t>2</w:t>
    </w:r>
    <w:r w:rsidR="009C62E6">
      <w:t>8</w:t>
    </w:r>
    <w:r w:rsidR="00F83A40">
      <w:t>09</w:t>
    </w:r>
    <w:r>
      <w:t>20_PL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520" w:rsidRDefault="008F33A4">
    <w:pPr>
      <w:pStyle w:val="Footer"/>
    </w:pPr>
    <w:r>
      <w:t>LMlik_</w:t>
    </w:r>
    <w:r w:rsidR="00487CA1">
      <w:t>2</w:t>
    </w:r>
    <w:r w:rsidR="009C62E6">
      <w:t>8</w:t>
    </w:r>
    <w:r w:rsidR="00F83A40">
      <w:t>09</w:t>
    </w:r>
    <w:r>
      <w:t>20_PL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435E" w:rsidRDefault="00F8435E">
      <w:r>
        <w:separator/>
      </w:r>
    </w:p>
  </w:footnote>
  <w:footnote w:type="continuationSeparator" w:id="0">
    <w:p w:rsidR="00F8435E" w:rsidRDefault="00F84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18D" w:rsidRDefault="008F33A4">
    <w:pPr>
      <w:pStyle w:val="Header"/>
      <w:jc w:val="center"/>
    </w:pPr>
    <w:r>
      <w:fldChar w:fldCharType="begin"/>
    </w:r>
    <w:r>
      <w:instrText xml:space="preserve"> PAGE   \* MERGEFORMAT </w:instrText>
    </w:r>
    <w:r>
      <w:fldChar w:fldCharType="separate"/>
    </w:r>
    <w:r>
      <w:rPr>
        <w:noProof/>
      </w:rPr>
      <w:t>2</w:t>
    </w:r>
    <w:r>
      <w:rPr>
        <w:noProof/>
      </w:rPr>
      <w:fldChar w:fldCharType="end"/>
    </w:r>
  </w:p>
  <w:p w:rsidR="005C718D" w:rsidRDefault="00F843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3A4"/>
    <w:rsid w:val="00282F1F"/>
    <w:rsid w:val="003C243D"/>
    <w:rsid w:val="003D3EE5"/>
    <w:rsid w:val="003F1B6F"/>
    <w:rsid w:val="0047124F"/>
    <w:rsid w:val="00487CA1"/>
    <w:rsid w:val="004A1CF7"/>
    <w:rsid w:val="005743BC"/>
    <w:rsid w:val="006E4C15"/>
    <w:rsid w:val="007B672A"/>
    <w:rsid w:val="0082694C"/>
    <w:rsid w:val="00883BC7"/>
    <w:rsid w:val="008A2E84"/>
    <w:rsid w:val="008F33A4"/>
    <w:rsid w:val="00977BA0"/>
    <w:rsid w:val="009C62E6"/>
    <w:rsid w:val="00CE7DBF"/>
    <w:rsid w:val="00F349E5"/>
    <w:rsid w:val="00F7306B"/>
    <w:rsid w:val="00F83A40"/>
    <w:rsid w:val="00F843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9F3B5"/>
  <w15:chartTrackingRefBased/>
  <w15:docId w15:val="{1C157579-40EF-4A40-B1DD-4FC30415F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33A4"/>
    <w:pPr>
      <w:suppressAutoHyphens/>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33A4"/>
    <w:rPr>
      <w:rFonts w:cs="Times New Roman"/>
      <w:color w:val="0000FF"/>
      <w:u w:val="single"/>
    </w:rPr>
  </w:style>
  <w:style w:type="paragraph" w:styleId="Header">
    <w:name w:val="header"/>
    <w:basedOn w:val="Normal"/>
    <w:link w:val="HeaderChar"/>
    <w:uiPriority w:val="99"/>
    <w:rsid w:val="008F33A4"/>
    <w:pPr>
      <w:tabs>
        <w:tab w:val="center" w:pos="4153"/>
        <w:tab w:val="right" w:pos="8306"/>
      </w:tabs>
    </w:pPr>
  </w:style>
  <w:style w:type="character" w:customStyle="1" w:styleId="HeaderChar">
    <w:name w:val="Header Char"/>
    <w:basedOn w:val="DefaultParagraphFont"/>
    <w:link w:val="Header"/>
    <w:uiPriority w:val="99"/>
    <w:rsid w:val="008F33A4"/>
    <w:rPr>
      <w:rFonts w:ascii="Times New Roman" w:eastAsia="Times New Roman" w:hAnsi="Times New Roman" w:cs="Times New Roman"/>
      <w:sz w:val="24"/>
      <w:szCs w:val="24"/>
      <w:lang w:eastAsia="zh-CN"/>
    </w:rPr>
  </w:style>
  <w:style w:type="paragraph" w:styleId="Footer">
    <w:name w:val="footer"/>
    <w:basedOn w:val="Normal"/>
    <w:link w:val="FooterChar"/>
    <w:rsid w:val="008F33A4"/>
    <w:pPr>
      <w:tabs>
        <w:tab w:val="center" w:pos="4153"/>
        <w:tab w:val="right" w:pos="8306"/>
      </w:tabs>
    </w:pPr>
  </w:style>
  <w:style w:type="character" w:customStyle="1" w:styleId="FooterChar">
    <w:name w:val="Footer Char"/>
    <w:basedOn w:val="DefaultParagraphFont"/>
    <w:link w:val="Footer"/>
    <w:rsid w:val="008F33A4"/>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38048-par-valsts-pensijam" TargetMode="External"/><Relationship Id="rId18" Type="http://schemas.openxmlformats.org/officeDocument/2006/relationships/hyperlink" Target="https://likumi.lv/ta/id/38048-par-valsts-pensijam" TargetMode="External"/><Relationship Id="rId26" Type="http://schemas.openxmlformats.org/officeDocument/2006/relationships/hyperlink" Target="https://likumi.lv/ta/id/38048-par-valsts-pensijam" TargetMode="External"/><Relationship Id="rId39" Type="http://schemas.openxmlformats.org/officeDocument/2006/relationships/fontTable" Target="fontTable.xml"/><Relationship Id="rId21" Type="http://schemas.openxmlformats.org/officeDocument/2006/relationships/hyperlink" Target="https://likumi.lv/ta/id/38048-par-valsts-pensijam" TargetMode="External"/><Relationship Id="rId34" Type="http://schemas.openxmlformats.org/officeDocument/2006/relationships/hyperlink" Target="https://likumi.lv/ta/id/38048-par-valsts-pensijam" TargetMode="External"/><Relationship Id="rId7" Type="http://schemas.openxmlformats.org/officeDocument/2006/relationships/hyperlink" Target="https://likumi.lv/ta/id/38048-par-valsts-pensijam" TargetMode="External"/><Relationship Id="rId12" Type="http://schemas.openxmlformats.org/officeDocument/2006/relationships/hyperlink" Target="https://likumi.lv/ta/id/38048-par-valsts-pensijam" TargetMode="External"/><Relationship Id="rId17" Type="http://schemas.openxmlformats.org/officeDocument/2006/relationships/hyperlink" Target="https://likumi.lv/ta/id/38048-par-valsts-pensijam" TargetMode="External"/><Relationship Id="rId25" Type="http://schemas.openxmlformats.org/officeDocument/2006/relationships/hyperlink" Target="https://likumi.lv/ta/id/38048-par-valsts-pensijam" TargetMode="External"/><Relationship Id="rId33" Type="http://schemas.openxmlformats.org/officeDocument/2006/relationships/hyperlink" Target="https://likumi.lv/ta/id/38048-par-valsts-pensijam" TargetMode="External"/><Relationship Id="rId38"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https://likumi.lv/ta/id/38048-par-valsts-pensijam" TargetMode="External"/><Relationship Id="rId20" Type="http://schemas.openxmlformats.org/officeDocument/2006/relationships/hyperlink" Target="https://likumi.lv/ta/id/38048-par-valsts-pensijam" TargetMode="External"/><Relationship Id="rId29" Type="http://schemas.openxmlformats.org/officeDocument/2006/relationships/hyperlink" Target="https://likumi.lv/ta/id/38048-par-valsts-pensijam" TargetMode="External"/><Relationship Id="rId1" Type="http://schemas.openxmlformats.org/officeDocument/2006/relationships/styles" Target="styles.xml"/><Relationship Id="rId6" Type="http://schemas.openxmlformats.org/officeDocument/2006/relationships/hyperlink" Target="https://likumi.lv/ta/id/38048-par-valsts-pensijam" TargetMode="External"/><Relationship Id="rId11" Type="http://schemas.openxmlformats.org/officeDocument/2006/relationships/hyperlink" Target="https://likumi.lv/ta/id/38048-par-valsts-pensijam" TargetMode="External"/><Relationship Id="rId24" Type="http://schemas.openxmlformats.org/officeDocument/2006/relationships/hyperlink" Target="https://likumi.lv/ta/id/38048-par-valsts-pensijam" TargetMode="External"/><Relationship Id="rId32" Type="http://schemas.openxmlformats.org/officeDocument/2006/relationships/hyperlink" Target="https://likumi.lv/ta/id/38048-par-valsts-pensijam"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likumi.lv/ta/id/38048-par-valsts-pensijam" TargetMode="External"/><Relationship Id="rId23" Type="http://schemas.openxmlformats.org/officeDocument/2006/relationships/hyperlink" Target="https://likumi.lv/ta/id/38048-par-valsts-pensijam" TargetMode="External"/><Relationship Id="rId28" Type="http://schemas.openxmlformats.org/officeDocument/2006/relationships/hyperlink" Target="https://likumi.lv/ta/id/38048-par-valsts-pensijam" TargetMode="External"/><Relationship Id="rId36" Type="http://schemas.openxmlformats.org/officeDocument/2006/relationships/header" Target="header1.xml"/><Relationship Id="rId10" Type="http://schemas.openxmlformats.org/officeDocument/2006/relationships/hyperlink" Target="https://likumi.lv/ta/id/38048-par-valsts-pensijam" TargetMode="External"/><Relationship Id="rId19" Type="http://schemas.openxmlformats.org/officeDocument/2006/relationships/hyperlink" Target="https://likumi.lv/ta/id/38048-par-valsts-pensijam" TargetMode="External"/><Relationship Id="rId31" Type="http://schemas.openxmlformats.org/officeDocument/2006/relationships/hyperlink" Target="https://likumi.lv/ta/id/38048-par-valsts-pensijam" TargetMode="External"/><Relationship Id="rId4" Type="http://schemas.openxmlformats.org/officeDocument/2006/relationships/footnotes" Target="footnotes.xml"/><Relationship Id="rId9" Type="http://schemas.openxmlformats.org/officeDocument/2006/relationships/hyperlink" Target="https://likumi.lv/ta/id/38048-par-valsts-pensijam" TargetMode="External"/><Relationship Id="rId14" Type="http://schemas.openxmlformats.org/officeDocument/2006/relationships/hyperlink" Target="https://likumi.lv/ta/id/38048-par-valsts-pensijam" TargetMode="External"/><Relationship Id="rId22" Type="http://schemas.openxmlformats.org/officeDocument/2006/relationships/hyperlink" Target="https://likumi.lv/ta/id/38048-par-valsts-pensijam" TargetMode="External"/><Relationship Id="rId27" Type="http://schemas.openxmlformats.org/officeDocument/2006/relationships/hyperlink" Target="https://likumi.lv/ta/id/38048-par-valsts-pensijam" TargetMode="External"/><Relationship Id="rId30" Type="http://schemas.openxmlformats.org/officeDocument/2006/relationships/hyperlink" Target="https://likumi.lv/ta/id/38048-par-valsts-pensijam" TargetMode="External"/><Relationship Id="rId35" Type="http://schemas.openxmlformats.org/officeDocument/2006/relationships/hyperlink" Target="https://likumi.lv/ta/id/38048-par-valsts-pensijam" TargetMode="External"/><Relationship Id="rId8" Type="http://schemas.openxmlformats.org/officeDocument/2006/relationships/hyperlink" Target="https://likumi.lv/ta/id/38048-par-valsts-pensijam"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Pages>
  <Words>4376</Words>
  <Characters>2495</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valsts pensijām"</dc:title>
  <dc:subject>likumprojekts</dc:subject>
  <dc:creator>Dace Trusinska</dc:creator>
  <cp:keywords/>
  <dc:description>D.Trušinska, 67021553
Dace.Trusinska@lm.gov.lv</dc:description>
  <cp:lastModifiedBy>Dace Trusinska</cp:lastModifiedBy>
  <cp:revision>9</cp:revision>
  <dcterms:created xsi:type="dcterms:W3CDTF">2020-08-14T08:15:00Z</dcterms:created>
  <dcterms:modified xsi:type="dcterms:W3CDTF">2020-09-28T08:07:00Z</dcterms:modified>
</cp:coreProperties>
</file>