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7C36" w:rsidR="00AE6CAF" w:rsidP="00AC75BC" w:rsidRDefault="00AC75BC" w14:paraId="3F8F29F2" w14:textId="47462EB4">
      <w:pPr>
        <w:spacing w:line="240" w:lineRule="auto"/>
        <w:jc w:val="center"/>
        <w:rPr>
          <w:b/>
          <w:sz w:val="24"/>
          <w:szCs w:val="24"/>
        </w:rPr>
      </w:pPr>
      <w:bookmarkStart w:name="_Hlk502916799" w:id="0"/>
      <w:r w:rsidRPr="00317C36">
        <w:rPr>
          <w:b/>
          <w:sz w:val="24"/>
          <w:szCs w:val="28"/>
        </w:rPr>
        <w:t>Ministru kabineta noteikumu projekta</w:t>
      </w:r>
      <w:r w:rsidRPr="00317C36" w:rsidR="00771355">
        <w:rPr>
          <w:b/>
          <w:sz w:val="24"/>
          <w:szCs w:val="28"/>
        </w:rPr>
        <w:t xml:space="preserve"> “</w:t>
      </w:r>
      <w:r w:rsidRPr="00317C36" w:rsidR="00AE6CAF">
        <w:rPr>
          <w:b/>
          <w:sz w:val="24"/>
          <w:szCs w:val="24"/>
        </w:rPr>
        <w:t xml:space="preserve">Grozījumi Ministru kabineta </w:t>
      </w:r>
    </w:p>
    <w:p w:rsidRPr="00317C36" w:rsidR="00EF0AF7" w:rsidP="00AE6CAF" w:rsidRDefault="00AE6CAF" w14:paraId="6BD5BC77" w14:textId="35E675E1">
      <w:pPr>
        <w:spacing w:line="240" w:lineRule="auto"/>
        <w:ind w:firstLine="0"/>
        <w:jc w:val="center"/>
        <w:rPr>
          <w:b/>
          <w:sz w:val="24"/>
          <w:szCs w:val="28"/>
        </w:rPr>
      </w:pPr>
      <w:r w:rsidRPr="00317C36">
        <w:rPr>
          <w:b/>
          <w:sz w:val="24"/>
          <w:szCs w:val="24"/>
        </w:rPr>
        <w:t>2010.gada 30.novembra noteikumos Nr.1080 „Transportlīdzekļu reģistrācijas noteikumi</w:t>
      </w:r>
      <w:r w:rsidRPr="00317C36" w:rsidR="00AC75BC">
        <w:rPr>
          <w:b/>
          <w:sz w:val="24"/>
          <w:szCs w:val="28"/>
        </w:rPr>
        <w:t>”</w:t>
      </w:r>
      <w:r w:rsidRPr="00317C36" w:rsidR="00771355">
        <w:rPr>
          <w:b/>
          <w:sz w:val="24"/>
          <w:szCs w:val="28"/>
        </w:rPr>
        <w:t>” sākotnējās ietekmes novērtējuma ziņojums (anotācija)</w:t>
      </w:r>
    </w:p>
    <w:p w:rsidRPr="00317C36" w:rsidR="009A646D" w:rsidP="00AE6CAF" w:rsidRDefault="009A646D" w14:paraId="65451BCB" w14:textId="27481988">
      <w:pPr>
        <w:spacing w:line="240" w:lineRule="auto"/>
        <w:ind w:firstLine="0"/>
        <w:jc w:val="center"/>
        <w:rPr>
          <w:b/>
          <w:sz w:val="24"/>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317C36" w:rsidR="00317C36" w:rsidTr="00DE47D5" w14:paraId="2026295F"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317C36" w:rsidR="009A646D" w:rsidP="009A646D" w:rsidRDefault="009A646D" w14:paraId="0DD7856C" w14:textId="77777777">
            <w:pPr>
              <w:spacing w:line="240" w:lineRule="auto"/>
              <w:ind w:firstLine="0"/>
              <w:jc w:val="center"/>
              <w:rPr>
                <w:rFonts w:eastAsia="Times New Roman"/>
                <w:b/>
                <w:bCs/>
                <w:iCs/>
                <w:sz w:val="24"/>
                <w:szCs w:val="24"/>
                <w:lang w:eastAsia="lv-LV"/>
              </w:rPr>
            </w:pPr>
            <w:r w:rsidRPr="00317C36">
              <w:rPr>
                <w:rFonts w:eastAsia="Times New Roman"/>
                <w:b/>
                <w:bCs/>
                <w:iCs/>
                <w:sz w:val="24"/>
                <w:szCs w:val="24"/>
                <w:lang w:eastAsia="lv-LV"/>
              </w:rPr>
              <w:t>Tiesību akta projekta anotācijas kopsavilkums</w:t>
            </w:r>
          </w:p>
        </w:tc>
      </w:tr>
      <w:tr w:rsidRPr="00317C36" w:rsidR="009A646D" w:rsidTr="00DE47D5" w14:paraId="0D618750"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317C36" w:rsidR="009A646D" w:rsidP="009A646D" w:rsidRDefault="009A646D" w14:paraId="730DF0A2" w14:textId="2B532EC3">
            <w:pPr>
              <w:spacing w:line="240" w:lineRule="auto"/>
              <w:ind w:firstLine="0"/>
              <w:rPr>
                <w:rFonts w:eastAsia="Times New Roman"/>
                <w:iCs/>
                <w:sz w:val="24"/>
                <w:szCs w:val="24"/>
                <w:lang w:eastAsia="lv-LV"/>
              </w:rPr>
            </w:pPr>
            <w:r w:rsidRPr="00317C36">
              <w:rPr>
                <w:rFonts w:eastAsia="Times New Roman"/>
                <w:iCs/>
                <w:sz w:val="24"/>
                <w:szCs w:val="24"/>
                <w:lang w:eastAsia="lv-LV"/>
              </w:rPr>
              <w:t xml:space="preserve">Mērķis, risinājums un projekta spēkā stāšanās laiks </w:t>
            </w:r>
          </w:p>
        </w:tc>
        <w:tc>
          <w:tcPr>
            <w:tcW w:w="2970" w:type="pct"/>
            <w:tcBorders>
              <w:top w:val="outset" w:color="auto" w:sz="6" w:space="0"/>
              <w:left w:val="outset" w:color="auto" w:sz="6" w:space="0"/>
              <w:bottom w:val="outset" w:color="auto" w:sz="6" w:space="0"/>
              <w:right w:val="outset" w:color="auto" w:sz="6" w:space="0"/>
            </w:tcBorders>
            <w:hideMark/>
          </w:tcPr>
          <w:p w:rsidRPr="00317C36" w:rsidR="002D4975" w:rsidP="002D4975" w:rsidRDefault="002D4975" w14:paraId="095A423A" w14:textId="77777777">
            <w:pPr>
              <w:spacing w:line="240" w:lineRule="auto"/>
              <w:ind w:firstLine="0"/>
              <w:rPr>
                <w:rFonts w:eastAsia="Times New Roman"/>
                <w:iCs/>
                <w:sz w:val="24"/>
                <w:szCs w:val="24"/>
                <w:lang w:eastAsia="lv-LV"/>
              </w:rPr>
            </w:pPr>
            <w:r w:rsidRPr="00317C36">
              <w:rPr>
                <w:rFonts w:eastAsia="Times New Roman"/>
                <w:iCs/>
                <w:sz w:val="24"/>
                <w:szCs w:val="24"/>
                <w:lang w:eastAsia="lv-LV"/>
              </w:rPr>
              <w:t>Ministru kabineta noteikumu projekts “Grozījumi Ministru kabineta 2010.gada 30.novembra noteikumos Nr.1080 „Transportlīdzekļu reģistrācijas noteikumi”” (turpmāk - Noteikumu projekts) izstrādāts ar mērķi samazināt administratīvo slogu transportlīdzekļu reģistrācijā.</w:t>
            </w:r>
          </w:p>
          <w:p w:rsidRPr="00317C36" w:rsidR="002D4975" w:rsidP="000464D6" w:rsidRDefault="002D4975" w14:paraId="7B84114A" w14:textId="148DDA1B">
            <w:pPr>
              <w:spacing w:line="240" w:lineRule="auto"/>
              <w:ind w:firstLine="0"/>
              <w:rPr>
                <w:rFonts w:eastAsia="Times New Roman"/>
                <w:iCs/>
                <w:sz w:val="24"/>
                <w:szCs w:val="24"/>
                <w:lang w:eastAsia="lv-LV"/>
              </w:rPr>
            </w:pPr>
            <w:r w:rsidRPr="00317C36">
              <w:rPr>
                <w:rFonts w:eastAsia="Times New Roman"/>
                <w:iCs/>
                <w:sz w:val="24"/>
                <w:szCs w:val="24"/>
                <w:lang w:eastAsia="lv-LV"/>
              </w:rPr>
              <w:t>Noteikumu projekts stājas spēkā Oficiālo publikāciju un tiesiskās informācijas likumā noteiktajā kārtībā, izņemot Noteikumu projekta 1.un 2.punktu, kas paredz valsts reģistrācijas numuru izvēles pasūtīšanas iespējas un stāsies spēkā 2020.gada 1.</w:t>
            </w:r>
            <w:r w:rsidRPr="005B06C5" w:rsidR="00C34BC2">
              <w:rPr>
                <w:rFonts w:eastAsia="Times New Roman"/>
                <w:iCs/>
                <w:sz w:val="24"/>
                <w:szCs w:val="24"/>
                <w:lang w:eastAsia="lv-LV"/>
              </w:rPr>
              <w:t>decem</w:t>
            </w:r>
            <w:r w:rsidRPr="005B06C5">
              <w:rPr>
                <w:rFonts w:eastAsia="Times New Roman"/>
                <w:iCs/>
                <w:sz w:val="24"/>
                <w:szCs w:val="24"/>
                <w:lang w:eastAsia="lv-LV"/>
              </w:rPr>
              <w:t>brī</w:t>
            </w:r>
            <w:r w:rsidRPr="005B06C5" w:rsidR="00317C36">
              <w:rPr>
                <w:rFonts w:eastAsia="Times New Roman"/>
                <w:iCs/>
                <w:sz w:val="24"/>
                <w:szCs w:val="24"/>
                <w:lang w:eastAsia="lv-LV"/>
              </w:rPr>
              <w:t>.</w:t>
            </w:r>
          </w:p>
          <w:p w:rsidRPr="00317C36" w:rsidR="009A646D" w:rsidP="002D4975" w:rsidRDefault="009A646D" w14:paraId="2F313240" w14:textId="22106D56">
            <w:pPr>
              <w:spacing w:line="240" w:lineRule="auto"/>
              <w:ind w:firstLine="0"/>
              <w:rPr>
                <w:rFonts w:eastAsia="Times New Roman"/>
                <w:iCs/>
                <w:sz w:val="24"/>
                <w:szCs w:val="24"/>
                <w:lang w:eastAsia="lv-LV"/>
              </w:rPr>
            </w:pPr>
          </w:p>
        </w:tc>
      </w:tr>
      <w:bookmarkEnd w:id="0"/>
    </w:tbl>
    <w:p w:rsidRPr="00317C36" w:rsidR="00D63B5D" w:rsidP="00A955FE" w:rsidRDefault="00D63B5D" w14:paraId="31928D49" w14:textId="77777777">
      <w:pPr>
        <w:ind w:firstLine="0"/>
        <w:rPr>
          <w:rFonts w:eastAsia="Times New Roman"/>
          <w:sz w:val="24"/>
          <w:szCs w:val="24"/>
          <w:lang w:eastAsia="lv-LV"/>
        </w:rPr>
      </w:pPr>
    </w:p>
    <w:tbl>
      <w:tblPr>
        <w:tblpPr w:leftFromText="180" w:rightFromText="180" w:vertAnchor="text" w:horzAnchor="margin" w:tblpX="108" w:tblpY="1"/>
        <w:tblOverlap w:val="never"/>
        <w:tblW w:w="4930"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396"/>
        <w:gridCol w:w="2902"/>
        <w:gridCol w:w="5636"/>
      </w:tblGrid>
      <w:tr w:rsidRPr="00317C36" w:rsidR="00317C36" w:rsidTr="00693190" w14:paraId="71F1A1FC" w14:textId="77777777">
        <w:tc>
          <w:tcPr>
            <w:tcW w:w="5000" w:type="pct"/>
            <w:gridSpan w:val="3"/>
          </w:tcPr>
          <w:p w:rsidRPr="00317C36" w:rsidR="00FB77E7" w:rsidP="00F906CE" w:rsidRDefault="00FB77E7" w14:paraId="733C78C2" w14:textId="77777777">
            <w:pPr>
              <w:pStyle w:val="Parastais1"/>
              <w:spacing w:before="100" w:beforeAutospacing="1" w:after="100" w:afterAutospacing="1"/>
              <w:ind w:right="-415"/>
              <w:jc w:val="center"/>
              <w:rPr>
                <w:b/>
                <w:bCs/>
              </w:rPr>
            </w:pPr>
            <w:r w:rsidRPr="00317C36">
              <w:rPr>
                <w:b/>
                <w:bCs/>
              </w:rPr>
              <w:t>I. Tiesību akta projekta izstrādes nepieciešamība</w:t>
            </w:r>
          </w:p>
        </w:tc>
      </w:tr>
      <w:tr w:rsidRPr="00317C36" w:rsidR="00317C36" w:rsidTr="00693190" w14:paraId="42682811" w14:textId="77777777">
        <w:tc>
          <w:tcPr>
            <w:tcW w:w="206" w:type="pct"/>
          </w:tcPr>
          <w:p w:rsidRPr="00317C36" w:rsidR="00FB77E7" w:rsidP="00F906CE" w:rsidRDefault="00FB77E7" w14:paraId="5DE035F5" w14:textId="77777777">
            <w:pPr>
              <w:pStyle w:val="Parastais1"/>
              <w:spacing w:before="100" w:beforeAutospacing="1" w:after="100" w:afterAutospacing="1"/>
              <w:ind w:right="-415"/>
              <w:jc w:val="both"/>
            </w:pPr>
            <w:r w:rsidRPr="00317C36">
              <w:t>1.</w:t>
            </w:r>
          </w:p>
        </w:tc>
        <w:tc>
          <w:tcPr>
            <w:tcW w:w="1632" w:type="pct"/>
          </w:tcPr>
          <w:p w:rsidRPr="00317C36" w:rsidR="00FB77E7" w:rsidP="00F906CE" w:rsidRDefault="00FB77E7" w14:paraId="7D82EA1E" w14:textId="77777777">
            <w:pPr>
              <w:pStyle w:val="Parastais1"/>
              <w:spacing w:before="100" w:beforeAutospacing="1" w:after="100" w:afterAutospacing="1"/>
              <w:ind w:right="-415"/>
              <w:jc w:val="both"/>
            </w:pPr>
            <w:r w:rsidRPr="00317C36">
              <w:t>Pamatojums</w:t>
            </w:r>
          </w:p>
        </w:tc>
        <w:tc>
          <w:tcPr>
            <w:tcW w:w="3162" w:type="pct"/>
          </w:tcPr>
          <w:p w:rsidRPr="00317C36" w:rsidR="005877E1" w:rsidP="00417069" w:rsidRDefault="00417069" w14:paraId="61ACEF60" w14:textId="316812D3">
            <w:pPr>
              <w:spacing w:line="240" w:lineRule="auto"/>
              <w:ind w:right="34" w:firstLine="0"/>
              <w:rPr>
                <w:sz w:val="24"/>
                <w:szCs w:val="24"/>
              </w:rPr>
            </w:pPr>
            <w:r w:rsidRPr="00317C36">
              <w:rPr>
                <w:rFonts w:eastAsia="Times New Roman"/>
                <w:sz w:val="24"/>
                <w:szCs w:val="24"/>
                <w:lang w:eastAsia="lv-LV"/>
              </w:rPr>
              <w:t>Ceļu satiksmes likuma 10.panta 1.</w:t>
            </w:r>
            <w:r w:rsidRPr="00317C36">
              <w:rPr>
                <w:rFonts w:eastAsia="Times New Roman"/>
                <w:sz w:val="24"/>
                <w:szCs w:val="24"/>
                <w:vertAlign w:val="superscript"/>
                <w:lang w:eastAsia="lv-LV"/>
              </w:rPr>
              <w:t>4</w:t>
            </w:r>
            <w:r w:rsidRPr="00317C36">
              <w:rPr>
                <w:rFonts w:eastAsia="Times New Roman"/>
                <w:sz w:val="24"/>
                <w:szCs w:val="24"/>
                <w:lang w:eastAsia="lv-LV"/>
              </w:rPr>
              <w:t xml:space="preserve"> daļa</w:t>
            </w:r>
            <w:r w:rsidRPr="00317C36" w:rsidR="005C1DEA">
              <w:rPr>
                <w:rFonts w:eastAsia="Times New Roman"/>
                <w:sz w:val="24"/>
                <w:szCs w:val="24"/>
                <w:lang w:eastAsia="lv-LV"/>
              </w:rPr>
              <w:t>, 10.</w:t>
            </w:r>
            <w:r w:rsidRPr="00317C36" w:rsidR="005C1DEA">
              <w:rPr>
                <w:rFonts w:eastAsia="Times New Roman"/>
                <w:sz w:val="24"/>
                <w:szCs w:val="24"/>
                <w:vertAlign w:val="superscript"/>
                <w:lang w:eastAsia="lv-LV"/>
              </w:rPr>
              <w:t xml:space="preserve">2 </w:t>
            </w:r>
            <w:r w:rsidRPr="00317C36" w:rsidR="005C1DEA">
              <w:rPr>
                <w:rFonts w:eastAsia="Times New Roman"/>
                <w:sz w:val="24"/>
                <w:szCs w:val="24"/>
                <w:lang w:eastAsia="lv-LV"/>
              </w:rPr>
              <w:t>panta ceturtā daļa un 21.panta otrā daļa.</w:t>
            </w:r>
          </w:p>
        </w:tc>
      </w:tr>
      <w:tr w:rsidRPr="00317C36" w:rsidR="00317C36" w:rsidTr="00693190" w14:paraId="270663F0" w14:textId="77777777">
        <w:tc>
          <w:tcPr>
            <w:tcW w:w="206" w:type="pct"/>
          </w:tcPr>
          <w:p w:rsidRPr="00317C36" w:rsidR="00FB77E7" w:rsidP="00F906CE" w:rsidRDefault="00FB77E7" w14:paraId="30D5E71F" w14:textId="77777777">
            <w:pPr>
              <w:pStyle w:val="Parastais1"/>
              <w:spacing w:before="100" w:beforeAutospacing="1" w:after="100" w:afterAutospacing="1"/>
              <w:ind w:right="-415"/>
              <w:jc w:val="both"/>
            </w:pPr>
            <w:r w:rsidRPr="00317C36">
              <w:t>2.</w:t>
            </w:r>
          </w:p>
        </w:tc>
        <w:tc>
          <w:tcPr>
            <w:tcW w:w="1632" w:type="pct"/>
          </w:tcPr>
          <w:p w:rsidRPr="00317C36" w:rsidR="00FB77E7" w:rsidP="00851073" w:rsidRDefault="00FB77E7" w14:paraId="19106D07" w14:textId="77777777">
            <w:pPr>
              <w:pStyle w:val="Parastais1"/>
              <w:spacing w:before="100" w:beforeAutospacing="1" w:after="100" w:afterAutospacing="1"/>
              <w:ind w:right="-106"/>
            </w:pPr>
            <w:r w:rsidRPr="00317C36">
              <w:t>Pašreizējā situācija un problēmas, kuru risināšanai tiesību akta projekts izstrādāts, tiesiskā regulējuma mērķis un būtība</w:t>
            </w:r>
          </w:p>
        </w:tc>
        <w:tc>
          <w:tcPr>
            <w:tcW w:w="3162" w:type="pct"/>
          </w:tcPr>
          <w:p w:rsidRPr="00317C36" w:rsidR="00701C10" w:rsidP="00305943" w:rsidRDefault="004B260A" w14:paraId="5BD4FBA5" w14:textId="0896154B">
            <w:pPr>
              <w:pStyle w:val="NormalWeb"/>
              <w:shd w:val="clear" w:color="auto" w:fill="FFFFFF"/>
              <w:spacing w:before="0" w:beforeAutospacing="0" w:after="0" w:afterAutospacing="0"/>
              <w:ind w:firstLine="250"/>
              <w:jc w:val="both"/>
              <w:rPr>
                <w:lang w:val="lv-LV"/>
              </w:rPr>
            </w:pPr>
            <w:r w:rsidRPr="008250B2">
              <w:rPr>
                <w:lang w:val="lv-LV"/>
              </w:rPr>
              <w:t>Ministru kabineta 2010.gada 30.novembra noteikumu Nr.1080 „Transportlīdzekļu reģistrācijas noteikumi” (turpmāk – Noteikumi)</w:t>
            </w:r>
            <w:r w:rsidRPr="008250B2" w:rsidR="0025673B">
              <w:rPr>
                <w:lang w:val="lv-LV"/>
              </w:rPr>
              <w:t xml:space="preserve">  62.2. </w:t>
            </w:r>
            <w:r w:rsidRPr="008250B2" w:rsidR="00FD27C9">
              <w:rPr>
                <w:lang w:val="lv-LV"/>
              </w:rPr>
              <w:t>apakš</w:t>
            </w:r>
            <w:r w:rsidRPr="008250B2" w:rsidR="0025673B">
              <w:rPr>
                <w:lang w:val="lv-LV"/>
              </w:rPr>
              <w:t xml:space="preserve">punktā </w:t>
            </w:r>
            <w:r w:rsidR="0025673B">
              <w:rPr>
                <w:lang w:val="lv-LV"/>
              </w:rPr>
              <w:t>ir</w:t>
            </w:r>
            <w:r w:rsidRPr="0025673B" w:rsidR="0025673B">
              <w:rPr>
                <w:lang w:val="lv-LV"/>
              </w:rPr>
              <w:t xml:space="preserve"> noteikts, ka</w:t>
            </w:r>
            <w:r>
              <w:rPr>
                <w:lang w:val="lv-LV"/>
              </w:rPr>
              <w:t xml:space="preserve">  </w:t>
            </w:r>
            <w:r w:rsidRPr="00317C36" w:rsidR="002E2D2F">
              <w:rPr>
                <w:lang w:val="lv-LV"/>
              </w:rPr>
              <w:t xml:space="preserve">pirms transportlīdzekļa, kuram reģistrētas taksometru numura zīmes, noņemšanas no uzskaites tā atsavināšanai Latvijā vai izvešanai no Latvijas, pirms reģistrētā turētāja dzēšanas vai turētāja maiņas reģistrācijas veic valsts reģistrācijas numuru maiņu pret vispārējas izmantošanas valsts reģistrācijas numuriem. Lai veiktu taksometru numuru maiņu pret vispārējas izmantošanas valsts reģistrācijas numuriem, nepieciešama normatīvajos aktos par pasažieru komercpārvadājumiem ar taksometriem noteiktās institūcijas izdarīta atzīme </w:t>
            </w:r>
            <w:r w:rsidRPr="00317C36" w:rsidR="00E76C88">
              <w:rPr>
                <w:lang w:val="lv-LV"/>
              </w:rPr>
              <w:t>T</w:t>
            </w:r>
            <w:r w:rsidRPr="00317C36" w:rsidR="002E2D2F">
              <w:rPr>
                <w:lang w:val="lv-LV"/>
              </w:rPr>
              <w:t>ransportlīdzekļu</w:t>
            </w:r>
            <w:r w:rsidRPr="00317C36" w:rsidR="00E76C88">
              <w:rPr>
                <w:lang w:val="lv-LV"/>
              </w:rPr>
              <w:t xml:space="preserve"> un to vadītāju</w:t>
            </w:r>
            <w:r w:rsidRPr="00317C36" w:rsidR="00066234">
              <w:rPr>
                <w:lang w:val="lv-LV"/>
              </w:rPr>
              <w:t xml:space="preserve"> valsts</w:t>
            </w:r>
            <w:r w:rsidRPr="00317C36" w:rsidR="002E2D2F">
              <w:rPr>
                <w:lang w:val="lv-LV"/>
              </w:rPr>
              <w:t xml:space="preserve"> reģistrā </w:t>
            </w:r>
            <w:r w:rsidR="00EB10A3">
              <w:rPr>
                <w:lang w:val="lv-LV"/>
              </w:rPr>
              <w:t xml:space="preserve">(turpmāk - reģistrs) </w:t>
            </w:r>
            <w:r w:rsidRPr="00317C36" w:rsidR="002E2D2F">
              <w:rPr>
                <w:lang w:val="lv-LV"/>
              </w:rPr>
              <w:t>par licences kartītes anulēšanu.</w:t>
            </w:r>
            <w:r w:rsidRPr="00317C36" w:rsidR="00701C10">
              <w:rPr>
                <w:lang w:val="lv-LV"/>
              </w:rPr>
              <w:t xml:space="preserve">   </w:t>
            </w:r>
          </w:p>
          <w:p w:rsidRPr="00317C36" w:rsidR="001E5773" w:rsidP="00305943" w:rsidRDefault="002E2D2F" w14:paraId="756B2B85" w14:textId="75598376">
            <w:pPr>
              <w:pStyle w:val="NormalWeb"/>
              <w:shd w:val="clear" w:color="auto" w:fill="FFFFFF"/>
              <w:spacing w:before="0" w:beforeAutospacing="0" w:after="0" w:afterAutospacing="0"/>
              <w:ind w:firstLine="250"/>
              <w:jc w:val="both"/>
              <w:rPr>
                <w:lang w:val="lv-LV"/>
              </w:rPr>
            </w:pPr>
            <w:r w:rsidRPr="00317C36">
              <w:rPr>
                <w:lang w:val="lv-LV"/>
              </w:rPr>
              <w:t>Viens no normatīvajos aktos par pasažieru komercpārvadājumiem ar taksometriem noteiktās kārtības mērķi</w:t>
            </w:r>
            <w:r w:rsidRPr="00317C36" w:rsidR="001E5773">
              <w:rPr>
                <w:lang w:val="lv-LV"/>
              </w:rPr>
              <w:t>em</w:t>
            </w:r>
            <w:r w:rsidRPr="00317C36">
              <w:rPr>
                <w:lang w:val="lv-LV"/>
              </w:rPr>
              <w:t xml:space="preserve"> ir nodrošināt, ka pārvadājumus ar taksometriem veic transportlīdzekļa reģistrācijas dokumentā norādītais turētājs. </w:t>
            </w:r>
            <w:r w:rsidRPr="00317C36" w:rsidR="001E5773">
              <w:rPr>
                <w:lang w:val="lv-LV"/>
              </w:rPr>
              <w:t>Ir nepieciešams nepieļaut turētāja maiņas reģistrāciju, ja reģistrā nav institūcijas izdarīta atzīme par licences kartītes anulēšanu, kuru izdara, kad taksometru kompānija savas saistības pret valsti ir izpildījusi.</w:t>
            </w:r>
            <w:r w:rsidRPr="00317C36" w:rsidR="00EB7043">
              <w:rPr>
                <w:lang w:val="lv-LV"/>
              </w:rPr>
              <w:t xml:space="preserve"> Normatīvo aktu mērķis nav bijis radīt lieku administratīvu slogu, ja</w:t>
            </w:r>
            <w:r w:rsidRPr="00317C36" w:rsidR="00A33194">
              <w:rPr>
                <w:lang w:val="lv-LV"/>
              </w:rPr>
              <w:t xml:space="preserve"> reģistrētais taksometra</w:t>
            </w:r>
            <w:r w:rsidRPr="00317C36" w:rsidR="00EB7043">
              <w:rPr>
                <w:lang w:val="lv-LV"/>
              </w:rPr>
              <w:t xml:space="preserve"> turētājs no līzinga pakalpojumu snie</w:t>
            </w:r>
            <w:r w:rsidRPr="00317C36" w:rsidR="00A33194">
              <w:rPr>
                <w:lang w:val="lv-LV"/>
              </w:rPr>
              <w:t>dzēja</w:t>
            </w:r>
            <w:r w:rsidRPr="00317C36" w:rsidR="00EB7043">
              <w:rPr>
                <w:lang w:val="lv-LV"/>
              </w:rPr>
              <w:t xml:space="preserve"> savā īpašumā </w:t>
            </w:r>
            <w:r w:rsidRPr="00317C36" w:rsidR="00A33194">
              <w:rPr>
                <w:lang w:val="lv-LV"/>
              </w:rPr>
              <w:t xml:space="preserve">ir ieguvis </w:t>
            </w:r>
            <w:r w:rsidRPr="00317C36" w:rsidR="00EB7043">
              <w:rPr>
                <w:lang w:val="lv-LV"/>
              </w:rPr>
              <w:t>taksometru un vēlas to reģistrēt</w:t>
            </w:r>
            <w:r w:rsidR="00997342">
              <w:rPr>
                <w:lang w:val="lv-LV"/>
              </w:rPr>
              <w:t xml:space="preserve"> VAS “Ceļu satiksmes drošības direkcija” (turpmāk</w:t>
            </w:r>
            <w:r w:rsidR="00645CEF">
              <w:rPr>
                <w:lang w:val="lv-LV"/>
              </w:rPr>
              <w:t xml:space="preserve"> </w:t>
            </w:r>
            <w:r w:rsidR="00997342">
              <w:rPr>
                <w:lang w:val="lv-LV"/>
              </w:rPr>
              <w:t>–</w:t>
            </w:r>
            <w:r w:rsidRPr="00317C36" w:rsidR="00EB7043">
              <w:rPr>
                <w:lang w:val="lv-LV"/>
              </w:rPr>
              <w:t xml:space="preserve"> CSDD</w:t>
            </w:r>
            <w:r w:rsidR="008250B2">
              <w:rPr>
                <w:lang w:val="lv-LV"/>
              </w:rPr>
              <w:t>)</w:t>
            </w:r>
            <w:r w:rsidRPr="00317C36" w:rsidR="00EB7043">
              <w:rPr>
                <w:lang w:val="lv-LV"/>
              </w:rPr>
              <w:t>.</w:t>
            </w:r>
            <w:r w:rsidRPr="00317C36" w:rsidR="001E5773">
              <w:rPr>
                <w:lang w:val="lv-LV"/>
              </w:rPr>
              <w:t xml:space="preserve"> </w:t>
            </w:r>
            <w:r w:rsidRPr="00317C36" w:rsidR="00EB7043">
              <w:rPr>
                <w:lang w:val="lv-LV"/>
              </w:rPr>
              <w:t xml:space="preserve">Nav nepieciešams uzturēt administratīvo slogu, ja taksometra īpašnieks vēlas automobili reģistrēt </w:t>
            </w:r>
            <w:r w:rsidRPr="00317C36" w:rsidR="000327E9">
              <w:rPr>
                <w:lang w:val="lv-LV"/>
              </w:rPr>
              <w:t xml:space="preserve">īpašumā </w:t>
            </w:r>
            <w:r w:rsidRPr="00317C36" w:rsidR="00EB7043">
              <w:rPr>
                <w:lang w:val="lv-LV"/>
              </w:rPr>
              <w:t>citai</w:t>
            </w:r>
            <w:r w:rsidRPr="00317C36" w:rsidR="000048D5">
              <w:rPr>
                <w:lang w:val="lv-LV"/>
              </w:rPr>
              <w:t xml:space="preserve"> </w:t>
            </w:r>
            <w:r w:rsidRPr="00317C36" w:rsidR="00EB7043">
              <w:rPr>
                <w:lang w:val="lv-LV"/>
              </w:rPr>
              <w:t xml:space="preserve">personai, piemēram, līzinga pakalpojumu sniedzējam, </w:t>
            </w:r>
            <w:r w:rsidRPr="00317C36" w:rsidR="00EB7043">
              <w:rPr>
                <w:lang w:val="lv-LV"/>
              </w:rPr>
              <w:lastRenderedPageBreak/>
              <w:t xml:space="preserve">bet kā taksometra turētājs paliek komersants, kurš saņēmis licences kartīti noteiktajā kārtībā.   </w:t>
            </w:r>
            <w:r w:rsidRPr="00317C36" w:rsidR="001E5773">
              <w:rPr>
                <w:lang w:val="lv-LV"/>
              </w:rPr>
              <w:t xml:space="preserve">   </w:t>
            </w:r>
            <w:r w:rsidRPr="00317C36" w:rsidR="007702BD">
              <w:rPr>
                <w:lang w:val="lv-LV"/>
              </w:rPr>
              <w:t xml:space="preserve">  </w:t>
            </w:r>
          </w:p>
          <w:p w:rsidRPr="005B06C5" w:rsidR="007702BD" w:rsidP="00305943" w:rsidRDefault="00A82BC7" w14:paraId="616F8314" w14:textId="3259FA83">
            <w:pPr>
              <w:pStyle w:val="NormalWeb"/>
              <w:shd w:val="clear" w:color="auto" w:fill="FFFFFF"/>
              <w:spacing w:before="0" w:beforeAutospacing="0" w:after="0" w:afterAutospacing="0"/>
              <w:ind w:firstLine="250"/>
              <w:jc w:val="both"/>
              <w:rPr>
                <w:iCs/>
                <w:lang w:val="lv-LV" w:eastAsia="lv-LV"/>
              </w:rPr>
            </w:pPr>
            <w:r w:rsidRPr="005B06C5">
              <w:rPr>
                <w:iCs/>
                <w:lang w:val="lv-LV" w:eastAsia="lv-LV"/>
              </w:rPr>
              <w:t xml:space="preserve">Lai </w:t>
            </w:r>
            <w:r w:rsidRPr="005B06C5" w:rsidR="00331F85">
              <w:rPr>
                <w:iCs/>
                <w:lang w:val="lv-LV" w:eastAsia="lv-LV"/>
              </w:rPr>
              <w:t xml:space="preserve"> valsts pārvaldes pakalpojuma “Transportlīdzekļu reģistrācija” ietvaros </w:t>
            </w:r>
            <w:r w:rsidRPr="005B06C5">
              <w:rPr>
                <w:iCs/>
                <w:lang w:val="lv-LV" w:eastAsia="lv-LV"/>
              </w:rPr>
              <w:t>mazinātu administratīvo slogu  taksometru turētājiem</w:t>
            </w:r>
            <w:r w:rsidRPr="005B06C5" w:rsidR="00A33194">
              <w:rPr>
                <w:iCs/>
                <w:lang w:val="lv-LV" w:eastAsia="lv-LV"/>
              </w:rPr>
              <w:t xml:space="preserve">, kuriem ir spēkā </w:t>
            </w:r>
            <w:r w:rsidRPr="005B06C5" w:rsidR="00D77D20">
              <w:rPr>
                <w:iCs/>
                <w:lang w:val="lv-LV" w:eastAsia="lv-LV"/>
              </w:rPr>
              <w:t xml:space="preserve">esoša </w:t>
            </w:r>
            <w:r w:rsidRPr="005B06C5" w:rsidR="00A33194">
              <w:rPr>
                <w:iCs/>
                <w:lang w:val="lv-LV" w:eastAsia="lv-LV"/>
              </w:rPr>
              <w:t>normatīvajos aktos paredzētā licence</w:t>
            </w:r>
            <w:r w:rsidRPr="005B06C5" w:rsidR="00D77D20">
              <w:rPr>
                <w:iCs/>
                <w:lang w:val="lv-LV" w:eastAsia="lv-LV"/>
              </w:rPr>
              <w:t xml:space="preserve">, Noteikumu </w:t>
            </w:r>
            <w:r w:rsidRPr="005B06C5" w:rsidR="00997342">
              <w:rPr>
                <w:iCs/>
                <w:lang w:val="lv-LV" w:eastAsia="lv-LV"/>
              </w:rPr>
              <w:t xml:space="preserve">projekta </w:t>
            </w:r>
            <w:r w:rsidR="00335981">
              <w:rPr>
                <w:iCs/>
                <w:lang w:val="lv-LV" w:eastAsia="lv-LV"/>
              </w:rPr>
              <w:t>7</w:t>
            </w:r>
            <w:r w:rsidRPr="005B06C5" w:rsidR="00997342">
              <w:rPr>
                <w:iCs/>
                <w:lang w:val="lv-LV" w:eastAsia="lv-LV"/>
              </w:rPr>
              <w:t xml:space="preserve">. punktā </w:t>
            </w:r>
            <w:r w:rsidRPr="005B06C5" w:rsidR="00A33194">
              <w:rPr>
                <w:iCs/>
                <w:lang w:val="lv-LV" w:eastAsia="lv-LV"/>
              </w:rPr>
              <w:t>ir paredzēts, ka taksometra numura zīmes nav jāmaina, ja taksometrs</w:t>
            </w:r>
            <w:r w:rsidRPr="005B06C5" w:rsidR="00FC5712">
              <w:rPr>
                <w:iCs/>
                <w:lang w:val="lv-LV" w:eastAsia="lv-LV"/>
              </w:rPr>
              <w:t xml:space="preserve"> arī turpmāk</w:t>
            </w:r>
            <w:r w:rsidRPr="005B06C5" w:rsidR="00A33194">
              <w:rPr>
                <w:iCs/>
                <w:lang w:val="lv-LV" w:eastAsia="lv-LV"/>
              </w:rPr>
              <w:t xml:space="preserve"> tiek reģistrēts institūcijas izdarītajā atzīmē norādītajam turētājam.</w:t>
            </w:r>
            <w:r w:rsidRPr="005B06C5" w:rsidR="00C23D26">
              <w:rPr>
                <w:iCs/>
                <w:lang w:val="lv-LV" w:eastAsia="lv-LV"/>
              </w:rPr>
              <w:t xml:space="preserve"> </w:t>
            </w:r>
            <w:r w:rsidRPr="005B06C5" w:rsidR="00331F85">
              <w:rPr>
                <w:iCs/>
                <w:lang w:val="lv-LV" w:eastAsia="lv-LV"/>
              </w:rPr>
              <w:t>Šādas transportlīdzekļa reģistrācijas darbības nepieciešamība rodas gadījumos, kad transportlīdzeklis ir reģistrēts līzinga pakalpojuma sniedzēja īpašumā un turētājs vēlas mainīt līzinga pakalpojuma sniedzēju vai pēc līzinga saistību segšanas līzinga pakalpojuma sniedzējs transportlīdzekli nodod īpašumā reģistrētajam turētājam</w:t>
            </w:r>
            <w:r w:rsidR="005B06C5">
              <w:rPr>
                <w:iCs/>
                <w:lang w:val="lv-LV" w:eastAsia="lv-LV"/>
              </w:rPr>
              <w:t xml:space="preserve"> vai citai personai</w:t>
            </w:r>
            <w:r w:rsidRPr="005B06C5" w:rsidR="00331F85">
              <w:rPr>
                <w:iCs/>
                <w:lang w:val="lv-LV" w:eastAsia="lv-LV"/>
              </w:rPr>
              <w:t>.</w:t>
            </w:r>
          </w:p>
          <w:p w:rsidRPr="005B06C5" w:rsidR="00305943" w:rsidP="00305943" w:rsidRDefault="00A82BC7" w14:paraId="365F2F20" w14:textId="508F78FF">
            <w:pPr>
              <w:pStyle w:val="NormalWeb"/>
              <w:shd w:val="clear" w:color="auto" w:fill="FFFFFF"/>
              <w:spacing w:before="0" w:beforeAutospacing="0" w:after="0" w:afterAutospacing="0"/>
              <w:ind w:firstLine="250"/>
              <w:jc w:val="both"/>
              <w:rPr>
                <w:iCs/>
                <w:lang w:val="lv-LV" w:eastAsia="lv-LV"/>
              </w:rPr>
            </w:pPr>
            <w:r w:rsidRPr="005B06C5">
              <w:rPr>
                <w:iCs/>
                <w:lang w:val="lv-LV" w:eastAsia="lv-LV"/>
              </w:rPr>
              <w:t xml:space="preserve">Ņemot vērā, ka transportlīdzekļa krāsu reģistrācijas apliecībā vairs nenorāda, bet tā tiek fiksēta reģistrā, lai mazinātu administratīvo slogu valsts pārvaldes pakalpojuma “Transportlīdzekļu reģistrācija” ietvaros,  </w:t>
            </w:r>
            <w:r w:rsidRPr="005B06C5" w:rsidR="00305943">
              <w:rPr>
                <w:iCs/>
                <w:lang w:val="lv-LV" w:eastAsia="lv-LV"/>
              </w:rPr>
              <w:t xml:space="preserve">Noteikumu </w:t>
            </w:r>
            <w:r w:rsidRPr="005B06C5" w:rsidR="00997342">
              <w:rPr>
                <w:iCs/>
                <w:lang w:val="lv-LV" w:eastAsia="lv-LV"/>
              </w:rPr>
              <w:t xml:space="preserve">projekta </w:t>
            </w:r>
            <w:r w:rsidR="00335981">
              <w:rPr>
                <w:iCs/>
                <w:lang w:val="lv-LV" w:eastAsia="lv-LV"/>
              </w:rPr>
              <w:t>6</w:t>
            </w:r>
            <w:r w:rsidRPr="005B06C5" w:rsidR="00997342">
              <w:rPr>
                <w:iCs/>
                <w:lang w:val="lv-LV" w:eastAsia="lv-LV"/>
              </w:rPr>
              <w:t xml:space="preserve">.punktā </w:t>
            </w:r>
            <w:r w:rsidRPr="005B06C5" w:rsidR="00305943">
              <w:rPr>
                <w:iCs/>
                <w:lang w:val="lv-LV" w:eastAsia="lv-LV"/>
              </w:rPr>
              <w:t xml:space="preserve">ir paredzēts, ka transportlīdzekļu krāsas </w:t>
            </w:r>
            <w:r w:rsidRPr="005B06C5" w:rsidR="00597F9A">
              <w:rPr>
                <w:iCs/>
                <w:lang w:val="lv-LV" w:eastAsia="lv-LV"/>
              </w:rPr>
              <w:t>iz</w:t>
            </w:r>
            <w:r w:rsidRPr="005B06C5" w:rsidR="00305943">
              <w:rPr>
                <w:iCs/>
                <w:lang w:val="lv-LV" w:eastAsia="lv-LV"/>
              </w:rPr>
              <w:t>maiņa</w:t>
            </w:r>
            <w:r w:rsidRPr="005B06C5" w:rsidR="00597F9A">
              <w:rPr>
                <w:iCs/>
                <w:lang w:val="lv-LV" w:eastAsia="lv-LV"/>
              </w:rPr>
              <w:t>s</w:t>
            </w:r>
            <w:r w:rsidRPr="005B06C5" w:rsidR="00305943">
              <w:rPr>
                <w:iCs/>
                <w:lang w:val="lv-LV" w:eastAsia="lv-LV"/>
              </w:rPr>
              <w:t xml:space="preserve"> nav jāreģistrē</w:t>
            </w:r>
            <w:r w:rsidRPr="005B06C5" w:rsidR="00597F9A">
              <w:rPr>
                <w:iCs/>
                <w:lang w:val="lv-LV" w:eastAsia="lv-LV"/>
              </w:rPr>
              <w:t xml:space="preserve"> un nav jāsaņem jauna reģistrācijas apliecība</w:t>
            </w:r>
            <w:r w:rsidRPr="005B06C5" w:rsidR="00305943">
              <w:rPr>
                <w:iCs/>
                <w:lang w:val="lv-LV" w:eastAsia="lv-LV"/>
              </w:rPr>
              <w:t>.</w:t>
            </w:r>
            <w:r w:rsidRPr="005B06C5" w:rsidR="00C23D26">
              <w:rPr>
                <w:iCs/>
                <w:lang w:val="lv-LV" w:eastAsia="lv-LV"/>
              </w:rPr>
              <w:t xml:space="preserve"> </w:t>
            </w:r>
          </w:p>
          <w:p w:rsidRPr="005B06C5" w:rsidR="002D4975" w:rsidP="00305943" w:rsidRDefault="002D4975" w14:paraId="38B5CC34" w14:textId="450CC4B5">
            <w:pPr>
              <w:pStyle w:val="NormalWeb"/>
              <w:shd w:val="clear" w:color="auto" w:fill="FFFFFF"/>
              <w:spacing w:before="0" w:beforeAutospacing="0" w:after="0" w:afterAutospacing="0"/>
              <w:ind w:firstLine="250"/>
              <w:jc w:val="both"/>
              <w:rPr>
                <w:iCs/>
                <w:lang w:val="lv-LV" w:eastAsia="lv-LV"/>
              </w:rPr>
            </w:pPr>
            <w:r w:rsidRPr="005B06C5">
              <w:rPr>
                <w:iCs/>
                <w:lang w:val="lv-LV" w:eastAsia="lv-LV"/>
              </w:rPr>
              <w:t>Informācija reģistrā ir ievērojami plašāka nekā tā tiek atspoguļota transportlīdzekļa reģistrācijas apliecībā. Vienlaikus tie</w:t>
            </w:r>
            <w:r w:rsidRPr="005B06C5" w:rsidR="00266811">
              <w:rPr>
                <w:iCs/>
                <w:lang w:val="lv-LV" w:eastAsia="lv-LV"/>
              </w:rPr>
              <w:t>k</w:t>
            </w:r>
            <w:r w:rsidRPr="005B06C5">
              <w:rPr>
                <w:iCs/>
                <w:lang w:val="lv-LV" w:eastAsia="lv-LV"/>
              </w:rPr>
              <w:t xml:space="preserve"> saglabāta prakse, ka reizi gadā krāsojum</w:t>
            </w:r>
            <w:r w:rsidRPr="005B06C5" w:rsidR="00266811">
              <w:rPr>
                <w:iCs/>
                <w:lang w:val="lv-LV" w:eastAsia="lv-LV"/>
              </w:rPr>
              <w:t>s</w:t>
            </w:r>
            <w:r w:rsidRPr="005B06C5">
              <w:rPr>
                <w:iCs/>
                <w:lang w:val="lv-LV" w:eastAsia="lv-LV"/>
              </w:rPr>
              <w:t xml:space="preserve"> tiek fiksēts pie tehniskās apskates vai salīdzināšanas izziņā, ja tiek veikta agregātu salīdzināšana. Arī mainoties operatīv</w:t>
            </w:r>
            <w:r w:rsidRPr="005B06C5" w:rsidR="000327E9">
              <w:rPr>
                <w:iCs/>
                <w:lang w:val="lv-LV" w:eastAsia="lv-LV"/>
              </w:rPr>
              <w:t>ā</w:t>
            </w:r>
            <w:r w:rsidRPr="005B06C5">
              <w:rPr>
                <w:iCs/>
                <w:lang w:val="lv-LV" w:eastAsia="lv-LV"/>
              </w:rPr>
              <w:t xml:space="preserve"> transportlīdzekļ</w:t>
            </w:r>
            <w:r w:rsidRPr="005B06C5" w:rsidR="000327E9">
              <w:rPr>
                <w:iCs/>
                <w:lang w:val="lv-LV" w:eastAsia="lv-LV"/>
              </w:rPr>
              <w:t>a</w:t>
            </w:r>
            <w:r w:rsidRPr="005B06C5">
              <w:rPr>
                <w:iCs/>
                <w:lang w:val="lv-LV" w:eastAsia="lv-LV"/>
              </w:rPr>
              <w:t xml:space="preserve"> statusa</w:t>
            </w:r>
            <w:r w:rsidRPr="005B06C5" w:rsidR="00266811">
              <w:rPr>
                <w:iCs/>
                <w:lang w:val="lv-LV" w:eastAsia="lv-LV"/>
              </w:rPr>
              <w:t>m</w:t>
            </w:r>
            <w:r w:rsidRPr="005B06C5">
              <w:rPr>
                <w:iCs/>
                <w:lang w:val="lv-LV" w:eastAsia="lv-LV"/>
              </w:rPr>
              <w:t>, ziņas par krāsojuma izmaiņām joprojām ti</w:t>
            </w:r>
            <w:r w:rsidRPr="005B06C5" w:rsidR="00266811">
              <w:rPr>
                <w:iCs/>
                <w:lang w:val="lv-LV" w:eastAsia="lv-LV"/>
              </w:rPr>
              <w:t>e</w:t>
            </w:r>
            <w:r w:rsidRPr="005B06C5">
              <w:rPr>
                <w:iCs/>
                <w:lang w:val="lv-LV" w:eastAsia="lv-LV"/>
              </w:rPr>
              <w:t>k atspoguļotas reģistrā, bet nevis transportlīdzekļa reģistrācijas apliecībā.</w:t>
            </w:r>
            <w:r w:rsidRPr="005B06C5" w:rsidR="00C23D26">
              <w:rPr>
                <w:iCs/>
                <w:lang w:val="lv-LV" w:eastAsia="lv-LV"/>
              </w:rPr>
              <w:t xml:space="preserve"> </w:t>
            </w:r>
          </w:p>
          <w:p w:rsidRPr="005B06C5" w:rsidR="006D5280" w:rsidP="006D5280" w:rsidRDefault="00A82BC7" w14:paraId="71667762" w14:textId="4D27CF65">
            <w:pPr>
              <w:pStyle w:val="NormalWeb"/>
              <w:shd w:val="clear" w:color="auto" w:fill="FFFFFF"/>
              <w:spacing w:before="0" w:beforeAutospacing="0" w:after="0" w:afterAutospacing="0"/>
              <w:ind w:firstLine="250"/>
              <w:jc w:val="both"/>
              <w:rPr>
                <w:iCs/>
                <w:lang w:val="lv-LV" w:eastAsia="lv-LV"/>
              </w:rPr>
            </w:pPr>
            <w:r w:rsidRPr="005B06C5">
              <w:rPr>
                <w:iCs/>
                <w:lang w:val="lv-LV" w:eastAsia="lv-LV"/>
              </w:rPr>
              <w:t>Nodrošinot valsts pārvaldes pakalpojumu “Transportlīdzekļu reģistrācija”, CSDD š</w:t>
            </w:r>
            <w:r w:rsidRPr="005B06C5" w:rsidR="00A33194">
              <w:rPr>
                <w:iCs/>
                <w:lang w:val="lv-LV" w:eastAsia="lv-LV"/>
              </w:rPr>
              <w:t>obrīd transportlīdzekļus reģistrē</w:t>
            </w:r>
            <w:r w:rsidRPr="005B06C5" w:rsidR="00BF6856">
              <w:rPr>
                <w:iCs/>
                <w:lang w:val="lv-LV" w:eastAsia="lv-LV"/>
              </w:rPr>
              <w:t xml:space="preserve"> arī</w:t>
            </w:r>
            <w:r w:rsidRPr="005B06C5" w:rsidR="00792549">
              <w:rPr>
                <w:iCs/>
                <w:lang w:val="lv-LV" w:eastAsia="lv-LV"/>
              </w:rPr>
              <w:t xml:space="preserve"> tādām</w:t>
            </w:r>
            <w:r w:rsidRPr="005B06C5" w:rsidR="00A33194">
              <w:rPr>
                <w:iCs/>
                <w:lang w:val="lv-LV" w:eastAsia="lv-LV"/>
              </w:rPr>
              <w:t xml:space="preserve"> juridiskām personām, kuras savu statusu apliecina ar dažādiem dokumentiem</w:t>
            </w:r>
            <w:r w:rsidRPr="005B06C5" w:rsidR="00BF6856">
              <w:rPr>
                <w:iCs/>
                <w:lang w:val="lv-LV" w:eastAsia="lv-LV"/>
              </w:rPr>
              <w:t>, piemēram,</w:t>
            </w:r>
            <w:r w:rsidRPr="005B06C5" w:rsidR="00A33194">
              <w:rPr>
                <w:iCs/>
                <w:lang w:val="lv-LV" w:eastAsia="lv-LV"/>
              </w:rPr>
              <w:t xml:space="preserve"> statūtiem </w:t>
            </w:r>
            <w:r w:rsidRPr="005B06C5" w:rsidR="00BF6856">
              <w:rPr>
                <w:iCs/>
                <w:lang w:val="lv-LV" w:eastAsia="lv-LV"/>
              </w:rPr>
              <w:t>vai lēmum</w:t>
            </w:r>
            <w:r w:rsidRPr="005B06C5" w:rsidR="000327E9">
              <w:rPr>
                <w:iCs/>
                <w:lang w:val="lv-LV" w:eastAsia="lv-LV"/>
              </w:rPr>
              <w:t>u</w:t>
            </w:r>
            <w:r w:rsidRPr="005B06C5" w:rsidR="00BF6856">
              <w:rPr>
                <w:iCs/>
                <w:lang w:val="lv-LV" w:eastAsia="lv-LV"/>
              </w:rPr>
              <w:t xml:space="preserve"> par izveidošanu. Ņemot vērā, ka </w:t>
            </w:r>
            <w:r w:rsidRPr="005B06C5" w:rsidR="000327E9">
              <w:rPr>
                <w:iCs/>
                <w:lang w:val="lv-LV" w:eastAsia="lv-LV"/>
              </w:rPr>
              <w:t xml:space="preserve">Latvijas Republikas </w:t>
            </w:r>
            <w:r w:rsidRPr="005B06C5" w:rsidR="00BF6856">
              <w:rPr>
                <w:iCs/>
                <w:lang w:val="lv-LV" w:eastAsia="lv-LV"/>
              </w:rPr>
              <w:t>Uzņēmumu reģistrs uztur vienotu publisko personu un iestāžu sarakstu, lai novērstu datu ievades dublēšanos un atšķirības</w:t>
            </w:r>
            <w:r w:rsidR="00335981">
              <w:rPr>
                <w:iCs/>
                <w:lang w:val="lv-LV" w:eastAsia="lv-LV"/>
              </w:rPr>
              <w:t>,</w:t>
            </w:r>
            <w:r w:rsidRPr="005B06C5" w:rsidR="00BF6856">
              <w:rPr>
                <w:iCs/>
                <w:lang w:val="lv-LV" w:eastAsia="lv-LV"/>
              </w:rPr>
              <w:t xml:space="preserve"> uzturot informāciju dažādos </w:t>
            </w:r>
            <w:r w:rsidRPr="005B06C5" w:rsidR="00701C10">
              <w:rPr>
                <w:iCs/>
                <w:lang w:val="lv-LV" w:eastAsia="lv-LV"/>
              </w:rPr>
              <w:t xml:space="preserve">valsts </w:t>
            </w:r>
            <w:r w:rsidRPr="005B06C5" w:rsidR="00BF6856">
              <w:rPr>
                <w:iCs/>
                <w:lang w:val="lv-LV" w:eastAsia="lv-LV"/>
              </w:rPr>
              <w:t xml:space="preserve">reģistros, CSDD ir </w:t>
            </w:r>
            <w:r w:rsidRPr="005B06C5" w:rsidR="00701C10">
              <w:rPr>
                <w:iCs/>
                <w:lang w:val="lv-LV" w:eastAsia="lv-LV"/>
              </w:rPr>
              <w:t>nodrošinā</w:t>
            </w:r>
            <w:r w:rsidRPr="005B06C5" w:rsidR="00BF6856">
              <w:rPr>
                <w:iCs/>
                <w:lang w:val="lv-LV" w:eastAsia="lv-LV"/>
              </w:rPr>
              <w:t>jusi iespēju pirms transportlīdzekļ</w:t>
            </w:r>
            <w:r w:rsidRPr="005B06C5" w:rsidR="000327E9">
              <w:rPr>
                <w:iCs/>
                <w:lang w:val="lv-LV" w:eastAsia="lv-LV"/>
              </w:rPr>
              <w:t>a</w:t>
            </w:r>
            <w:r w:rsidRPr="005B06C5" w:rsidR="00BF6856">
              <w:rPr>
                <w:iCs/>
                <w:lang w:val="lv-LV" w:eastAsia="lv-LV"/>
              </w:rPr>
              <w:t xml:space="preserve"> reģistrācijas veikt juridiskas personas datu iegūšanu no </w:t>
            </w:r>
            <w:r w:rsidRPr="005B06C5" w:rsidR="000327E9">
              <w:rPr>
                <w:iCs/>
                <w:lang w:val="lv-LV" w:eastAsia="lv-LV"/>
              </w:rPr>
              <w:t xml:space="preserve">Latvijas Republikas </w:t>
            </w:r>
            <w:r w:rsidRPr="005B06C5" w:rsidR="00BF6856">
              <w:rPr>
                <w:iCs/>
                <w:lang w:val="lv-LV" w:eastAsia="lv-LV"/>
              </w:rPr>
              <w:t>Uzņēmumu reģistra</w:t>
            </w:r>
            <w:r w:rsidRPr="005B06C5" w:rsidR="000327E9">
              <w:rPr>
                <w:iCs/>
                <w:lang w:val="lv-LV" w:eastAsia="lv-LV"/>
              </w:rPr>
              <w:t xml:space="preserve"> vestajiem reģistriem</w:t>
            </w:r>
            <w:r w:rsidRPr="005B06C5" w:rsidR="00701C10">
              <w:rPr>
                <w:iCs/>
                <w:lang w:val="lv-LV" w:eastAsia="lv-LV"/>
              </w:rPr>
              <w:t xml:space="preserve">. Noteikumu </w:t>
            </w:r>
            <w:r w:rsidRPr="005B06C5" w:rsidR="00997342">
              <w:rPr>
                <w:iCs/>
                <w:lang w:val="lv-LV" w:eastAsia="lv-LV"/>
              </w:rPr>
              <w:t xml:space="preserve">projekta </w:t>
            </w:r>
            <w:r w:rsidR="00335981">
              <w:rPr>
                <w:iCs/>
                <w:lang w:val="lv-LV" w:eastAsia="lv-LV"/>
              </w:rPr>
              <w:t>4</w:t>
            </w:r>
            <w:r w:rsidRPr="005B06C5" w:rsidR="00997342">
              <w:rPr>
                <w:iCs/>
                <w:lang w:val="lv-LV" w:eastAsia="lv-LV"/>
              </w:rPr>
              <w:t xml:space="preserve">. un </w:t>
            </w:r>
            <w:r w:rsidR="00335981">
              <w:rPr>
                <w:iCs/>
                <w:lang w:val="lv-LV" w:eastAsia="lv-LV"/>
              </w:rPr>
              <w:t>9</w:t>
            </w:r>
            <w:r w:rsidRPr="005B06C5" w:rsidR="00997342">
              <w:rPr>
                <w:iCs/>
                <w:lang w:val="lv-LV" w:eastAsia="lv-LV"/>
              </w:rPr>
              <w:t xml:space="preserve">.punkts </w:t>
            </w:r>
            <w:r w:rsidRPr="005B06C5" w:rsidR="00701C10">
              <w:rPr>
                <w:iCs/>
                <w:lang w:val="lv-LV" w:eastAsia="lv-LV"/>
              </w:rPr>
              <w:t>paredz, ka transportlīdzekļ</w:t>
            </w:r>
            <w:r w:rsidRPr="005B06C5" w:rsidR="000327E9">
              <w:rPr>
                <w:iCs/>
                <w:lang w:val="lv-LV" w:eastAsia="lv-LV"/>
              </w:rPr>
              <w:t>a</w:t>
            </w:r>
            <w:r w:rsidRPr="005B06C5" w:rsidR="00701C10">
              <w:rPr>
                <w:iCs/>
                <w:lang w:val="lv-LV" w:eastAsia="lv-LV"/>
              </w:rPr>
              <w:t xml:space="preserve"> reģistrācijas apliecībā tiek norādīts tieši </w:t>
            </w:r>
            <w:r w:rsidRPr="005B06C5" w:rsidR="000327E9">
              <w:rPr>
                <w:iCs/>
                <w:lang w:val="lv-LV" w:eastAsia="lv-LV"/>
              </w:rPr>
              <w:t xml:space="preserve">Latvijas Republikas </w:t>
            </w:r>
            <w:r w:rsidRPr="005B06C5" w:rsidR="00701C10">
              <w:rPr>
                <w:iCs/>
                <w:lang w:val="lv-LV" w:eastAsia="lv-LV"/>
              </w:rPr>
              <w:t>Uzņēmumu reģistr</w:t>
            </w:r>
            <w:r w:rsidRPr="005B06C5" w:rsidR="000327E9">
              <w:rPr>
                <w:iCs/>
                <w:lang w:val="lv-LV" w:eastAsia="lv-LV"/>
              </w:rPr>
              <w:t>a vestajos reģistros</w:t>
            </w:r>
            <w:r w:rsidRPr="005B06C5" w:rsidR="00701C10">
              <w:rPr>
                <w:iCs/>
                <w:lang w:val="lv-LV" w:eastAsia="lv-LV"/>
              </w:rPr>
              <w:t xml:space="preserve"> norādītais juridiskās personas nosaukums</w:t>
            </w:r>
            <w:r w:rsidRPr="005B06C5" w:rsidR="00930150">
              <w:rPr>
                <w:iCs/>
                <w:lang w:val="lv-LV" w:eastAsia="lv-LV"/>
              </w:rPr>
              <w:t>.</w:t>
            </w:r>
            <w:r w:rsidRPr="005B06C5" w:rsidR="006D5280">
              <w:rPr>
                <w:iCs/>
                <w:lang w:val="lv-LV" w:eastAsia="lv-LV"/>
              </w:rPr>
              <w:t xml:space="preserve"> </w:t>
            </w:r>
          </w:p>
          <w:p w:rsidRPr="005B06C5" w:rsidR="00334444" w:rsidP="00FC5712" w:rsidRDefault="00FC5712" w14:paraId="70A9FF42" w14:textId="2B09A2E9">
            <w:pPr>
              <w:spacing w:line="240" w:lineRule="auto"/>
              <w:ind w:firstLine="0"/>
              <w:rPr>
                <w:rFonts w:eastAsia="Times New Roman"/>
                <w:iCs/>
                <w:sz w:val="24"/>
                <w:szCs w:val="24"/>
                <w:lang w:eastAsia="lv-LV"/>
              </w:rPr>
            </w:pPr>
            <w:r w:rsidRPr="005B06C5">
              <w:rPr>
                <w:rFonts w:eastAsia="Times New Roman"/>
                <w:iCs/>
                <w:sz w:val="24"/>
                <w:szCs w:val="24"/>
                <w:lang w:eastAsia="lv-LV"/>
              </w:rPr>
              <w:t xml:space="preserve">    </w:t>
            </w:r>
            <w:r w:rsidRPr="005B06C5" w:rsidR="00334444">
              <w:rPr>
                <w:rFonts w:eastAsia="Times New Roman"/>
                <w:iCs/>
                <w:sz w:val="24"/>
                <w:szCs w:val="24"/>
                <w:lang w:eastAsia="lv-LV"/>
              </w:rPr>
              <w:t xml:space="preserve">Šobrīd </w:t>
            </w:r>
            <w:r w:rsidRPr="005B06C5" w:rsidR="0025673B">
              <w:rPr>
                <w:rFonts w:eastAsia="Times New Roman"/>
                <w:iCs/>
                <w:sz w:val="24"/>
                <w:szCs w:val="24"/>
                <w:lang w:eastAsia="lv-LV"/>
              </w:rPr>
              <w:t>Noteikumi</w:t>
            </w:r>
            <w:r w:rsidRPr="005B06C5" w:rsidR="00334444">
              <w:rPr>
                <w:rFonts w:eastAsia="Times New Roman"/>
                <w:iCs/>
                <w:sz w:val="24"/>
                <w:szCs w:val="24"/>
                <w:lang w:eastAsia="lv-LV"/>
              </w:rPr>
              <w:t xml:space="preserve"> paredz </w:t>
            </w:r>
            <w:r w:rsidRPr="005B06C5">
              <w:rPr>
                <w:rFonts w:eastAsia="Times New Roman"/>
                <w:iCs/>
                <w:sz w:val="24"/>
                <w:szCs w:val="24"/>
                <w:lang w:eastAsia="lv-LV"/>
              </w:rPr>
              <w:t>numur</w:t>
            </w:r>
            <w:r w:rsidRPr="005B06C5" w:rsidR="000327E9">
              <w:rPr>
                <w:rFonts w:eastAsia="Times New Roman"/>
                <w:iCs/>
                <w:sz w:val="24"/>
                <w:szCs w:val="24"/>
                <w:lang w:eastAsia="lv-LV"/>
              </w:rPr>
              <w:t>a</w:t>
            </w:r>
            <w:r w:rsidRPr="005B06C5">
              <w:rPr>
                <w:rFonts w:eastAsia="Times New Roman"/>
                <w:iCs/>
                <w:sz w:val="24"/>
                <w:szCs w:val="24"/>
                <w:lang w:eastAsia="lv-LV"/>
              </w:rPr>
              <w:t xml:space="preserve"> </w:t>
            </w:r>
            <w:r w:rsidRPr="005B06C5" w:rsidR="00334444">
              <w:rPr>
                <w:rFonts w:eastAsia="Times New Roman"/>
                <w:iCs/>
                <w:sz w:val="24"/>
                <w:szCs w:val="24"/>
                <w:lang w:eastAsia="lv-LV"/>
              </w:rPr>
              <w:t xml:space="preserve">izvēles iespējas tikai no CSDD </w:t>
            </w:r>
            <w:r w:rsidRPr="005B06C5">
              <w:rPr>
                <w:rFonts w:eastAsia="Times New Roman"/>
                <w:iCs/>
                <w:sz w:val="24"/>
                <w:szCs w:val="24"/>
                <w:lang w:eastAsia="lv-LV"/>
              </w:rPr>
              <w:t>k</w:t>
            </w:r>
            <w:r w:rsidRPr="005B06C5" w:rsidR="00334444">
              <w:rPr>
                <w:rFonts w:eastAsia="Times New Roman"/>
                <w:iCs/>
                <w:sz w:val="24"/>
                <w:szCs w:val="24"/>
                <w:lang w:eastAsia="lv-LV"/>
              </w:rPr>
              <w:t>lientu ap</w:t>
            </w:r>
            <w:r w:rsidRPr="005B06C5" w:rsidR="00792549">
              <w:rPr>
                <w:rFonts w:eastAsia="Times New Roman"/>
                <w:iCs/>
                <w:sz w:val="24"/>
                <w:szCs w:val="24"/>
                <w:lang w:eastAsia="lv-LV"/>
              </w:rPr>
              <w:t>k</w:t>
            </w:r>
            <w:r w:rsidRPr="005B06C5" w:rsidR="00334444">
              <w:rPr>
                <w:rFonts w:eastAsia="Times New Roman"/>
                <w:iCs/>
                <w:sz w:val="24"/>
                <w:szCs w:val="24"/>
                <w:lang w:eastAsia="lv-LV"/>
              </w:rPr>
              <w:t>alpošanas centru rīcībā esošām, iepriekš izgatavotām valsts reģistrācijas numura zīmēm.</w:t>
            </w:r>
            <w:r w:rsidRPr="005B06C5" w:rsidR="00382A05">
              <w:rPr>
                <w:rFonts w:eastAsia="Times New Roman"/>
                <w:iCs/>
                <w:sz w:val="24"/>
                <w:szCs w:val="24"/>
                <w:lang w:eastAsia="lv-LV"/>
              </w:rPr>
              <w:t xml:space="preserve"> Gadījumā, ja klienta izvēlētā numura zīme atrodas citā CSDD klientu apkalpošanas centrā, tad klients var veikt </w:t>
            </w:r>
            <w:r w:rsidRPr="005B06C5" w:rsidR="00382A05">
              <w:rPr>
                <w:rFonts w:eastAsia="Times New Roman"/>
                <w:iCs/>
                <w:sz w:val="24"/>
                <w:szCs w:val="24"/>
                <w:lang w:eastAsia="lv-LV"/>
              </w:rPr>
              <w:lastRenderedPageBreak/>
              <w:t>numura zīmes rezervēšanu uz piecām dienām un šo piecu dienu laikā numura zīmi izņemt norādītajā CSDD klientu apkalpošanas centrā.</w:t>
            </w:r>
            <w:r w:rsidRPr="005B06C5" w:rsidR="00334444">
              <w:rPr>
                <w:rFonts w:eastAsia="Times New Roman"/>
                <w:iCs/>
                <w:sz w:val="24"/>
                <w:szCs w:val="24"/>
                <w:lang w:eastAsia="lv-LV"/>
              </w:rPr>
              <w:t xml:space="preserve"> Lai pa</w:t>
            </w:r>
            <w:r w:rsidRPr="005B06C5" w:rsidR="00150E9E">
              <w:rPr>
                <w:rFonts w:eastAsia="Times New Roman"/>
                <w:iCs/>
                <w:sz w:val="24"/>
                <w:szCs w:val="24"/>
                <w:lang w:eastAsia="lv-LV"/>
              </w:rPr>
              <w:t>plašināt</w:t>
            </w:r>
            <w:r w:rsidRPr="005B06C5" w:rsidR="00334444">
              <w:rPr>
                <w:rFonts w:eastAsia="Times New Roman"/>
                <w:iCs/>
                <w:sz w:val="24"/>
                <w:szCs w:val="24"/>
                <w:lang w:eastAsia="lv-LV"/>
              </w:rPr>
              <w:t>u  numuru izvēles iespējas, paredzēts izstrādāt iespēju CSDD</w:t>
            </w:r>
            <w:r w:rsidRPr="005B06C5" w:rsidR="00150E9E">
              <w:rPr>
                <w:rFonts w:eastAsia="Times New Roman"/>
                <w:iCs/>
                <w:sz w:val="24"/>
                <w:szCs w:val="24"/>
                <w:lang w:eastAsia="lv-LV"/>
              </w:rPr>
              <w:t xml:space="preserve"> klientu apkalpošanas centros un</w:t>
            </w:r>
            <w:r w:rsidRPr="005B06C5" w:rsidR="00334444">
              <w:rPr>
                <w:rFonts w:eastAsia="Times New Roman"/>
                <w:iCs/>
                <w:sz w:val="24"/>
                <w:szCs w:val="24"/>
                <w:lang w:eastAsia="lv-LV"/>
              </w:rPr>
              <w:t xml:space="preserve"> e-pakalpojumos </w:t>
            </w:r>
            <w:r w:rsidRPr="005B06C5" w:rsidR="0013538C">
              <w:rPr>
                <w:rFonts w:eastAsia="Times New Roman"/>
                <w:iCs/>
                <w:sz w:val="24"/>
                <w:szCs w:val="24"/>
                <w:lang w:eastAsia="lv-LV"/>
              </w:rPr>
              <w:t>pasūtī</w:t>
            </w:r>
            <w:r w:rsidRPr="005B06C5" w:rsidR="00334444">
              <w:rPr>
                <w:rFonts w:eastAsia="Times New Roman"/>
                <w:iCs/>
                <w:sz w:val="24"/>
                <w:szCs w:val="24"/>
                <w:lang w:eastAsia="lv-LV"/>
              </w:rPr>
              <w:t xml:space="preserve">t numurus no iepriekš piešķirtiem </w:t>
            </w:r>
            <w:r w:rsidRPr="005B06C5">
              <w:rPr>
                <w:rFonts w:eastAsia="Times New Roman"/>
                <w:iCs/>
                <w:sz w:val="24"/>
                <w:szCs w:val="24"/>
                <w:lang w:eastAsia="lv-LV"/>
              </w:rPr>
              <w:t>numuriem, kurus C</w:t>
            </w:r>
            <w:r w:rsidRPr="005B06C5" w:rsidR="00334444">
              <w:rPr>
                <w:rFonts w:eastAsia="Times New Roman"/>
                <w:iCs/>
                <w:sz w:val="24"/>
                <w:szCs w:val="24"/>
                <w:lang w:eastAsia="lv-LV"/>
              </w:rPr>
              <w:t xml:space="preserve">SDD </w:t>
            </w:r>
            <w:r w:rsidRPr="005B06C5">
              <w:rPr>
                <w:rFonts w:eastAsia="Times New Roman"/>
                <w:iCs/>
                <w:sz w:val="24"/>
                <w:szCs w:val="24"/>
                <w:lang w:eastAsia="lv-LV"/>
              </w:rPr>
              <w:t>var izsniegt</w:t>
            </w:r>
            <w:r w:rsidRPr="005B06C5" w:rsidR="00334444">
              <w:rPr>
                <w:rFonts w:eastAsia="Times New Roman"/>
                <w:iCs/>
                <w:sz w:val="24"/>
                <w:szCs w:val="24"/>
                <w:lang w:eastAsia="lv-LV"/>
              </w:rPr>
              <w:t xml:space="preserve"> atkārtoti</w:t>
            </w:r>
            <w:r w:rsidRPr="005B06C5" w:rsidR="002B71D3">
              <w:rPr>
                <w:rFonts w:eastAsia="Times New Roman"/>
                <w:iCs/>
                <w:sz w:val="24"/>
                <w:szCs w:val="24"/>
                <w:lang w:eastAsia="lv-LV"/>
              </w:rPr>
              <w:t xml:space="preserve"> saskaņā ar</w:t>
            </w:r>
            <w:r w:rsidRPr="005B06C5" w:rsidR="0025673B">
              <w:rPr>
                <w:rFonts w:eastAsia="Times New Roman"/>
                <w:iCs/>
                <w:sz w:val="24"/>
                <w:szCs w:val="24"/>
                <w:lang w:eastAsia="lv-LV"/>
              </w:rPr>
              <w:t xml:space="preserve"> Noteikumu </w:t>
            </w:r>
            <w:r w:rsidRPr="005B06C5" w:rsidR="002B71D3">
              <w:rPr>
                <w:rFonts w:eastAsia="Times New Roman"/>
                <w:iCs/>
                <w:sz w:val="24"/>
                <w:szCs w:val="24"/>
                <w:lang w:eastAsia="lv-LV"/>
              </w:rPr>
              <w:t xml:space="preserve"> </w:t>
            </w:r>
            <w:r w:rsidRPr="005B06C5" w:rsidR="00ED7F63">
              <w:rPr>
                <w:rFonts w:eastAsia="Times New Roman"/>
                <w:iCs/>
                <w:sz w:val="24"/>
                <w:szCs w:val="24"/>
                <w:lang w:eastAsia="lv-LV"/>
              </w:rPr>
              <w:t>11.</w:t>
            </w:r>
            <w:r w:rsidRPr="00F8596A" w:rsidR="00ED7F63">
              <w:rPr>
                <w:rFonts w:eastAsia="Times New Roman"/>
                <w:iCs/>
                <w:sz w:val="24"/>
                <w:szCs w:val="24"/>
                <w:vertAlign w:val="superscript"/>
                <w:lang w:eastAsia="lv-LV"/>
              </w:rPr>
              <w:t xml:space="preserve">5 </w:t>
            </w:r>
            <w:r w:rsidRPr="005B06C5" w:rsidR="00ED7F63">
              <w:rPr>
                <w:rFonts w:eastAsia="Times New Roman"/>
                <w:iCs/>
                <w:sz w:val="24"/>
                <w:szCs w:val="24"/>
                <w:lang w:eastAsia="lv-LV"/>
              </w:rPr>
              <w:t>punktu</w:t>
            </w:r>
            <w:r w:rsidRPr="005B06C5" w:rsidR="00334444">
              <w:rPr>
                <w:rFonts w:eastAsia="Times New Roman"/>
                <w:iCs/>
                <w:sz w:val="24"/>
                <w:szCs w:val="24"/>
                <w:lang w:eastAsia="lv-LV"/>
              </w:rPr>
              <w:t xml:space="preserve">, kā arī no </w:t>
            </w:r>
            <w:r w:rsidRPr="005B06C5" w:rsidR="000327E9">
              <w:rPr>
                <w:rFonts w:eastAsia="Times New Roman"/>
                <w:iCs/>
                <w:sz w:val="24"/>
                <w:szCs w:val="24"/>
                <w:lang w:eastAsia="lv-LV"/>
              </w:rPr>
              <w:t xml:space="preserve">nākamās </w:t>
            </w:r>
            <w:r w:rsidRPr="005B06C5" w:rsidR="00334444">
              <w:rPr>
                <w:rFonts w:eastAsia="Times New Roman"/>
                <w:iCs/>
                <w:sz w:val="24"/>
                <w:szCs w:val="24"/>
                <w:lang w:eastAsia="lv-LV"/>
              </w:rPr>
              <w:t>numuru sērijas numuriem, kuru izgatavošana vēl nav uzsākta. Tas nodrošinās plašāka klientu loka interešu apmierināšanu, papildus padarot pakalpojumu</w:t>
            </w:r>
            <w:r w:rsidRPr="005B06C5" w:rsidR="009605FD">
              <w:rPr>
                <w:rFonts w:eastAsia="Times New Roman"/>
                <w:iCs/>
                <w:sz w:val="24"/>
                <w:szCs w:val="24"/>
                <w:lang w:eastAsia="lv-LV"/>
              </w:rPr>
              <w:t xml:space="preserve"> valsts pārvaldes pakalpojumā “Transportlīdzekļu reģistrācija” ietilpstošo transportlīdzekļu valsts reģistrācijas numuru piešķiršanu  </w:t>
            </w:r>
            <w:r w:rsidRPr="005B06C5" w:rsidR="00334444">
              <w:rPr>
                <w:rFonts w:eastAsia="Times New Roman"/>
                <w:iCs/>
                <w:sz w:val="24"/>
                <w:szCs w:val="24"/>
                <w:lang w:eastAsia="lv-LV"/>
              </w:rPr>
              <w:t>pieejam</w:t>
            </w:r>
            <w:r w:rsidRPr="005B06C5" w:rsidR="00225BFF">
              <w:rPr>
                <w:rFonts w:eastAsia="Times New Roman"/>
                <w:iCs/>
                <w:sz w:val="24"/>
                <w:szCs w:val="24"/>
                <w:lang w:eastAsia="lv-LV"/>
              </w:rPr>
              <w:t>āku</w:t>
            </w:r>
            <w:r w:rsidRPr="005B06C5" w:rsidR="00334444">
              <w:rPr>
                <w:rFonts w:eastAsia="Times New Roman"/>
                <w:iCs/>
                <w:sz w:val="24"/>
                <w:szCs w:val="24"/>
                <w:lang w:eastAsia="lv-LV"/>
              </w:rPr>
              <w:t xml:space="preserve"> un</w:t>
            </w:r>
            <w:r w:rsidRPr="005B06C5" w:rsidR="00225BFF">
              <w:rPr>
                <w:rFonts w:eastAsia="Times New Roman"/>
                <w:iCs/>
                <w:sz w:val="24"/>
                <w:szCs w:val="24"/>
                <w:lang w:eastAsia="lv-LV"/>
              </w:rPr>
              <w:t xml:space="preserve"> caurspīdīgāku</w:t>
            </w:r>
            <w:r w:rsidRPr="005B06C5" w:rsidR="00334444">
              <w:rPr>
                <w:rFonts w:eastAsia="Times New Roman"/>
                <w:iCs/>
                <w:sz w:val="24"/>
                <w:szCs w:val="24"/>
                <w:lang w:eastAsia="lv-LV"/>
              </w:rPr>
              <w:t xml:space="preserve">. </w:t>
            </w:r>
            <w:bookmarkStart w:name="_Hlk45701022" w:id="1"/>
            <w:r w:rsidRPr="005B06C5" w:rsidR="00334444">
              <w:rPr>
                <w:rFonts w:eastAsia="Times New Roman"/>
                <w:iCs/>
                <w:sz w:val="24"/>
                <w:szCs w:val="24"/>
                <w:lang w:eastAsia="lv-LV"/>
              </w:rPr>
              <w:t xml:space="preserve">Lai </w:t>
            </w:r>
            <w:r w:rsidRPr="005B06C5" w:rsidR="00182855">
              <w:rPr>
                <w:rFonts w:eastAsia="Times New Roman"/>
                <w:iCs/>
                <w:sz w:val="24"/>
                <w:szCs w:val="24"/>
                <w:lang w:eastAsia="lv-LV"/>
              </w:rPr>
              <w:t>k</w:t>
            </w:r>
            <w:r w:rsidRPr="005B06C5" w:rsidR="0013538C">
              <w:rPr>
                <w:rFonts w:eastAsia="Times New Roman"/>
                <w:iCs/>
                <w:sz w:val="24"/>
                <w:szCs w:val="24"/>
                <w:lang w:eastAsia="lv-LV"/>
              </w:rPr>
              <w:t>lients</w:t>
            </w:r>
            <w:r w:rsidRPr="005B06C5" w:rsidR="00334444">
              <w:rPr>
                <w:rFonts w:eastAsia="Times New Roman"/>
                <w:iCs/>
                <w:sz w:val="24"/>
                <w:szCs w:val="24"/>
                <w:lang w:eastAsia="lv-LV"/>
              </w:rPr>
              <w:t xml:space="preserve"> </w:t>
            </w:r>
            <w:r w:rsidRPr="005B06C5" w:rsidR="0013538C">
              <w:rPr>
                <w:rFonts w:eastAsia="Times New Roman"/>
                <w:iCs/>
                <w:sz w:val="24"/>
                <w:szCs w:val="24"/>
                <w:lang w:eastAsia="lv-LV"/>
              </w:rPr>
              <w:t>jebkurā CSDD klientu apkalpošanas centrā var</w:t>
            </w:r>
            <w:r w:rsidRPr="005B06C5" w:rsidR="00182855">
              <w:rPr>
                <w:rFonts w:eastAsia="Times New Roman"/>
                <w:iCs/>
                <w:sz w:val="24"/>
                <w:szCs w:val="24"/>
                <w:lang w:eastAsia="lv-LV"/>
              </w:rPr>
              <w:t>ētu</w:t>
            </w:r>
            <w:r w:rsidRPr="005B06C5" w:rsidR="0013538C">
              <w:rPr>
                <w:rFonts w:eastAsia="Times New Roman"/>
                <w:iCs/>
                <w:sz w:val="24"/>
                <w:szCs w:val="24"/>
                <w:lang w:eastAsia="lv-LV"/>
              </w:rPr>
              <w:t xml:space="preserve"> </w:t>
            </w:r>
            <w:r w:rsidRPr="005B06C5" w:rsidR="00334444">
              <w:rPr>
                <w:rFonts w:eastAsia="Times New Roman"/>
                <w:iCs/>
                <w:sz w:val="24"/>
                <w:szCs w:val="24"/>
                <w:lang w:eastAsia="lv-LV"/>
              </w:rPr>
              <w:t>reģistrēt transportlīdzekli ar sev vēlamu numura zīmi, CSDD</w:t>
            </w:r>
            <w:r w:rsidRPr="005B06C5" w:rsidR="00256D7A">
              <w:rPr>
                <w:rFonts w:eastAsia="Times New Roman"/>
                <w:iCs/>
                <w:sz w:val="24"/>
                <w:szCs w:val="24"/>
                <w:lang w:eastAsia="lv-LV"/>
              </w:rPr>
              <w:t xml:space="preserve"> esošā</w:t>
            </w:r>
            <w:r w:rsidRPr="005B06C5" w:rsidR="009A019E">
              <w:rPr>
                <w:rFonts w:eastAsia="Times New Roman"/>
                <w:iCs/>
                <w:sz w:val="24"/>
                <w:szCs w:val="24"/>
                <w:lang w:eastAsia="lv-LV"/>
              </w:rPr>
              <w:t xml:space="preserve"> pakalpojuma</w:t>
            </w:r>
            <w:r w:rsidRPr="005B06C5" w:rsidR="00256D7A">
              <w:rPr>
                <w:rFonts w:eastAsia="Times New Roman"/>
                <w:iCs/>
                <w:sz w:val="24"/>
                <w:szCs w:val="24"/>
                <w:lang w:eastAsia="lv-LV"/>
              </w:rPr>
              <w:t xml:space="preserve"> </w:t>
            </w:r>
            <w:r w:rsidRPr="005B06C5" w:rsidR="009A019E">
              <w:rPr>
                <w:rFonts w:eastAsia="Times New Roman"/>
                <w:iCs/>
                <w:sz w:val="24"/>
                <w:szCs w:val="24"/>
                <w:lang w:eastAsia="lv-LV"/>
              </w:rPr>
              <w:t xml:space="preserve">izvēlētā </w:t>
            </w:r>
            <w:r w:rsidRPr="005B06C5" w:rsidR="00256D7A">
              <w:rPr>
                <w:rFonts w:eastAsia="Times New Roman"/>
                <w:iCs/>
                <w:sz w:val="24"/>
                <w:szCs w:val="24"/>
                <w:lang w:eastAsia="lv-LV"/>
              </w:rPr>
              <w:t>numura</w:t>
            </w:r>
            <w:r w:rsidRPr="005B06C5" w:rsidR="009A019E">
              <w:rPr>
                <w:rFonts w:eastAsia="Times New Roman"/>
                <w:iCs/>
                <w:sz w:val="24"/>
                <w:szCs w:val="24"/>
                <w:lang w:eastAsia="lv-LV"/>
              </w:rPr>
              <w:t xml:space="preserve"> rezervācijas vietā</w:t>
            </w:r>
            <w:r w:rsidRPr="005B06C5" w:rsidR="00256D7A">
              <w:rPr>
                <w:rFonts w:eastAsia="Times New Roman"/>
                <w:iCs/>
                <w:sz w:val="24"/>
                <w:szCs w:val="24"/>
                <w:lang w:eastAsia="lv-LV"/>
              </w:rPr>
              <w:t xml:space="preserve"> </w:t>
            </w:r>
            <w:r w:rsidRPr="005B06C5" w:rsidR="00334444">
              <w:rPr>
                <w:rFonts w:eastAsia="Times New Roman"/>
                <w:iCs/>
                <w:sz w:val="24"/>
                <w:szCs w:val="24"/>
                <w:lang w:eastAsia="lv-LV"/>
              </w:rPr>
              <w:t xml:space="preserve"> nodrošinās e-pakalpojumos</w:t>
            </w:r>
            <w:r w:rsidRPr="005B06C5" w:rsidR="009A019E">
              <w:rPr>
                <w:rFonts w:eastAsia="Times New Roman"/>
                <w:iCs/>
                <w:sz w:val="24"/>
                <w:szCs w:val="24"/>
                <w:lang w:eastAsia="lv-LV"/>
              </w:rPr>
              <w:t xml:space="preserve"> </w:t>
            </w:r>
            <w:r w:rsidRPr="005B06C5" w:rsidR="0013538C">
              <w:rPr>
                <w:rFonts w:eastAsia="Times New Roman"/>
                <w:iCs/>
                <w:sz w:val="24"/>
                <w:szCs w:val="24"/>
                <w:lang w:eastAsia="lv-LV"/>
              </w:rPr>
              <w:t>vai klientu apkalpošanas centr</w:t>
            </w:r>
            <w:r w:rsidRPr="005B06C5" w:rsidR="003D356B">
              <w:rPr>
                <w:rFonts w:eastAsia="Times New Roman"/>
                <w:iCs/>
                <w:sz w:val="24"/>
                <w:szCs w:val="24"/>
                <w:lang w:eastAsia="lv-LV"/>
              </w:rPr>
              <w:t>os</w:t>
            </w:r>
            <w:r w:rsidRPr="005B06C5" w:rsidR="00334444">
              <w:rPr>
                <w:rFonts w:eastAsia="Times New Roman"/>
                <w:iCs/>
                <w:sz w:val="24"/>
                <w:szCs w:val="24"/>
                <w:lang w:eastAsia="lv-LV"/>
              </w:rPr>
              <w:t xml:space="preserve"> </w:t>
            </w:r>
            <w:r w:rsidRPr="005B06C5" w:rsidR="0013538C">
              <w:rPr>
                <w:rFonts w:eastAsia="Times New Roman"/>
                <w:iCs/>
                <w:sz w:val="24"/>
                <w:szCs w:val="24"/>
                <w:lang w:eastAsia="lv-LV"/>
              </w:rPr>
              <w:t>pasūtī</w:t>
            </w:r>
            <w:r w:rsidRPr="005B06C5" w:rsidR="00334444">
              <w:rPr>
                <w:rFonts w:eastAsia="Times New Roman"/>
                <w:iCs/>
                <w:sz w:val="24"/>
                <w:szCs w:val="24"/>
                <w:lang w:eastAsia="lv-LV"/>
              </w:rPr>
              <w:t>t</w:t>
            </w:r>
            <w:r w:rsidRPr="005B06C5" w:rsidR="0013538C">
              <w:rPr>
                <w:rFonts w:eastAsia="Times New Roman"/>
                <w:iCs/>
                <w:sz w:val="24"/>
                <w:szCs w:val="24"/>
                <w:lang w:eastAsia="lv-LV"/>
              </w:rPr>
              <w:t>u</w:t>
            </w:r>
            <w:r w:rsidRPr="005B06C5" w:rsidR="00334444">
              <w:rPr>
                <w:rFonts w:eastAsia="Times New Roman"/>
                <w:iCs/>
                <w:sz w:val="24"/>
                <w:szCs w:val="24"/>
                <w:lang w:eastAsia="lv-LV"/>
              </w:rPr>
              <w:t xml:space="preserve"> numura zīmju </w:t>
            </w:r>
            <w:r w:rsidRPr="005B06C5" w:rsidR="003D356B">
              <w:rPr>
                <w:rFonts w:eastAsia="Times New Roman"/>
                <w:iCs/>
                <w:sz w:val="24"/>
                <w:szCs w:val="24"/>
                <w:lang w:eastAsia="lv-LV"/>
              </w:rPr>
              <w:t>saņemšanas iespēju</w:t>
            </w:r>
            <w:r w:rsidRPr="005B06C5" w:rsidR="00334444">
              <w:rPr>
                <w:rFonts w:eastAsia="Times New Roman"/>
                <w:iCs/>
                <w:sz w:val="24"/>
                <w:szCs w:val="24"/>
                <w:lang w:eastAsia="lv-LV"/>
              </w:rPr>
              <w:t xml:space="preserve"> </w:t>
            </w:r>
            <w:r w:rsidRPr="005B06C5" w:rsidR="003D356B">
              <w:rPr>
                <w:rFonts w:eastAsia="Times New Roman"/>
                <w:iCs/>
                <w:sz w:val="24"/>
                <w:szCs w:val="24"/>
                <w:lang w:eastAsia="lv-LV"/>
              </w:rPr>
              <w:t>personas norādītajā</w:t>
            </w:r>
            <w:r w:rsidRPr="005B06C5" w:rsidR="00334444">
              <w:rPr>
                <w:rFonts w:eastAsia="Times New Roman"/>
                <w:iCs/>
                <w:sz w:val="24"/>
                <w:szCs w:val="24"/>
                <w:lang w:eastAsia="lv-LV"/>
              </w:rPr>
              <w:t xml:space="preserve"> CSDD </w:t>
            </w:r>
            <w:r w:rsidRPr="005B06C5">
              <w:rPr>
                <w:rFonts w:eastAsia="Times New Roman"/>
                <w:iCs/>
                <w:sz w:val="24"/>
                <w:szCs w:val="24"/>
                <w:lang w:eastAsia="lv-LV"/>
              </w:rPr>
              <w:t>k</w:t>
            </w:r>
            <w:r w:rsidRPr="005B06C5" w:rsidR="00334444">
              <w:rPr>
                <w:rFonts w:eastAsia="Times New Roman"/>
                <w:iCs/>
                <w:sz w:val="24"/>
                <w:szCs w:val="24"/>
                <w:lang w:eastAsia="lv-LV"/>
              </w:rPr>
              <w:t>lientu apkalpošanas centr</w:t>
            </w:r>
            <w:r w:rsidRPr="005B06C5" w:rsidR="0013538C">
              <w:rPr>
                <w:rFonts w:eastAsia="Times New Roman"/>
                <w:iCs/>
                <w:sz w:val="24"/>
                <w:szCs w:val="24"/>
                <w:lang w:eastAsia="lv-LV"/>
              </w:rPr>
              <w:t>ā</w:t>
            </w:r>
            <w:r w:rsidRPr="005B06C5" w:rsidR="00334444">
              <w:rPr>
                <w:rFonts w:eastAsia="Times New Roman"/>
                <w:iCs/>
                <w:sz w:val="24"/>
                <w:szCs w:val="24"/>
                <w:lang w:eastAsia="lv-LV"/>
              </w:rPr>
              <w:t xml:space="preserve"> </w:t>
            </w:r>
            <w:r w:rsidRPr="005B06C5" w:rsidR="0013538C">
              <w:rPr>
                <w:rFonts w:eastAsia="Times New Roman"/>
                <w:iCs/>
                <w:sz w:val="24"/>
                <w:szCs w:val="24"/>
                <w:lang w:eastAsia="lv-LV"/>
              </w:rPr>
              <w:t>trešajā</w:t>
            </w:r>
            <w:r w:rsidRPr="005B06C5" w:rsidR="00334444">
              <w:rPr>
                <w:rFonts w:eastAsia="Times New Roman"/>
                <w:iCs/>
                <w:sz w:val="24"/>
                <w:szCs w:val="24"/>
                <w:lang w:eastAsia="lv-LV"/>
              </w:rPr>
              <w:t xml:space="preserve"> darba dien</w:t>
            </w:r>
            <w:r w:rsidRPr="005B06C5" w:rsidR="003D356B">
              <w:rPr>
                <w:rFonts w:eastAsia="Times New Roman"/>
                <w:iCs/>
                <w:sz w:val="24"/>
                <w:szCs w:val="24"/>
                <w:lang w:eastAsia="lv-LV"/>
              </w:rPr>
              <w:t>ā</w:t>
            </w:r>
            <w:r w:rsidRPr="005B06C5" w:rsidR="00334444">
              <w:rPr>
                <w:rFonts w:eastAsia="Times New Roman"/>
                <w:iCs/>
                <w:sz w:val="24"/>
                <w:szCs w:val="24"/>
                <w:lang w:eastAsia="lv-LV"/>
              </w:rPr>
              <w:t xml:space="preserve"> </w:t>
            </w:r>
            <w:r w:rsidRPr="005B06C5" w:rsidR="003D356B">
              <w:rPr>
                <w:rFonts w:eastAsia="Times New Roman"/>
                <w:iCs/>
                <w:sz w:val="24"/>
                <w:szCs w:val="24"/>
                <w:lang w:eastAsia="lv-LV"/>
              </w:rPr>
              <w:t xml:space="preserve">pēc pasūtījuma izdarīšanas </w:t>
            </w:r>
            <w:r w:rsidRPr="005B06C5" w:rsidR="00334444">
              <w:rPr>
                <w:rFonts w:eastAsia="Times New Roman"/>
                <w:iCs/>
                <w:sz w:val="24"/>
                <w:szCs w:val="24"/>
                <w:lang w:eastAsia="lv-LV"/>
              </w:rPr>
              <w:t xml:space="preserve">šobrīd noteikto 30 dienu vietā, bet CSDD Rīgas </w:t>
            </w:r>
            <w:r w:rsidRPr="005B06C5" w:rsidR="003D356B">
              <w:rPr>
                <w:rFonts w:eastAsia="Times New Roman"/>
                <w:iCs/>
                <w:sz w:val="24"/>
                <w:szCs w:val="24"/>
                <w:lang w:eastAsia="lv-LV"/>
              </w:rPr>
              <w:t>k</w:t>
            </w:r>
            <w:r w:rsidRPr="005B06C5" w:rsidR="00334444">
              <w:rPr>
                <w:rFonts w:eastAsia="Times New Roman"/>
                <w:iCs/>
                <w:sz w:val="24"/>
                <w:szCs w:val="24"/>
                <w:lang w:eastAsia="lv-LV"/>
              </w:rPr>
              <w:t>lientu apkalpošanas centr</w:t>
            </w:r>
            <w:r w:rsidRPr="005B06C5" w:rsidR="003D356B">
              <w:rPr>
                <w:rFonts w:eastAsia="Times New Roman"/>
                <w:iCs/>
                <w:sz w:val="24"/>
                <w:szCs w:val="24"/>
                <w:lang w:eastAsia="lv-LV"/>
              </w:rPr>
              <w:t>ā</w:t>
            </w:r>
            <w:r w:rsidRPr="005B06C5" w:rsidR="00334444">
              <w:rPr>
                <w:rFonts w:eastAsia="Times New Roman"/>
                <w:iCs/>
                <w:sz w:val="24"/>
                <w:szCs w:val="24"/>
                <w:lang w:eastAsia="lv-LV"/>
              </w:rPr>
              <w:t xml:space="preserve"> – 2</w:t>
            </w:r>
            <w:r w:rsidRPr="005B06C5">
              <w:rPr>
                <w:rFonts w:eastAsia="Times New Roman"/>
                <w:iCs/>
                <w:sz w:val="24"/>
                <w:szCs w:val="24"/>
                <w:lang w:eastAsia="lv-LV"/>
              </w:rPr>
              <w:t xml:space="preserve"> darba</w:t>
            </w:r>
            <w:r w:rsidRPr="005B06C5" w:rsidR="00334444">
              <w:rPr>
                <w:rFonts w:eastAsia="Times New Roman"/>
                <w:iCs/>
                <w:sz w:val="24"/>
                <w:szCs w:val="24"/>
                <w:lang w:eastAsia="lv-LV"/>
              </w:rPr>
              <w:t xml:space="preserve"> stundu laikā no iesnieguma</w:t>
            </w:r>
            <w:r w:rsidRPr="005B06C5">
              <w:rPr>
                <w:rFonts w:eastAsia="Times New Roman"/>
                <w:iCs/>
                <w:sz w:val="24"/>
                <w:szCs w:val="24"/>
                <w:lang w:eastAsia="lv-LV"/>
              </w:rPr>
              <w:t xml:space="preserve"> transportlīdzekļa reģistrācijai</w:t>
            </w:r>
            <w:r w:rsidRPr="005B06C5" w:rsidR="00334444">
              <w:rPr>
                <w:rFonts w:eastAsia="Times New Roman"/>
                <w:iCs/>
                <w:sz w:val="24"/>
                <w:szCs w:val="24"/>
                <w:lang w:eastAsia="lv-LV"/>
              </w:rPr>
              <w:t xml:space="preserve"> </w:t>
            </w:r>
            <w:r w:rsidRPr="005B06C5" w:rsidR="003D356B">
              <w:rPr>
                <w:rFonts w:eastAsia="Times New Roman"/>
                <w:iCs/>
                <w:sz w:val="24"/>
                <w:szCs w:val="24"/>
                <w:lang w:eastAsia="lv-LV"/>
              </w:rPr>
              <w:t>iesniegšanas brīža</w:t>
            </w:r>
            <w:r w:rsidRPr="005B06C5" w:rsidR="00334444">
              <w:rPr>
                <w:rFonts w:eastAsia="Times New Roman"/>
                <w:iCs/>
                <w:sz w:val="24"/>
                <w:szCs w:val="24"/>
                <w:lang w:eastAsia="lv-LV"/>
              </w:rPr>
              <w:t xml:space="preserve">. </w:t>
            </w:r>
            <w:bookmarkEnd w:id="1"/>
            <w:r w:rsidRPr="005B06C5" w:rsidR="00382A05">
              <w:rPr>
                <w:rFonts w:eastAsia="Times New Roman"/>
                <w:iCs/>
                <w:sz w:val="24"/>
                <w:szCs w:val="24"/>
                <w:lang w:eastAsia="lv-LV"/>
              </w:rPr>
              <w:t xml:space="preserve">Veicot numura zīmju pasūtīšanu, klientam būs jāsamaksā par numura zīmes izgatavošanu. </w:t>
            </w:r>
            <w:r w:rsidRPr="005B06C5" w:rsidR="00334444">
              <w:rPr>
                <w:rFonts w:eastAsia="Times New Roman"/>
                <w:iCs/>
                <w:sz w:val="24"/>
                <w:szCs w:val="24"/>
                <w:lang w:eastAsia="lv-LV"/>
              </w:rPr>
              <w:t>Ņemot vērā</w:t>
            </w:r>
            <w:r w:rsidRPr="005B06C5">
              <w:rPr>
                <w:rFonts w:eastAsia="Times New Roman"/>
                <w:iCs/>
                <w:sz w:val="24"/>
                <w:szCs w:val="24"/>
                <w:lang w:eastAsia="lv-LV"/>
              </w:rPr>
              <w:t xml:space="preserve"> CSDD</w:t>
            </w:r>
            <w:r w:rsidRPr="005B06C5" w:rsidR="00334444">
              <w:rPr>
                <w:rFonts w:eastAsia="Times New Roman"/>
                <w:iCs/>
                <w:sz w:val="24"/>
                <w:szCs w:val="24"/>
                <w:lang w:eastAsia="lv-LV"/>
              </w:rPr>
              <w:t xml:space="preserve"> pakalpojumu programmatūras izveidošanai nepieciešamo laiku, paredzēts noteikt, ka </w:t>
            </w:r>
            <w:r w:rsidRPr="005B06C5" w:rsidR="008904D7">
              <w:rPr>
                <w:rFonts w:eastAsia="Times New Roman"/>
                <w:iCs/>
                <w:sz w:val="24"/>
                <w:szCs w:val="24"/>
                <w:lang w:eastAsia="lv-LV"/>
              </w:rPr>
              <w:t>minētais regulējums</w:t>
            </w:r>
            <w:r w:rsidRPr="005B06C5" w:rsidR="00334444">
              <w:rPr>
                <w:rFonts w:eastAsia="Times New Roman"/>
                <w:iCs/>
                <w:sz w:val="24"/>
                <w:szCs w:val="24"/>
                <w:lang w:eastAsia="lv-LV"/>
              </w:rPr>
              <w:t xml:space="preserve"> stājas spēkā 2020.gada 1.</w:t>
            </w:r>
            <w:r w:rsidR="00CA21B3">
              <w:rPr>
                <w:rFonts w:eastAsia="Times New Roman"/>
                <w:iCs/>
                <w:sz w:val="24"/>
                <w:szCs w:val="24"/>
                <w:lang w:eastAsia="lv-LV"/>
              </w:rPr>
              <w:t>decembrī</w:t>
            </w:r>
            <w:r w:rsidRPr="005B06C5" w:rsidR="00334444">
              <w:rPr>
                <w:rFonts w:eastAsia="Times New Roman"/>
                <w:iCs/>
                <w:sz w:val="24"/>
                <w:szCs w:val="24"/>
                <w:lang w:eastAsia="lv-LV"/>
              </w:rPr>
              <w:t>.</w:t>
            </w:r>
            <w:r w:rsidRPr="005B06C5" w:rsidR="009A019E">
              <w:rPr>
                <w:rFonts w:eastAsia="Times New Roman"/>
                <w:iCs/>
                <w:sz w:val="24"/>
                <w:szCs w:val="24"/>
                <w:lang w:eastAsia="lv-LV"/>
              </w:rPr>
              <w:t xml:space="preserve"> Minētais pakalpojums tiks </w:t>
            </w:r>
            <w:r w:rsidRPr="005B06C5" w:rsidR="00D051AC">
              <w:rPr>
                <w:rFonts w:eastAsia="Times New Roman"/>
                <w:iCs/>
                <w:sz w:val="24"/>
                <w:szCs w:val="24"/>
                <w:lang w:eastAsia="lv-LV"/>
              </w:rPr>
              <w:t xml:space="preserve">piedāvāts </w:t>
            </w:r>
            <w:r w:rsidRPr="005B06C5" w:rsidR="009605FD">
              <w:rPr>
                <w:rFonts w:eastAsia="Times New Roman"/>
                <w:iCs/>
                <w:sz w:val="24"/>
                <w:szCs w:val="24"/>
                <w:lang w:eastAsia="lv-LV"/>
              </w:rPr>
              <w:t xml:space="preserve">valsts pārvaldes </w:t>
            </w:r>
            <w:r w:rsidRPr="005B06C5" w:rsidR="00D051AC">
              <w:rPr>
                <w:rFonts w:eastAsia="Times New Roman"/>
                <w:iCs/>
                <w:sz w:val="24"/>
                <w:szCs w:val="24"/>
                <w:lang w:eastAsia="lv-LV"/>
              </w:rPr>
              <w:t>pakalpojuma</w:t>
            </w:r>
            <w:r w:rsidRPr="005B06C5" w:rsidR="00AF2276">
              <w:rPr>
                <w:rFonts w:eastAsia="Times New Roman"/>
                <w:iCs/>
                <w:sz w:val="24"/>
                <w:szCs w:val="24"/>
                <w:lang w:eastAsia="lv-LV"/>
              </w:rPr>
              <w:t xml:space="preserve"> “Transportlīdzekļ</w:t>
            </w:r>
            <w:r w:rsidRPr="005B06C5" w:rsidR="009605FD">
              <w:rPr>
                <w:rFonts w:eastAsia="Times New Roman"/>
                <w:iCs/>
                <w:sz w:val="24"/>
                <w:szCs w:val="24"/>
                <w:lang w:eastAsia="lv-LV"/>
              </w:rPr>
              <w:t>u reģistrācija</w:t>
            </w:r>
            <w:r w:rsidRPr="005B06C5" w:rsidR="00AF2276">
              <w:rPr>
                <w:rFonts w:eastAsia="Times New Roman"/>
                <w:iCs/>
                <w:sz w:val="24"/>
                <w:szCs w:val="24"/>
                <w:lang w:eastAsia="lv-LV"/>
              </w:rPr>
              <w:t xml:space="preserve">” </w:t>
            </w:r>
            <w:r w:rsidRPr="005B06C5" w:rsidR="00D051AC">
              <w:rPr>
                <w:rFonts w:eastAsia="Times New Roman"/>
                <w:iCs/>
                <w:sz w:val="24"/>
                <w:szCs w:val="24"/>
                <w:lang w:eastAsia="lv-LV"/>
              </w:rPr>
              <w:t xml:space="preserve">ietvaros, </w:t>
            </w:r>
            <w:r w:rsidRPr="005B06C5" w:rsidR="00C27757">
              <w:rPr>
                <w:rFonts w:eastAsia="Times New Roman"/>
                <w:iCs/>
                <w:sz w:val="24"/>
                <w:szCs w:val="24"/>
                <w:lang w:eastAsia="lv-LV"/>
              </w:rPr>
              <w:t>izmantojo</w:t>
            </w:r>
            <w:r w:rsidRPr="005B06C5" w:rsidR="00D051AC">
              <w:rPr>
                <w:rFonts w:eastAsia="Times New Roman"/>
                <w:iCs/>
                <w:sz w:val="24"/>
                <w:szCs w:val="24"/>
                <w:lang w:eastAsia="lv-LV"/>
              </w:rPr>
              <w:t>t pakalpojum</w:t>
            </w:r>
            <w:r w:rsidRPr="005B06C5" w:rsidR="00C27757">
              <w:rPr>
                <w:rFonts w:eastAsia="Times New Roman"/>
                <w:iCs/>
                <w:sz w:val="24"/>
                <w:szCs w:val="24"/>
                <w:lang w:eastAsia="lv-LV"/>
              </w:rPr>
              <w:t>a</w:t>
            </w:r>
            <w:r w:rsidRPr="005B06C5" w:rsidR="00D051AC">
              <w:rPr>
                <w:rFonts w:eastAsia="Times New Roman"/>
                <w:iCs/>
                <w:sz w:val="24"/>
                <w:szCs w:val="24"/>
                <w:lang w:eastAsia="lv-LV"/>
              </w:rPr>
              <w:t xml:space="preserve">  klātien</w:t>
            </w:r>
            <w:r w:rsidRPr="005B06C5" w:rsidR="00C27757">
              <w:rPr>
                <w:rFonts w:eastAsia="Times New Roman"/>
                <w:iCs/>
                <w:sz w:val="24"/>
                <w:szCs w:val="24"/>
                <w:lang w:eastAsia="lv-LV"/>
              </w:rPr>
              <w:t>es</w:t>
            </w:r>
            <w:r w:rsidRPr="005B06C5" w:rsidR="00D051AC">
              <w:rPr>
                <w:rFonts w:eastAsia="Times New Roman"/>
                <w:iCs/>
                <w:sz w:val="24"/>
                <w:szCs w:val="24"/>
                <w:lang w:eastAsia="lv-LV"/>
              </w:rPr>
              <w:t xml:space="preserve"> </w:t>
            </w:r>
            <w:r w:rsidRPr="005B06C5" w:rsidR="00C27757">
              <w:rPr>
                <w:rFonts w:eastAsia="Times New Roman"/>
                <w:iCs/>
                <w:sz w:val="24"/>
                <w:szCs w:val="24"/>
                <w:lang w:eastAsia="lv-LV"/>
              </w:rPr>
              <w:t>vai</w:t>
            </w:r>
            <w:r w:rsidRPr="005B06C5" w:rsidR="00D051AC">
              <w:rPr>
                <w:rFonts w:eastAsia="Times New Roman"/>
                <w:iCs/>
                <w:sz w:val="24"/>
                <w:szCs w:val="24"/>
                <w:lang w:eastAsia="lv-LV"/>
              </w:rPr>
              <w:t xml:space="preserve"> neklātien</w:t>
            </w:r>
            <w:r w:rsidRPr="005B06C5" w:rsidR="00C27757">
              <w:rPr>
                <w:rFonts w:eastAsia="Times New Roman"/>
                <w:iCs/>
                <w:sz w:val="24"/>
                <w:szCs w:val="24"/>
                <w:lang w:eastAsia="lv-LV"/>
              </w:rPr>
              <w:t>es</w:t>
            </w:r>
            <w:r w:rsidRPr="005B06C5" w:rsidR="00D051AC">
              <w:rPr>
                <w:rFonts w:eastAsia="Times New Roman"/>
                <w:iCs/>
                <w:sz w:val="24"/>
                <w:szCs w:val="24"/>
                <w:lang w:eastAsia="lv-LV"/>
              </w:rPr>
              <w:t xml:space="preserve"> (elektronisk</w:t>
            </w:r>
            <w:r w:rsidRPr="005B06C5" w:rsidR="00C27757">
              <w:rPr>
                <w:rFonts w:eastAsia="Times New Roman"/>
                <w:iCs/>
                <w:sz w:val="24"/>
                <w:szCs w:val="24"/>
                <w:lang w:eastAsia="lv-LV"/>
              </w:rPr>
              <w:t>u</w:t>
            </w:r>
            <w:r w:rsidRPr="005B06C5" w:rsidR="00D051AC">
              <w:rPr>
                <w:rFonts w:eastAsia="Times New Roman"/>
                <w:iCs/>
                <w:sz w:val="24"/>
                <w:szCs w:val="24"/>
                <w:lang w:eastAsia="lv-LV"/>
              </w:rPr>
              <w:t>)</w:t>
            </w:r>
            <w:r w:rsidRPr="005B06C5" w:rsidR="00C27757">
              <w:rPr>
                <w:rFonts w:eastAsia="Times New Roman"/>
                <w:iCs/>
                <w:sz w:val="24"/>
                <w:szCs w:val="24"/>
                <w:lang w:eastAsia="lv-LV"/>
              </w:rPr>
              <w:t xml:space="preserve"> pieprasīšanas un saņemšanas kanālus</w:t>
            </w:r>
            <w:r w:rsidRPr="005B06C5" w:rsidR="00D051AC">
              <w:rPr>
                <w:rFonts w:eastAsia="Times New Roman"/>
                <w:iCs/>
                <w:sz w:val="24"/>
                <w:szCs w:val="24"/>
                <w:lang w:eastAsia="lv-LV"/>
              </w:rPr>
              <w:t>.</w:t>
            </w:r>
            <w:r w:rsidRPr="005B06C5" w:rsidR="009767FB">
              <w:rPr>
                <w:rFonts w:eastAsia="Times New Roman"/>
                <w:iCs/>
                <w:sz w:val="24"/>
                <w:szCs w:val="24"/>
                <w:lang w:eastAsia="lv-LV"/>
              </w:rPr>
              <w:t xml:space="preserve"> </w:t>
            </w:r>
          </w:p>
          <w:p w:rsidRPr="005B06C5" w:rsidR="002D4975" w:rsidP="002D4975" w:rsidRDefault="00334444" w14:paraId="17F8F16F" w14:textId="2BBB9724">
            <w:pPr>
              <w:pStyle w:val="naiskr"/>
              <w:spacing w:before="0" w:beforeAutospacing="0" w:after="0" w:afterAutospacing="0"/>
              <w:ind w:firstLine="249"/>
              <w:jc w:val="both"/>
              <w:rPr>
                <w:iCs/>
              </w:rPr>
            </w:pPr>
            <w:r w:rsidRPr="005B06C5">
              <w:rPr>
                <w:iCs/>
              </w:rPr>
              <w:t xml:space="preserve">Lai ierobežotu liela skaita augsti pieprasītu numura zīmju nonākšanu vienu un to pašu personu rīcībā, tiek saglabāts ierobežojums šādu numura zīmju </w:t>
            </w:r>
            <w:r w:rsidRPr="005B06C5" w:rsidR="003D356B">
              <w:rPr>
                <w:iCs/>
              </w:rPr>
              <w:t>pasūtīšanu atļaut vienu reizi gada laikā</w:t>
            </w:r>
            <w:r w:rsidRPr="005B06C5" w:rsidR="000327E9">
              <w:rPr>
                <w:iCs/>
              </w:rPr>
              <w:t xml:space="preserve"> katram</w:t>
            </w:r>
            <w:r w:rsidRPr="005B06C5" w:rsidR="003D356B">
              <w:rPr>
                <w:iCs/>
              </w:rPr>
              <w:t xml:space="preserve"> </w:t>
            </w:r>
            <w:r w:rsidRPr="005B06C5">
              <w:rPr>
                <w:iCs/>
              </w:rPr>
              <w:t xml:space="preserve">personas </w:t>
            </w:r>
            <w:r w:rsidRPr="005B06C5" w:rsidR="003D356B">
              <w:rPr>
                <w:iCs/>
              </w:rPr>
              <w:t>īpašumā, turējumā vai valdījumā esošam transportlīdzeklim.</w:t>
            </w:r>
            <w:r w:rsidRPr="005B06C5">
              <w:rPr>
                <w:iCs/>
              </w:rPr>
              <w:t xml:space="preserve"> </w:t>
            </w:r>
            <w:r w:rsidRPr="005B06C5" w:rsidR="002D4975">
              <w:rPr>
                <w:iCs/>
              </w:rPr>
              <w:t>Samaks</w:t>
            </w:r>
            <w:r w:rsidRPr="005B06C5" w:rsidR="000327E9">
              <w:rPr>
                <w:iCs/>
              </w:rPr>
              <w:t>u</w:t>
            </w:r>
            <w:r w:rsidRPr="005B06C5" w:rsidR="002D4975">
              <w:rPr>
                <w:iCs/>
              </w:rPr>
              <w:t xml:space="preserve"> par numura zīmes pasūtīšanu veic vienlaikus ar pasūtīšanu</w:t>
            </w:r>
            <w:r w:rsidRPr="005B06C5" w:rsidR="000327E9">
              <w:rPr>
                <w:iCs/>
              </w:rPr>
              <w:t xml:space="preserve"> un to var veikt</w:t>
            </w:r>
            <w:r w:rsidRPr="005B06C5" w:rsidR="00D75B51">
              <w:rPr>
                <w:iCs/>
              </w:rPr>
              <w:t>,</w:t>
            </w:r>
            <w:r w:rsidRPr="005B06C5" w:rsidR="002D4975">
              <w:rPr>
                <w:iCs/>
              </w:rPr>
              <w:t xml:space="preserve"> gan </w:t>
            </w:r>
            <w:r w:rsidRPr="005B06C5" w:rsidR="000327E9">
              <w:rPr>
                <w:iCs/>
              </w:rPr>
              <w:t xml:space="preserve">saņemot </w:t>
            </w:r>
            <w:r w:rsidRPr="005B06C5" w:rsidR="002D4975">
              <w:rPr>
                <w:iCs/>
              </w:rPr>
              <w:t>klātienes pakalpojumu, gan CSDD uzturētajos e-pakalpojumos.</w:t>
            </w:r>
          </w:p>
          <w:p w:rsidRPr="005B06C5" w:rsidR="002D4975" w:rsidP="002D4975" w:rsidRDefault="002D4975" w14:paraId="64AAC08A" w14:textId="610BFC9B">
            <w:pPr>
              <w:pStyle w:val="naiskr"/>
              <w:spacing w:before="0" w:beforeAutospacing="0" w:after="0" w:afterAutospacing="0"/>
              <w:ind w:firstLine="249"/>
              <w:jc w:val="both"/>
              <w:rPr>
                <w:iCs/>
              </w:rPr>
            </w:pPr>
            <w:r w:rsidRPr="005B06C5">
              <w:rPr>
                <w:iCs/>
              </w:rPr>
              <w:t>Noteikumu pr</w:t>
            </w:r>
            <w:r w:rsidRPr="005B06C5" w:rsidR="00266811">
              <w:rPr>
                <w:iCs/>
              </w:rPr>
              <w:t>o</w:t>
            </w:r>
            <w:r w:rsidRPr="005B06C5">
              <w:rPr>
                <w:iCs/>
              </w:rPr>
              <w:t>jekt</w:t>
            </w:r>
            <w:r w:rsidRPr="005B06C5" w:rsidR="000327E9">
              <w:rPr>
                <w:iCs/>
              </w:rPr>
              <w:t xml:space="preserve">ā </w:t>
            </w:r>
            <w:r w:rsidR="001874F5">
              <w:rPr>
                <w:iCs/>
              </w:rPr>
              <w:t xml:space="preserve">2.punktā </w:t>
            </w:r>
            <w:r w:rsidRPr="005B06C5" w:rsidR="000327E9">
              <w:rPr>
                <w:iCs/>
              </w:rPr>
              <w:t xml:space="preserve">ietvertais </w:t>
            </w:r>
            <w:r w:rsidRPr="005B06C5">
              <w:rPr>
                <w:iCs/>
              </w:rPr>
              <w:t>10.</w:t>
            </w:r>
            <w:r w:rsidRPr="001874F5" w:rsidR="000327E9">
              <w:rPr>
                <w:iCs/>
                <w:vertAlign w:val="superscript"/>
              </w:rPr>
              <w:t>4</w:t>
            </w:r>
            <w:r w:rsidRPr="005B06C5" w:rsidR="000327E9">
              <w:rPr>
                <w:iCs/>
              </w:rPr>
              <w:t xml:space="preserve"> </w:t>
            </w:r>
            <w:r w:rsidRPr="005B06C5">
              <w:rPr>
                <w:iCs/>
              </w:rPr>
              <w:t>punkts paredz pienākumu</w:t>
            </w:r>
            <w:r w:rsidRPr="005B06C5" w:rsidR="000327E9">
              <w:rPr>
                <w:iCs/>
              </w:rPr>
              <w:t xml:space="preserve"> personai, kas pasūtījusi numura zīmes,</w:t>
            </w:r>
            <w:r w:rsidRPr="005B06C5">
              <w:rPr>
                <w:iCs/>
              </w:rPr>
              <w:t xml:space="preserve"> 10 dienu laikā pēc numura</w:t>
            </w:r>
            <w:r w:rsidRPr="005B06C5" w:rsidR="000327E9">
              <w:rPr>
                <w:iCs/>
              </w:rPr>
              <w:t xml:space="preserve"> zīmju</w:t>
            </w:r>
            <w:r w:rsidRPr="005B06C5">
              <w:rPr>
                <w:iCs/>
              </w:rPr>
              <w:t xml:space="preserve"> pasūtīšanas valsts reģistrācijas numuru reģistrēt transportlīdzeklim. Savukārt </w:t>
            </w:r>
            <w:r w:rsidRPr="005B06C5" w:rsidR="005A3A73">
              <w:rPr>
                <w:iCs/>
              </w:rPr>
              <w:t>Noteikumu projekt</w:t>
            </w:r>
            <w:r w:rsidRPr="005B06C5" w:rsidR="000327E9">
              <w:rPr>
                <w:iCs/>
              </w:rPr>
              <w:t>ā</w:t>
            </w:r>
            <w:r w:rsidR="001874F5">
              <w:rPr>
                <w:iCs/>
              </w:rPr>
              <w:t xml:space="preserve"> 2.punktā</w:t>
            </w:r>
            <w:r w:rsidRPr="005B06C5" w:rsidR="000327E9">
              <w:rPr>
                <w:iCs/>
              </w:rPr>
              <w:t xml:space="preserve"> ietvertais </w:t>
            </w:r>
            <w:r w:rsidRPr="005B06C5">
              <w:rPr>
                <w:iCs/>
              </w:rPr>
              <w:t>10.</w:t>
            </w:r>
            <w:r w:rsidRPr="001874F5" w:rsidR="000327E9">
              <w:rPr>
                <w:iCs/>
                <w:vertAlign w:val="superscript"/>
              </w:rPr>
              <w:t>5</w:t>
            </w:r>
            <w:r w:rsidRPr="005B06C5">
              <w:rPr>
                <w:iCs/>
              </w:rPr>
              <w:t>punkts nosaka CSDD pienākumu nodrošināt, ka</w:t>
            </w:r>
            <w:r w:rsidRPr="005B06C5" w:rsidR="00930150">
              <w:rPr>
                <w:iCs/>
              </w:rPr>
              <w:t xml:space="preserve"> pasūtītās izvēles numura zīmes var saņemt trešajā darba dienā pēc pasūtīšanas, bet, veicot transportlīdzekļa reģistrāciju CSDD Rīgas klientu apkalpošanas centrā, – divu darba stundu laikā pēc iesnieguma valsts reģistrācijas numura reģistrācijai transportlīdzeklim </w:t>
            </w:r>
            <w:r w:rsidRPr="005B06C5" w:rsidR="00930150">
              <w:rPr>
                <w:iCs/>
              </w:rPr>
              <w:lastRenderedPageBreak/>
              <w:t>iesniegšanas</w:t>
            </w:r>
            <w:r w:rsidRPr="005B06C5" w:rsidR="00E45FDC">
              <w:rPr>
                <w:iCs/>
              </w:rPr>
              <w:t>.</w:t>
            </w:r>
            <w:r w:rsidRPr="005B06C5" w:rsidR="00FA76D1">
              <w:rPr>
                <w:iCs/>
              </w:rPr>
              <w:t xml:space="preserve"> Šī kārtība ietverta Noteikumu projekta 1., 2.</w:t>
            </w:r>
            <w:r w:rsidR="008A3252">
              <w:rPr>
                <w:iCs/>
              </w:rPr>
              <w:t xml:space="preserve"> un</w:t>
            </w:r>
            <w:r w:rsidRPr="005B06C5" w:rsidR="00FA76D1">
              <w:rPr>
                <w:iCs/>
              </w:rPr>
              <w:t xml:space="preserve"> 3.</w:t>
            </w:r>
            <w:r w:rsidR="008A3252">
              <w:rPr>
                <w:iCs/>
              </w:rPr>
              <w:t xml:space="preserve"> </w:t>
            </w:r>
            <w:r w:rsidRPr="005B06C5" w:rsidR="00FA76D1">
              <w:rPr>
                <w:iCs/>
              </w:rPr>
              <w:t>punktā.</w:t>
            </w:r>
            <w:r w:rsidRPr="005B06C5">
              <w:rPr>
                <w:iCs/>
              </w:rPr>
              <w:t xml:space="preserve"> Noteikumu</w:t>
            </w:r>
            <w:r w:rsidRPr="005B06C5" w:rsidR="005F3096">
              <w:rPr>
                <w:iCs/>
              </w:rPr>
              <w:t xml:space="preserve"> projektā </w:t>
            </w:r>
            <w:r w:rsidR="00353F50">
              <w:rPr>
                <w:iCs/>
              </w:rPr>
              <w:t xml:space="preserve">2.punktā </w:t>
            </w:r>
            <w:r w:rsidRPr="005B06C5" w:rsidR="005F3096">
              <w:rPr>
                <w:iCs/>
              </w:rPr>
              <w:t xml:space="preserve">ietvertais </w:t>
            </w:r>
            <w:r w:rsidRPr="005B06C5">
              <w:rPr>
                <w:iCs/>
              </w:rPr>
              <w:t>10.</w:t>
            </w:r>
            <w:r w:rsidRPr="00353F50" w:rsidR="00D75B51">
              <w:rPr>
                <w:iCs/>
                <w:vertAlign w:val="superscript"/>
              </w:rPr>
              <w:t>4</w:t>
            </w:r>
            <w:r w:rsidRPr="005B06C5" w:rsidR="00D75B51">
              <w:rPr>
                <w:iCs/>
              </w:rPr>
              <w:t xml:space="preserve"> </w:t>
            </w:r>
            <w:r w:rsidRPr="005B06C5">
              <w:rPr>
                <w:iCs/>
              </w:rPr>
              <w:t>un 10.</w:t>
            </w:r>
            <w:r w:rsidRPr="00353F50" w:rsidR="00D75B51">
              <w:rPr>
                <w:iCs/>
                <w:vertAlign w:val="superscript"/>
              </w:rPr>
              <w:t>5</w:t>
            </w:r>
            <w:r w:rsidRPr="005B06C5" w:rsidR="00D75B51">
              <w:rPr>
                <w:iCs/>
              </w:rPr>
              <w:t xml:space="preserve"> </w:t>
            </w:r>
            <w:r w:rsidRPr="005B06C5" w:rsidR="00E45FDC">
              <w:rPr>
                <w:iCs/>
              </w:rPr>
              <w:t xml:space="preserve">punkts </w:t>
            </w:r>
            <w:r w:rsidRPr="005B06C5">
              <w:rPr>
                <w:iCs/>
              </w:rPr>
              <w:t>nav attiecinām</w:t>
            </w:r>
            <w:r w:rsidRPr="005B06C5" w:rsidR="00E45FDC">
              <w:rPr>
                <w:iCs/>
              </w:rPr>
              <w:t>s</w:t>
            </w:r>
            <w:r w:rsidRPr="005B06C5">
              <w:rPr>
                <w:iCs/>
              </w:rPr>
              <w:t xml:space="preserve"> uz bojātu numura zīmju nomaiņu, kur saglabājas līdzšinējais regulējums</w:t>
            </w:r>
            <w:r w:rsidRPr="005B06C5" w:rsidR="00D65156">
              <w:rPr>
                <w:iCs/>
              </w:rPr>
              <w:t xml:space="preserve">  (Noteikumu 11.</w:t>
            </w:r>
            <w:r w:rsidRPr="00851478" w:rsidR="00D65156">
              <w:rPr>
                <w:iCs/>
                <w:vertAlign w:val="superscript"/>
              </w:rPr>
              <w:t>2</w:t>
            </w:r>
            <w:r w:rsidRPr="005B06C5" w:rsidR="00D65156">
              <w:rPr>
                <w:iCs/>
              </w:rPr>
              <w:t xml:space="preserve"> un 14.punkts)</w:t>
            </w:r>
            <w:r w:rsidRPr="005B06C5">
              <w:rPr>
                <w:iCs/>
              </w:rPr>
              <w:t>.</w:t>
            </w:r>
          </w:p>
          <w:p w:rsidRPr="005B06C5" w:rsidR="00FD68B7" w:rsidP="00FD68B7" w:rsidRDefault="00FD68B7" w14:paraId="24F66B95" w14:textId="4499F8B5">
            <w:pPr>
              <w:pStyle w:val="naiskr"/>
              <w:spacing w:before="0" w:beforeAutospacing="0" w:after="0" w:afterAutospacing="0"/>
              <w:ind w:firstLine="249"/>
              <w:jc w:val="both"/>
              <w:rPr>
                <w:iCs/>
              </w:rPr>
            </w:pPr>
            <w:r w:rsidRPr="005B06C5">
              <w:rPr>
                <w:iCs/>
              </w:rPr>
              <w:t>Diplomātiskā korpusa pārstāvjiem, ka arī to īpašumam saskaņā ar 1961. gada 18. aprīļa Vīnes Konvenciju par diplomātiskajiem sakariem ir paredzēta īpašuma neaizskaramība.</w:t>
            </w:r>
          </w:p>
          <w:p w:rsidRPr="005B06C5" w:rsidR="00254316" w:rsidP="00254316" w:rsidRDefault="009605FD" w14:paraId="6B5B2C42" w14:textId="27426CAE">
            <w:pPr>
              <w:pStyle w:val="NormalWeb"/>
              <w:shd w:val="clear" w:color="auto" w:fill="FFFFFF"/>
              <w:spacing w:before="0" w:beforeAutospacing="0" w:after="0" w:afterAutospacing="0"/>
              <w:ind w:firstLine="250"/>
              <w:jc w:val="both"/>
              <w:rPr>
                <w:iCs/>
                <w:lang w:val="lv-LV" w:eastAsia="lv-LV"/>
              </w:rPr>
            </w:pPr>
            <w:r w:rsidRPr="005B06C5">
              <w:rPr>
                <w:iCs/>
                <w:lang w:val="lv-LV" w:eastAsia="lv-LV"/>
              </w:rPr>
              <w:t xml:space="preserve">Saņemot valsts pārvaldes pakalpojumu “Transportlīdzekļu reģistrācija”, </w:t>
            </w:r>
            <w:r w:rsidRPr="005B06C5" w:rsidR="00FD68B7">
              <w:rPr>
                <w:iCs/>
                <w:lang w:val="lv-LV" w:eastAsia="lv-LV"/>
              </w:rPr>
              <w:t xml:space="preserve">ja kāds līzinga sabiedrības klients veic sākotnējās numurzīmes nomaiņu uz diplomātisko, pat tad, ja tas nav atļauts saskaņā ar līzinga līgumu, līzinga sabiedrībai kā transportlīdzekļa  īpašniekam līzinga līguma saistību neizpildes gadījumā ir faktiski neiespējami šādu transportlīdzekli pārņemt savā valdījumā un realizēt. Lai novērstu līzinga sabiedrības kā transportlīdzekļa īpašnieka tiesību ierobežojumu, noteikumu </w:t>
            </w:r>
            <w:r w:rsidRPr="005B06C5" w:rsidR="00997342">
              <w:rPr>
                <w:iCs/>
                <w:lang w:val="lv-LV" w:eastAsia="lv-LV"/>
              </w:rPr>
              <w:t xml:space="preserve">projekta </w:t>
            </w:r>
            <w:r w:rsidR="002210F1">
              <w:rPr>
                <w:iCs/>
                <w:lang w:val="lv-LV" w:eastAsia="lv-LV"/>
              </w:rPr>
              <w:t>8</w:t>
            </w:r>
            <w:r w:rsidRPr="005B06C5" w:rsidR="00997342">
              <w:rPr>
                <w:iCs/>
                <w:lang w:val="lv-LV" w:eastAsia="lv-LV"/>
              </w:rPr>
              <w:t xml:space="preserve">.punkts </w:t>
            </w:r>
            <w:r w:rsidRPr="005B06C5" w:rsidR="00FD68B7">
              <w:rPr>
                <w:iCs/>
                <w:lang w:val="lv-LV" w:eastAsia="lv-LV"/>
              </w:rPr>
              <w:t>paredz noteikt,</w:t>
            </w:r>
            <w:r w:rsidRPr="005B06C5" w:rsidR="00D75B51">
              <w:rPr>
                <w:iCs/>
                <w:lang w:val="lv-LV" w:eastAsia="lv-LV"/>
              </w:rPr>
              <w:t xml:space="preserve"> ka gadījumā,</w:t>
            </w:r>
            <w:r w:rsidRPr="005B06C5" w:rsidR="00FD68B7">
              <w:rPr>
                <w:iCs/>
                <w:lang w:val="lv-LV" w:eastAsia="lv-LV"/>
              </w:rPr>
              <w:t xml:space="preserve"> ja</w:t>
            </w:r>
            <w:r w:rsidRPr="005B06C5" w:rsidR="005D6345">
              <w:rPr>
                <w:iCs/>
                <w:lang w:val="lv-LV" w:eastAsia="lv-LV"/>
              </w:rPr>
              <w:t xml:space="preserve"> transportlīdzeklim</w:t>
            </w:r>
            <w:r w:rsidRPr="005B06C5" w:rsidR="00FD68B7">
              <w:rPr>
                <w:iCs/>
                <w:lang w:val="lv-LV" w:eastAsia="lv-LV"/>
              </w:rPr>
              <w:t xml:space="preserve"> tiek pieprasītas diplomātiskās numurzīmes, nepieciešams saņemt  transportlīdzekļa īpašnieka piekrišanu.</w:t>
            </w:r>
            <w:r w:rsidRPr="005B06C5" w:rsidR="00254316">
              <w:rPr>
                <w:iCs/>
                <w:lang w:val="lv-LV" w:eastAsia="lv-LV"/>
              </w:rPr>
              <w:t xml:space="preserve"> </w:t>
            </w:r>
          </w:p>
          <w:p w:rsidRPr="002210F1" w:rsidR="00254316" w:rsidP="002210F1" w:rsidRDefault="00254316" w14:paraId="001454D0" w14:textId="05925C51">
            <w:pPr>
              <w:pStyle w:val="NormalWeb"/>
              <w:shd w:val="clear" w:color="auto" w:fill="FFFFFF"/>
              <w:spacing w:before="0" w:beforeAutospacing="0" w:after="0" w:afterAutospacing="0"/>
              <w:ind w:firstLine="250"/>
              <w:jc w:val="both"/>
              <w:rPr>
                <w:iCs/>
                <w:lang w:val="lv-LV" w:eastAsia="lv-LV"/>
              </w:rPr>
            </w:pPr>
            <w:r w:rsidRPr="005B06C5">
              <w:rPr>
                <w:iCs/>
                <w:lang w:val="lv-LV" w:eastAsia="lv-LV"/>
              </w:rPr>
              <w:t xml:space="preserve">Noteikumu projekta saskaņošanas laikā ir saņemts Latvijas Transportlīdzekļu Tirgotāju Asociācijas ierosinājums Nr.2020-1 par atteikšanos no transportlīdzekļa agregātu numuru salīdzināšanas veikšanas nepieciešamības pēc transportlīdzekļa pārdošanas tirdzniecības uzņēmumā, ja transportlīdzeklim ir derīga </w:t>
            </w:r>
            <w:r w:rsidRPr="005B06C5" w:rsidR="006D5280">
              <w:rPr>
                <w:iCs/>
                <w:lang w:val="lv-LV" w:eastAsia="lv-LV"/>
              </w:rPr>
              <w:t xml:space="preserve">tehniskā </w:t>
            </w:r>
            <w:r w:rsidRPr="005B06C5">
              <w:rPr>
                <w:iCs/>
                <w:lang w:val="lv-LV" w:eastAsia="lv-LV"/>
              </w:rPr>
              <w:t xml:space="preserve">apskate. Ņemot vērā, ka </w:t>
            </w:r>
            <w:r w:rsidRPr="005B06C5" w:rsidR="00B1130E">
              <w:rPr>
                <w:iCs/>
                <w:lang w:val="lv-LV" w:eastAsia="lv-LV"/>
              </w:rPr>
              <w:t xml:space="preserve">saskaņā ar noteikto kārtību </w:t>
            </w:r>
            <w:r w:rsidRPr="005B06C5">
              <w:rPr>
                <w:iCs/>
                <w:lang w:val="lv-LV" w:eastAsia="lv-LV"/>
              </w:rPr>
              <w:t>transportlīdzekļu tehniskās apskat</w:t>
            </w:r>
            <w:r w:rsidRPr="005B06C5" w:rsidR="00B1130E">
              <w:rPr>
                <w:iCs/>
                <w:lang w:val="lv-LV" w:eastAsia="lv-LV"/>
              </w:rPr>
              <w:t>i uzsāk ar transportlīdzekļa uzskaites tehnisko datu salīdzināšanu un komersant</w:t>
            </w:r>
            <w:r w:rsidRPr="005B06C5" w:rsidR="00882536">
              <w:rPr>
                <w:iCs/>
                <w:lang w:val="lv-LV" w:eastAsia="lv-LV"/>
              </w:rPr>
              <w:t>s pirms transportlīdzek</w:t>
            </w:r>
            <w:r w:rsidRPr="005B06C5" w:rsidR="006D5280">
              <w:rPr>
                <w:iCs/>
                <w:lang w:val="lv-LV" w:eastAsia="lv-LV"/>
              </w:rPr>
              <w:t>ļa pārdošanas pārliecinās, ka</w:t>
            </w:r>
            <w:r w:rsidRPr="005B06C5" w:rsidR="00882536">
              <w:rPr>
                <w:iCs/>
                <w:lang w:val="lv-LV" w:eastAsia="lv-LV"/>
              </w:rPr>
              <w:t xml:space="preserve"> tā uzskaites tehniskie dati atbilst iesniegtajos dokumentos norādītajiem datiem un nav aizdomu par agregātu numuru vai iesniegto dokumentu viltojumiem</w:t>
            </w:r>
            <w:r w:rsidRPr="005B06C5" w:rsidR="006D5280">
              <w:rPr>
                <w:iCs/>
                <w:lang w:val="lv-LV" w:eastAsia="lv-LV"/>
              </w:rPr>
              <w:t>, lai samazinātu administratīvo slogu</w:t>
            </w:r>
            <w:r w:rsidRPr="005B06C5" w:rsidR="00D30160">
              <w:rPr>
                <w:iCs/>
                <w:lang w:val="lv-LV" w:eastAsia="lv-LV"/>
              </w:rPr>
              <w:t xml:space="preserve"> valsts pārvaldes pakalpojuma “Transportlīdzekļu reģistrācija” ietvaros </w:t>
            </w:r>
            <w:r w:rsidRPr="005B06C5" w:rsidR="006D5280">
              <w:rPr>
                <w:iCs/>
                <w:lang w:val="lv-LV" w:eastAsia="lv-LV"/>
              </w:rPr>
              <w:t xml:space="preserve"> komersantiem un transportlīdzekļu pircējiem Latvijas Transportlīdzekļu Tirgotāju Asociācijas ierosinājums ir atbalstāms un atbilstošs grozījums ietverts Noteikumu projekta </w:t>
            </w:r>
            <w:r w:rsidR="002210F1">
              <w:rPr>
                <w:iCs/>
                <w:lang w:val="lv-LV" w:eastAsia="lv-LV"/>
              </w:rPr>
              <w:t>5</w:t>
            </w:r>
            <w:r w:rsidRPr="005B06C5" w:rsidR="006D5280">
              <w:rPr>
                <w:iCs/>
                <w:lang w:val="lv-LV" w:eastAsia="lv-LV"/>
              </w:rPr>
              <w:t>.punktā</w:t>
            </w:r>
            <w:r w:rsidRPr="005B06C5" w:rsidR="005E6422">
              <w:rPr>
                <w:iCs/>
                <w:lang w:val="lv-LV" w:eastAsia="lv-LV"/>
              </w:rPr>
              <w:t>.</w:t>
            </w:r>
          </w:p>
        </w:tc>
      </w:tr>
      <w:tr w:rsidRPr="00317C36" w:rsidR="00317C36" w:rsidTr="00693190" w14:paraId="1A3D908B" w14:textId="77777777">
        <w:trPr>
          <w:cantSplit/>
        </w:trPr>
        <w:tc>
          <w:tcPr>
            <w:tcW w:w="206" w:type="pct"/>
          </w:tcPr>
          <w:p w:rsidRPr="00317C36" w:rsidR="00FB77E7" w:rsidP="00F906CE" w:rsidRDefault="00510131" w14:paraId="3B34C6C1" w14:textId="255C020A">
            <w:pPr>
              <w:pStyle w:val="Parastais1"/>
              <w:spacing w:before="100" w:beforeAutospacing="1" w:after="100" w:afterAutospacing="1"/>
              <w:ind w:right="-415"/>
              <w:jc w:val="both"/>
            </w:pPr>
            <w:r w:rsidRPr="00317C36">
              <w:lastRenderedPageBreak/>
              <w:t>3.</w:t>
            </w:r>
          </w:p>
        </w:tc>
        <w:tc>
          <w:tcPr>
            <w:tcW w:w="1632" w:type="pct"/>
          </w:tcPr>
          <w:p w:rsidRPr="00317C36" w:rsidR="00FB77E7" w:rsidP="00417069" w:rsidRDefault="00FB77E7" w14:paraId="72B9B60C" w14:textId="3B6F5716">
            <w:pPr>
              <w:pStyle w:val="Parastais1"/>
              <w:spacing w:before="100" w:beforeAutospacing="1" w:after="100" w:afterAutospacing="1"/>
              <w:ind w:right="-106"/>
            </w:pPr>
            <w:r w:rsidRPr="00317C36">
              <w:t>Projekta izstrādē iesaistītās institūcijas</w:t>
            </w:r>
            <w:r w:rsidRPr="00317C36" w:rsidR="00C708B2">
              <w:t xml:space="preserve"> un publiskas</w:t>
            </w:r>
            <w:r w:rsidRPr="00317C36" w:rsidR="00417069">
              <w:t xml:space="preserve"> </w:t>
            </w:r>
            <w:r w:rsidRPr="00317C36" w:rsidR="00C708B2">
              <w:t>personas kapitālsabiedrības</w:t>
            </w:r>
          </w:p>
        </w:tc>
        <w:tc>
          <w:tcPr>
            <w:tcW w:w="3162" w:type="pct"/>
          </w:tcPr>
          <w:p w:rsidRPr="00317C36" w:rsidR="002C1B56" w:rsidP="00F906CE" w:rsidRDefault="00620A49" w14:paraId="5989E5B1" w14:textId="51680F1D">
            <w:pPr>
              <w:pStyle w:val="Parastais1"/>
              <w:spacing w:before="100" w:beforeAutospacing="1" w:after="100" w:afterAutospacing="1"/>
              <w:ind w:right="34"/>
              <w:jc w:val="both"/>
            </w:pPr>
            <w:r w:rsidRPr="00317C36">
              <w:t>Valsts akciju sabiedrība „Ceļu satiksmes drošības direkcija”</w:t>
            </w:r>
            <w:r w:rsidRPr="00317C36" w:rsidR="00045728">
              <w:t>, Satiksmes ministrija.</w:t>
            </w:r>
          </w:p>
        </w:tc>
      </w:tr>
      <w:tr w:rsidRPr="00317C36" w:rsidR="00317C36" w:rsidTr="00693190" w14:paraId="33768E23" w14:textId="77777777">
        <w:tc>
          <w:tcPr>
            <w:tcW w:w="206" w:type="pct"/>
          </w:tcPr>
          <w:p w:rsidRPr="00317C36" w:rsidR="00FB77E7" w:rsidP="00F906CE" w:rsidRDefault="00FB77E7" w14:paraId="46DEE4C9" w14:textId="77777777">
            <w:pPr>
              <w:pStyle w:val="Parastais1"/>
              <w:spacing w:before="100" w:beforeAutospacing="1" w:after="100" w:afterAutospacing="1"/>
              <w:ind w:right="-415"/>
              <w:jc w:val="both"/>
            </w:pPr>
            <w:r w:rsidRPr="00317C36">
              <w:t>4.</w:t>
            </w:r>
          </w:p>
        </w:tc>
        <w:tc>
          <w:tcPr>
            <w:tcW w:w="1632" w:type="pct"/>
          </w:tcPr>
          <w:p w:rsidRPr="00317C36" w:rsidR="00FB77E7" w:rsidP="00F906CE" w:rsidRDefault="00FB77E7" w14:paraId="6FFBC703" w14:textId="77777777">
            <w:pPr>
              <w:pStyle w:val="Parastais1"/>
              <w:spacing w:before="100" w:beforeAutospacing="1" w:after="100" w:afterAutospacing="1"/>
              <w:ind w:right="-415"/>
              <w:jc w:val="both"/>
            </w:pPr>
            <w:r w:rsidRPr="00317C36">
              <w:t>Cita informācija</w:t>
            </w:r>
          </w:p>
        </w:tc>
        <w:tc>
          <w:tcPr>
            <w:tcW w:w="3162" w:type="pct"/>
          </w:tcPr>
          <w:p w:rsidRPr="00317C36" w:rsidR="00FB77E7" w:rsidP="00F906CE" w:rsidRDefault="003E7BFA" w14:paraId="290EAFAF" w14:textId="2018B496">
            <w:pPr>
              <w:pStyle w:val="Parastais1"/>
              <w:spacing w:before="100" w:beforeAutospacing="1" w:after="100" w:afterAutospacing="1"/>
              <w:ind w:right="-415"/>
              <w:jc w:val="both"/>
            </w:pPr>
            <w:r w:rsidRPr="00317C36">
              <w:t>Nav</w:t>
            </w:r>
            <w:r w:rsidRPr="00317C36" w:rsidR="003058F8">
              <w:t>.</w:t>
            </w:r>
          </w:p>
        </w:tc>
      </w:tr>
    </w:tbl>
    <w:p w:rsidRPr="00317C36" w:rsidR="00747F28" w:rsidP="00FB77E7" w:rsidRDefault="00FB77E7" w14:paraId="6637AC14" w14:textId="742B404E">
      <w:pPr>
        <w:pStyle w:val="Parastais1"/>
        <w:jc w:val="both"/>
        <w:rPr>
          <w:sz w:val="16"/>
          <w:szCs w:val="16"/>
        </w:rPr>
      </w:pPr>
      <w:r w:rsidRPr="00317C36">
        <w:rPr>
          <w:sz w:val="16"/>
          <w:szCs w:val="16"/>
        </w:rPr>
        <w:t> </w:t>
      </w:r>
    </w:p>
    <w:tbl>
      <w:tblPr>
        <w:tblW w:w="5000" w:type="pct"/>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536"/>
        <w:gridCol w:w="2981"/>
        <w:gridCol w:w="5544"/>
      </w:tblGrid>
      <w:tr w:rsidRPr="00317C36" w:rsidR="00317C36" w:rsidTr="009A646D" w14:paraId="7E49C9F8" w14:textId="77777777">
        <w:tc>
          <w:tcPr>
            <w:tcW w:w="5000" w:type="pct"/>
            <w:gridSpan w:val="3"/>
          </w:tcPr>
          <w:p w:rsidRPr="00317C36" w:rsidR="00FB77E7" w:rsidP="000C473E" w:rsidRDefault="00FB77E7" w14:paraId="00D17388" w14:textId="77777777">
            <w:pPr>
              <w:pStyle w:val="Parastais1"/>
              <w:spacing w:before="100" w:beforeAutospacing="1" w:after="100" w:afterAutospacing="1"/>
              <w:jc w:val="center"/>
              <w:rPr>
                <w:b/>
                <w:bCs/>
              </w:rPr>
            </w:pPr>
            <w:r w:rsidRPr="00317C36">
              <w:rPr>
                <w:b/>
                <w:bCs/>
              </w:rPr>
              <w:t>II. Tiesību akta projekta ietekme uz sabiedrību, tautsaimniecības attīstību un administratīvo slogu</w:t>
            </w:r>
          </w:p>
        </w:tc>
      </w:tr>
      <w:tr w:rsidRPr="00317C36" w:rsidR="00317C36" w:rsidTr="009A646D" w14:paraId="30D4FFEA" w14:textId="77777777">
        <w:tc>
          <w:tcPr>
            <w:tcW w:w="296" w:type="pct"/>
          </w:tcPr>
          <w:p w:rsidRPr="00317C36" w:rsidR="003B76EE" w:rsidP="003B76EE" w:rsidRDefault="003B76EE" w14:paraId="6FD63DAE" w14:textId="77777777">
            <w:pPr>
              <w:pStyle w:val="Parastais1"/>
              <w:spacing w:before="100" w:beforeAutospacing="1" w:after="100" w:afterAutospacing="1"/>
              <w:jc w:val="both"/>
            </w:pPr>
            <w:r w:rsidRPr="00317C36">
              <w:t>1.</w:t>
            </w:r>
          </w:p>
        </w:tc>
        <w:tc>
          <w:tcPr>
            <w:tcW w:w="1645" w:type="pct"/>
          </w:tcPr>
          <w:p w:rsidRPr="00317C36" w:rsidR="003B76EE" w:rsidP="003B76EE" w:rsidRDefault="003B76EE" w14:paraId="09093B11" w14:textId="77777777">
            <w:pPr>
              <w:pStyle w:val="Parastais1"/>
              <w:spacing w:before="100" w:beforeAutospacing="1" w:after="100" w:afterAutospacing="1"/>
              <w:jc w:val="both"/>
            </w:pPr>
            <w:r w:rsidRPr="00317C36">
              <w:t xml:space="preserve">Sabiedrības </w:t>
            </w:r>
            <w:proofErr w:type="spellStart"/>
            <w:r w:rsidRPr="00317C36">
              <w:t>mērķgrupa</w:t>
            </w:r>
            <w:proofErr w:type="spellEnd"/>
            <w:r w:rsidRPr="00317C36">
              <w:t xml:space="preserve">, kuras tiesiskais regulējums </w:t>
            </w:r>
            <w:r w:rsidRPr="00317C36">
              <w:lastRenderedPageBreak/>
              <w:t>arī ietekmē vai varētu ietekmēt</w:t>
            </w:r>
          </w:p>
        </w:tc>
        <w:tc>
          <w:tcPr>
            <w:tcW w:w="3059" w:type="pct"/>
          </w:tcPr>
          <w:p w:rsidRPr="008250B2" w:rsidR="003B76EE" w:rsidP="00B12F5C" w:rsidRDefault="003B76EE" w14:paraId="23D4ABF1" w14:textId="585944B0">
            <w:pPr>
              <w:spacing w:line="240" w:lineRule="auto"/>
              <w:ind w:firstLine="0"/>
              <w:rPr>
                <w:rFonts w:eastAsia="Times New Roman"/>
                <w:sz w:val="24"/>
                <w:szCs w:val="24"/>
              </w:rPr>
            </w:pPr>
            <w:r w:rsidRPr="00317C36">
              <w:rPr>
                <w:rFonts w:eastAsia="Times New Roman"/>
                <w:sz w:val="24"/>
                <w:szCs w:val="24"/>
              </w:rPr>
              <w:lastRenderedPageBreak/>
              <w:t>Noteikumu projekts attiecas uz transportlīdzekļu īpašniekiem</w:t>
            </w:r>
            <w:r w:rsidRPr="00317C36" w:rsidR="003058F8">
              <w:rPr>
                <w:rFonts w:eastAsia="Times New Roman"/>
                <w:sz w:val="24"/>
                <w:szCs w:val="24"/>
              </w:rPr>
              <w:t xml:space="preserve">, </w:t>
            </w:r>
            <w:r w:rsidRPr="00317C36">
              <w:rPr>
                <w:rFonts w:eastAsia="Times New Roman"/>
                <w:sz w:val="24"/>
                <w:szCs w:val="24"/>
              </w:rPr>
              <w:t xml:space="preserve">turētājiem, valdītājiem – fiziskām un </w:t>
            </w:r>
            <w:r w:rsidRPr="00317C36">
              <w:rPr>
                <w:rFonts w:eastAsia="Times New Roman"/>
                <w:sz w:val="24"/>
                <w:szCs w:val="24"/>
              </w:rPr>
              <w:lastRenderedPageBreak/>
              <w:t>juridiskām personām</w:t>
            </w:r>
            <w:r w:rsidR="003431C4">
              <w:rPr>
                <w:rFonts w:eastAsia="Times New Roman"/>
                <w:sz w:val="24"/>
                <w:szCs w:val="24"/>
              </w:rPr>
              <w:t xml:space="preserve"> </w:t>
            </w:r>
            <w:r w:rsidRPr="008250B2" w:rsidR="003431C4">
              <w:rPr>
                <w:rFonts w:eastAsia="Times New Roman"/>
                <w:sz w:val="24"/>
                <w:szCs w:val="24"/>
              </w:rPr>
              <w:t>kā arī uz VAS “Ceļu satiksmes drošības direkcija</w:t>
            </w:r>
            <w:r w:rsidRPr="008250B2" w:rsidR="003058F8">
              <w:rPr>
                <w:rFonts w:eastAsia="Times New Roman"/>
                <w:sz w:val="24"/>
                <w:szCs w:val="24"/>
              </w:rPr>
              <w:t>.</w:t>
            </w:r>
            <w:r w:rsidR="008250B2">
              <w:rPr>
                <w:rFonts w:eastAsia="Times New Roman"/>
                <w:sz w:val="24"/>
                <w:szCs w:val="24"/>
              </w:rPr>
              <w:t>”.</w:t>
            </w:r>
          </w:p>
        </w:tc>
      </w:tr>
      <w:tr w:rsidRPr="00317C36" w:rsidR="00FA76D1" w:rsidTr="009A646D" w14:paraId="54544F96" w14:textId="77777777">
        <w:tc>
          <w:tcPr>
            <w:tcW w:w="296" w:type="pct"/>
          </w:tcPr>
          <w:p w:rsidRPr="00317C36" w:rsidR="00FA76D1" w:rsidP="00FA76D1" w:rsidRDefault="00FA76D1" w14:paraId="766A72CB" w14:textId="77777777">
            <w:pPr>
              <w:pStyle w:val="Parastais1"/>
              <w:spacing w:before="100" w:beforeAutospacing="1" w:after="100" w:afterAutospacing="1"/>
              <w:jc w:val="both"/>
            </w:pPr>
            <w:r w:rsidRPr="00317C36">
              <w:lastRenderedPageBreak/>
              <w:t>2.</w:t>
            </w:r>
          </w:p>
        </w:tc>
        <w:tc>
          <w:tcPr>
            <w:tcW w:w="1645" w:type="pct"/>
          </w:tcPr>
          <w:p w:rsidRPr="00317C36" w:rsidR="00FA76D1" w:rsidP="00FA76D1" w:rsidRDefault="00FA76D1" w14:paraId="6CC2DE30" w14:textId="77777777">
            <w:pPr>
              <w:pStyle w:val="Parastais1"/>
              <w:spacing w:before="100" w:beforeAutospacing="1" w:after="100" w:afterAutospacing="1"/>
              <w:jc w:val="both"/>
            </w:pPr>
            <w:r w:rsidRPr="00317C36">
              <w:t>Tiesiskā regulējuma ietekme uz tautsaimniecību un administratīvo slogu.</w:t>
            </w:r>
          </w:p>
        </w:tc>
        <w:tc>
          <w:tcPr>
            <w:tcW w:w="3059" w:type="pct"/>
          </w:tcPr>
          <w:p w:rsidRPr="008250B2" w:rsidR="00FA76D1" w:rsidP="00FA76D1" w:rsidRDefault="00FA76D1" w14:paraId="3C1C5333" w14:textId="436EA9FB">
            <w:pPr>
              <w:spacing w:line="240" w:lineRule="auto"/>
              <w:ind w:firstLine="0"/>
              <w:rPr>
                <w:rFonts w:eastAsia="Times New Roman"/>
                <w:sz w:val="24"/>
                <w:szCs w:val="24"/>
              </w:rPr>
            </w:pPr>
            <w:r w:rsidRPr="00666FD8">
              <w:rPr>
                <w:rFonts w:eastAsia="Times New Roman"/>
                <w:sz w:val="24"/>
                <w:szCs w:val="24"/>
              </w:rPr>
              <w:t xml:space="preserve">Paredzams, ka administratīvais slogs tiks samazināts </w:t>
            </w:r>
            <w:r w:rsidRPr="008250B2">
              <w:rPr>
                <w:rFonts w:eastAsia="Times New Roman"/>
                <w:sz w:val="24"/>
                <w:szCs w:val="24"/>
              </w:rPr>
              <w:t>gan transportlīdzekļu īpašniekiem</w:t>
            </w:r>
            <w:r w:rsidRPr="008250B2" w:rsidR="004143E0">
              <w:rPr>
                <w:rFonts w:eastAsia="Times New Roman"/>
                <w:sz w:val="24"/>
                <w:szCs w:val="24"/>
              </w:rPr>
              <w:t xml:space="preserve"> un turētājiem</w:t>
            </w:r>
            <w:r w:rsidRPr="008250B2">
              <w:rPr>
                <w:rFonts w:eastAsia="Times New Roman"/>
                <w:sz w:val="24"/>
                <w:szCs w:val="24"/>
              </w:rPr>
              <w:t>, jo tiek pa</w:t>
            </w:r>
            <w:r w:rsidRPr="008250B2" w:rsidR="004143E0">
              <w:rPr>
                <w:rFonts w:eastAsia="Times New Roman"/>
                <w:sz w:val="24"/>
                <w:szCs w:val="24"/>
              </w:rPr>
              <w:t>plašināta</w:t>
            </w:r>
            <w:r w:rsidRPr="008250B2">
              <w:rPr>
                <w:rFonts w:eastAsia="Times New Roman"/>
                <w:sz w:val="24"/>
                <w:szCs w:val="24"/>
              </w:rPr>
              <w:t xml:space="preserve"> iespēja </w:t>
            </w:r>
            <w:r w:rsidRPr="008250B2" w:rsidR="004143E0">
              <w:rPr>
                <w:rFonts w:eastAsia="Times New Roman"/>
                <w:sz w:val="24"/>
                <w:szCs w:val="24"/>
              </w:rPr>
              <w:t>izvēlēties numura zīmes, t.sk. izmantojot</w:t>
            </w:r>
            <w:r w:rsidRPr="008250B2">
              <w:rPr>
                <w:rFonts w:eastAsia="Times New Roman"/>
                <w:sz w:val="24"/>
                <w:szCs w:val="24"/>
              </w:rPr>
              <w:t xml:space="preserve"> elektronisko</w:t>
            </w:r>
            <w:r w:rsidRPr="008250B2" w:rsidR="004143E0">
              <w:rPr>
                <w:rFonts w:eastAsia="Times New Roman"/>
                <w:sz w:val="24"/>
                <w:szCs w:val="24"/>
              </w:rPr>
              <w:t>s</w:t>
            </w:r>
            <w:r w:rsidRPr="008250B2">
              <w:rPr>
                <w:rFonts w:eastAsia="Times New Roman"/>
                <w:sz w:val="24"/>
                <w:szCs w:val="24"/>
              </w:rPr>
              <w:t xml:space="preserve"> pakalpojumu</w:t>
            </w:r>
            <w:r w:rsidRPr="008250B2" w:rsidR="004143E0">
              <w:rPr>
                <w:rFonts w:eastAsia="Times New Roman"/>
                <w:sz w:val="24"/>
                <w:szCs w:val="24"/>
              </w:rPr>
              <w:t>s</w:t>
            </w:r>
            <w:r w:rsidRPr="008250B2">
              <w:rPr>
                <w:rFonts w:eastAsia="Times New Roman"/>
                <w:sz w:val="24"/>
                <w:szCs w:val="24"/>
              </w:rPr>
              <w:t xml:space="preserve">, gan arī VAS „Ceļu satiksmes drošības direkcija”, jo tiks samazināta klientu plūsma klientu apkalpošanas centros. </w:t>
            </w:r>
          </w:p>
          <w:p w:rsidRPr="00317C36" w:rsidR="00FA76D1" w:rsidP="00FA76D1" w:rsidRDefault="004143E0" w14:paraId="0AD2CECD" w14:textId="3BB78571">
            <w:pPr>
              <w:spacing w:line="240" w:lineRule="auto"/>
              <w:ind w:firstLine="0"/>
              <w:rPr>
                <w:rFonts w:eastAsia="Times New Roman"/>
                <w:sz w:val="24"/>
                <w:szCs w:val="24"/>
              </w:rPr>
            </w:pPr>
            <w:r w:rsidRPr="008250B2">
              <w:rPr>
                <w:rFonts w:eastAsia="Times New Roman"/>
                <w:sz w:val="24"/>
                <w:szCs w:val="24"/>
              </w:rPr>
              <w:t>T</w:t>
            </w:r>
            <w:r w:rsidRPr="008250B2" w:rsidR="00FA76D1">
              <w:rPr>
                <w:rFonts w:eastAsia="Times New Roman"/>
                <w:sz w:val="24"/>
                <w:szCs w:val="24"/>
              </w:rPr>
              <w:t>iek samazināts arī to gadījumu skaits, kad transportlīdzekļu reģistrācijai ir nepieciešama agregātu numuru salīdzināšanas veikšana.</w:t>
            </w:r>
          </w:p>
        </w:tc>
      </w:tr>
      <w:tr w:rsidRPr="00317C36" w:rsidR="00FA76D1" w:rsidTr="009A646D" w14:paraId="15E0083F" w14:textId="77777777">
        <w:tc>
          <w:tcPr>
            <w:tcW w:w="296" w:type="pct"/>
          </w:tcPr>
          <w:p w:rsidRPr="00317C36" w:rsidR="00FA76D1" w:rsidP="00FA76D1" w:rsidRDefault="00FA76D1" w14:paraId="417E016A" w14:textId="77777777">
            <w:pPr>
              <w:pStyle w:val="Parastais1"/>
              <w:spacing w:before="100" w:beforeAutospacing="1" w:after="100" w:afterAutospacing="1"/>
              <w:jc w:val="both"/>
            </w:pPr>
            <w:r w:rsidRPr="00317C36">
              <w:t>3.</w:t>
            </w:r>
          </w:p>
        </w:tc>
        <w:tc>
          <w:tcPr>
            <w:tcW w:w="1645" w:type="pct"/>
          </w:tcPr>
          <w:p w:rsidRPr="00317C36" w:rsidR="00FA76D1" w:rsidP="00FA76D1" w:rsidRDefault="00FA76D1" w14:paraId="1A0903C5" w14:textId="77777777">
            <w:pPr>
              <w:pStyle w:val="Parastais1"/>
              <w:spacing w:before="100" w:beforeAutospacing="1" w:after="100" w:afterAutospacing="1"/>
              <w:jc w:val="both"/>
            </w:pPr>
            <w:r w:rsidRPr="00317C36">
              <w:t>Administratīvo izmaksu monetārs novērtējums</w:t>
            </w:r>
          </w:p>
        </w:tc>
        <w:tc>
          <w:tcPr>
            <w:tcW w:w="3059" w:type="pct"/>
          </w:tcPr>
          <w:p w:rsidRPr="00317C36" w:rsidR="00FA76D1" w:rsidP="00FA76D1" w:rsidRDefault="00FA76D1" w14:paraId="66E2623F" w14:textId="640F5BF1">
            <w:pPr>
              <w:pStyle w:val="Parastais1"/>
              <w:spacing w:before="100" w:beforeAutospacing="1" w:after="100" w:afterAutospacing="1"/>
              <w:jc w:val="both"/>
              <w:rPr>
                <w:lang w:eastAsia="en-US"/>
              </w:rPr>
            </w:pPr>
            <w:r w:rsidRPr="008250B2">
              <w:rPr>
                <w:lang w:eastAsia="en-US"/>
              </w:rPr>
              <w:t>Izmaksas, ko rada Noteikuma projekta tiesiskais regulējums saistībā ar informācijas pieņemšanas, apstrādes vai uzglabāšanas pienākumu izpildi, nodrošinās VAS “Ceļu satiksmes drošības direkcija” līdzšinējo funkciju ietvaros un papildu līdzekļu piesaiste nebūs nepieciešama.</w:t>
            </w:r>
          </w:p>
        </w:tc>
      </w:tr>
      <w:tr w:rsidRPr="00317C36" w:rsidR="00FA76D1" w:rsidTr="009A646D" w14:paraId="3B33A574" w14:textId="77777777">
        <w:tc>
          <w:tcPr>
            <w:tcW w:w="296" w:type="pct"/>
          </w:tcPr>
          <w:p w:rsidRPr="00317C36" w:rsidR="00FA76D1" w:rsidP="00FA76D1" w:rsidRDefault="00FA76D1" w14:paraId="4EA907F1" w14:textId="77777777">
            <w:pPr>
              <w:pStyle w:val="Parastais1"/>
              <w:spacing w:before="100" w:beforeAutospacing="1" w:after="100" w:afterAutospacing="1"/>
              <w:jc w:val="both"/>
            </w:pPr>
            <w:r w:rsidRPr="00317C36">
              <w:t>4.</w:t>
            </w:r>
          </w:p>
        </w:tc>
        <w:tc>
          <w:tcPr>
            <w:tcW w:w="1645" w:type="pct"/>
          </w:tcPr>
          <w:p w:rsidRPr="00317C36" w:rsidR="00FA76D1" w:rsidP="00FA76D1" w:rsidRDefault="00FA76D1" w14:paraId="45A28516" w14:textId="77777777">
            <w:pPr>
              <w:pStyle w:val="Parastais1"/>
              <w:spacing w:before="100" w:beforeAutospacing="1" w:after="100" w:afterAutospacing="1"/>
              <w:jc w:val="both"/>
            </w:pPr>
            <w:r w:rsidRPr="00317C36">
              <w:t>Atbilstības izmaksu monetārs novērtējums</w:t>
            </w:r>
          </w:p>
        </w:tc>
        <w:tc>
          <w:tcPr>
            <w:tcW w:w="3059" w:type="pct"/>
          </w:tcPr>
          <w:p w:rsidRPr="00317C36" w:rsidR="00FA76D1" w:rsidP="00FA76D1" w:rsidRDefault="00FA76D1" w14:paraId="06D88359" w14:textId="2BB808BB">
            <w:pPr>
              <w:pStyle w:val="Parastais1"/>
              <w:spacing w:before="100" w:beforeAutospacing="1" w:after="100" w:afterAutospacing="1"/>
              <w:jc w:val="both"/>
              <w:rPr>
                <w:iCs/>
              </w:rPr>
            </w:pPr>
            <w:r w:rsidRPr="00317C36">
              <w:rPr>
                <w:iCs/>
              </w:rPr>
              <w:t>Projekts šo jomu neskar.</w:t>
            </w:r>
          </w:p>
        </w:tc>
      </w:tr>
      <w:tr w:rsidRPr="00317C36" w:rsidR="00FA76D1" w:rsidTr="009A646D" w14:paraId="3F820992" w14:textId="77777777">
        <w:tc>
          <w:tcPr>
            <w:tcW w:w="296" w:type="pct"/>
          </w:tcPr>
          <w:p w:rsidRPr="00317C36" w:rsidR="00FA76D1" w:rsidP="00FA76D1" w:rsidRDefault="00FA76D1" w14:paraId="475F2EDA" w14:textId="77777777">
            <w:pPr>
              <w:pStyle w:val="Parastais1"/>
              <w:spacing w:before="100" w:beforeAutospacing="1" w:after="100" w:afterAutospacing="1"/>
              <w:jc w:val="both"/>
            </w:pPr>
            <w:r w:rsidRPr="00317C36">
              <w:t>5.</w:t>
            </w:r>
          </w:p>
        </w:tc>
        <w:tc>
          <w:tcPr>
            <w:tcW w:w="1645" w:type="pct"/>
          </w:tcPr>
          <w:p w:rsidRPr="00317C36" w:rsidR="00FA76D1" w:rsidP="00FA76D1" w:rsidRDefault="00FA76D1" w14:paraId="299547A0" w14:textId="77777777">
            <w:pPr>
              <w:pStyle w:val="Parastais1"/>
              <w:spacing w:before="100" w:beforeAutospacing="1" w:after="100" w:afterAutospacing="1"/>
              <w:jc w:val="both"/>
            </w:pPr>
            <w:r w:rsidRPr="00317C36">
              <w:t>Cita informācija</w:t>
            </w:r>
          </w:p>
        </w:tc>
        <w:tc>
          <w:tcPr>
            <w:tcW w:w="3059" w:type="pct"/>
          </w:tcPr>
          <w:p w:rsidRPr="00317C36" w:rsidR="00FA76D1" w:rsidP="00FA76D1" w:rsidRDefault="00FA76D1" w14:paraId="5EE98437" w14:textId="7C78DA35">
            <w:pPr>
              <w:pStyle w:val="Parastais1"/>
              <w:spacing w:before="100" w:beforeAutospacing="1" w:after="100" w:afterAutospacing="1"/>
              <w:jc w:val="both"/>
            </w:pPr>
            <w:r w:rsidRPr="00317C36">
              <w:t>Nav.</w:t>
            </w:r>
          </w:p>
        </w:tc>
      </w:tr>
    </w:tbl>
    <w:p w:rsidRPr="00317C36" w:rsidR="00747F28" w:rsidP="0049568D" w:rsidRDefault="00747F28" w14:paraId="7AB60CD6" w14:textId="77777777">
      <w:pPr>
        <w:spacing w:line="240" w:lineRule="auto"/>
        <w:ind w:firstLine="0"/>
        <w:jc w:val="left"/>
        <w:rPr>
          <w:sz w:val="24"/>
          <w:szCs w:val="24"/>
        </w:rPr>
      </w:pPr>
    </w:p>
    <w:tbl>
      <w:tblPr>
        <w:tblW w:w="90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95"/>
      </w:tblGrid>
      <w:tr w:rsidRPr="00317C36" w:rsidR="00317C36" w:rsidTr="009A646D" w14:paraId="601820B1" w14:textId="77777777">
        <w:trPr>
          <w:trHeight w:val="243"/>
        </w:trPr>
        <w:tc>
          <w:tcPr>
            <w:tcW w:w="9095" w:type="dxa"/>
            <w:shd w:val="clear" w:color="auto" w:fill="auto"/>
          </w:tcPr>
          <w:p w:rsidRPr="00317C36" w:rsidR="00C708B6" w:rsidP="003E08B6" w:rsidRDefault="00C708B6" w14:paraId="3517760A" w14:textId="77777777">
            <w:pPr>
              <w:spacing w:line="240" w:lineRule="auto"/>
              <w:ind w:firstLine="0"/>
              <w:jc w:val="center"/>
              <w:rPr>
                <w:sz w:val="24"/>
                <w:szCs w:val="24"/>
              </w:rPr>
            </w:pPr>
            <w:r w:rsidRPr="00317C36">
              <w:rPr>
                <w:b/>
                <w:bCs/>
                <w:sz w:val="24"/>
                <w:szCs w:val="24"/>
                <w:shd w:val="clear" w:color="auto" w:fill="FFFFFF"/>
              </w:rPr>
              <w:t>III. Tiesību akta projekta ietekme uz valsts budžetu un pašvaldību budžetiem</w:t>
            </w:r>
          </w:p>
        </w:tc>
      </w:tr>
      <w:tr w:rsidRPr="00317C36" w:rsidR="00317C36" w:rsidTr="009A646D" w14:paraId="7675B11D" w14:textId="77777777">
        <w:trPr>
          <w:trHeight w:val="243"/>
        </w:trPr>
        <w:tc>
          <w:tcPr>
            <w:tcW w:w="9095" w:type="dxa"/>
            <w:shd w:val="clear" w:color="auto" w:fill="auto"/>
          </w:tcPr>
          <w:p w:rsidRPr="00317C36" w:rsidR="00C708B6" w:rsidP="00F6260D" w:rsidRDefault="00C708B6" w14:paraId="18AB15F2" w14:textId="4CE80EE6">
            <w:pPr>
              <w:spacing w:line="240" w:lineRule="auto"/>
              <w:ind w:firstLine="0"/>
              <w:jc w:val="center"/>
              <w:rPr>
                <w:sz w:val="24"/>
                <w:szCs w:val="24"/>
              </w:rPr>
            </w:pPr>
            <w:r w:rsidRPr="00317C36">
              <w:rPr>
                <w:rFonts w:eastAsia="Times New Roman"/>
                <w:sz w:val="24"/>
                <w:szCs w:val="24"/>
              </w:rPr>
              <w:t>Projekts šo jomu neskar</w:t>
            </w:r>
            <w:r w:rsidRPr="00317C36" w:rsidR="00A34A01">
              <w:rPr>
                <w:rFonts w:eastAsia="Times New Roman"/>
                <w:sz w:val="24"/>
                <w:szCs w:val="24"/>
              </w:rPr>
              <w:t>.</w:t>
            </w:r>
          </w:p>
        </w:tc>
      </w:tr>
    </w:tbl>
    <w:p w:rsidRPr="00317C36" w:rsidR="00747F28" w:rsidP="0049568D" w:rsidRDefault="00747F28" w14:paraId="1C189B53" w14:textId="77777777">
      <w:pPr>
        <w:spacing w:line="240" w:lineRule="auto"/>
        <w:ind w:firstLine="0"/>
        <w:jc w:val="left"/>
        <w:rPr>
          <w:sz w:val="24"/>
          <w:szCs w:val="24"/>
        </w:rPr>
      </w:pPr>
    </w:p>
    <w:tbl>
      <w:tblPr>
        <w:tblW w:w="5024"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98"/>
      </w:tblGrid>
      <w:tr w:rsidRPr="00317C36" w:rsidR="00317C36" w:rsidTr="000B6E9C" w14:paraId="1052B878" w14:textId="77777777">
        <w:trPr>
          <w:trHeight w:val="271"/>
        </w:trPr>
        <w:tc>
          <w:tcPr>
            <w:tcW w:w="10142" w:type="dxa"/>
            <w:tcBorders>
              <w:top w:val="outset" w:color="414142" w:sz="6" w:space="0"/>
              <w:left w:val="outset" w:color="414142" w:sz="6" w:space="0"/>
              <w:bottom w:val="outset" w:color="414142" w:sz="6" w:space="0"/>
              <w:right w:val="outset" w:color="414142" w:sz="6" w:space="0"/>
            </w:tcBorders>
            <w:vAlign w:val="center"/>
            <w:hideMark/>
          </w:tcPr>
          <w:p w:rsidRPr="00317C36" w:rsidR="00AC75BC" w:rsidP="00AD698E" w:rsidRDefault="00AC75BC" w14:paraId="770B874E" w14:textId="77777777">
            <w:pPr>
              <w:spacing w:line="240" w:lineRule="auto"/>
              <w:ind w:firstLine="74"/>
              <w:jc w:val="center"/>
              <w:rPr>
                <w:b/>
                <w:bCs/>
                <w:sz w:val="24"/>
                <w:szCs w:val="24"/>
                <w:shd w:val="clear" w:color="auto" w:fill="FFFFFF"/>
              </w:rPr>
            </w:pPr>
            <w:r w:rsidRPr="00317C36">
              <w:rPr>
                <w:b/>
                <w:bCs/>
                <w:sz w:val="24"/>
                <w:szCs w:val="24"/>
                <w:shd w:val="clear" w:color="auto" w:fill="FFFFFF"/>
              </w:rPr>
              <w:t>IV. Tiesību akta projekta ietekme uz spēkā esošo tiesību normu sistēmu</w:t>
            </w:r>
          </w:p>
        </w:tc>
      </w:tr>
      <w:tr w:rsidRPr="00317C36" w:rsidR="003616BB" w:rsidTr="000B6E9C" w14:paraId="7BA96C4C" w14:textId="77777777">
        <w:trPr>
          <w:trHeight w:val="283"/>
        </w:trPr>
        <w:tc>
          <w:tcPr>
            <w:tcW w:w="10142" w:type="dxa"/>
            <w:tcBorders>
              <w:top w:val="outset" w:color="414142" w:sz="6" w:space="0"/>
              <w:left w:val="outset" w:color="414142" w:sz="6" w:space="0"/>
              <w:bottom w:val="outset" w:color="414142" w:sz="6" w:space="0"/>
              <w:right w:val="outset" w:color="414142" w:sz="6" w:space="0"/>
            </w:tcBorders>
            <w:vAlign w:val="center"/>
          </w:tcPr>
          <w:p w:rsidRPr="00317C36" w:rsidR="003616BB" w:rsidP="00AD698E" w:rsidRDefault="003616BB" w14:paraId="78EB730B" w14:textId="0CF6CB76">
            <w:pPr>
              <w:spacing w:line="240" w:lineRule="auto"/>
              <w:ind w:firstLine="74"/>
              <w:jc w:val="center"/>
              <w:rPr>
                <w:b/>
                <w:bCs/>
                <w:sz w:val="24"/>
                <w:szCs w:val="24"/>
                <w:shd w:val="clear" w:color="auto" w:fill="FFFFFF"/>
              </w:rPr>
            </w:pPr>
            <w:r w:rsidRPr="00317C36">
              <w:rPr>
                <w:rFonts w:eastAsia="Times New Roman"/>
                <w:sz w:val="24"/>
                <w:szCs w:val="24"/>
              </w:rPr>
              <w:t>Projekts šo jomu neskar</w:t>
            </w:r>
            <w:r w:rsidRPr="00317C36" w:rsidR="00A34A01">
              <w:rPr>
                <w:rFonts w:eastAsia="Times New Roman"/>
                <w:sz w:val="24"/>
                <w:szCs w:val="24"/>
              </w:rPr>
              <w:t>.</w:t>
            </w:r>
          </w:p>
        </w:tc>
      </w:tr>
    </w:tbl>
    <w:p w:rsidRPr="00317C36" w:rsidR="00D60C92" w:rsidP="0049568D" w:rsidRDefault="00D60C92" w14:paraId="66F9FC86" w14:textId="77777777">
      <w:pPr>
        <w:spacing w:line="240" w:lineRule="auto"/>
        <w:ind w:firstLine="0"/>
        <w:jc w:val="left"/>
        <w:rPr>
          <w:b/>
          <w:bCs/>
          <w:sz w:val="24"/>
          <w:szCs w:val="24"/>
          <w:shd w:val="clear" w:color="auto" w:fill="FFFFFF"/>
        </w:rPr>
      </w:pPr>
    </w:p>
    <w:tbl>
      <w:tblPr>
        <w:tblW w:w="5022"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95"/>
      </w:tblGrid>
      <w:tr w:rsidRPr="00317C36" w:rsidR="00317C36" w:rsidTr="000B6E9C" w14:paraId="4BBD3870" w14:textId="77777777">
        <w:trPr>
          <w:trHeight w:val="291"/>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317C36" w:rsidR="00BF0288" w:rsidP="00B23339" w:rsidRDefault="00BF0288" w14:paraId="1F599BDD" w14:textId="77777777">
            <w:pPr>
              <w:spacing w:line="240" w:lineRule="auto"/>
              <w:ind w:firstLine="300"/>
              <w:jc w:val="center"/>
              <w:rPr>
                <w:rFonts w:eastAsia="Times New Roman"/>
                <w:b/>
                <w:bCs/>
                <w:sz w:val="24"/>
                <w:szCs w:val="24"/>
                <w:lang w:eastAsia="lv-LV"/>
              </w:rPr>
            </w:pPr>
            <w:r w:rsidRPr="00317C36">
              <w:rPr>
                <w:rFonts w:eastAsia="Times New Roman"/>
                <w:b/>
                <w:bCs/>
                <w:sz w:val="24"/>
                <w:szCs w:val="24"/>
                <w:lang w:eastAsia="lv-LV"/>
              </w:rPr>
              <w:t>V. Tiesību akta projekta atbilstība Latvijas Republikas starptautiskajām saistībām</w:t>
            </w:r>
          </w:p>
        </w:tc>
      </w:tr>
      <w:tr w:rsidRPr="00317C36" w:rsidR="00317C36" w:rsidTr="000B6E9C" w14:paraId="7B9862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trPr>
        <w:tc>
          <w:tcPr>
            <w:tcW w:w="5000" w:type="pct"/>
            <w:shd w:val="clear" w:color="auto" w:fill="auto"/>
          </w:tcPr>
          <w:p w:rsidRPr="00317C36" w:rsidR="00FB7DE0" w:rsidP="008A5CB4" w:rsidRDefault="00FB7DE0" w14:paraId="7938300D" w14:textId="77777777">
            <w:pPr>
              <w:spacing w:line="240" w:lineRule="auto"/>
              <w:ind w:firstLine="0"/>
              <w:jc w:val="center"/>
              <w:rPr>
                <w:b/>
                <w:bCs/>
                <w:sz w:val="24"/>
                <w:szCs w:val="24"/>
              </w:rPr>
            </w:pPr>
            <w:r w:rsidRPr="00317C36">
              <w:rPr>
                <w:sz w:val="24"/>
                <w:szCs w:val="24"/>
              </w:rPr>
              <w:t>Projekts šo jomu neskar.</w:t>
            </w:r>
          </w:p>
        </w:tc>
      </w:tr>
    </w:tbl>
    <w:p w:rsidRPr="00317C36" w:rsidR="00747F28" w:rsidP="00294EF5" w:rsidRDefault="00294EF5" w14:paraId="3F9C9BEC" w14:textId="78909FBA">
      <w:pPr>
        <w:tabs>
          <w:tab w:val="left" w:pos="4005"/>
        </w:tabs>
        <w:spacing w:line="240" w:lineRule="auto"/>
        <w:ind w:firstLine="0"/>
        <w:jc w:val="left"/>
        <w:rPr>
          <w:b/>
          <w:bCs/>
          <w:sz w:val="24"/>
          <w:szCs w:val="24"/>
          <w:shd w:val="clear" w:color="auto" w:fill="FFFFFF"/>
        </w:rPr>
      </w:pPr>
      <w:r w:rsidRPr="00317C36">
        <w:rPr>
          <w:b/>
          <w:bCs/>
          <w:sz w:val="16"/>
          <w:szCs w:val="16"/>
          <w:shd w:val="clear" w:color="auto" w:fill="FFFFFF"/>
        </w:rPr>
        <w:tab/>
      </w:r>
    </w:p>
    <w:tbl>
      <w:tblPr>
        <w:tblW w:w="920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696"/>
        <w:gridCol w:w="3153"/>
        <w:gridCol w:w="5355"/>
      </w:tblGrid>
      <w:tr w:rsidRPr="00317C36" w:rsidR="00317C36" w:rsidTr="009A646D" w14:paraId="5891AE72" w14:textId="77777777">
        <w:trPr>
          <w:trHeight w:val="174"/>
        </w:trPr>
        <w:tc>
          <w:tcPr>
            <w:tcW w:w="9204" w:type="dxa"/>
            <w:gridSpan w:val="3"/>
          </w:tcPr>
          <w:p w:rsidRPr="00317C36" w:rsidR="00C12E85" w:rsidP="003E08B6" w:rsidRDefault="00C12E85" w14:paraId="7616824D" w14:textId="77777777">
            <w:pPr>
              <w:pStyle w:val="Parastais1"/>
              <w:jc w:val="center"/>
            </w:pPr>
            <w:r w:rsidRPr="00317C36">
              <w:rPr>
                <w:b/>
              </w:rPr>
              <w:t>VI. Sabiedrības līdzdalība un komunikācijas aktivitātes</w:t>
            </w:r>
          </w:p>
        </w:tc>
      </w:tr>
      <w:tr w:rsidRPr="00317C36" w:rsidR="00317C36" w:rsidTr="009A646D" w14:paraId="6A7BE9A1" w14:textId="77777777">
        <w:trPr>
          <w:trHeight w:val="566"/>
        </w:trPr>
        <w:tc>
          <w:tcPr>
            <w:tcW w:w="696" w:type="dxa"/>
          </w:tcPr>
          <w:p w:rsidRPr="00317C36" w:rsidR="00C12E85" w:rsidP="00C12E85" w:rsidRDefault="00C12E85" w14:paraId="67DE2999" w14:textId="77777777">
            <w:pPr>
              <w:pStyle w:val="Parastais1"/>
              <w:jc w:val="both"/>
            </w:pPr>
            <w:r w:rsidRPr="00317C36">
              <w:t>1.</w:t>
            </w:r>
          </w:p>
        </w:tc>
        <w:tc>
          <w:tcPr>
            <w:tcW w:w="3153" w:type="dxa"/>
          </w:tcPr>
          <w:p w:rsidRPr="00317C36" w:rsidR="00C12E85" w:rsidP="00453A32" w:rsidRDefault="00C12E85" w14:paraId="50EEB8C9" w14:textId="77777777">
            <w:pPr>
              <w:pStyle w:val="Parastais1"/>
              <w:ind w:right="142"/>
              <w:jc w:val="both"/>
            </w:pPr>
            <w:r w:rsidRPr="00317C36">
              <w:t>Plānotās sabiedrības līdzdalības un komunikācijas aktivitātes saistībā ar projektu</w:t>
            </w:r>
          </w:p>
        </w:tc>
        <w:tc>
          <w:tcPr>
            <w:tcW w:w="5355" w:type="dxa"/>
          </w:tcPr>
          <w:p w:rsidRPr="00317C36" w:rsidR="00C12E85" w:rsidP="00CA21B3" w:rsidRDefault="00C12E85" w14:paraId="7133C791" w14:textId="33CF2453">
            <w:pPr>
              <w:pStyle w:val="Parastais1"/>
              <w:ind w:left="142" w:right="106"/>
              <w:jc w:val="both"/>
            </w:pPr>
            <w:r w:rsidRPr="00317C36">
              <w:t>Atbilstoši Ministru kabineta 2009.gada 25.augusta noteikumu Nr.970 „Sabiedrības līdzdalības kārtība attīstības plānošanas procesā” 7.4.</w:t>
            </w:r>
            <w:r w:rsidRPr="00317C36">
              <w:rPr>
                <w:vertAlign w:val="superscript"/>
              </w:rPr>
              <w:t xml:space="preserve">1 </w:t>
            </w:r>
            <w:r w:rsidRPr="00317C36" w:rsidR="00F65441">
              <w:t>apakšpunktam sabiedrībai ti</w:t>
            </w:r>
            <w:r w:rsidRPr="00317C36" w:rsidR="00A34A01">
              <w:t>ka</w:t>
            </w:r>
            <w:r w:rsidRPr="00317C36">
              <w:t xml:space="preserve"> dota iespēja rakstiski sniegt viedokli par noteikumu projektu tā izstrādes stadijā.</w:t>
            </w:r>
          </w:p>
        </w:tc>
      </w:tr>
      <w:tr w:rsidRPr="00317C36" w:rsidR="00317C36" w:rsidTr="009A646D" w14:paraId="7E4E18AE" w14:textId="77777777">
        <w:trPr>
          <w:trHeight w:val="347"/>
        </w:trPr>
        <w:tc>
          <w:tcPr>
            <w:tcW w:w="696" w:type="dxa"/>
          </w:tcPr>
          <w:p w:rsidRPr="00317C36" w:rsidR="00C12E85" w:rsidP="00C12E85" w:rsidRDefault="00C12E85" w14:paraId="2EBEAB51" w14:textId="77777777">
            <w:pPr>
              <w:pStyle w:val="Parastais1"/>
              <w:jc w:val="both"/>
            </w:pPr>
            <w:r w:rsidRPr="00317C36">
              <w:t>2.</w:t>
            </w:r>
          </w:p>
        </w:tc>
        <w:tc>
          <w:tcPr>
            <w:tcW w:w="3153" w:type="dxa"/>
          </w:tcPr>
          <w:p w:rsidRPr="00317C36" w:rsidR="00C12E85" w:rsidP="00453A32" w:rsidRDefault="00C12E85" w14:paraId="63BF167E" w14:textId="77777777">
            <w:pPr>
              <w:pStyle w:val="Parastais1"/>
              <w:ind w:right="142"/>
              <w:jc w:val="both"/>
            </w:pPr>
            <w:r w:rsidRPr="00317C36">
              <w:t>Sabiedrības līdzdalība projekta izstrādē</w:t>
            </w:r>
          </w:p>
        </w:tc>
        <w:tc>
          <w:tcPr>
            <w:tcW w:w="5355" w:type="dxa"/>
          </w:tcPr>
          <w:p w:rsidRPr="00317C36" w:rsidR="002F4E2F" w:rsidP="002F4E2F" w:rsidRDefault="00B12F5C" w14:paraId="34CED856" w14:textId="03980C5D">
            <w:pPr>
              <w:pStyle w:val="Parastais1"/>
              <w:ind w:left="142" w:right="152"/>
              <w:jc w:val="both"/>
            </w:pPr>
            <w:r w:rsidRPr="00317C36">
              <w:t xml:space="preserve">Paziņojums par līdzdalības iespējām tiesību akta saskaņošanas procesā </w:t>
            </w:r>
            <w:r w:rsidRPr="00317C36" w:rsidR="002F4E2F">
              <w:t xml:space="preserve">2020.gada </w:t>
            </w:r>
            <w:r w:rsidR="002F4E2F">
              <w:t>3</w:t>
            </w:r>
            <w:r w:rsidRPr="00317C36" w:rsidR="002F4E2F">
              <w:t xml:space="preserve">.aprīlī </w:t>
            </w:r>
            <w:r w:rsidRPr="00317C36">
              <w:t xml:space="preserve">ievietots Satiksmes ministrijas tīmekļa vietnē </w:t>
            </w:r>
            <w:hyperlink w:history="1" r:id="rId8">
              <w:r w:rsidRPr="00B0204E" w:rsidR="002F4E2F">
                <w:rPr>
                  <w:rStyle w:val="Hyperlink"/>
                </w:rPr>
                <w:t>https://www.sam.gov.lv/lv/izstrade-esosie-attistibas-planosanas-dokumenti-un-tiesibu-akti</w:t>
              </w:r>
            </w:hyperlink>
          </w:p>
        </w:tc>
      </w:tr>
      <w:tr w:rsidRPr="00317C36" w:rsidR="00317C36" w:rsidTr="009A646D" w14:paraId="78D0A908" w14:textId="77777777">
        <w:trPr>
          <w:trHeight w:val="487"/>
        </w:trPr>
        <w:tc>
          <w:tcPr>
            <w:tcW w:w="696" w:type="dxa"/>
          </w:tcPr>
          <w:p w:rsidRPr="00317C36" w:rsidR="00C12E85" w:rsidP="00C12E85" w:rsidRDefault="00C12E85" w14:paraId="1515C951" w14:textId="77777777">
            <w:pPr>
              <w:pStyle w:val="Parastais1"/>
            </w:pPr>
            <w:r w:rsidRPr="00317C36">
              <w:t>3.</w:t>
            </w:r>
          </w:p>
        </w:tc>
        <w:tc>
          <w:tcPr>
            <w:tcW w:w="3153" w:type="dxa"/>
          </w:tcPr>
          <w:p w:rsidRPr="00317C36" w:rsidR="00C12E85" w:rsidP="00453A32" w:rsidRDefault="00C12E85" w14:paraId="7FD8F6DF" w14:textId="77777777">
            <w:pPr>
              <w:pStyle w:val="Parastais1"/>
              <w:ind w:right="142"/>
              <w:jc w:val="both"/>
            </w:pPr>
            <w:r w:rsidRPr="00317C36">
              <w:t>Sabiedrības līdzdalības rezultāti</w:t>
            </w:r>
          </w:p>
        </w:tc>
        <w:tc>
          <w:tcPr>
            <w:tcW w:w="5355" w:type="dxa"/>
          </w:tcPr>
          <w:p w:rsidRPr="00317C36" w:rsidR="00C12E85" w:rsidP="00CA21B3" w:rsidRDefault="003431C4" w14:paraId="4183D008" w14:textId="3F78C312">
            <w:pPr>
              <w:pStyle w:val="Parastais1"/>
              <w:ind w:left="142" w:right="152"/>
              <w:jc w:val="both"/>
            </w:pPr>
            <w:r w:rsidRPr="008250B2">
              <w:t>Noteikumu projekta saskaņošanas laikā ir saņemts Latvijas Transportlīdzekļu Tirgotāju Asociācijas ierosinājums, k</w:t>
            </w:r>
            <w:r w:rsidR="001C6FB8">
              <w:t>as</w:t>
            </w:r>
            <w:r w:rsidRPr="008250B2">
              <w:t xml:space="preserve"> </w:t>
            </w:r>
            <w:proofErr w:type="spellStart"/>
            <w:r w:rsidRPr="008250B2">
              <w:t>iek</w:t>
            </w:r>
            <w:r w:rsidR="002F4E2F">
              <w:t>verts</w:t>
            </w:r>
            <w:proofErr w:type="spellEnd"/>
            <w:r w:rsidRPr="008250B2">
              <w:t xml:space="preserve"> </w:t>
            </w:r>
            <w:r w:rsidR="002F4E2F">
              <w:t>n</w:t>
            </w:r>
            <w:r w:rsidRPr="008250B2">
              <w:t>oteikumu projektā. Citi</w:t>
            </w:r>
            <w:r w:rsidRPr="00317C36">
              <w:t xml:space="preserve"> iebildumi un priekšlikumi </w:t>
            </w:r>
            <w:r>
              <w:t>p</w:t>
            </w:r>
            <w:r w:rsidRPr="00317C36" w:rsidR="0098256B">
              <w:t xml:space="preserve">ar </w:t>
            </w:r>
            <w:r w:rsidR="002F4E2F">
              <w:t>n</w:t>
            </w:r>
            <w:r w:rsidRPr="00317C36" w:rsidR="0098256B">
              <w:t>oteikumu projektu netika s</w:t>
            </w:r>
            <w:r w:rsidR="002F4E2F">
              <w:t>aņemt</w:t>
            </w:r>
            <w:r w:rsidRPr="00317C36" w:rsidR="0098256B">
              <w:t>i.</w:t>
            </w:r>
          </w:p>
        </w:tc>
      </w:tr>
      <w:tr w:rsidRPr="00317C36" w:rsidR="0033426D" w:rsidTr="00C93C29" w14:paraId="2CAECBCD" w14:textId="77777777">
        <w:trPr>
          <w:trHeight w:val="290"/>
        </w:trPr>
        <w:tc>
          <w:tcPr>
            <w:tcW w:w="696" w:type="dxa"/>
          </w:tcPr>
          <w:p w:rsidRPr="00317C36" w:rsidR="00C12E85" w:rsidP="00C12E85" w:rsidRDefault="00C12E85" w14:paraId="77F187D9" w14:textId="77777777">
            <w:pPr>
              <w:pStyle w:val="Parastais1"/>
            </w:pPr>
            <w:r w:rsidRPr="00317C36">
              <w:t>4.</w:t>
            </w:r>
          </w:p>
        </w:tc>
        <w:tc>
          <w:tcPr>
            <w:tcW w:w="3153" w:type="dxa"/>
          </w:tcPr>
          <w:p w:rsidRPr="00317C36" w:rsidR="00C12E85" w:rsidP="00453A32" w:rsidRDefault="00C12E85" w14:paraId="07F57810" w14:textId="77777777">
            <w:pPr>
              <w:pStyle w:val="Parastais1"/>
              <w:ind w:right="142"/>
            </w:pPr>
            <w:r w:rsidRPr="00317C36">
              <w:t>Cita informācija</w:t>
            </w:r>
          </w:p>
        </w:tc>
        <w:tc>
          <w:tcPr>
            <w:tcW w:w="5355" w:type="dxa"/>
          </w:tcPr>
          <w:p w:rsidRPr="00317C36" w:rsidR="00C12E85" w:rsidP="00453A32" w:rsidRDefault="00C12E85" w14:paraId="6F0BA466" w14:textId="36DA8FF5">
            <w:pPr>
              <w:pStyle w:val="Parastais1"/>
              <w:ind w:left="142" w:right="152"/>
            </w:pPr>
            <w:r w:rsidRPr="00317C36">
              <w:t>Nav</w:t>
            </w:r>
            <w:r w:rsidRPr="00317C36" w:rsidR="00C21325">
              <w:t>.</w:t>
            </w:r>
          </w:p>
        </w:tc>
      </w:tr>
    </w:tbl>
    <w:p w:rsidR="006B70C5" w:rsidP="00FB77E7" w:rsidRDefault="006B70C5" w14:paraId="48CD3CEE" w14:textId="31A06C81">
      <w:pPr>
        <w:pStyle w:val="Parastais1"/>
        <w:jc w:val="both"/>
        <w:rPr>
          <w:sz w:val="16"/>
          <w:szCs w:val="16"/>
        </w:rPr>
      </w:pPr>
    </w:p>
    <w:p w:rsidR="00C93C29" w:rsidP="00FB77E7" w:rsidRDefault="00C93C29" w14:paraId="726F5366" w14:textId="33DF5549">
      <w:pPr>
        <w:pStyle w:val="Parastais1"/>
        <w:jc w:val="both"/>
        <w:rPr>
          <w:sz w:val="16"/>
          <w:szCs w:val="16"/>
        </w:rPr>
      </w:pPr>
    </w:p>
    <w:p w:rsidR="00C93C29" w:rsidP="00FB77E7" w:rsidRDefault="00C93C29" w14:paraId="19D79449" w14:textId="7E6061EC">
      <w:pPr>
        <w:pStyle w:val="Parastais1"/>
        <w:jc w:val="both"/>
        <w:rPr>
          <w:sz w:val="16"/>
          <w:szCs w:val="16"/>
        </w:rPr>
      </w:pPr>
    </w:p>
    <w:p w:rsidRPr="00317C36" w:rsidR="00C93C29" w:rsidP="00FB77E7" w:rsidRDefault="00C93C29" w14:paraId="52999DC8" w14:textId="77777777">
      <w:pPr>
        <w:pStyle w:val="Parastais1"/>
        <w:jc w:val="both"/>
        <w:rPr>
          <w:sz w:val="16"/>
          <w:szCs w:val="16"/>
        </w:rPr>
      </w:pPr>
    </w:p>
    <w:tbl>
      <w:tblPr>
        <w:tblpPr w:leftFromText="180" w:rightFromText="180" w:vertAnchor="text" w:horzAnchor="margin" w:tblpX="36" w:tblpY="113"/>
        <w:tblW w:w="5082"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555"/>
        <w:gridCol w:w="3063"/>
        <w:gridCol w:w="5592"/>
      </w:tblGrid>
      <w:tr w:rsidRPr="00317C36" w:rsidR="00317C36" w:rsidTr="009A646D" w14:paraId="23F0F26E" w14:textId="77777777">
        <w:trPr>
          <w:trHeight w:val="279"/>
        </w:trPr>
        <w:tc>
          <w:tcPr>
            <w:tcW w:w="5000" w:type="pct"/>
            <w:gridSpan w:val="3"/>
          </w:tcPr>
          <w:p w:rsidRPr="00317C36" w:rsidR="00FB77E7" w:rsidP="009A646D" w:rsidRDefault="00FB77E7" w14:paraId="04A75EEA" w14:textId="77777777">
            <w:pPr>
              <w:pStyle w:val="Parastais1"/>
              <w:spacing w:before="100" w:beforeAutospacing="1" w:after="100" w:afterAutospacing="1"/>
              <w:jc w:val="center"/>
              <w:rPr>
                <w:b/>
                <w:bCs/>
              </w:rPr>
            </w:pPr>
            <w:r w:rsidRPr="00317C36">
              <w:rPr>
                <w:b/>
                <w:bCs/>
              </w:rPr>
              <w:lastRenderedPageBreak/>
              <w:t>VII. Tiesību akta projekta izpildes nodrošināšana un tās ietekme uz institūcijām</w:t>
            </w:r>
          </w:p>
        </w:tc>
      </w:tr>
      <w:tr w:rsidRPr="00317C36" w:rsidR="00317C36" w:rsidTr="009A646D" w14:paraId="548117A5" w14:textId="77777777">
        <w:trPr>
          <w:trHeight w:val="574"/>
        </w:trPr>
        <w:tc>
          <w:tcPr>
            <w:tcW w:w="301" w:type="pct"/>
          </w:tcPr>
          <w:p w:rsidRPr="00317C36" w:rsidR="00DD020E" w:rsidP="009A646D" w:rsidRDefault="00DD020E" w14:paraId="6D911B02" w14:textId="77777777">
            <w:pPr>
              <w:pStyle w:val="Parastais1"/>
              <w:spacing w:before="100" w:beforeAutospacing="1" w:after="100" w:afterAutospacing="1"/>
            </w:pPr>
            <w:r w:rsidRPr="00317C36">
              <w:t>1.</w:t>
            </w:r>
          </w:p>
        </w:tc>
        <w:tc>
          <w:tcPr>
            <w:tcW w:w="1663" w:type="pct"/>
          </w:tcPr>
          <w:p w:rsidRPr="00317C36" w:rsidR="00DD020E" w:rsidP="009A646D" w:rsidRDefault="00DD020E" w14:paraId="72C60CA4" w14:textId="77777777">
            <w:pPr>
              <w:pStyle w:val="Parastais1"/>
              <w:spacing w:before="100" w:beforeAutospacing="1" w:after="100" w:afterAutospacing="1"/>
            </w:pPr>
            <w:r w:rsidRPr="00317C36">
              <w:t>Projekta izpildē iesaistītās institūcijas</w:t>
            </w:r>
          </w:p>
        </w:tc>
        <w:tc>
          <w:tcPr>
            <w:tcW w:w="3036" w:type="pct"/>
          </w:tcPr>
          <w:p w:rsidRPr="00317C36" w:rsidR="002C1B56" w:rsidP="009A646D" w:rsidRDefault="00FB7DE0" w14:paraId="5277AEFE" w14:textId="59A422FA">
            <w:pPr>
              <w:spacing w:after="120" w:line="240" w:lineRule="auto"/>
              <w:ind w:firstLine="0"/>
              <w:rPr>
                <w:rFonts w:eastAsia="Times New Roman"/>
                <w:sz w:val="24"/>
                <w:szCs w:val="24"/>
                <w:lang w:eastAsia="lv-LV"/>
              </w:rPr>
            </w:pPr>
            <w:r w:rsidRPr="00317C36">
              <w:rPr>
                <w:rFonts w:eastAsia="Times New Roman"/>
                <w:sz w:val="24"/>
                <w:szCs w:val="24"/>
                <w:lang w:eastAsia="lv-LV"/>
              </w:rPr>
              <w:t>VAS “</w:t>
            </w:r>
            <w:r w:rsidRPr="00317C36" w:rsidR="008D1CC5">
              <w:rPr>
                <w:rFonts w:eastAsia="Times New Roman"/>
                <w:sz w:val="24"/>
                <w:szCs w:val="24"/>
                <w:lang w:eastAsia="lv-LV"/>
              </w:rPr>
              <w:t>Ceļu satiksmes drošības direkcija</w:t>
            </w:r>
            <w:r w:rsidRPr="00317C36">
              <w:rPr>
                <w:rFonts w:eastAsia="Times New Roman"/>
                <w:sz w:val="24"/>
                <w:szCs w:val="24"/>
                <w:lang w:eastAsia="lv-LV"/>
              </w:rPr>
              <w:t>”</w:t>
            </w:r>
            <w:r w:rsidRPr="00317C36" w:rsidR="008D1CC5">
              <w:rPr>
                <w:rFonts w:eastAsia="Times New Roman"/>
                <w:sz w:val="24"/>
                <w:szCs w:val="24"/>
                <w:lang w:eastAsia="lv-LV"/>
              </w:rPr>
              <w:t>.</w:t>
            </w:r>
          </w:p>
        </w:tc>
      </w:tr>
      <w:tr w:rsidRPr="00317C36" w:rsidR="00317C36" w:rsidTr="009A646D" w14:paraId="6ECC20AD" w14:textId="77777777">
        <w:trPr>
          <w:trHeight w:val="2283"/>
        </w:trPr>
        <w:tc>
          <w:tcPr>
            <w:tcW w:w="301" w:type="pct"/>
          </w:tcPr>
          <w:p w:rsidRPr="00317C36" w:rsidR="00DD020E" w:rsidP="009A646D" w:rsidRDefault="00DD020E" w14:paraId="7774F8D1" w14:textId="77777777">
            <w:pPr>
              <w:pStyle w:val="Parastais1"/>
              <w:spacing w:before="100" w:beforeAutospacing="1" w:after="100" w:afterAutospacing="1"/>
            </w:pPr>
            <w:r w:rsidRPr="00317C36">
              <w:t>2.</w:t>
            </w:r>
          </w:p>
        </w:tc>
        <w:tc>
          <w:tcPr>
            <w:tcW w:w="1663" w:type="pct"/>
          </w:tcPr>
          <w:p w:rsidRPr="00317C36" w:rsidR="00DD020E" w:rsidP="009A646D" w:rsidRDefault="00DD020E" w14:paraId="5D7A6EFF" w14:textId="77777777">
            <w:pPr>
              <w:pStyle w:val="Parastais1"/>
              <w:spacing w:before="100" w:beforeAutospacing="1" w:after="100" w:afterAutospacing="1"/>
            </w:pPr>
            <w:r w:rsidRPr="00317C36">
              <w:t xml:space="preserve">Projekta izpildes ietekme uz pārvaldes funkcijām un institucionālo struktūru. </w:t>
            </w:r>
            <w:r w:rsidRPr="00317C36" w:rsidR="00413347">
              <w:t>Jaunu institūciju izveide, esošu institūciju likvidācija vai reorganizācija, to ietekme uz institūcijas cilvēkresursiem.</w:t>
            </w:r>
          </w:p>
        </w:tc>
        <w:tc>
          <w:tcPr>
            <w:tcW w:w="3036" w:type="pct"/>
          </w:tcPr>
          <w:p w:rsidRPr="00317C36" w:rsidR="00DD020E" w:rsidP="009A646D" w:rsidRDefault="00B12F5C" w14:paraId="3D011D41" w14:textId="0540973C">
            <w:pPr>
              <w:spacing w:after="120" w:line="240" w:lineRule="auto"/>
              <w:ind w:firstLine="0"/>
              <w:rPr>
                <w:rFonts w:eastAsia="Times New Roman"/>
                <w:sz w:val="24"/>
                <w:szCs w:val="24"/>
                <w:lang w:eastAsia="lv-LV"/>
              </w:rPr>
            </w:pPr>
            <w:r w:rsidRPr="00317C36">
              <w:rPr>
                <w:rFonts w:eastAsia="Times New Roman"/>
                <w:sz w:val="24"/>
                <w:szCs w:val="24"/>
                <w:lang w:eastAsia="lv-LV"/>
              </w:rPr>
              <w:t>No</w:t>
            </w:r>
            <w:r w:rsidRPr="00317C36" w:rsidR="00C21325">
              <w:rPr>
                <w:rFonts w:eastAsia="Times New Roman"/>
                <w:sz w:val="24"/>
                <w:szCs w:val="24"/>
                <w:lang w:eastAsia="lv-LV"/>
              </w:rPr>
              <w:t>teikumu projekta īstenošana tiks veikta esošo cilvēkresursu ietvaros. Saistībā ar projekta izpildi nebūs nepieciešams veidot jaunas institūcijas vai likvidēt</w:t>
            </w:r>
            <w:r w:rsidRPr="00317C36" w:rsidR="007310AF">
              <w:rPr>
                <w:rFonts w:eastAsia="Times New Roman"/>
                <w:sz w:val="24"/>
                <w:szCs w:val="24"/>
                <w:lang w:eastAsia="lv-LV"/>
              </w:rPr>
              <w:t xml:space="preserve"> vai reorganizēt esošās.</w:t>
            </w:r>
          </w:p>
        </w:tc>
      </w:tr>
      <w:tr w:rsidRPr="00317C36" w:rsidR="00317C36" w:rsidTr="009A646D" w14:paraId="60B26966" w14:textId="77777777">
        <w:trPr>
          <w:trHeight w:val="279"/>
        </w:trPr>
        <w:tc>
          <w:tcPr>
            <w:tcW w:w="301" w:type="pct"/>
          </w:tcPr>
          <w:p w:rsidRPr="00317C36" w:rsidR="00FB77E7" w:rsidP="009A646D" w:rsidRDefault="00FB77E7" w14:paraId="280E736D" w14:textId="77777777">
            <w:pPr>
              <w:pStyle w:val="Parastais1"/>
              <w:spacing w:before="100" w:beforeAutospacing="1" w:after="100" w:afterAutospacing="1"/>
              <w:jc w:val="both"/>
            </w:pPr>
            <w:r w:rsidRPr="00317C36">
              <w:t>3.</w:t>
            </w:r>
          </w:p>
        </w:tc>
        <w:tc>
          <w:tcPr>
            <w:tcW w:w="1663" w:type="pct"/>
          </w:tcPr>
          <w:p w:rsidRPr="00317C36" w:rsidR="00FB77E7" w:rsidP="009A646D" w:rsidRDefault="00FB77E7" w14:paraId="4D6EE9B3" w14:textId="77777777">
            <w:pPr>
              <w:pStyle w:val="Parastais1"/>
              <w:spacing w:before="100" w:beforeAutospacing="1" w:after="100" w:afterAutospacing="1"/>
              <w:jc w:val="both"/>
            </w:pPr>
            <w:r w:rsidRPr="00317C36">
              <w:t>Cita informācija</w:t>
            </w:r>
          </w:p>
        </w:tc>
        <w:tc>
          <w:tcPr>
            <w:tcW w:w="3036" w:type="pct"/>
          </w:tcPr>
          <w:p w:rsidRPr="00317C36" w:rsidR="00FB77E7" w:rsidP="009A646D" w:rsidRDefault="00FB77E7" w14:paraId="33084E59" w14:textId="6A46F605">
            <w:pPr>
              <w:pStyle w:val="Parastais1"/>
              <w:spacing w:before="100" w:beforeAutospacing="1" w:after="100" w:afterAutospacing="1"/>
              <w:jc w:val="both"/>
            </w:pPr>
            <w:r w:rsidRPr="00317C36">
              <w:t>Nav</w:t>
            </w:r>
            <w:r w:rsidR="00C93C29">
              <w:t>.</w:t>
            </w:r>
          </w:p>
        </w:tc>
      </w:tr>
    </w:tbl>
    <w:p w:rsidRPr="00317C36" w:rsidR="00693190" w:rsidP="0033426D" w:rsidRDefault="00693190" w14:paraId="4E7D97EC" w14:textId="77777777">
      <w:pPr>
        <w:spacing w:line="240" w:lineRule="auto"/>
        <w:ind w:left="284" w:right="-341" w:firstLine="0"/>
        <w:rPr>
          <w:sz w:val="20"/>
          <w:szCs w:val="20"/>
        </w:rPr>
      </w:pPr>
    </w:p>
    <w:p w:rsidR="003915CE" w:rsidP="0033426D" w:rsidRDefault="003915CE" w14:paraId="6FF7C167" w14:textId="3F58FB07">
      <w:pPr>
        <w:spacing w:line="240" w:lineRule="auto"/>
        <w:ind w:left="284" w:right="-341" w:firstLine="0"/>
        <w:rPr>
          <w:sz w:val="20"/>
          <w:szCs w:val="20"/>
        </w:rPr>
      </w:pPr>
    </w:p>
    <w:p w:rsidRPr="00317C36" w:rsidR="00C93C29" w:rsidP="0033426D" w:rsidRDefault="00C93C29" w14:paraId="53A313E2" w14:textId="77777777">
      <w:pPr>
        <w:spacing w:line="240" w:lineRule="auto"/>
        <w:ind w:left="284" w:right="-341" w:firstLine="0"/>
        <w:rPr>
          <w:sz w:val="20"/>
          <w:szCs w:val="20"/>
        </w:rPr>
      </w:pPr>
    </w:p>
    <w:p w:rsidRPr="00317C36" w:rsidR="003915CE" w:rsidP="0033426D" w:rsidRDefault="0033426D" w14:paraId="0EC37FBC" w14:textId="12CF769E">
      <w:pPr>
        <w:spacing w:line="240" w:lineRule="auto"/>
        <w:ind w:left="284" w:right="-341" w:firstLine="0"/>
        <w:rPr>
          <w:sz w:val="24"/>
          <w:szCs w:val="24"/>
        </w:rPr>
      </w:pPr>
      <w:r w:rsidRPr="00317C36">
        <w:rPr>
          <w:sz w:val="24"/>
          <w:szCs w:val="24"/>
        </w:rPr>
        <w:t>Satiksmes ministrs</w:t>
      </w:r>
      <w:r w:rsidRPr="00317C36">
        <w:rPr>
          <w:sz w:val="24"/>
          <w:szCs w:val="24"/>
        </w:rPr>
        <w:tab/>
      </w:r>
      <w:r w:rsidRPr="00317C36">
        <w:rPr>
          <w:sz w:val="24"/>
          <w:szCs w:val="24"/>
        </w:rPr>
        <w:tab/>
      </w:r>
      <w:r w:rsidRPr="00317C36">
        <w:rPr>
          <w:sz w:val="24"/>
          <w:szCs w:val="24"/>
        </w:rPr>
        <w:tab/>
      </w:r>
      <w:r w:rsidRPr="00317C36">
        <w:rPr>
          <w:sz w:val="24"/>
          <w:szCs w:val="24"/>
        </w:rPr>
        <w:tab/>
      </w:r>
      <w:r w:rsidRPr="00317C36">
        <w:rPr>
          <w:sz w:val="24"/>
          <w:szCs w:val="24"/>
        </w:rPr>
        <w:tab/>
      </w:r>
      <w:r w:rsidRPr="00317C36">
        <w:rPr>
          <w:sz w:val="24"/>
          <w:szCs w:val="24"/>
        </w:rPr>
        <w:tab/>
      </w:r>
      <w:r w:rsidRPr="00317C36">
        <w:rPr>
          <w:sz w:val="24"/>
          <w:szCs w:val="24"/>
        </w:rPr>
        <w:tab/>
      </w:r>
      <w:r w:rsidRPr="00317C36">
        <w:rPr>
          <w:sz w:val="24"/>
          <w:szCs w:val="24"/>
        </w:rPr>
        <w:tab/>
      </w:r>
      <w:r w:rsidRPr="00317C36" w:rsidR="00994E17">
        <w:rPr>
          <w:sz w:val="24"/>
          <w:szCs w:val="24"/>
        </w:rPr>
        <w:t>T</w:t>
      </w:r>
      <w:r w:rsidRPr="00317C36">
        <w:rPr>
          <w:sz w:val="24"/>
          <w:szCs w:val="24"/>
        </w:rPr>
        <w:t>.</w:t>
      </w:r>
      <w:r w:rsidRPr="00317C36" w:rsidR="00994E17">
        <w:rPr>
          <w:sz w:val="24"/>
          <w:szCs w:val="24"/>
        </w:rPr>
        <w:t>Linkaits</w:t>
      </w:r>
      <w:r w:rsidRPr="00317C36" w:rsidR="003E7BFA">
        <w:rPr>
          <w:sz w:val="24"/>
          <w:szCs w:val="24"/>
        </w:rPr>
        <w:tab/>
      </w:r>
      <w:r w:rsidRPr="00317C36" w:rsidR="003E7BFA">
        <w:rPr>
          <w:sz w:val="24"/>
          <w:szCs w:val="24"/>
        </w:rPr>
        <w:tab/>
      </w:r>
    </w:p>
    <w:p w:rsidRPr="00317C36" w:rsidR="009A646D" w:rsidP="0033426D" w:rsidRDefault="009A646D" w14:paraId="5B379CD9" w14:textId="77777777">
      <w:pPr>
        <w:spacing w:line="240" w:lineRule="auto"/>
        <w:ind w:left="284" w:right="-341" w:firstLine="0"/>
        <w:rPr>
          <w:sz w:val="20"/>
          <w:szCs w:val="20"/>
        </w:rPr>
      </w:pPr>
    </w:p>
    <w:p w:rsidRPr="00317C36" w:rsidR="003E7BFA" w:rsidP="0033426D" w:rsidRDefault="003E7BFA" w14:paraId="6647EC98" w14:textId="75B5D19E">
      <w:pPr>
        <w:spacing w:line="240" w:lineRule="auto"/>
        <w:ind w:left="284" w:right="-341" w:firstLine="0"/>
        <w:rPr>
          <w:sz w:val="20"/>
          <w:szCs w:val="20"/>
        </w:rPr>
      </w:pPr>
      <w:r w:rsidRPr="00317C36">
        <w:rPr>
          <w:sz w:val="20"/>
          <w:szCs w:val="20"/>
        </w:rPr>
        <w:tab/>
      </w:r>
      <w:r w:rsidRPr="00317C36">
        <w:rPr>
          <w:sz w:val="20"/>
          <w:szCs w:val="20"/>
        </w:rPr>
        <w:tab/>
      </w:r>
      <w:r w:rsidRPr="00317C36">
        <w:rPr>
          <w:sz w:val="20"/>
          <w:szCs w:val="20"/>
        </w:rPr>
        <w:tab/>
      </w:r>
    </w:p>
    <w:p w:rsidRPr="00317C36" w:rsidR="00747F28" w:rsidP="0033426D" w:rsidRDefault="003E7BFA" w14:paraId="704C7EEC" w14:textId="77777777">
      <w:pPr>
        <w:spacing w:line="240" w:lineRule="auto"/>
        <w:ind w:left="284" w:right="-516" w:firstLine="0"/>
        <w:rPr>
          <w:sz w:val="24"/>
          <w:szCs w:val="24"/>
        </w:rPr>
      </w:pPr>
      <w:r w:rsidRPr="00317C36">
        <w:rPr>
          <w:sz w:val="24"/>
          <w:szCs w:val="24"/>
        </w:rPr>
        <w:t xml:space="preserve">Vīza: </w:t>
      </w:r>
    </w:p>
    <w:p w:rsidRPr="00317C36" w:rsidR="003915CE" w:rsidP="00AC5E64" w:rsidRDefault="00D77259" w14:paraId="3A841364" w14:textId="243D5D05">
      <w:pPr>
        <w:spacing w:line="240" w:lineRule="auto"/>
        <w:ind w:left="284" w:right="-516" w:firstLine="0"/>
        <w:rPr>
          <w:sz w:val="20"/>
          <w:szCs w:val="20"/>
        </w:rPr>
      </w:pPr>
      <w:r>
        <w:rPr>
          <w:sz w:val="24"/>
          <w:szCs w:val="24"/>
        </w:rPr>
        <w:t>v</w:t>
      </w:r>
      <w:r w:rsidRPr="00317C36" w:rsidR="00AC1735">
        <w:rPr>
          <w:sz w:val="24"/>
          <w:szCs w:val="24"/>
        </w:rPr>
        <w:t xml:space="preserve">alsts </w:t>
      </w:r>
      <w:r w:rsidRPr="00317C36" w:rsidR="0054160B">
        <w:rPr>
          <w:sz w:val="24"/>
          <w:szCs w:val="24"/>
        </w:rPr>
        <w:t>sekretār</w:t>
      </w:r>
      <w:r w:rsidRPr="00317C36" w:rsidR="008D70B7">
        <w:rPr>
          <w:sz w:val="24"/>
          <w:szCs w:val="24"/>
        </w:rPr>
        <w:t>e</w:t>
      </w:r>
      <w:r w:rsidRPr="00317C36" w:rsidR="008D70B7">
        <w:rPr>
          <w:sz w:val="24"/>
          <w:szCs w:val="24"/>
        </w:rPr>
        <w:tab/>
      </w:r>
      <w:r w:rsidRPr="00317C36" w:rsidR="008D70B7">
        <w:rPr>
          <w:sz w:val="24"/>
          <w:szCs w:val="24"/>
        </w:rPr>
        <w:tab/>
      </w:r>
      <w:r w:rsidRPr="00317C36" w:rsidR="008D70B7">
        <w:rPr>
          <w:sz w:val="24"/>
          <w:szCs w:val="24"/>
        </w:rPr>
        <w:tab/>
      </w:r>
      <w:r w:rsidRPr="00317C36" w:rsidR="008D70B7">
        <w:rPr>
          <w:sz w:val="24"/>
          <w:szCs w:val="24"/>
        </w:rPr>
        <w:tab/>
      </w:r>
      <w:r w:rsidRPr="00317C36" w:rsidR="008D70B7">
        <w:rPr>
          <w:sz w:val="24"/>
          <w:szCs w:val="24"/>
        </w:rPr>
        <w:tab/>
      </w:r>
      <w:r w:rsidRPr="00317C36" w:rsidR="008D70B7">
        <w:rPr>
          <w:sz w:val="24"/>
          <w:szCs w:val="24"/>
        </w:rPr>
        <w:tab/>
      </w:r>
      <w:r w:rsidRPr="00317C36" w:rsidR="008D70B7">
        <w:rPr>
          <w:sz w:val="24"/>
          <w:szCs w:val="24"/>
        </w:rPr>
        <w:tab/>
      </w:r>
      <w:r w:rsidRPr="00317C36" w:rsidR="008D70B7">
        <w:rPr>
          <w:sz w:val="24"/>
          <w:szCs w:val="24"/>
        </w:rPr>
        <w:tab/>
      </w:r>
      <w:proofErr w:type="spellStart"/>
      <w:r w:rsidRPr="00317C36" w:rsidR="008D70B7">
        <w:rPr>
          <w:sz w:val="24"/>
          <w:szCs w:val="24"/>
        </w:rPr>
        <w:t>I.Stepanova</w:t>
      </w:r>
      <w:proofErr w:type="spellEnd"/>
      <w:r w:rsidRPr="00317C36" w:rsidR="0054160B">
        <w:rPr>
          <w:sz w:val="24"/>
          <w:szCs w:val="24"/>
        </w:rPr>
        <w:tab/>
      </w:r>
      <w:r w:rsidRPr="00317C36" w:rsidR="0054160B">
        <w:rPr>
          <w:sz w:val="24"/>
          <w:szCs w:val="24"/>
        </w:rPr>
        <w:tab/>
      </w:r>
      <w:r w:rsidRPr="00317C36" w:rsidR="0054160B">
        <w:rPr>
          <w:sz w:val="24"/>
          <w:szCs w:val="24"/>
        </w:rPr>
        <w:tab/>
      </w:r>
      <w:r w:rsidRPr="00317C36" w:rsidR="0054160B">
        <w:rPr>
          <w:sz w:val="24"/>
          <w:szCs w:val="24"/>
        </w:rPr>
        <w:tab/>
      </w:r>
      <w:r w:rsidRPr="00317C36" w:rsidR="00A22853">
        <w:rPr>
          <w:sz w:val="24"/>
          <w:szCs w:val="24"/>
        </w:rPr>
        <w:t xml:space="preserve"> </w:t>
      </w:r>
    </w:p>
    <w:p w:rsidRPr="00317C36" w:rsidR="003915CE" w:rsidP="0033426D" w:rsidRDefault="003915CE" w14:paraId="77E8B9DE" w14:textId="7F8913CF">
      <w:pPr>
        <w:ind w:left="284" w:firstLine="709"/>
        <w:rPr>
          <w:sz w:val="20"/>
          <w:szCs w:val="20"/>
        </w:rPr>
      </w:pPr>
    </w:p>
    <w:p w:rsidRPr="00317C36" w:rsidR="009A646D" w:rsidP="009A646D" w:rsidRDefault="009A646D" w14:paraId="0DD61413" w14:textId="68CCC270">
      <w:pPr>
        <w:tabs>
          <w:tab w:val="left" w:pos="3285"/>
        </w:tabs>
        <w:rPr>
          <w:sz w:val="20"/>
          <w:szCs w:val="20"/>
        </w:rPr>
      </w:pPr>
      <w:r w:rsidRPr="00317C36">
        <w:rPr>
          <w:sz w:val="20"/>
          <w:szCs w:val="20"/>
        </w:rPr>
        <w:tab/>
      </w:r>
    </w:p>
    <w:sectPr w:rsidRPr="00317C36" w:rsidR="009A646D" w:rsidSect="007552C9">
      <w:headerReference w:type="default" r:id="rId9"/>
      <w:footerReference w:type="default" r:id="rId10"/>
      <w:footerReference w:type="first" r:id="rId11"/>
      <w:pgSz w:w="11906" w:h="16838"/>
      <w:pgMar w:top="1134" w:right="1134" w:bottom="1134" w:left="1701" w:header="284" w:footer="87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D14FA" w14:textId="77777777" w:rsidR="008101F8" w:rsidRDefault="008101F8" w:rsidP="00E65F54">
      <w:pPr>
        <w:spacing w:line="240" w:lineRule="auto"/>
      </w:pPr>
      <w:r>
        <w:separator/>
      </w:r>
    </w:p>
  </w:endnote>
  <w:endnote w:type="continuationSeparator" w:id="0">
    <w:p w14:paraId="2AC82B74" w14:textId="77777777" w:rsidR="008101F8" w:rsidRDefault="008101F8"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ED4A" w14:textId="04D51665" w:rsidR="00F20B9C" w:rsidRPr="007552C9" w:rsidRDefault="007552C9" w:rsidP="007552C9">
    <w:pPr>
      <w:pStyle w:val="Footer"/>
      <w:ind w:firstLine="0"/>
      <w:rPr>
        <w:sz w:val="20"/>
        <w:szCs w:val="20"/>
      </w:rPr>
    </w:pPr>
    <w:r w:rsidRPr="007552C9">
      <w:rPr>
        <w:sz w:val="20"/>
        <w:szCs w:val="20"/>
      </w:rPr>
      <w:t>SMAnot_040920_regnot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6C72" w14:textId="45A7BBBA" w:rsidR="00091BD0" w:rsidRPr="009A646D" w:rsidRDefault="007552C9" w:rsidP="00091BD0">
    <w:pPr>
      <w:pStyle w:val="Footer"/>
      <w:spacing w:line="240" w:lineRule="auto"/>
      <w:ind w:firstLine="0"/>
      <w:rPr>
        <w:sz w:val="20"/>
        <w:szCs w:val="20"/>
      </w:rPr>
    </w:pPr>
    <w:r w:rsidRPr="007552C9">
      <w:rPr>
        <w:sz w:val="20"/>
        <w:szCs w:val="20"/>
      </w:rPr>
      <w:t>SMAnot_040920_regnot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52AA7" w14:textId="77777777" w:rsidR="008101F8" w:rsidRDefault="008101F8" w:rsidP="00E65F54">
      <w:pPr>
        <w:spacing w:line="240" w:lineRule="auto"/>
      </w:pPr>
      <w:r>
        <w:separator/>
      </w:r>
    </w:p>
  </w:footnote>
  <w:footnote w:type="continuationSeparator" w:id="0">
    <w:p w14:paraId="40087DA5" w14:textId="77777777" w:rsidR="008101F8" w:rsidRDefault="008101F8"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65EF" w:rsidRDefault="00A465EF" w14:paraId="6B4E6284" w14:textId="77777777">
    <w:pPr>
      <w:pStyle w:val="Header"/>
      <w:jc w:val="center"/>
    </w:pPr>
    <w:r>
      <w:fldChar w:fldCharType="begin"/>
    </w:r>
    <w:r>
      <w:instrText xml:space="preserve"> PAGE   \* MERGEFORMAT </w:instrText>
    </w:r>
    <w:r>
      <w:fldChar w:fldCharType="separate"/>
    </w:r>
    <w:r w:rsidR="005530C3">
      <w:rPr>
        <w:noProof/>
      </w:rPr>
      <w:t>5</w:t>
    </w:r>
    <w:r>
      <w:rPr>
        <w:noProof/>
      </w:rPr>
      <w:fldChar w:fldCharType="end"/>
    </w:r>
  </w:p>
  <w:p w:rsidR="00A465EF" w:rsidRDefault="00A465EF" w14:paraId="392659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A5E12"/>
    <w:multiLevelType w:val="hybridMultilevel"/>
    <w:tmpl w:val="5FC453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27B5E"/>
    <w:multiLevelType w:val="hybridMultilevel"/>
    <w:tmpl w:val="677C7A42"/>
    <w:lvl w:ilvl="0" w:tplc="AB7C3D5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FC027D"/>
    <w:multiLevelType w:val="hybridMultilevel"/>
    <w:tmpl w:val="189CA144"/>
    <w:lvl w:ilvl="0" w:tplc="7B701474">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8"/>
  </w:num>
  <w:num w:numId="5">
    <w:abstractNumId w:val="6"/>
  </w:num>
  <w:num w:numId="6">
    <w:abstractNumId w:val="5"/>
  </w:num>
  <w:num w:numId="7">
    <w:abstractNumId w:val="10"/>
  </w:num>
  <w:num w:numId="8">
    <w:abstractNumId w:val="12"/>
  </w:num>
  <w:num w:numId="9">
    <w:abstractNumId w:val="9"/>
  </w:num>
  <w:num w:numId="10">
    <w:abstractNumId w:val="3"/>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Formatting/>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9F"/>
    <w:rsid w:val="000033BD"/>
    <w:rsid w:val="00003B5C"/>
    <w:rsid w:val="000048D5"/>
    <w:rsid w:val="00004BF5"/>
    <w:rsid w:val="000069D4"/>
    <w:rsid w:val="00006C7A"/>
    <w:rsid w:val="00014265"/>
    <w:rsid w:val="00015C0B"/>
    <w:rsid w:val="000178BB"/>
    <w:rsid w:val="0002673C"/>
    <w:rsid w:val="00027DD1"/>
    <w:rsid w:val="000302D6"/>
    <w:rsid w:val="000327E9"/>
    <w:rsid w:val="00033B6B"/>
    <w:rsid w:val="00033EC3"/>
    <w:rsid w:val="00036124"/>
    <w:rsid w:val="00036642"/>
    <w:rsid w:val="00036B80"/>
    <w:rsid w:val="0004524B"/>
    <w:rsid w:val="00045728"/>
    <w:rsid w:val="000458EF"/>
    <w:rsid w:val="000464D6"/>
    <w:rsid w:val="00047D4B"/>
    <w:rsid w:val="00047F63"/>
    <w:rsid w:val="00047F96"/>
    <w:rsid w:val="000521E1"/>
    <w:rsid w:val="00057FA9"/>
    <w:rsid w:val="000632E5"/>
    <w:rsid w:val="00065F0D"/>
    <w:rsid w:val="00065F70"/>
    <w:rsid w:val="00066234"/>
    <w:rsid w:val="000705F9"/>
    <w:rsid w:val="000707F9"/>
    <w:rsid w:val="0007484E"/>
    <w:rsid w:val="000750A1"/>
    <w:rsid w:val="00075A09"/>
    <w:rsid w:val="000811EA"/>
    <w:rsid w:val="0008727B"/>
    <w:rsid w:val="00087CAD"/>
    <w:rsid w:val="00090E1C"/>
    <w:rsid w:val="000913E6"/>
    <w:rsid w:val="00091BD0"/>
    <w:rsid w:val="00091C3F"/>
    <w:rsid w:val="000939DC"/>
    <w:rsid w:val="00094458"/>
    <w:rsid w:val="000A011C"/>
    <w:rsid w:val="000A12A9"/>
    <w:rsid w:val="000A4374"/>
    <w:rsid w:val="000A4924"/>
    <w:rsid w:val="000A4F47"/>
    <w:rsid w:val="000A686F"/>
    <w:rsid w:val="000A6A60"/>
    <w:rsid w:val="000B14AA"/>
    <w:rsid w:val="000B1A80"/>
    <w:rsid w:val="000B4549"/>
    <w:rsid w:val="000B512A"/>
    <w:rsid w:val="000B668F"/>
    <w:rsid w:val="000B6E9C"/>
    <w:rsid w:val="000B7137"/>
    <w:rsid w:val="000B72A9"/>
    <w:rsid w:val="000C1C09"/>
    <w:rsid w:val="000C1F60"/>
    <w:rsid w:val="000C2118"/>
    <w:rsid w:val="000C2562"/>
    <w:rsid w:val="000C473E"/>
    <w:rsid w:val="000C7472"/>
    <w:rsid w:val="000D110D"/>
    <w:rsid w:val="000D2193"/>
    <w:rsid w:val="000D2A0E"/>
    <w:rsid w:val="000D693B"/>
    <w:rsid w:val="000E29FA"/>
    <w:rsid w:val="000E373A"/>
    <w:rsid w:val="000E6137"/>
    <w:rsid w:val="000F0585"/>
    <w:rsid w:val="000F3FA3"/>
    <w:rsid w:val="0010040F"/>
    <w:rsid w:val="00101270"/>
    <w:rsid w:val="0010146F"/>
    <w:rsid w:val="00103B16"/>
    <w:rsid w:val="00104D16"/>
    <w:rsid w:val="0011209F"/>
    <w:rsid w:val="001135DB"/>
    <w:rsid w:val="00115520"/>
    <w:rsid w:val="001178BD"/>
    <w:rsid w:val="001245D2"/>
    <w:rsid w:val="00130327"/>
    <w:rsid w:val="00130DFB"/>
    <w:rsid w:val="00132549"/>
    <w:rsid w:val="0013313E"/>
    <w:rsid w:val="00133282"/>
    <w:rsid w:val="00134861"/>
    <w:rsid w:val="001350CA"/>
    <w:rsid w:val="0013538C"/>
    <w:rsid w:val="001434C4"/>
    <w:rsid w:val="00150E9E"/>
    <w:rsid w:val="0015149A"/>
    <w:rsid w:val="00154B70"/>
    <w:rsid w:val="001647A5"/>
    <w:rsid w:val="00166008"/>
    <w:rsid w:val="00167AB5"/>
    <w:rsid w:val="00167D64"/>
    <w:rsid w:val="0017032D"/>
    <w:rsid w:val="001705E9"/>
    <w:rsid w:val="001732DF"/>
    <w:rsid w:val="00176309"/>
    <w:rsid w:val="0017730B"/>
    <w:rsid w:val="001807CC"/>
    <w:rsid w:val="00182855"/>
    <w:rsid w:val="001830E8"/>
    <w:rsid w:val="001844CC"/>
    <w:rsid w:val="00184941"/>
    <w:rsid w:val="001874F5"/>
    <w:rsid w:val="00190B7D"/>
    <w:rsid w:val="00190DD9"/>
    <w:rsid w:val="001917FF"/>
    <w:rsid w:val="00194040"/>
    <w:rsid w:val="001B1840"/>
    <w:rsid w:val="001B184E"/>
    <w:rsid w:val="001B2B88"/>
    <w:rsid w:val="001B3002"/>
    <w:rsid w:val="001B31F4"/>
    <w:rsid w:val="001B46BB"/>
    <w:rsid w:val="001B5CFE"/>
    <w:rsid w:val="001B6889"/>
    <w:rsid w:val="001B7485"/>
    <w:rsid w:val="001B75EE"/>
    <w:rsid w:val="001B7B5A"/>
    <w:rsid w:val="001C0C97"/>
    <w:rsid w:val="001C0D5F"/>
    <w:rsid w:val="001C24C0"/>
    <w:rsid w:val="001C4553"/>
    <w:rsid w:val="001C6FB8"/>
    <w:rsid w:val="001C78F1"/>
    <w:rsid w:val="001D017B"/>
    <w:rsid w:val="001D03DC"/>
    <w:rsid w:val="001D231F"/>
    <w:rsid w:val="001D35B7"/>
    <w:rsid w:val="001D462C"/>
    <w:rsid w:val="001E02DC"/>
    <w:rsid w:val="001E4AFD"/>
    <w:rsid w:val="001E5773"/>
    <w:rsid w:val="001E685A"/>
    <w:rsid w:val="001E6C25"/>
    <w:rsid w:val="001E6D57"/>
    <w:rsid w:val="001F0571"/>
    <w:rsid w:val="001F05A3"/>
    <w:rsid w:val="001F22F5"/>
    <w:rsid w:val="001F27DA"/>
    <w:rsid w:val="001F684F"/>
    <w:rsid w:val="001F701C"/>
    <w:rsid w:val="00200D00"/>
    <w:rsid w:val="00202187"/>
    <w:rsid w:val="00202EEF"/>
    <w:rsid w:val="002040FE"/>
    <w:rsid w:val="0020589F"/>
    <w:rsid w:val="002059D4"/>
    <w:rsid w:val="00206AA2"/>
    <w:rsid w:val="00206DCB"/>
    <w:rsid w:val="00207221"/>
    <w:rsid w:val="00207AE0"/>
    <w:rsid w:val="00213EAE"/>
    <w:rsid w:val="002159EC"/>
    <w:rsid w:val="0021689D"/>
    <w:rsid w:val="002172E0"/>
    <w:rsid w:val="002210F1"/>
    <w:rsid w:val="00221504"/>
    <w:rsid w:val="00222114"/>
    <w:rsid w:val="0022283D"/>
    <w:rsid w:val="002239D3"/>
    <w:rsid w:val="00223F62"/>
    <w:rsid w:val="002241BA"/>
    <w:rsid w:val="002242B0"/>
    <w:rsid w:val="00225BFF"/>
    <w:rsid w:val="002267D1"/>
    <w:rsid w:val="00226FB4"/>
    <w:rsid w:val="00227D24"/>
    <w:rsid w:val="002308E6"/>
    <w:rsid w:val="0023282D"/>
    <w:rsid w:val="00232E04"/>
    <w:rsid w:val="002333FB"/>
    <w:rsid w:val="002338F3"/>
    <w:rsid w:val="00235430"/>
    <w:rsid w:val="0024232D"/>
    <w:rsid w:val="002431F8"/>
    <w:rsid w:val="00245706"/>
    <w:rsid w:val="00247149"/>
    <w:rsid w:val="00251678"/>
    <w:rsid w:val="0025316F"/>
    <w:rsid w:val="00254316"/>
    <w:rsid w:val="00254AAA"/>
    <w:rsid w:val="00254E6C"/>
    <w:rsid w:val="0025673B"/>
    <w:rsid w:val="00256D7A"/>
    <w:rsid w:val="00262CBA"/>
    <w:rsid w:val="002630E5"/>
    <w:rsid w:val="00266811"/>
    <w:rsid w:val="002708D0"/>
    <w:rsid w:val="0027189F"/>
    <w:rsid w:val="00272828"/>
    <w:rsid w:val="002747E2"/>
    <w:rsid w:val="00276887"/>
    <w:rsid w:val="00281293"/>
    <w:rsid w:val="0028408A"/>
    <w:rsid w:val="00286873"/>
    <w:rsid w:val="00287F35"/>
    <w:rsid w:val="00290476"/>
    <w:rsid w:val="00290E22"/>
    <w:rsid w:val="00294EF5"/>
    <w:rsid w:val="0029649F"/>
    <w:rsid w:val="0029669F"/>
    <w:rsid w:val="00297E6D"/>
    <w:rsid w:val="002A2DD8"/>
    <w:rsid w:val="002A469E"/>
    <w:rsid w:val="002A7C34"/>
    <w:rsid w:val="002B2DA9"/>
    <w:rsid w:val="002B3CE7"/>
    <w:rsid w:val="002B71D3"/>
    <w:rsid w:val="002C009C"/>
    <w:rsid w:val="002C00DC"/>
    <w:rsid w:val="002C04A6"/>
    <w:rsid w:val="002C1B56"/>
    <w:rsid w:val="002C54FD"/>
    <w:rsid w:val="002C5EB8"/>
    <w:rsid w:val="002D0708"/>
    <w:rsid w:val="002D4975"/>
    <w:rsid w:val="002D680D"/>
    <w:rsid w:val="002D728B"/>
    <w:rsid w:val="002E034E"/>
    <w:rsid w:val="002E0C50"/>
    <w:rsid w:val="002E251E"/>
    <w:rsid w:val="002E2D2F"/>
    <w:rsid w:val="002E58FE"/>
    <w:rsid w:val="002E5DE6"/>
    <w:rsid w:val="002E61AA"/>
    <w:rsid w:val="002F07D2"/>
    <w:rsid w:val="002F4E2F"/>
    <w:rsid w:val="002F6DC1"/>
    <w:rsid w:val="00304890"/>
    <w:rsid w:val="003058F8"/>
    <w:rsid w:val="00305943"/>
    <w:rsid w:val="00307E39"/>
    <w:rsid w:val="00311820"/>
    <w:rsid w:val="003118A2"/>
    <w:rsid w:val="00313E47"/>
    <w:rsid w:val="003143C8"/>
    <w:rsid w:val="00315420"/>
    <w:rsid w:val="0031675F"/>
    <w:rsid w:val="00317C36"/>
    <w:rsid w:val="003207F1"/>
    <w:rsid w:val="0032475E"/>
    <w:rsid w:val="00324A3B"/>
    <w:rsid w:val="00325CA6"/>
    <w:rsid w:val="00331F85"/>
    <w:rsid w:val="00331FD2"/>
    <w:rsid w:val="003327C8"/>
    <w:rsid w:val="00332E0A"/>
    <w:rsid w:val="00332EBB"/>
    <w:rsid w:val="0033426D"/>
    <w:rsid w:val="00334444"/>
    <w:rsid w:val="0033458F"/>
    <w:rsid w:val="00334E1B"/>
    <w:rsid w:val="00335981"/>
    <w:rsid w:val="00335A71"/>
    <w:rsid w:val="003431C4"/>
    <w:rsid w:val="00344E79"/>
    <w:rsid w:val="0034658D"/>
    <w:rsid w:val="00346FC0"/>
    <w:rsid w:val="00347B28"/>
    <w:rsid w:val="003524F4"/>
    <w:rsid w:val="00352B8E"/>
    <w:rsid w:val="00353F50"/>
    <w:rsid w:val="00354129"/>
    <w:rsid w:val="0035418E"/>
    <w:rsid w:val="0035438C"/>
    <w:rsid w:val="00355838"/>
    <w:rsid w:val="0035658B"/>
    <w:rsid w:val="0036007C"/>
    <w:rsid w:val="00360490"/>
    <w:rsid w:val="0036056C"/>
    <w:rsid w:val="00360ACE"/>
    <w:rsid w:val="003616BB"/>
    <w:rsid w:val="00362CAF"/>
    <w:rsid w:val="00362CC6"/>
    <w:rsid w:val="003651B8"/>
    <w:rsid w:val="00366581"/>
    <w:rsid w:val="00370CD2"/>
    <w:rsid w:val="00375D6A"/>
    <w:rsid w:val="003762F4"/>
    <w:rsid w:val="003777D2"/>
    <w:rsid w:val="00380395"/>
    <w:rsid w:val="00382122"/>
    <w:rsid w:val="00382A05"/>
    <w:rsid w:val="0038326D"/>
    <w:rsid w:val="00384ADD"/>
    <w:rsid w:val="00386D41"/>
    <w:rsid w:val="00390811"/>
    <w:rsid w:val="003915CE"/>
    <w:rsid w:val="00391F18"/>
    <w:rsid w:val="003936DF"/>
    <w:rsid w:val="0039675C"/>
    <w:rsid w:val="00396E0F"/>
    <w:rsid w:val="003A031D"/>
    <w:rsid w:val="003A10AD"/>
    <w:rsid w:val="003A2702"/>
    <w:rsid w:val="003A42E9"/>
    <w:rsid w:val="003B1EA8"/>
    <w:rsid w:val="003B3844"/>
    <w:rsid w:val="003B4E2E"/>
    <w:rsid w:val="003B5682"/>
    <w:rsid w:val="003B6148"/>
    <w:rsid w:val="003B76EE"/>
    <w:rsid w:val="003C0252"/>
    <w:rsid w:val="003C2316"/>
    <w:rsid w:val="003C32DB"/>
    <w:rsid w:val="003C5652"/>
    <w:rsid w:val="003D1CB9"/>
    <w:rsid w:val="003D3377"/>
    <w:rsid w:val="003D356B"/>
    <w:rsid w:val="003D4FBF"/>
    <w:rsid w:val="003D50B2"/>
    <w:rsid w:val="003D68DA"/>
    <w:rsid w:val="003E08B6"/>
    <w:rsid w:val="003E2465"/>
    <w:rsid w:val="003E46B0"/>
    <w:rsid w:val="003E5C59"/>
    <w:rsid w:val="003E76D4"/>
    <w:rsid w:val="003E7BFA"/>
    <w:rsid w:val="003F2393"/>
    <w:rsid w:val="003F394E"/>
    <w:rsid w:val="003F3E49"/>
    <w:rsid w:val="003F75EC"/>
    <w:rsid w:val="00400DBA"/>
    <w:rsid w:val="0040237D"/>
    <w:rsid w:val="00404514"/>
    <w:rsid w:val="004048F0"/>
    <w:rsid w:val="0040553D"/>
    <w:rsid w:val="0040631E"/>
    <w:rsid w:val="00410D4D"/>
    <w:rsid w:val="004114C5"/>
    <w:rsid w:val="00413347"/>
    <w:rsid w:val="00413D64"/>
    <w:rsid w:val="004143E0"/>
    <w:rsid w:val="004144BE"/>
    <w:rsid w:val="00414AA0"/>
    <w:rsid w:val="00415BF6"/>
    <w:rsid w:val="00416B05"/>
    <w:rsid w:val="00417069"/>
    <w:rsid w:val="00421A23"/>
    <w:rsid w:val="0042256C"/>
    <w:rsid w:val="0042467D"/>
    <w:rsid w:val="00424ED2"/>
    <w:rsid w:val="00425D68"/>
    <w:rsid w:val="00426BBB"/>
    <w:rsid w:val="00426E6E"/>
    <w:rsid w:val="00430129"/>
    <w:rsid w:val="00431630"/>
    <w:rsid w:val="00433D54"/>
    <w:rsid w:val="0043532D"/>
    <w:rsid w:val="00440491"/>
    <w:rsid w:val="004420C1"/>
    <w:rsid w:val="00442423"/>
    <w:rsid w:val="00444B2C"/>
    <w:rsid w:val="0044507A"/>
    <w:rsid w:val="0044560D"/>
    <w:rsid w:val="00445EEB"/>
    <w:rsid w:val="00446E79"/>
    <w:rsid w:val="00447341"/>
    <w:rsid w:val="00447361"/>
    <w:rsid w:val="00452513"/>
    <w:rsid w:val="00453A32"/>
    <w:rsid w:val="00454938"/>
    <w:rsid w:val="0045570C"/>
    <w:rsid w:val="0045755D"/>
    <w:rsid w:val="00464E27"/>
    <w:rsid w:val="00465D7F"/>
    <w:rsid w:val="00465E2C"/>
    <w:rsid w:val="004670D2"/>
    <w:rsid w:val="00467608"/>
    <w:rsid w:val="00467D32"/>
    <w:rsid w:val="004704DD"/>
    <w:rsid w:val="004724FD"/>
    <w:rsid w:val="0047322B"/>
    <w:rsid w:val="00475E21"/>
    <w:rsid w:val="00477B7E"/>
    <w:rsid w:val="004802F5"/>
    <w:rsid w:val="00486A39"/>
    <w:rsid w:val="00486D56"/>
    <w:rsid w:val="004871FD"/>
    <w:rsid w:val="00487855"/>
    <w:rsid w:val="00493D25"/>
    <w:rsid w:val="0049499C"/>
    <w:rsid w:val="00494DCB"/>
    <w:rsid w:val="0049568D"/>
    <w:rsid w:val="00496281"/>
    <w:rsid w:val="00496BA6"/>
    <w:rsid w:val="00497897"/>
    <w:rsid w:val="004A2D39"/>
    <w:rsid w:val="004A4ADE"/>
    <w:rsid w:val="004A60C5"/>
    <w:rsid w:val="004A6684"/>
    <w:rsid w:val="004B14CA"/>
    <w:rsid w:val="004B1F09"/>
    <w:rsid w:val="004B260A"/>
    <w:rsid w:val="004B31D0"/>
    <w:rsid w:val="004B64A6"/>
    <w:rsid w:val="004C1FE2"/>
    <w:rsid w:val="004C2278"/>
    <w:rsid w:val="004C3DEA"/>
    <w:rsid w:val="004C51E9"/>
    <w:rsid w:val="004C72EE"/>
    <w:rsid w:val="004D7D18"/>
    <w:rsid w:val="004E22D6"/>
    <w:rsid w:val="004E3C61"/>
    <w:rsid w:val="004E3CA3"/>
    <w:rsid w:val="004E6258"/>
    <w:rsid w:val="004E6E19"/>
    <w:rsid w:val="004E6E1E"/>
    <w:rsid w:val="004F148E"/>
    <w:rsid w:val="004F2418"/>
    <w:rsid w:val="004F4EAC"/>
    <w:rsid w:val="004F6EC1"/>
    <w:rsid w:val="00500C6B"/>
    <w:rsid w:val="0051000B"/>
    <w:rsid w:val="00510131"/>
    <w:rsid w:val="00516425"/>
    <w:rsid w:val="00517927"/>
    <w:rsid w:val="005179DF"/>
    <w:rsid w:val="00522578"/>
    <w:rsid w:val="005246F5"/>
    <w:rsid w:val="00527F6B"/>
    <w:rsid w:val="0053287F"/>
    <w:rsid w:val="005355F6"/>
    <w:rsid w:val="00536A82"/>
    <w:rsid w:val="00536DFD"/>
    <w:rsid w:val="0054160B"/>
    <w:rsid w:val="0054212E"/>
    <w:rsid w:val="00543032"/>
    <w:rsid w:val="00543F0B"/>
    <w:rsid w:val="005448D6"/>
    <w:rsid w:val="00545625"/>
    <w:rsid w:val="00545FE7"/>
    <w:rsid w:val="005519F5"/>
    <w:rsid w:val="00551CA1"/>
    <w:rsid w:val="005530C3"/>
    <w:rsid w:val="0055473A"/>
    <w:rsid w:val="005553BE"/>
    <w:rsid w:val="00556218"/>
    <w:rsid w:val="00562D17"/>
    <w:rsid w:val="00566322"/>
    <w:rsid w:val="005666E0"/>
    <w:rsid w:val="00567A26"/>
    <w:rsid w:val="00570C68"/>
    <w:rsid w:val="00570E53"/>
    <w:rsid w:val="005747F4"/>
    <w:rsid w:val="00575A95"/>
    <w:rsid w:val="00577AFF"/>
    <w:rsid w:val="00577BF7"/>
    <w:rsid w:val="005832C8"/>
    <w:rsid w:val="00585852"/>
    <w:rsid w:val="00585A2A"/>
    <w:rsid w:val="005877E1"/>
    <w:rsid w:val="005957A9"/>
    <w:rsid w:val="00595E57"/>
    <w:rsid w:val="00597F9A"/>
    <w:rsid w:val="005A0159"/>
    <w:rsid w:val="005A0227"/>
    <w:rsid w:val="005A1E99"/>
    <w:rsid w:val="005A2565"/>
    <w:rsid w:val="005A32C9"/>
    <w:rsid w:val="005A3A73"/>
    <w:rsid w:val="005B06C5"/>
    <w:rsid w:val="005B5168"/>
    <w:rsid w:val="005B6FD5"/>
    <w:rsid w:val="005C17BB"/>
    <w:rsid w:val="005C1DEA"/>
    <w:rsid w:val="005D0C0B"/>
    <w:rsid w:val="005D31D6"/>
    <w:rsid w:val="005D52FF"/>
    <w:rsid w:val="005D55CF"/>
    <w:rsid w:val="005D6345"/>
    <w:rsid w:val="005E065F"/>
    <w:rsid w:val="005E29A8"/>
    <w:rsid w:val="005E4BEA"/>
    <w:rsid w:val="005E6422"/>
    <w:rsid w:val="005F09D3"/>
    <w:rsid w:val="005F1738"/>
    <w:rsid w:val="005F3096"/>
    <w:rsid w:val="005F7070"/>
    <w:rsid w:val="00600B25"/>
    <w:rsid w:val="0060264C"/>
    <w:rsid w:val="00606ADF"/>
    <w:rsid w:val="0060734C"/>
    <w:rsid w:val="00611C7E"/>
    <w:rsid w:val="00620A49"/>
    <w:rsid w:val="006216E3"/>
    <w:rsid w:val="0062482A"/>
    <w:rsid w:val="00624EE3"/>
    <w:rsid w:val="006339BF"/>
    <w:rsid w:val="00637EC3"/>
    <w:rsid w:val="00640F20"/>
    <w:rsid w:val="00641866"/>
    <w:rsid w:val="00645CEF"/>
    <w:rsid w:val="00651E10"/>
    <w:rsid w:val="00654B07"/>
    <w:rsid w:val="00655093"/>
    <w:rsid w:val="00655313"/>
    <w:rsid w:val="0065770B"/>
    <w:rsid w:val="00657EC3"/>
    <w:rsid w:val="00662479"/>
    <w:rsid w:val="00662E24"/>
    <w:rsid w:val="0066319E"/>
    <w:rsid w:val="00664B97"/>
    <w:rsid w:val="00664D98"/>
    <w:rsid w:val="00665AB8"/>
    <w:rsid w:val="00671A60"/>
    <w:rsid w:val="00671B23"/>
    <w:rsid w:val="00673E44"/>
    <w:rsid w:val="00677CA0"/>
    <w:rsid w:val="0068014E"/>
    <w:rsid w:val="00680403"/>
    <w:rsid w:val="006807AF"/>
    <w:rsid w:val="0068086C"/>
    <w:rsid w:val="00681A6F"/>
    <w:rsid w:val="00684EA3"/>
    <w:rsid w:val="00690C83"/>
    <w:rsid w:val="00691740"/>
    <w:rsid w:val="006917EE"/>
    <w:rsid w:val="00693190"/>
    <w:rsid w:val="0069476A"/>
    <w:rsid w:val="0069642A"/>
    <w:rsid w:val="006A3049"/>
    <w:rsid w:val="006A30A3"/>
    <w:rsid w:val="006B27C2"/>
    <w:rsid w:val="006B4F2E"/>
    <w:rsid w:val="006B63E0"/>
    <w:rsid w:val="006B70C5"/>
    <w:rsid w:val="006C3E65"/>
    <w:rsid w:val="006C407E"/>
    <w:rsid w:val="006C46F8"/>
    <w:rsid w:val="006C5E9F"/>
    <w:rsid w:val="006D092F"/>
    <w:rsid w:val="006D0F04"/>
    <w:rsid w:val="006D14C2"/>
    <w:rsid w:val="006D1F11"/>
    <w:rsid w:val="006D210F"/>
    <w:rsid w:val="006D5280"/>
    <w:rsid w:val="006D731E"/>
    <w:rsid w:val="006D7EB6"/>
    <w:rsid w:val="006E0766"/>
    <w:rsid w:val="006E0C2B"/>
    <w:rsid w:val="006E22E6"/>
    <w:rsid w:val="006E2E38"/>
    <w:rsid w:val="006E31C5"/>
    <w:rsid w:val="006E3C94"/>
    <w:rsid w:val="006E4D7A"/>
    <w:rsid w:val="006E5AAE"/>
    <w:rsid w:val="006F0C91"/>
    <w:rsid w:val="006F2FEB"/>
    <w:rsid w:val="006F6E32"/>
    <w:rsid w:val="0070004F"/>
    <w:rsid w:val="00701A8D"/>
    <w:rsid w:val="00701C10"/>
    <w:rsid w:val="00705120"/>
    <w:rsid w:val="00706EE0"/>
    <w:rsid w:val="00710A4F"/>
    <w:rsid w:val="00716144"/>
    <w:rsid w:val="00716594"/>
    <w:rsid w:val="007209B3"/>
    <w:rsid w:val="00721B24"/>
    <w:rsid w:val="00722184"/>
    <w:rsid w:val="00722A32"/>
    <w:rsid w:val="00723B5B"/>
    <w:rsid w:val="00725837"/>
    <w:rsid w:val="00730C8D"/>
    <w:rsid w:val="00730FCA"/>
    <w:rsid w:val="007310AF"/>
    <w:rsid w:val="0073167E"/>
    <w:rsid w:val="007323E8"/>
    <w:rsid w:val="00732DB3"/>
    <w:rsid w:val="0073504C"/>
    <w:rsid w:val="00736987"/>
    <w:rsid w:val="00740A8D"/>
    <w:rsid w:val="0074626F"/>
    <w:rsid w:val="00746A21"/>
    <w:rsid w:val="00746D8A"/>
    <w:rsid w:val="00747612"/>
    <w:rsid w:val="00747849"/>
    <w:rsid w:val="00747F28"/>
    <w:rsid w:val="00747FC7"/>
    <w:rsid w:val="00752546"/>
    <w:rsid w:val="007545D4"/>
    <w:rsid w:val="00754707"/>
    <w:rsid w:val="00754B42"/>
    <w:rsid w:val="007552C9"/>
    <w:rsid w:val="00755EFB"/>
    <w:rsid w:val="00756087"/>
    <w:rsid w:val="00757000"/>
    <w:rsid w:val="0076092C"/>
    <w:rsid w:val="00761BBB"/>
    <w:rsid w:val="00767A00"/>
    <w:rsid w:val="007702BD"/>
    <w:rsid w:val="00771355"/>
    <w:rsid w:val="00771C21"/>
    <w:rsid w:val="0077223A"/>
    <w:rsid w:val="0077333E"/>
    <w:rsid w:val="007749B3"/>
    <w:rsid w:val="00776A44"/>
    <w:rsid w:val="00776C33"/>
    <w:rsid w:val="00783C86"/>
    <w:rsid w:val="00785522"/>
    <w:rsid w:val="00787BB0"/>
    <w:rsid w:val="00790A91"/>
    <w:rsid w:val="00792549"/>
    <w:rsid w:val="00797412"/>
    <w:rsid w:val="007A3A6B"/>
    <w:rsid w:val="007A5416"/>
    <w:rsid w:val="007A5EC4"/>
    <w:rsid w:val="007A6F87"/>
    <w:rsid w:val="007A704E"/>
    <w:rsid w:val="007B4761"/>
    <w:rsid w:val="007C329F"/>
    <w:rsid w:val="007C54AA"/>
    <w:rsid w:val="007C60A2"/>
    <w:rsid w:val="007C789F"/>
    <w:rsid w:val="007D3584"/>
    <w:rsid w:val="007D5CC0"/>
    <w:rsid w:val="007D6281"/>
    <w:rsid w:val="007D69D9"/>
    <w:rsid w:val="007D6C45"/>
    <w:rsid w:val="007E1A03"/>
    <w:rsid w:val="007E2069"/>
    <w:rsid w:val="007E2E5A"/>
    <w:rsid w:val="007E31F4"/>
    <w:rsid w:val="007E42C0"/>
    <w:rsid w:val="007E4B38"/>
    <w:rsid w:val="007F0326"/>
    <w:rsid w:val="007F7F96"/>
    <w:rsid w:val="0080047B"/>
    <w:rsid w:val="008008F9"/>
    <w:rsid w:val="0080363C"/>
    <w:rsid w:val="00803F2C"/>
    <w:rsid w:val="008054A8"/>
    <w:rsid w:val="008057EB"/>
    <w:rsid w:val="008101F8"/>
    <w:rsid w:val="00811206"/>
    <w:rsid w:val="008162B2"/>
    <w:rsid w:val="00822BAE"/>
    <w:rsid w:val="00824A5D"/>
    <w:rsid w:val="008250B2"/>
    <w:rsid w:val="00832881"/>
    <w:rsid w:val="00832F43"/>
    <w:rsid w:val="00833364"/>
    <w:rsid w:val="00844184"/>
    <w:rsid w:val="00844ADD"/>
    <w:rsid w:val="00845E3F"/>
    <w:rsid w:val="00851073"/>
    <w:rsid w:val="00851478"/>
    <w:rsid w:val="00852D5C"/>
    <w:rsid w:val="00855B3B"/>
    <w:rsid w:val="00856734"/>
    <w:rsid w:val="00856A4F"/>
    <w:rsid w:val="008572FC"/>
    <w:rsid w:val="00857AE8"/>
    <w:rsid w:val="00857CFC"/>
    <w:rsid w:val="0086408A"/>
    <w:rsid w:val="008655A1"/>
    <w:rsid w:val="00867877"/>
    <w:rsid w:val="00871E90"/>
    <w:rsid w:val="00872891"/>
    <w:rsid w:val="00872C34"/>
    <w:rsid w:val="00874033"/>
    <w:rsid w:val="00877DE9"/>
    <w:rsid w:val="00881A46"/>
    <w:rsid w:val="00882536"/>
    <w:rsid w:val="008826E0"/>
    <w:rsid w:val="008833F8"/>
    <w:rsid w:val="00885127"/>
    <w:rsid w:val="008904D7"/>
    <w:rsid w:val="00891A5E"/>
    <w:rsid w:val="0089232A"/>
    <w:rsid w:val="00894F1E"/>
    <w:rsid w:val="0089787D"/>
    <w:rsid w:val="00897DA4"/>
    <w:rsid w:val="008A0135"/>
    <w:rsid w:val="008A0923"/>
    <w:rsid w:val="008A11AF"/>
    <w:rsid w:val="008A1D87"/>
    <w:rsid w:val="008A2C45"/>
    <w:rsid w:val="008A3252"/>
    <w:rsid w:val="008A37C7"/>
    <w:rsid w:val="008A4766"/>
    <w:rsid w:val="008A55A3"/>
    <w:rsid w:val="008A55E3"/>
    <w:rsid w:val="008A7B16"/>
    <w:rsid w:val="008B0183"/>
    <w:rsid w:val="008B2650"/>
    <w:rsid w:val="008B455A"/>
    <w:rsid w:val="008C2DF1"/>
    <w:rsid w:val="008C3B71"/>
    <w:rsid w:val="008C79CA"/>
    <w:rsid w:val="008D1CC5"/>
    <w:rsid w:val="008D32C6"/>
    <w:rsid w:val="008D42FF"/>
    <w:rsid w:val="008D53C4"/>
    <w:rsid w:val="008D5646"/>
    <w:rsid w:val="008D6D3A"/>
    <w:rsid w:val="008D70B7"/>
    <w:rsid w:val="008D79BC"/>
    <w:rsid w:val="008E4149"/>
    <w:rsid w:val="008E4E9E"/>
    <w:rsid w:val="008E7B7C"/>
    <w:rsid w:val="008F01EE"/>
    <w:rsid w:val="008F1CA5"/>
    <w:rsid w:val="008F2613"/>
    <w:rsid w:val="008F4E79"/>
    <w:rsid w:val="008F6254"/>
    <w:rsid w:val="0090061C"/>
    <w:rsid w:val="0090093A"/>
    <w:rsid w:val="00900C76"/>
    <w:rsid w:val="00900E23"/>
    <w:rsid w:val="00902794"/>
    <w:rsid w:val="00903C74"/>
    <w:rsid w:val="00904CBE"/>
    <w:rsid w:val="009063E2"/>
    <w:rsid w:val="00906DB5"/>
    <w:rsid w:val="009106B5"/>
    <w:rsid w:val="00914C88"/>
    <w:rsid w:val="0091519C"/>
    <w:rsid w:val="009212E4"/>
    <w:rsid w:val="00921A00"/>
    <w:rsid w:val="0092380E"/>
    <w:rsid w:val="00923A82"/>
    <w:rsid w:val="00924101"/>
    <w:rsid w:val="00924E34"/>
    <w:rsid w:val="00930150"/>
    <w:rsid w:val="00930B12"/>
    <w:rsid w:val="009334C4"/>
    <w:rsid w:val="00936949"/>
    <w:rsid w:val="00937C0D"/>
    <w:rsid w:val="00940540"/>
    <w:rsid w:val="00942F97"/>
    <w:rsid w:val="0094393A"/>
    <w:rsid w:val="00943C46"/>
    <w:rsid w:val="00944B13"/>
    <w:rsid w:val="00945C83"/>
    <w:rsid w:val="0094608D"/>
    <w:rsid w:val="009465F2"/>
    <w:rsid w:val="00953250"/>
    <w:rsid w:val="00953587"/>
    <w:rsid w:val="009539F9"/>
    <w:rsid w:val="009604F5"/>
    <w:rsid w:val="009605FD"/>
    <w:rsid w:val="00961D01"/>
    <w:rsid w:val="00963D59"/>
    <w:rsid w:val="00964457"/>
    <w:rsid w:val="00966AB8"/>
    <w:rsid w:val="00971051"/>
    <w:rsid w:val="00974550"/>
    <w:rsid w:val="009747E7"/>
    <w:rsid w:val="009767FB"/>
    <w:rsid w:val="009771BD"/>
    <w:rsid w:val="00977EB3"/>
    <w:rsid w:val="00981286"/>
    <w:rsid w:val="0098256B"/>
    <w:rsid w:val="0098264B"/>
    <w:rsid w:val="00982781"/>
    <w:rsid w:val="009828AE"/>
    <w:rsid w:val="00986FAE"/>
    <w:rsid w:val="009905CD"/>
    <w:rsid w:val="009908BA"/>
    <w:rsid w:val="009919ED"/>
    <w:rsid w:val="00992C6C"/>
    <w:rsid w:val="0099420D"/>
    <w:rsid w:val="00994E17"/>
    <w:rsid w:val="0099573D"/>
    <w:rsid w:val="00997342"/>
    <w:rsid w:val="00997F93"/>
    <w:rsid w:val="009A019E"/>
    <w:rsid w:val="009A1AF6"/>
    <w:rsid w:val="009A1F1E"/>
    <w:rsid w:val="009A1FC2"/>
    <w:rsid w:val="009A2AF6"/>
    <w:rsid w:val="009A4A0B"/>
    <w:rsid w:val="009A4FF7"/>
    <w:rsid w:val="009A646D"/>
    <w:rsid w:val="009A778F"/>
    <w:rsid w:val="009B049A"/>
    <w:rsid w:val="009B07C6"/>
    <w:rsid w:val="009B1318"/>
    <w:rsid w:val="009B5CA1"/>
    <w:rsid w:val="009B67BC"/>
    <w:rsid w:val="009C1B2C"/>
    <w:rsid w:val="009C7AE2"/>
    <w:rsid w:val="009D32DF"/>
    <w:rsid w:val="009D3618"/>
    <w:rsid w:val="009D3984"/>
    <w:rsid w:val="009D46CC"/>
    <w:rsid w:val="009D5C19"/>
    <w:rsid w:val="009D6E29"/>
    <w:rsid w:val="009D6F45"/>
    <w:rsid w:val="009E1629"/>
    <w:rsid w:val="009E3D75"/>
    <w:rsid w:val="009F51C1"/>
    <w:rsid w:val="00A025FD"/>
    <w:rsid w:val="00A05F81"/>
    <w:rsid w:val="00A07340"/>
    <w:rsid w:val="00A1287D"/>
    <w:rsid w:val="00A12D47"/>
    <w:rsid w:val="00A136AC"/>
    <w:rsid w:val="00A138AD"/>
    <w:rsid w:val="00A13E82"/>
    <w:rsid w:val="00A13FE0"/>
    <w:rsid w:val="00A141DE"/>
    <w:rsid w:val="00A14224"/>
    <w:rsid w:val="00A166AC"/>
    <w:rsid w:val="00A1688E"/>
    <w:rsid w:val="00A16CB8"/>
    <w:rsid w:val="00A16DFE"/>
    <w:rsid w:val="00A20525"/>
    <w:rsid w:val="00A2114A"/>
    <w:rsid w:val="00A220A3"/>
    <w:rsid w:val="00A22853"/>
    <w:rsid w:val="00A243E6"/>
    <w:rsid w:val="00A24F5C"/>
    <w:rsid w:val="00A27612"/>
    <w:rsid w:val="00A33194"/>
    <w:rsid w:val="00A34A01"/>
    <w:rsid w:val="00A35A4E"/>
    <w:rsid w:val="00A35BA5"/>
    <w:rsid w:val="00A36CDE"/>
    <w:rsid w:val="00A42A7F"/>
    <w:rsid w:val="00A43F93"/>
    <w:rsid w:val="00A44486"/>
    <w:rsid w:val="00A45DAC"/>
    <w:rsid w:val="00A46416"/>
    <w:rsid w:val="00A465EF"/>
    <w:rsid w:val="00A46850"/>
    <w:rsid w:val="00A46EBC"/>
    <w:rsid w:val="00A52ACA"/>
    <w:rsid w:val="00A548DE"/>
    <w:rsid w:val="00A55632"/>
    <w:rsid w:val="00A55E62"/>
    <w:rsid w:val="00A56445"/>
    <w:rsid w:val="00A608D8"/>
    <w:rsid w:val="00A61B9E"/>
    <w:rsid w:val="00A624ED"/>
    <w:rsid w:val="00A63D0B"/>
    <w:rsid w:val="00A648BD"/>
    <w:rsid w:val="00A65B62"/>
    <w:rsid w:val="00A70E82"/>
    <w:rsid w:val="00A71848"/>
    <w:rsid w:val="00A71C25"/>
    <w:rsid w:val="00A729B0"/>
    <w:rsid w:val="00A7750F"/>
    <w:rsid w:val="00A812E8"/>
    <w:rsid w:val="00A826BE"/>
    <w:rsid w:val="00A82BC7"/>
    <w:rsid w:val="00A8322B"/>
    <w:rsid w:val="00A854E0"/>
    <w:rsid w:val="00A94782"/>
    <w:rsid w:val="00A955FE"/>
    <w:rsid w:val="00AA0909"/>
    <w:rsid w:val="00AA1647"/>
    <w:rsid w:val="00AA2851"/>
    <w:rsid w:val="00AA2CB5"/>
    <w:rsid w:val="00AA7A95"/>
    <w:rsid w:val="00AB0ED4"/>
    <w:rsid w:val="00AB2C6F"/>
    <w:rsid w:val="00AB40A7"/>
    <w:rsid w:val="00AB7DD4"/>
    <w:rsid w:val="00AC1735"/>
    <w:rsid w:val="00AC2401"/>
    <w:rsid w:val="00AC2E62"/>
    <w:rsid w:val="00AC2EB8"/>
    <w:rsid w:val="00AC3F53"/>
    <w:rsid w:val="00AC5E64"/>
    <w:rsid w:val="00AC6348"/>
    <w:rsid w:val="00AC657E"/>
    <w:rsid w:val="00AC6969"/>
    <w:rsid w:val="00AC75BC"/>
    <w:rsid w:val="00AC7895"/>
    <w:rsid w:val="00AD0620"/>
    <w:rsid w:val="00AD2947"/>
    <w:rsid w:val="00AD2A6D"/>
    <w:rsid w:val="00AD698E"/>
    <w:rsid w:val="00AD7DA8"/>
    <w:rsid w:val="00AE251A"/>
    <w:rsid w:val="00AE2FE2"/>
    <w:rsid w:val="00AE3675"/>
    <w:rsid w:val="00AE3BC9"/>
    <w:rsid w:val="00AE4B66"/>
    <w:rsid w:val="00AE568A"/>
    <w:rsid w:val="00AE6CAF"/>
    <w:rsid w:val="00AE7557"/>
    <w:rsid w:val="00AF1A3A"/>
    <w:rsid w:val="00AF2276"/>
    <w:rsid w:val="00AF2B0A"/>
    <w:rsid w:val="00AF3B4F"/>
    <w:rsid w:val="00B00640"/>
    <w:rsid w:val="00B00781"/>
    <w:rsid w:val="00B035C8"/>
    <w:rsid w:val="00B065D0"/>
    <w:rsid w:val="00B11114"/>
    <w:rsid w:val="00B1130E"/>
    <w:rsid w:val="00B12C02"/>
    <w:rsid w:val="00B12F5C"/>
    <w:rsid w:val="00B13B12"/>
    <w:rsid w:val="00B142F9"/>
    <w:rsid w:val="00B14BBD"/>
    <w:rsid w:val="00B218AB"/>
    <w:rsid w:val="00B24296"/>
    <w:rsid w:val="00B25883"/>
    <w:rsid w:val="00B26571"/>
    <w:rsid w:val="00B307B7"/>
    <w:rsid w:val="00B30FC5"/>
    <w:rsid w:val="00B310CA"/>
    <w:rsid w:val="00B364FF"/>
    <w:rsid w:val="00B416B4"/>
    <w:rsid w:val="00B44D57"/>
    <w:rsid w:val="00B516D0"/>
    <w:rsid w:val="00B52C02"/>
    <w:rsid w:val="00B53001"/>
    <w:rsid w:val="00B57A7B"/>
    <w:rsid w:val="00B6124A"/>
    <w:rsid w:val="00B62739"/>
    <w:rsid w:val="00B67BE9"/>
    <w:rsid w:val="00B716E4"/>
    <w:rsid w:val="00B71C57"/>
    <w:rsid w:val="00B7345C"/>
    <w:rsid w:val="00B73C21"/>
    <w:rsid w:val="00B77652"/>
    <w:rsid w:val="00B80797"/>
    <w:rsid w:val="00B81219"/>
    <w:rsid w:val="00B8170D"/>
    <w:rsid w:val="00B8240C"/>
    <w:rsid w:val="00B83531"/>
    <w:rsid w:val="00B9050D"/>
    <w:rsid w:val="00B91243"/>
    <w:rsid w:val="00B94DED"/>
    <w:rsid w:val="00B95BC8"/>
    <w:rsid w:val="00B96C9D"/>
    <w:rsid w:val="00BA136F"/>
    <w:rsid w:val="00BA5032"/>
    <w:rsid w:val="00BB2E27"/>
    <w:rsid w:val="00BB634E"/>
    <w:rsid w:val="00BB643E"/>
    <w:rsid w:val="00BC2069"/>
    <w:rsid w:val="00BC49C9"/>
    <w:rsid w:val="00BD0E49"/>
    <w:rsid w:val="00BD0FE7"/>
    <w:rsid w:val="00BD22BE"/>
    <w:rsid w:val="00BD424A"/>
    <w:rsid w:val="00BD4495"/>
    <w:rsid w:val="00BD5E92"/>
    <w:rsid w:val="00BD615C"/>
    <w:rsid w:val="00BD6A59"/>
    <w:rsid w:val="00BD7481"/>
    <w:rsid w:val="00BE0F1F"/>
    <w:rsid w:val="00BE2A09"/>
    <w:rsid w:val="00BF0288"/>
    <w:rsid w:val="00BF1B88"/>
    <w:rsid w:val="00BF290B"/>
    <w:rsid w:val="00BF6856"/>
    <w:rsid w:val="00BF6EB8"/>
    <w:rsid w:val="00BF7600"/>
    <w:rsid w:val="00BF7837"/>
    <w:rsid w:val="00C00E5B"/>
    <w:rsid w:val="00C01904"/>
    <w:rsid w:val="00C04136"/>
    <w:rsid w:val="00C10AE8"/>
    <w:rsid w:val="00C1275E"/>
    <w:rsid w:val="00C12E85"/>
    <w:rsid w:val="00C1785E"/>
    <w:rsid w:val="00C17C30"/>
    <w:rsid w:val="00C17EEB"/>
    <w:rsid w:val="00C21325"/>
    <w:rsid w:val="00C21B53"/>
    <w:rsid w:val="00C2215F"/>
    <w:rsid w:val="00C224BF"/>
    <w:rsid w:val="00C23D26"/>
    <w:rsid w:val="00C23DE7"/>
    <w:rsid w:val="00C25EDD"/>
    <w:rsid w:val="00C26A3B"/>
    <w:rsid w:val="00C27757"/>
    <w:rsid w:val="00C34BC2"/>
    <w:rsid w:val="00C371A7"/>
    <w:rsid w:val="00C432D3"/>
    <w:rsid w:val="00C44EA2"/>
    <w:rsid w:val="00C4543C"/>
    <w:rsid w:val="00C455BA"/>
    <w:rsid w:val="00C465EA"/>
    <w:rsid w:val="00C53107"/>
    <w:rsid w:val="00C53ECB"/>
    <w:rsid w:val="00C54ACC"/>
    <w:rsid w:val="00C577FD"/>
    <w:rsid w:val="00C610A5"/>
    <w:rsid w:val="00C616EC"/>
    <w:rsid w:val="00C61A76"/>
    <w:rsid w:val="00C63589"/>
    <w:rsid w:val="00C637DF"/>
    <w:rsid w:val="00C66FB8"/>
    <w:rsid w:val="00C67FF2"/>
    <w:rsid w:val="00C70895"/>
    <w:rsid w:val="00C708B2"/>
    <w:rsid w:val="00C708B6"/>
    <w:rsid w:val="00C736B1"/>
    <w:rsid w:val="00C7402F"/>
    <w:rsid w:val="00C74117"/>
    <w:rsid w:val="00C81E24"/>
    <w:rsid w:val="00C8224A"/>
    <w:rsid w:val="00C83B3A"/>
    <w:rsid w:val="00C84CA4"/>
    <w:rsid w:val="00C86B2E"/>
    <w:rsid w:val="00C90C6B"/>
    <w:rsid w:val="00C91681"/>
    <w:rsid w:val="00C9202C"/>
    <w:rsid w:val="00C93324"/>
    <w:rsid w:val="00C93C29"/>
    <w:rsid w:val="00C9413E"/>
    <w:rsid w:val="00C96A7D"/>
    <w:rsid w:val="00CA04F7"/>
    <w:rsid w:val="00CA11A7"/>
    <w:rsid w:val="00CA1E38"/>
    <w:rsid w:val="00CA21B3"/>
    <w:rsid w:val="00CA5204"/>
    <w:rsid w:val="00CB145B"/>
    <w:rsid w:val="00CB1CDF"/>
    <w:rsid w:val="00CB4DED"/>
    <w:rsid w:val="00CB6C5D"/>
    <w:rsid w:val="00CB7D46"/>
    <w:rsid w:val="00CC171D"/>
    <w:rsid w:val="00CC1A72"/>
    <w:rsid w:val="00CC2A9F"/>
    <w:rsid w:val="00CC4841"/>
    <w:rsid w:val="00CC49CE"/>
    <w:rsid w:val="00CD23C3"/>
    <w:rsid w:val="00CD2C0F"/>
    <w:rsid w:val="00CD566D"/>
    <w:rsid w:val="00CD6B26"/>
    <w:rsid w:val="00CE3764"/>
    <w:rsid w:val="00CF40A0"/>
    <w:rsid w:val="00CF40D0"/>
    <w:rsid w:val="00CF4CCF"/>
    <w:rsid w:val="00CF4D94"/>
    <w:rsid w:val="00CF56A5"/>
    <w:rsid w:val="00CF721C"/>
    <w:rsid w:val="00CF7307"/>
    <w:rsid w:val="00D022E1"/>
    <w:rsid w:val="00D03106"/>
    <w:rsid w:val="00D050D2"/>
    <w:rsid w:val="00D051AC"/>
    <w:rsid w:val="00D1195B"/>
    <w:rsid w:val="00D12520"/>
    <w:rsid w:val="00D1357C"/>
    <w:rsid w:val="00D1579B"/>
    <w:rsid w:val="00D16216"/>
    <w:rsid w:val="00D2096A"/>
    <w:rsid w:val="00D2107D"/>
    <w:rsid w:val="00D21956"/>
    <w:rsid w:val="00D24A2F"/>
    <w:rsid w:val="00D253C0"/>
    <w:rsid w:val="00D253CC"/>
    <w:rsid w:val="00D258E1"/>
    <w:rsid w:val="00D25B68"/>
    <w:rsid w:val="00D30160"/>
    <w:rsid w:val="00D332B2"/>
    <w:rsid w:val="00D33E56"/>
    <w:rsid w:val="00D34C98"/>
    <w:rsid w:val="00D35056"/>
    <w:rsid w:val="00D3546C"/>
    <w:rsid w:val="00D36651"/>
    <w:rsid w:val="00D369D4"/>
    <w:rsid w:val="00D4341C"/>
    <w:rsid w:val="00D45813"/>
    <w:rsid w:val="00D47490"/>
    <w:rsid w:val="00D529C4"/>
    <w:rsid w:val="00D543B6"/>
    <w:rsid w:val="00D56FCA"/>
    <w:rsid w:val="00D5797B"/>
    <w:rsid w:val="00D57F65"/>
    <w:rsid w:val="00D601CC"/>
    <w:rsid w:val="00D60A7A"/>
    <w:rsid w:val="00D60C92"/>
    <w:rsid w:val="00D63B5D"/>
    <w:rsid w:val="00D65156"/>
    <w:rsid w:val="00D66415"/>
    <w:rsid w:val="00D720C0"/>
    <w:rsid w:val="00D735A4"/>
    <w:rsid w:val="00D75B51"/>
    <w:rsid w:val="00D77259"/>
    <w:rsid w:val="00D7739C"/>
    <w:rsid w:val="00D77607"/>
    <w:rsid w:val="00D77D20"/>
    <w:rsid w:val="00D8238E"/>
    <w:rsid w:val="00D83664"/>
    <w:rsid w:val="00D8445B"/>
    <w:rsid w:val="00D87160"/>
    <w:rsid w:val="00D87C95"/>
    <w:rsid w:val="00D92789"/>
    <w:rsid w:val="00DA12B3"/>
    <w:rsid w:val="00DA3307"/>
    <w:rsid w:val="00DA3944"/>
    <w:rsid w:val="00DA3EEC"/>
    <w:rsid w:val="00DA4EF5"/>
    <w:rsid w:val="00DA737B"/>
    <w:rsid w:val="00DB0110"/>
    <w:rsid w:val="00DB2C90"/>
    <w:rsid w:val="00DB3D94"/>
    <w:rsid w:val="00DB4847"/>
    <w:rsid w:val="00DB7D47"/>
    <w:rsid w:val="00DC0BAA"/>
    <w:rsid w:val="00DC2F9A"/>
    <w:rsid w:val="00DD020E"/>
    <w:rsid w:val="00DD188E"/>
    <w:rsid w:val="00DD34A1"/>
    <w:rsid w:val="00DD4186"/>
    <w:rsid w:val="00DD7291"/>
    <w:rsid w:val="00DD7816"/>
    <w:rsid w:val="00DE2752"/>
    <w:rsid w:val="00DE3373"/>
    <w:rsid w:val="00DE471B"/>
    <w:rsid w:val="00DE4A48"/>
    <w:rsid w:val="00DE4DF2"/>
    <w:rsid w:val="00DE6125"/>
    <w:rsid w:val="00DF2AF5"/>
    <w:rsid w:val="00DF5296"/>
    <w:rsid w:val="00DF78FD"/>
    <w:rsid w:val="00E03081"/>
    <w:rsid w:val="00E045AD"/>
    <w:rsid w:val="00E05842"/>
    <w:rsid w:val="00E1118B"/>
    <w:rsid w:val="00E11543"/>
    <w:rsid w:val="00E11725"/>
    <w:rsid w:val="00E135D7"/>
    <w:rsid w:val="00E15046"/>
    <w:rsid w:val="00E15A7A"/>
    <w:rsid w:val="00E16E02"/>
    <w:rsid w:val="00E2037F"/>
    <w:rsid w:val="00E213EF"/>
    <w:rsid w:val="00E23AAF"/>
    <w:rsid w:val="00E272EC"/>
    <w:rsid w:val="00E27B3D"/>
    <w:rsid w:val="00E30F17"/>
    <w:rsid w:val="00E3124E"/>
    <w:rsid w:val="00E3286D"/>
    <w:rsid w:val="00E340F8"/>
    <w:rsid w:val="00E3446E"/>
    <w:rsid w:val="00E35600"/>
    <w:rsid w:val="00E36F44"/>
    <w:rsid w:val="00E4087B"/>
    <w:rsid w:val="00E40C6E"/>
    <w:rsid w:val="00E444BF"/>
    <w:rsid w:val="00E44525"/>
    <w:rsid w:val="00E44BAD"/>
    <w:rsid w:val="00E45FDC"/>
    <w:rsid w:val="00E46E8B"/>
    <w:rsid w:val="00E53CE2"/>
    <w:rsid w:val="00E53ED6"/>
    <w:rsid w:val="00E56240"/>
    <w:rsid w:val="00E570CE"/>
    <w:rsid w:val="00E579BD"/>
    <w:rsid w:val="00E603C2"/>
    <w:rsid w:val="00E639B0"/>
    <w:rsid w:val="00E658B7"/>
    <w:rsid w:val="00E65C5D"/>
    <w:rsid w:val="00E65F54"/>
    <w:rsid w:val="00E6644A"/>
    <w:rsid w:val="00E70B99"/>
    <w:rsid w:val="00E729EB"/>
    <w:rsid w:val="00E72B1D"/>
    <w:rsid w:val="00E743E9"/>
    <w:rsid w:val="00E75652"/>
    <w:rsid w:val="00E76369"/>
    <w:rsid w:val="00E76C88"/>
    <w:rsid w:val="00E9219C"/>
    <w:rsid w:val="00E92647"/>
    <w:rsid w:val="00E93554"/>
    <w:rsid w:val="00E94EEB"/>
    <w:rsid w:val="00E9707C"/>
    <w:rsid w:val="00E974B6"/>
    <w:rsid w:val="00EA22F3"/>
    <w:rsid w:val="00EA65AF"/>
    <w:rsid w:val="00EB0C72"/>
    <w:rsid w:val="00EB10A3"/>
    <w:rsid w:val="00EB239C"/>
    <w:rsid w:val="00EB317B"/>
    <w:rsid w:val="00EB7043"/>
    <w:rsid w:val="00EC1C76"/>
    <w:rsid w:val="00EC20CA"/>
    <w:rsid w:val="00EC593D"/>
    <w:rsid w:val="00EC7C72"/>
    <w:rsid w:val="00EC7D49"/>
    <w:rsid w:val="00ED17ED"/>
    <w:rsid w:val="00ED79FA"/>
    <w:rsid w:val="00ED7F63"/>
    <w:rsid w:val="00ED7F9B"/>
    <w:rsid w:val="00EE0402"/>
    <w:rsid w:val="00EE0845"/>
    <w:rsid w:val="00EE091F"/>
    <w:rsid w:val="00EE0D7C"/>
    <w:rsid w:val="00EE2AC7"/>
    <w:rsid w:val="00EE413C"/>
    <w:rsid w:val="00EE5E81"/>
    <w:rsid w:val="00EE7A03"/>
    <w:rsid w:val="00EF08C4"/>
    <w:rsid w:val="00EF0AF7"/>
    <w:rsid w:val="00EF1B68"/>
    <w:rsid w:val="00EF2AD8"/>
    <w:rsid w:val="00EF55C2"/>
    <w:rsid w:val="00EF7A31"/>
    <w:rsid w:val="00F0219F"/>
    <w:rsid w:val="00F04405"/>
    <w:rsid w:val="00F0477A"/>
    <w:rsid w:val="00F069FE"/>
    <w:rsid w:val="00F06D1E"/>
    <w:rsid w:val="00F11636"/>
    <w:rsid w:val="00F12FB4"/>
    <w:rsid w:val="00F1660A"/>
    <w:rsid w:val="00F166F2"/>
    <w:rsid w:val="00F172BC"/>
    <w:rsid w:val="00F20B9C"/>
    <w:rsid w:val="00F215A6"/>
    <w:rsid w:val="00F2412F"/>
    <w:rsid w:val="00F26771"/>
    <w:rsid w:val="00F26999"/>
    <w:rsid w:val="00F27D9A"/>
    <w:rsid w:val="00F30933"/>
    <w:rsid w:val="00F328DA"/>
    <w:rsid w:val="00F37DD1"/>
    <w:rsid w:val="00F40ECD"/>
    <w:rsid w:val="00F420AD"/>
    <w:rsid w:val="00F43B29"/>
    <w:rsid w:val="00F43D26"/>
    <w:rsid w:val="00F45BE8"/>
    <w:rsid w:val="00F50CD8"/>
    <w:rsid w:val="00F50F1E"/>
    <w:rsid w:val="00F51AE0"/>
    <w:rsid w:val="00F51F60"/>
    <w:rsid w:val="00F5246C"/>
    <w:rsid w:val="00F570A2"/>
    <w:rsid w:val="00F62564"/>
    <w:rsid w:val="00F6260D"/>
    <w:rsid w:val="00F64ACB"/>
    <w:rsid w:val="00F65441"/>
    <w:rsid w:val="00F75D66"/>
    <w:rsid w:val="00F77785"/>
    <w:rsid w:val="00F8209A"/>
    <w:rsid w:val="00F8596A"/>
    <w:rsid w:val="00F906CE"/>
    <w:rsid w:val="00F90A5D"/>
    <w:rsid w:val="00F95644"/>
    <w:rsid w:val="00FA09F1"/>
    <w:rsid w:val="00FA25B5"/>
    <w:rsid w:val="00FA42A5"/>
    <w:rsid w:val="00FA5938"/>
    <w:rsid w:val="00FA5BB3"/>
    <w:rsid w:val="00FA721A"/>
    <w:rsid w:val="00FA76D1"/>
    <w:rsid w:val="00FB719A"/>
    <w:rsid w:val="00FB77E7"/>
    <w:rsid w:val="00FB7DE0"/>
    <w:rsid w:val="00FC2928"/>
    <w:rsid w:val="00FC387F"/>
    <w:rsid w:val="00FC39E5"/>
    <w:rsid w:val="00FC5712"/>
    <w:rsid w:val="00FC58C2"/>
    <w:rsid w:val="00FD0165"/>
    <w:rsid w:val="00FD01D2"/>
    <w:rsid w:val="00FD02AC"/>
    <w:rsid w:val="00FD0D3B"/>
    <w:rsid w:val="00FD0F89"/>
    <w:rsid w:val="00FD27C9"/>
    <w:rsid w:val="00FD5892"/>
    <w:rsid w:val="00FD68B7"/>
    <w:rsid w:val="00FE0DC1"/>
    <w:rsid w:val="00FE1C17"/>
    <w:rsid w:val="00FE2CD5"/>
    <w:rsid w:val="00FE7D9F"/>
    <w:rsid w:val="00FF093A"/>
    <w:rsid w:val="00FF1B8E"/>
    <w:rsid w:val="00FF2EEC"/>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1B88E"/>
  <w15:docId w15:val="{40ABE29E-F314-4AEA-9269-953837C2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6D"/>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link w:val="CommentTextChar"/>
    <w:uiPriority w:val="99"/>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BodyText">
    <w:name w:val="Body Text"/>
    <w:basedOn w:val="Normal"/>
    <w:link w:val="BodyTextChar"/>
    <w:uiPriority w:val="99"/>
    <w:semiHidden/>
    <w:unhideWhenUsed/>
    <w:rsid w:val="00AC75BC"/>
    <w:pPr>
      <w:spacing w:after="120"/>
    </w:pPr>
  </w:style>
  <w:style w:type="character" w:customStyle="1" w:styleId="BodyTextChar">
    <w:name w:val="Body Text Char"/>
    <w:link w:val="BodyText"/>
    <w:uiPriority w:val="99"/>
    <w:semiHidden/>
    <w:rsid w:val="00AC75BC"/>
    <w:rPr>
      <w:sz w:val="28"/>
      <w:szCs w:val="22"/>
      <w:lang w:eastAsia="en-US"/>
    </w:rPr>
  </w:style>
  <w:style w:type="character" w:customStyle="1" w:styleId="UnresolvedMention2">
    <w:name w:val="Unresolved Mention2"/>
    <w:uiPriority w:val="99"/>
    <w:semiHidden/>
    <w:unhideWhenUsed/>
    <w:rsid w:val="00FE0DC1"/>
    <w:rPr>
      <w:color w:val="808080"/>
      <w:shd w:val="clear" w:color="auto" w:fill="E6E6E6"/>
    </w:rPr>
  </w:style>
  <w:style w:type="paragraph" w:customStyle="1" w:styleId="tv2132">
    <w:name w:val="tv2132"/>
    <w:basedOn w:val="Normal"/>
    <w:rsid w:val="00FE2CD5"/>
    <w:pPr>
      <w:spacing w:line="360" w:lineRule="auto"/>
      <w:ind w:firstLine="300"/>
      <w:jc w:val="left"/>
    </w:pPr>
    <w:rPr>
      <w:rFonts w:eastAsia="Times New Roman"/>
      <w:color w:val="414142"/>
      <w:sz w:val="20"/>
      <w:szCs w:val="20"/>
      <w:lang w:eastAsia="lv-LV"/>
    </w:rPr>
  </w:style>
  <w:style w:type="character" w:customStyle="1" w:styleId="CommentTextChar">
    <w:name w:val="Comment Text Char"/>
    <w:basedOn w:val="DefaultParagraphFont"/>
    <w:link w:val="CommentText"/>
    <w:uiPriority w:val="99"/>
    <w:rsid w:val="00F26771"/>
    <w:rPr>
      <w:lang w:eastAsia="en-US"/>
    </w:rPr>
  </w:style>
  <w:style w:type="paragraph" w:customStyle="1" w:styleId="tvhtml">
    <w:name w:val="tv_html"/>
    <w:basedOn w:val="Normal"/>
    <w:rsid w:val="00F26771"/>
    <w:pPr>
      <w:spacing w:before="100" w:beforeAutospacing="1" w:after="100" w:afterAutospacing="1" w:line="240" w:lineRule="auto"/>
      <w:ind w:firstLine="0"/>
      <w:jc w:val="left"/>
    </w:pPr>
    <w:rPr>
      <w:rFonts w:eastAsia="Times New Roman"/>
      <w:sz w:val="24"/>
      <w:szCs w:val="24"/>
      <w:lang w:eastAsia="lv-LV"/>
    </w:rPr>
  </w:style>
  <w:style w:type="character" w:styleId="UnresolvedMention">
    <w:name w:val="Unresolved Mention"/>
    <w:basedOn w:val="DefaultParagraphFont"/>
    <w:uiPriority w:val="99"/>
    <w:semiHidden/>
    <w:unhideWhenUsed/>
    <w:rsid w:val="00A34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2852">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13726619">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415857580">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606011501">
      <w:bodyDiv w:val="1"/>
      <w:marLeft w:val="0"/>
      <w:marRight w:val="0"/>
      <w:marTop w:val="0"/>
      <w:marBottom w:val="0"/>
      <w:divBdr>
        <w:top w:val="none" w:sz="0" w:space="0" w:color="auto"/>
        <w:left w:val="none" w:sz="0" w:space="0" w:color="auto"/>
        <w:bottom w:val="none" w:sz="0" w:space="0" w:color="auto"/>
        <w:right w:val="none" w:sz="0" w:space="0" w:color="auto"/>
      </w:divBdr>
      <w:divsChild>
        <w:div w:id="315494008">
          <w:marLeft w:val="0"/>
          <w:marRight w:val="0"/>
          <w:marTop w:val="0"/>
          <w:marBottom w:val="0"/>
          <w:divBdr>
            <w:top w:val="none" w:sz="0" w:space="0" w:color="auto"/>
            <w:left w:val="none" w:sz="0" w:space="0" w:color="auto"/>
            <w:bottom w:val="none" w:sz="0" w:space="0" w:color="auto"/>
            <w:right w:val="none" w:sz="0" w:space="0" w:color="auto"/>
          </w:divBdr>
          <w:divsChild>
            <w:div w:id="1168979462">
              <w:marLeft w:val="0"/>
              <w:marRight w:val="0"/>
              <w:marTop w:val="0"/>
              <w:marBottom w:val="0"/>
              <w:divBdr>
                <w:top w:val="none" w:sz="0" w:space="0" w:color="auto"/>
                <w:left w:val="none" w:sz="0" w:space="0" w:color="auto"/>
                <w:bottom w:val="none" w:sz="0" w:space="0" w:color="auto"/>
                <w:right w:val="none" w:sz="0" w:space="0" w:color="auto"/>
              </w:divBdr>
              <w:divsChild>
                <w:div w:id="1887832376">
                  <w:marLeft w:val="0"/>
                  <w:marRight w:val="0"/>
                  <w:marTop w:val="0"/>
                  <w:marBottom w:val="0"/>
                  <w:divBdr>
                    <w:top w:val="none" w:sz="0" w:space="0" w:color="auto"/>
                    <w:left w:val="none" w:sz="0" w:space="0" w:color="auto"/>
                    <w:bottom w:val="none" w:sz="0" w:space="0" w:color="auto"/>
                    <w:right w:val="none" w:sz="0" w:space="0" w:color="auto"/>
                  </w:divBdr>
                  <w:divsChild>
                    <w:div w:id="1321695790">
                      <w:marLeft w:val="0"/>
                      <w:marRight w:val="0"/>
                      <w:marTop w:val="0"/>
                      <w:marBottom w:val="0"/>
                      <w:divBdr>
                        <w:top w:val="none" w:sz="0" w:space="0" w:color="auto"/>
                        <w:left w:val="none" w:sz="0" w:space="0" w:color="auto"/>
                        <w:bottom w:val="none" w:sz="0" w:space="0" w:color="auto"/>
                        <w:right w:val="none" w:sz="0" w:space="0" w:color="auto"/>
                      </w:divBdr>
                      <w:divsChild>
                        <w:div w:id="1527138794">
                          <w:marLeft w:val="0"/>
                          <w:marRight w:val="0"/>
                          <w:marTop w:val="0"/>
                          <w:marBottom w:val="0"/>
                          <w:divBdr>
                            <w:top w:val="none" w:sz="0" w:space="0" w:color="auto"/>
                            <w:left w:val="none" w:sz="0" w:space="0" w:color="auto"/>
                            <w:bottom w:val="none" w:sz="0" w:space="0" w:color="auto"/>
                            <w:right w:val="none" w:sz="0" w:space="0" w:color="auto"/>
                          </w:divBdr>
                          <w:divsChild>
                            <w:div w:id="12375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481906">
      <w:bodyDiv w:val="1"/>
      <w:marLeft w:val="0"/>
      <w:marRight w:val="0"/>
      <w:marTop w:val="0"/>
      <w:marBottom w:val="0"/>
      <w:divBdr>
        <w:top w:val="none" w:sz="0" w:space="0" w:color="auto"/>
        <w:left w:val="none" w:sz="0" w:space="0" w:color="auto"/>
        <w:bottom w:val="none" w:sz="0" w:space="0" w:color="auto"/>
        <w:right w:val="none" w:sz="0" w:space="0" w:color="auto"/>
      </w:divBdr>
    </w:div>
    <w:div w:id="870649424">
      <w:bodyDiv w:val="1"/>
      <w:marLeft w:val="0"/>
      <w:marRight w:val="0"/>
      <w:marTop w:val="0"/>
      <w:marBottom w:val="0"/>
      <w:divBdr>
        <w:top w:val="none" w:sz="0" w:space="0" w:color="auto"/>
        <w:left w:val="none" w:sz="0" w:space="0" w:color="auto"/>
        <w:bottom w:val="none" w:sz="0" w:space="0" w:color="auto"/>
        <w:right w:val="none" w:sz="0" w:space="0" w:color="auto"/>
      </w:divBdr>
    </w:div>
    <w:div w:id="895047818">
      <w:bodyDiv w:val="1"/>
      <w:marLeft w:val="0"/>
      <w:marRight w:val="0"/>
      <w:marTop w:val="0"/>
      <w:marBottom w:val="0"/>
      <w:divBdr>
        <w:top w:val="none" w:sz="0" w:space="0" w:color="auto"/>
        <w:left w:val="none" w:sz="0" w:space="0" w:color="auto"/>
        <w:bottom w:val="none" w:sz="0" w:space="0" w:color="auto"/>
        <w:right w:val="none" w:sz="0" w:space="0" w:color="auto"/>
      </w:divBdr>
    </w:div>
    <w:div w:id="1236011590">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634288875">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6CA4-63B8-4455-B08D-3CD521AB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8770</Words>
  <Characters>4999</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30.novembra noteikumos Nr.1080 „Transportlīdzekļu reģistrācijas noteikumi”” sākotnējās ietekmes novērtējuma ziņojums (anotācija)</vt:lpstr>
      <vt:lpstr>Ministru kabineta noteikumu projekta “Grozījumi Ministru kabineta 2010.gada 30.novembra noteikumos Nr.1080 „Transportlīdzekļu reģistrācijas noteikumi”” sākotnējās ietekmes novērtējuma ziņojums (anotācija)</vt:lpstr>
    </vt:vector>
  </TitlesOfParts>
  <Company>Satiksmes ministrija</Company>
  <LinksUpToDate>false</LinksUpToDate>
  <CharactersWithSpaces>13742</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30.novembra noteikumos Nr.1080 „Transportlīdzekļu reģistrācijas noteikumi”” sākotnējās ietekmes novērtējuma ziņojums (anotācija)</dc:title>
  <dc:subject>anotācija</dc:subject>
  <dc:creator>Lauris.Mikelsons@sam.gov.lv</dc:creator>
  <cp:keywords>Anotācija</cp:keywords>
  <dc:description/>
  <cp:lastModifiedBy>Ineta Vula</cp:lastModifiedBy>
  <cp:revision>20</cp:revision>
  <cp:lastPrinted>2020-02-27T10:20:00Z</cp:lastPrinted>
  <dcterms:created xsi:type="dcterms:W3CDTF">2020-08-04T11:32:00Z</dcterms:created>
  <dcterms:modified xsi:type="dcterms:W3CDTF">2020-09-14T13:25:00Z</dcterms:modified>
</cp:coreProperties>
</file>