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555B" w:rsidR="00A61CDB" w:rsidP="00E03D92" w:rsidRDefault="00A61CDB" w14:paraId="2E58683E" w14:textId="726B8E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noteikumu 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projekta</w:t>
      </w:r>
      <w:r w:rsidRPr="00E03D9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Grozījum</w:t>
      </w:r>
      <w:r w:rsidR="00BD67A3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199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8.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gada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oktobra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noteikumos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Nr.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411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Noteikumi par stratēģiskās un reģionālās nozīmes dzelzceļa infrastruktūras iedalījumu””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sākotnējās ietekmes novērtējuma ziņojums (anotācija)</w:t>
      </w:r>
    </w:p>
    <w:tbl>
      <w:tblPr>
        <w:tblW w:w="5241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3"/>
        <w:gridCol w:w="5945"/>
      </w:tblGrid>
      <w:tr w:rsidRPr="00E03D92" w:rsidR="00A61CDB" w:rsidTr="00F81AE0" w14:paraId="7B05E515" w14:textId="77777777">
        <w:trPr>
          <w:cantSplit/>
          <w:trHeight w:val="407"/>
        </w:trPr>
        <w:tc>
          <w:tcPr>
            <w:tcW w:w="9567" w:type="dxa"/>
            <w:gridSpan w:val="2"/>
            <w:shd w:val="clear" w:color="auto" w:fill="FFFFFF"/>
            <w:vAlign w:val="center"/>
          </w:tcPr>
          <w:p w:rsidRPr="00B10EE5" w:rsidR="00A61CDB" w:rsidRDefault="00A61CDB" w14:paraId="10A3E7F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10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Tiesību akta projekta anotācijas kopsavilkums</w:t>
            </w:r>
          </w:p>
        </w:tc>
      </w:tr>
      <w:tr w:rsidRPr="005C324B" w:rsidR="00A61CDB" w:rsidTr="00AE769F" w14:paraId="1555CE99" w14:textId="77777777">
        <w:trPr>
          <w:cantSplit/>
          <w:trHeight w:val="892"/>
        </w:trPr>
        <w:tc>
          <w:tcPr>
            <w:tcW w:w="3577" w:type="dxa"/>
            <w:shd w:val="clear" w:color="auto" w:fill="FFFFFF"/>
          </w:tcPr>
          <w:p w:rsidRPr="001E4A55" w:rsidR="00A61CDB" w:rsidP="001077A5" w:rsidRDefault="00A61CDB" w14:paraId="2C326359" w14:textId="47A0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5990" w:type="dxa"/>
            <w:shd w:val="clear" w:color="auto" w:fill="FFFFFF"/>
          </w:tcPr>
          <w:p w:rsidRPr="001E4A55" w:rsidR="00A61CDB" w:rsidP="001077A5" w:rsidRDefault="00A61CDB" w14:paraId="241A059B" w14:textId="60DC4EB6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name="_Hlk512244612" w:id="0"/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 atbilstoši Ministru kabineta 2009.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decembra instrukcijas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 “Tiesību akta projekta sākotnējās ietekmes izvērtēšanas kārtība” 5.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803C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punktam.</w:t>
            </w:r>
            <w:bookmarkEnd w:id="0"/>
          </w:p>
        </w:tc>
      </w:tr>
    </w:tbl>
    <w:p w:rsidRPr="00DD555B" w:rsidR="00A61CDB" w:rsidP="0024095F" w:rsidRDefault="00A61CDB" w14:paraId="17E37B68" w14:textId="77777777">
      <w:pPr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956"/>
        <w:gridCol w:w="5937"/>
        <w:gridCol w:w="10"/>
      </w:tblGrid>
      <w:tr w:rsidRPr="00E03D92" w:rsidR="00A61CDB" w14:paraId="21781850" w14:textId="77777777">
        <w:trPr>
          <w:gridAfter w:val="1"/>
          <w:wAfter w:w="10" w:type="dxa"/>
          <w:trHeight w:val="419"/>
        </w:trPr>
        <w:tc>
          <w:tcPr>
            <w:tcW w:w="9493" w:type="dxa"/>
            <w:gridSpan w:val="3"/>
          </w:tcPr>
          <w:p w:rsidRPr="00AD7453" w:rsidR="00A61CDB" w:rsidP="00895E3C" w:rsidRDefault="00A61CDB" w14:paraId="0D0204A0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Pr="00E03D92" w:rsidR="00A61CDB" w:rsidTr="00BE74A7" w14:paraId="1AD05D23" w14:textId="77777777">
        <w:trPr>
          <w:gridAfter w:val="1"/>
          <w:wAfter w:w="10" w:type="dxa"/>
          <w:trHeight w:val="415"/>
        </w:trPr>
        <w:tc>
          <w:tcPr>
            <w:tcW w:w="591" w:type="dxa"/>
          </w:tcPr>
          <w:p w:rsidRPr="00461416" w:rsidR="00A61CDB" w:rsidP="00895E3C" w:rsidRDefault="00A61CDB" w14:paraId="174972A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14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58" w:type="dxa"/>
          </w:tcPr>
          <w:p w:rsidRPr="00000A3C" w:rsidR="00A61CDB" w:rsidP="006432B0" w:rsidRDefault="00A61CDB" w14:paraId="77C0565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44" w:type="dxa"/>
          </w:tcPr>
          <w:p w:rsidRPr="00000A3C" w:rsidR="00A61CDB" w:rsidP="007A1661" w:rsidRDefault="00A61CDB" w14:paraId="28BD5A77" w14:textId="531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Dzelzceļa likuma 7.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panta trešā daļa. </w:t>
            </w:r>
          </w:p>
          <w:p w:rsidRPr="007B0D86" w:rsidR="00A61CDB" w:rsidP="007B0D86" w:rsidRDefault="00C447D3" w14:paraId="7163C02C" w14:textId="18F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Satiksmes ministrijas iniciatīva.</w:t>
            </w:r>
          </w:p>
        </w:tc>
      </w:tr>
      <w:tr w:rsidRPr="005C324B" w:rsidR="00A61CDB" w:rsidTr="0039090B" w14:paraId="13F9E54A" w14:textId="77777777">
        <w:trPr>
          <w:trHeight w:val="7214"/>
        </w:trPr>
        <w:tc>
          <w:tcPr>
            <w:tcW w:w="591" w:type="dxa"/>
          </w:tcPr>
          <w:p w:rsidRPr="00C345DE" w:rsidR="00A61CDB" w:rsidP="006078F4" w:rsidRDefault="00A61CDB" w14:paraId="4691C994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58" w:type="dxa"/>
          </w:tcPr>
          <w:p w:rsidRPr="00C345DE" w:rsidR="00A61CDB" w:rsidP="006078F4" w:rsidRDefault="00A61CDB" w14:paraId="61EEFFA4" w14:textId="77777777">
            <w:pPr>
              <w:widowControl/>
              <w:tabs>
                <w:tab w:val="left" w:pos="110"/>
              </w:tabs>
              <w:spacing w:after="0" w:line="240" w:lineRule="auto"/>
              <w:ind w:left="57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:rsidRPr="00C345DE" w:rsidR="00A61CDB" w:rsidP="006078F4" w:rsidRDefault="00A61CDB" w14:paraId="28D21E5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1FE3527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6EE05F8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30BE6B6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142B3DD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59F0186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6AE5033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6EB8CF4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42F504D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4CC7F73C" w14:textId="7777777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:rsidRPr="00C345DE" w:rsidR="00A61CDB" w:rsidP="006078F4" w:rsidRDefault="00A61CDB" w14:paraId="2E64A30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65CFCC90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:rsidRPr="00C345DE" w:rsidR="00A61CDB" w:rsidP="006078F4" w:rsidRDefault="00A61CDB" w14:paraId="6FE79BE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23550D3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Pr="00C345DE" w:rsidR="00A61CDB" w:rsidP="006078F4" w:rsidRDefault="00A61CDB" w14:paraId="10E7D8A9" w14:textId="77777777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44" w:type="dxa"/>
            <w:gridSpan w:val="2"/>
          </w:tcPr>
          <w:p w:rsidRPr="00C45ED5" w:rsidR="00A61CDB" w:rsidP="001077A5" w:rsidRDefault="001077A5" w14:paraId="296F864A" w14:textId="577B6696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noteikumu projekts “Grozījum</w:t>
            </w:r>
            <w:r w:rsidR="00293A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1998.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20.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noteikumos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411 “Noteikumi par stratēģiskās un reģionālās nozīmes dzelzceļa infrastruktūras iedalījumu”” (turpmāk - Noteikumu projekts) paredz veikt grozījumu</w:t>
            </w:r>
            <w:r w:rsidR="00AE76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1998.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20.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noteikumos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411 “Noteikumi par stratēģiskās un reģionālās nozīmes dzelzceļa infrastruktūras iedalījumu”</w:t>
            </w:r>
            <w:r w:rsidRPr="00C45ED5" w:rsid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Noteikumi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411)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atbilstoši </w:t>
            </w:r>
            <w:r w:rsidRPr="00C45ED5" w:rsidR="000442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izstrādātajiem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Pr="00C45ED5" w:rsidR="00BE74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Ministru kabineta 2018.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215 “Par publiskās lietošanas dzelzceļa infrastruktūras statusa piešķiršanu” (turpmāk –</w:t>
            </w:r>
            <w:r w:rsidRPr="00C45ED5" w:rsidR="00BE74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Rīkojuma projekts).</w:t>
            </w:r>
          </w:p>
          <w:p w:rsidRPr="00C45ED5" w:rsidR="00E271BB" w:rsidP="001077A5" w:rsidRDefault="00A61CDB" w14:paraId="6D8CEE5F" w14:textId="123EF456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Pamatojoties uz Rīgas brīvostas pārvaldes 2019.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26.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septembr</w:t>
            </w:r>
            <w:r w:rsidRPr="00C45ED5"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vēstuli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1-11/1190 “Par publiskās lietošanas dzelzceļa infrastruktūras statusa piešķiršanu dzelzceļa parkam “Kundziņsala”</w:t>
            </w:r>
            <w:r w:rsidRPr="00C45ED5"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kurā lūgts noteikt publiskās lietošanas dzelzceļa infrastruktūras statusu Rīgas brīvostas pārvaldes īpašumā e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ošajam Dzelzceļa infrastruktūras iecirknim “Kundziņsala” (turpmāk – </w:t>
            </w:r>
            <w:r w:rsidRPr="00C45ED5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iecirknis </w:t>
            </w:r>
            <w:r w:rsidRPr="00C45ED5"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Kundziņsala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895E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VAS “Latvijas dzelzceļš” 2020.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</w:t>
            </w:r>
            <w:r w:rsidRPr="00C45ED5" w:rsid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janvār</w:t>
            </w:r>
            <w:r w:rsidRPr="00C45ED5"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C45ED5" w:rsidR="00BE63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vēstuli</w:t>
            </w:r>
            <w:r w:rsidRPr="00C45ED5" w:rsid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D-6.4.1./41-2020 “Par publiskās lietošanas dzelzceļa infrastruktūras statusa piešķiršanu”</w:t>
            </w:r>
            <w:r w:rsidRPr="00C45ED5"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C45ED5"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kurā lūgts izveidot jaunu dzelzceļa iecirkni  “</w:t>
            </w:r>
            <w:r w:rsidRPr="00C45ED5" w:rsidR="00A36D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ceļa </w:t>
            </w:r>
            <w:r w:rsidRPr="00C45ED5"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 3.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km  – Kundziņsala”</w:t>
            </w:r>
            <w:r w:rsidRPr="00C45ED5"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ir izstrādāts Rīkojuma projekts.</w:t>
            </w:r>
          </w:p>
          <w:p w:rsidRPr="00C45ED5" w:rsidR="00A61CDB" w:rsidP="001077A5" w:rsidRDefault="00E271BB" w14:paraId="57A5C023" w14:textId="4E974058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Rīkojuma projektu </w:t>
            </w:r>
            <w:r w:rsidRPr="00C45ED5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iecirknim </w:t>
            </w:r>
            <w:r w:rsidRPr="00C45ED5"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Kundziņsala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plānots piešķirt publiskās lietošanas dzelzceļa infrastruktūras statusu un </w:t>
            </w:r>
            <w:r w:rsidRPr="00C45ED5"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izveidot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stratēģiskās (valsts) nozīmes dzelzceļa infrastruktūras iecirkni “</w:t>
            </w:r>
            <w:r w:rsidRPr="00C45ED5" w:rsidR="00A36D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ceļa </w:t>
            </w:r>
            <w:r w:rsidRPr="00C45ED5" w:rsidR="004B02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 3.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4B02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km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Kundziņsala”</w:t>
            </w:r>
            <w:r w:rsidRPr="00C45ED5"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savienos VAS “Latvijas dzelzceļš” īpašumā esošo dzelzceļa infrastruktūru ar Rīgas brīvostas pārvaldes īpašumā esošo </w:t>
            </w:r>
            <w:r w:rsidRPr="00C45ED5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 </w:t>
            </w:r>
            <w:r w:rsidRPr="00C45ED5"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Kundziņsal</w:t>
            </w:r>
            <w:r w:rsidRPr="00C45ED5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</w:t>
            </w:r>
          </w:p>
          <w:p w:rsidRPr="00C45ED5" w:rsidR="00C345DE" w:rsidP="001077A5" w:rsidRDefault="00000A3C" w14:paraId="1C02042F" w14:textId="75A2E7D7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Satiksmes ministrijā 2020.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6.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aijā saņemto Ogres novada pašvaldības (turpmāk – Pašvaldība) vēstuli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2-5.1/1720 “Par bijušās līnijas Rīga Preču – Ērgļi 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sliežu ceļa posma, kas atrodas Ogres novada administratīvajā teritorijā, pārņemšanu īpašumā”, ar kuru Pašvaldība lūdz Satiksmes ministriju slēgt dzelzceļa iecirkņa Rīga Preču – Ērgļi posmu Saurieši – Ērgļi un nodot nekustamos īpašumus – zemes vienības un inženierbūves – ēkas, tiltus, sliežu ceļus, kas nav demontēti, caurtekas un ceļa klātnes uzbērumus bez atlīdzības Pašvaldības īpašumā, pamatojoties uz </w:t>
            </w:r>
            <w:r w:rsidRPr="00C45ED5" w:rsidR="00293A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Pašvaldības domes 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</w:t>
            </w:r>
            <w:r w:rsidR="00CF4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19.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marta lēmumā “Par valstij piederošo zemju un inženierbūvju pārņemšanu Ogres novada pašvaldības īpašumā” noteikto, Satiksmes ministrija papildina Rīkojuma projektu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precizē  Ministru kabineta 2018.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</w:t>
            </w:r>
            <w:r w:rsidR="00293A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215 “Par publiskās lietošanas dzelzceļa infrastruktūras statusa piešķiršanu” noteikto publiskās lietošanas dzelzceļa infrastruktūras iecirkni Rīga Preču - Ērgļi, aizstājot tā galapunktā esošo staciju Ērgļi ar staciju Saurieši.</w:t>
            </w:r>
          </w:p>
          <w:p w:rsidR="00803CC9" w:rsidP="00293A54" w:rsidRDefault="0039090B" w14:paraId="7473602A" w14:textId="7DCA0A01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Pamatojoties uz</w:t>
            </w:r>
            <w:r w:rsidRPr="00C45ED5"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Pr="00C45ED5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Rīkojuma projektā</w:t>
            </w:r>
            <w:r w:rsidR="00293A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projekt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paredz</w:t>
            </w:r>
            <w:r w:rsidRPr="00C45ED5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papildināt stratēģiskās (valsts) nozīmes dzelzceļa infrastruktūras sarakstu ar jaunu dzelzceļa infrastruktūras iecirkni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</w:t>
            </w:r>
            <w:r w:rsidRPr="003909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Kundziņsala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909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5ED5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aktualizēt dzelzceļa iecirkni Rīga Preču – Ērgļi atbilstoši pašreizējai situācijai.</w:t>
            </w:r>
          </w:p>
          <w:p w:rsidRPr="00803CC9" w:rsidR="00803CC9" w:rsidP="009512B9" w:rsidRDefault="009036C6" w14:paraId="0CC8F208" w14:textId="677BC0D3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37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</w:t>
            </w:r>
            <w:r w:rsidRPr="00BD373E" w:rsidR="00295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 Noteikumu projekts iegūst aktualitāti tikai tad, kad iecirknim Kundziņsala </w:t>
            </w:r>
            <w:r w:rsidR="003909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</w:t>
            </w:r>
            <w:r w:rsidRPr="00BD373E" w:rsidR="00295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piešķirts publiskās lietošanas dzelzceļa infrastruktūras statuss, </w:t>
            </w:r>
            <w:r w:rsidRPr="00BD373E" w:rsidR="00680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projekts stā</w:t>
            </w:r>
            <w:r w:rsidR="003909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sie</w:t>
            </w:r>
            <w:r w:rsidRPr="00BD373E" w:rsidR="00680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spēkā atbilstoši Rīkojuma projekt</w:t>
            </w:r>
            <w:r w:rsidRPr="00BD373E" w:rsidR="004B3B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 ietvertajam </w:t>
            </w:r>
            <w:r w:rsidRPr="0039090B" w:rsidR="004B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regulējumam</w:t>
            </w:r>
            <w:r w:rsidRPr="00BD373E" w:rsidR="00680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ar 2020. gada 1. oktobri.</w:t>
            </w:r>
          </w:p>
        </w:tc>
      </w:tr>
      <w:tr w:rsidRPr="00C345DE" w:rsidR="00A61CDB" w:rsidTr="00BE74A7" w14:paraId="3CB8C2A1" w14:textId="77777777">
        <w:trPr>
          <w:gridAfter w:val="1"/>
          <w:wAfter w:w="10" w:type="dxa"/>
          <w:trHeight w:val="476"/>
        </w:trPr>
        <w:tc>
          <w:tcPr>
            <w:tcW w:w="591" w:type="dxa"/>
          </w:tcPr>
          <w:p w:rsidRPr="00C345DE" w:rsidR="00A61CDB" w:rsidP="006078F4" w:rsidRDefault="00A61CDB" w14:paraId="74DE0D3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58" w:type="dxa"/>
          </w:tcPr>
          <w:p w:rsidRPr="00C345DE" w:rsidR="00A61CDB" w:rsidP="006078F4" w:rsidRDefault="00A61CDB" w14:paraId="05ACEB51" w14:textId="77777777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944" w:type="dxa"/>
          </w:tcPr>
          <w:p w:rsidRPr="00C345DE" w:rsidR="00A61CDB" w:rsidP="006078F4" w:rsidRDefault="00A61CDB" w14:paraId="55CC4616" w14:textId="0AE79F69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Satiksmes ministrija, Rīgas brīvostas pārvalde, VAS “Latvijas dzelzceļš”</w:t>
            </w:r>
            <w:r w:rsidRPr="00C345DE" w:rsid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:rsidRPr="00C345DE" w:rsidR="00A61CDB" w:rsidP="006078F4" w:rsidRDefault="00A61CDB" w14:paraId="18A994A8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Pr="00C345DE" w:rsidR="00A61CDB" w:rsidTr="00BE74A7" w14:paraId="300CC9BF" w14:textId="77777777">
        <w:trPr>
          <w:gridAfter w:val="1"/>
          <w:wAfter w:w="10" w:type="dxa"/>
        </w:trPr>
        <w:tc>
          <w:tcPr>
            <w:tcW w:w="591" w:type="dxa"/>
          </w:tcPr>
          <w:p w:rsidRPr="00C345DE" w:rsidR="00A61CDB" w:rsidP="006078F4" w:rsidRDefault="00A61CDB" w14:paraId="170F6CEA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58" w:type="dxa"/>
          </w:tcPr>
          <w:p w:rsidRPr="00C345DE" w:rsidR="00A61CDB" w:rsidP="006078F4" w:rsidRDefault="00A61CDB" w14:paraId="45D1F8FE" w14:textId="77777777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44" w:type="dxa"/>
          </w:tcPr>
          <w:p w:rsidR="00A61CDB" w:rsidP="007C1530" w:rsidRDefault="00A61CDB" w14:paraId="351ADD83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  <w:p w:rsidRPr="00C345DE" w:rsidR="00A61CDB" w:rsidP="007B0D86" w:rsidRDefault="00A61CDB" w14:paraId="67151D2A" w14:textId="33DCB50F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Pr="00C345DE" w:rsidR="00A61CDB" w:rsidP="0024095F" w:rsidRDefault="00A61CDB" w14:paraId="75A47708" w14:textId="77777777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972"/>
        <w:gridCol w:w="5895"/>
      </w:tblGrid>
      <w:tr w:rsidRPr="005C324B" w:rsidR="00A61CDB" w:rsidTr="00BE74A7" w14:paraId="1A0AC510" w14:textId="77777777">
        <w:trPr>
          <w:trHeight w:val="690"/>
        </w:trPr>
        <w:tc>
          <w:tcPr>
            <w:tcW w:w="9493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C345DE" w:rsidR="00A61CDB" w:rsidP="00895E3C" w:rsidRDefault="00A61CDB" w14:paraId="41775528" w14:textId="777777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Pr="005C324B" w:rsidR="00A61CDB" w14:paraId="154E1B70" w14:textId="77777777"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345DE" w:rsidR="00A61CDB" w:rsidP="00895E3C" w:rsidRDefault="00A61CDB" w14:paraId="2A36AF03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345DE" w:rsidR="00A61CDB" w:rsidP="006432B0" w:rsidRDefault="00A61CDB" w14:paraId="0EE4C269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C345DE" w:rsidR="00A61CDB" w:rsidP="00946504" w:rsidRDefault="008913D1" w14:paraId="7902F216" w14:textId="77B28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</w:t>
            </w:r>
            <w:r w:rsidRPr="00C345DE" w:rsidR="00A61CD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ārvadātāji,</w:t>
            </w: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C345DE">
              <w:rPr>
                <w:rFonts w:ascii="Times New Roman" w:hAnsi="Times New Roman" w:eastAsia="Times New Roman"/>
                <w:iCs/>
                <w:sz w:val="24"/>
                <w:szCs w:val="24"/>
                <w:lang w:val="lv-LV" w:eastAsia="lv-LV"/>
              </w:rPr>
              <w:t>kas izmantos attiecīgo dzelzceļa infrastruktūru,</w:t>
            </w:r>
            <w:r w:rsidRPr="00C345DE" w:rsidR="00A61CD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kravas saņēmēji, nosūtītāji.</w:t>
            </w:r>
          </w:p>
          <w:p w:rsidRPr="00C345DE" w:rsidR="00A61CDB" w:rsidP="006432B0" w:rsidRDefault="00A61CDB" w14:paraId="010E1BD3" w14:textId="77777777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Pr="00C345DE" w:rsidR="00A61CDB" w14:paraId="688E7F9E" w14:textId="77777777"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345DE" w:rsidR="00A61CDB" w:rsidP="00895E3C" w:rsidRDefault="00A61CDB" w14:paraId="707F4A7D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345DE" w:rsidR="00A61CDB" w:rsidP="006432B0" w:rsidRDefault="00A61CDB" w14:paraId="5E59889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C345DE" w:rsidR="00A61CDB" w:rsidP="006432B0" w:rsidRDefault="00A61CDB" w14:paraId="2BDA1619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Pr="00DC49F0" w:rsidR="00A61CDB" w14:paraId="4190D5B0" w14:textId="77777777"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895E3C" w:rsidRDefault="00A61CDB" w14:paraId="3DC2B5A1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6432B0" w:rsidRDefault="00A61CDB" w14:paraId="71BEA42C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A61CDB" w:rsidP="006432B0" w:rsidRDefault="00A61CDB" w14:paraId="39AD1F26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Pr="00DC49F0" w:rsidR="00A61CDB" w14:paraId="78E35AF5" w14:textId="77777777"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895E3C" w:rsidRDefault="00A61CDB" w14:paraId="6C629574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6432B0" w:rsidRDefault="00A61CDB" w14:paraId="1D0C7F26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Atbilstības izmaksu monetārs novērtējums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A61CDB" w:rsidP="00B8582A" w:rsidRDefault="00A61CDB" w14:paraId="03769FF6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Pr="00DC49F0" w:rsidR="00A61CDB" w14:paraId="6F725849" w14:textId="77777777"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895E3C" w:rsidRDefault="00A61CDB" w14:paraId="45256ADB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6432B0" w:rsidRDefault="00A61CDB" w14:paraId="4781252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A61CDB" w:rsidP="00B8582A" w:rsidRDefault="00A61CDB" w14:paraId="539DFFFC" w14:textId="0A2BAFCB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C45ED5" w:rsidP="0024095F" w:rsidRDefault="00C45ED5" w14:paraId="1C825C8E" w14:textId="71ABBBA9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p w:rsidRPr="00DC49F0" w:rsidR="00C45ED5" w:rsidP="0024095F" w:rsidRDefault="00C45ED5" w14:paraId="644B327C" w14:textId="77777777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Pr="005C324B" w:rsidR="00A61CDB" w14:paraId="1769A617" w14:textId="77777777">
        <w:trPr>
          <w:trHeight w:val="372"/>
        </w:trPr>
        <w:tc>
          <w:tcPr>
            <w:tcW w:w="9498" w:type="dxa"/>
            <w:tcBorders>
              <w:top w:val="outset" w:color="000000" w:sz="6" w:space="0"/>
              <w:bottom w:val="outset" w:color="000000" w:sz="6" w:space="0"/>
            </w:tcBorders>
          </w:tcPr>
          <w:p w:rsidRPr="00DC49F0" w:rsidR="00A61CDB" w:rsidP="00895E3C" w:rsidRDefault="00A61CDB" w14:paraId="12AD24CE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III. Tiesību akta projekta ietekme uz valsts budžetu un pašvaldību budžetiem</w:t>
            </w:r>
          </w:p>
        </w:tc>
      </w:tr>
      <w:tr w:rsidRPr="00DC49F0" w:rsidR="00A61CDB" w14:paraId="126DF404" w14:textId="77777777">
        <w:trPr>
          <w:trHeight w:val="450"/>
        </w:trPr>
        <w:tc>
          <w:tcPr>
            <w:tcW w:w="9498" w:type="dxa"/>
            <w:tcBorders>
              <w:top w:val="outset" w:color="000000" w:sz="6" w:space="0"/>
              <w:bottom w:val="outset" w:color="000000" w:sz="6" w:space="0"/>
            </w:tcBorders>
            <w:vAlign w:val="center"/>
          </w:tcPr>
          <w:p w:rsidRPr="00DC49F0" w:rsidR="00A61CDB" w:rsidP="00895E3C" w:rsidRDefault="00A61CDB" w14:paraId="4B157D1F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Pr="00DC49F0" w:rsidR="00952420" w:rsidP="0024095F" w:rsidRDefault="00952420" w14:paraId="41901AA9" w14:textId="77777777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9498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6"/>
        <w:gridCol w:w="2972"/>
        <w:gridCol w:w="5900"/>
      </w:tblGrid>
      <w:tr w:rsidRPr="005C324B" w:rsidR="00A61CDB" w:rsidTr="00000A3C" w14:paraId="217AE45A" w14:textId="77777777">
        <w:trPr>
          <w:trHeight w:val="372"/>
        </w:trPr>
        <w:tc>
          <w:tcPr>
            <w:tcW w:w="9493" w:type="dxa"/>
            <w:gridSpan w:val="3"/>
            <w:tcBorders>
              <w:top w:val="outset" w:color="000000" w:sz="6" w:space="0"/>
              <w:bottom w:val="outset" w:color="000000" w:sz="6" w:space="0"/>
            </w:tcBorders>
          </w:tcPr>
          <w:p w:rsidRPr="00DC49F0" w:rsidR="00A61CDB" w:rsidP="00895E3C" w:rsidRDefault="00A61CDB" w14:paraId="1D9CBFE8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Pr="005C324B" w:rsidR="00A61CDB" w:rsidTr="007B0D86" w14:paraId="1D50BB64" w14:textId="77777777">
        <w:tblPrEx>
          <w:tblLook w:val="0000" w:firstRow="0" w:lastRow="0" w:firstColumn="0" w:lastColumn="0" w:noHBand="0" w:noVBand="0"/>
        </w:tblPrEx>
        <w:trPr>
          <w:trHeight w:val="1933"/>
        </w:trPr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02970599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76BE7B32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Saistītie tiesību aktu projekti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C447D3" w:rsidP="00946504" w:rsidRDefault="000B5093" w14:paraId="04892B59" w14:textId="32600E0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Nepieciešami g</w:t>
            </w:r>
            <w:r w:rsidRPr="00DC49F0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rozījumi Ministru kabineta 2018.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215 “Par publiskās lietošanas </w:t>
            </w:r>
            <w:r w:rsidRPr="00000A3C" w:rsidR="00A61C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dzelzceļa infrastruktūras statusa piešķiršanu”</w:t>
            </w:r>
            <w:r w:rsidRPr="00000A3C" w:rsidR="00C447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Pēc Noteikumu projekta spēkā stāšanās</w:t>
            </w:r>
            <w:r w:rsidRPr="00000A3C" w:rsidR="00C447D3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000A3C" w:rsidR="00C447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tiks </w:t>
            </w:r>
            <w:r w:rsidRPr="00000A3C" w:rsidR="00000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grozīts un </w:t>
            </w:r>
            <w:r w:rsidRPr="00000A3C" w:rsidR="00C447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papildināts stratēģiskās un reģionālās nozīmes dzelzceļa infrastruktūras iedalījuma saraksts, līdz ar to nepieciešams atbilstoši grozījumiem aktualizēt arī Rīkojuma projektu</w:t>
            </w:r>
            <w:r w:rsidRPr="009512B9" w:rsidR="00C447D3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.</w:t>
            </w:r>
          </w:p>
        </w:tc>
      </w:tr>
      <w:tr w:rsidRPr="00DC49F0" w:rsidR="00A61CDB" w:rsidTr="00000A3C" w14:paraId="584A0C34" w14:textId="77777777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3D31BECC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38717F49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Atbildīgā institūcija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A61CDB" w:rsidP="00946504" w:rsidRDefault="00A61CDB" w14:paraId="752CF1ED" w14:textId="67203EEB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Satiksmes ministrija.</w:t>
            </w:r>
          </w:p>
        </w:tc>
      </w:tr>
      <w:tr w:rsidRPr="00DC49F0" w:rsidR="00A61CDB" w:rsidTr="00000A3C" w14:paraId="4A7584BF" w14:textId="77777777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2BC31184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DC49F0" w:rsidR="00A61CDB" w:rsidP="00946504" w:rsidRDefault="00A61CDB" w14:paraId="7583BAA2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DC49F0" w:rsidR="00A61CDB" w:rsidP="00946504" w:rsidRDefault="00BE74A7" w14:paraId="599BD635" w14:textId="6950162D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Satiksmes ministrija izstrādāj</w:t>
            </w:r>
            <w:r w:rsidR="00C93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93A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rīkojuma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projektu </w:t>
            </w:r>
            <w:r w:rsidR="008014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rozījum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2018.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215 “Par </w:t>
            </w:r>
            <w:r w:rsidRPr="00C45E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publiskās lietošanas dzelzceļa </w:t>
            </w:r>
            <w:r w:rsidRPr="00CF4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infrastruktūras statusa piešķiršanu”</w:t>
            </w:r>
            <w:r w:rsidRPr="00CF4E3E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014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CF4E3E" w:rsid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izsludināts </w:t>
            </w:r>
            <w:r w:rsidRPr="00CF4E3E" w:rsidR="0080145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Valsts sekretāru 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2020.</w:t>
            </w:r>
            <w:r w:rsidR="00803CC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gada 13.</w:t>
            </w:r>
            <w:r w:rsidR="00803CC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februāra sanāksmē</w:t>
            </w:r>
            <w:r w:rsidR="0080145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, 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VSS</w:t>
            </w:r>
            <w:r w:rsidR="00803CC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- 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112, prot. Nr.</w:t>
            </w:r>
            <w:r w:rsidR="00803CC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7, 9.</w:t>
            </w:r>
            <w:r w:rsidR="00803CC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r w:rsidRPr="00CF4E3E" w:rsidR="00C345D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§)</w:t>
            </w:r>
            <w:r w:rsidRPr="00CF4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tiek virzīt</w:t>
            </w:r>
            <w:r w:rsidRPr="00CF4E3E"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F4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vienlaikus ar Noteikumu projektu.</w:t>
            </w:r>
          </w:p>
        </w:tc>
      </w:tr>
      <w:tr w:rsidRPr="00E83B3B" w:rsidR="00A61CDB" w:rsidTr="00000A3C" w14:paraId="7D117D4E" w14:textId="77777777">
        <w:trPr>
          <w:trHeight w:val="372"/>
        </w:trPr>
        <w:tc>
          <w:tcPr>
            <w:tcW w:w="9498" w:type="dxa"/>
            <w:gridSpan w:val="3"/>
            <w:tcBorders>
              <w:top w:val="outset" w:color="000000" w:sz="6" w:space="0"/>
              <w:bottom w:val="outset" w:color="000000" w:sz="6" w:space="0"/>
            </w:tcBorders>
          </w:tcPr>
          <w:p w:rsidRPr="00464229" w:rsidR="00A61CDB" w:rsidP="00895E3C" w:rsidRDefault="00A61CDB" w14:paraId="5747EB0F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Pr="00E83B3B" w:rsidR="00A61CDB" w:rsidTr="00000A3C" w14:paraId="7BFE57B9" w14:textId="77777777">
        <w:trPr>
          <w:trHeight w:val="372"/>
        </w:trPr>
        <w:tc>
          <w:tcPr>
            <w:tcW w:w="9498" w:type="dxa"/>
            <w:gridSpan w:val="3"/>
            <w:tcBorders>
              <w:top w:val="outset" w:color="000000" w:sz="6" w:space="0"/>
              <w:bottom w:val="outset" w:color="000000" w:sz="6" w:space="0"/>
            </w:tcBorders>
          </w:tcPr>
          <w:p w:rsidRPr="00464229" w:rsidR="00A61CDB" w:rsidP="00895E3C" w:rsidRDefault="00A61CDB" w14:paraId="230117E4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Pr="00E83B3B" w:rsidR="00A61CDB" w:rsidP="0024095F" w:rsidRDefault="00A61CDB" w14:paraId="67784280" w14:textId="77777777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Pr="005C324B" w:rsidR="00A61CDB" w14:paraId="7D3A7C71" w14:textId="77777777">
        <w:trPr>
          <w:trHeight w:val="421"/>
        </w:trPr>
        <w:tc>
          <w:tcPr>
            <w:tcW w:w="9498" w:type="dxa"/>
          </w:tcPr>
          <w:p w:rsidRPr="00164F15" w:rsidR="00A61CDB" w:rsidP="00895E3C" w:rsidRDefault="00A61CDB" w14:paraId="0B9C10BB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64F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Pr="00E83B3B" w:rsidR="00A61CDB" w14:paraId="6CFE664E" w14:textId="77777777">
        <w:trPr>
          <w:trHeight w:val="444"/>
        </w:trPr>
        <w:tc>
          <w:tcPr>
            <w:tcW w:w="949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64F15" w:rsidR="00A61CDB" w:rsidP="00084701" w:rsidRDefault="00A61CDB" w14:paraId="47C50931" w14:textId="77777777">
            <w:pPr>
              <w:spacing w:after="0" w:line="240" w:lineRule="auto"/>
              <w:ind w:left="6" w:right="142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Pr="00E83B3B" w:rsidR="00A61CDB" w:rsidP="00284F34" w:rsidRDefault="00A61CDB" w14:paraId="76A79F71" w14:textId="77777777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val="lv-LV" w:eastAsia="lv-LV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Pr="005C324B" w:rsidR="00A61CDB" w14:paraId="6E0560AC" w14:textId="77777777">
        <w:trPr>
          <w:trHeight w:val="580"/>
        </w:trPr>
        <w:tc>
          <w:tcPr>
            <w:tcW w:w="9498" w:type="dxa"/>
            <w:gridSpan w:val="3"/>
          </w:tcPr>
          <w:p w:rsidRPr="00464229" w:rsidR="00A61CDB" w:rsidP="00895E3C" w:rsidRDefault="00A61CDB" w14:paraId="179C9B7A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Pr="005C324B" w:rsidR="00A61CDB" w:rsidTr="00C345DE" w14:paraId="5F40EEC5" w14:textId="77777777">
        <w:trPr>
          <w:trHeight w:val="610"/>
        </w:trPr>
        <w:tc>
          <w:tcPr>
            <w:tcW w:w="426" w:type="dxa"/>
          </w:tcPr>
          <w:p w:rsidRPr="00464229" w:rsidR="00A61CDB" w:rsidP="00895E3C" w:rsidRDefault="00A61CDB" w14:paraId="5F5AA004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name="_Hlk535848927" w:id="1"/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:rsidRPr="00464229" w:rsidR="00A61CDB" w:rsidP="00895E3C" w:rsidRDefault="00A61CDB" w14:paraId="32B9AB4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954" w:type="dxa"/>
          </w:tcPr>
          <w:p w:rsidRPr="00464229" w:rsidR="00A61CDB" w:rsidP="00426C3F" w:rsidRDefault="00A61CDB" w14:paraId="17EC4C89" w14:textId="6490858B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name="p66" w:id="2"/>
            <w:bookmarkStart w:name="p67" w:id="3"/>
            <w:bookmarkStart w:name="p68" w:id="4"/>
            <w:bookmarkStart w:name="p69" w:id="5"/>
            <w:bookmarkEnd w:id="2"/>
            <w:bookmarkEnd w:id="3"/>
            <w:bookmarkEnd w:id="4"/>
            <w:bookmarkEnd w:id="5"/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Rīgas brīvostas pārvalde,</w:t>
            </w:r>
            <w:r w:rsidR="000332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VAS “Latvijas dzelzceļš”</w:t>
            </w:r>
            <w:r w:rsid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 Valsts dzelzceļa administrācija.</w:t>
            </w:r>
          </w:p>
        </w:tc>
      </w:tr>
      <w:tr w:rsidRPr="005C324B" w:rsidR="00A61CDB" w14:paraId="2739EDE6" w14:textId="77777777">
        <w:trPr>
          <w:trHeight w:val="463"/>
        </w:trPr>
        <w:tc>
          <w:tcPr>
            <w:tcW w:w="426" w:type="dxa"/>
          </w:tcPr>
          <w:p w:rsidRPr="00464229" w:rsidR="00A61CDB" w:rsidP="00895E3C" w:rsidRDefault="00A61CDB" w14:paraId="5914F4F3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:rsidRPr="00464229" w:rsidR="00A61CDB" w:rsidP="00895E3C" w:rsidRDefault="00A61CDB" w14:paraId="1405F203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izpildes ietekme uz pār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valdes funkcijām un institucionālo struktūru.</w:t>
            </w:r>
          </w:p>
          <w:p w:rsidRPr="00464229" w:rsidR="00A61CDB" w:rsidP="00895E3C" w:rsidRDefault="00A61CDB" w14:paraId="4322078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954" w:type="dxa"/>
          </w:tcPr>
          <w:p w:rsidRPr="00464229" w:rsidR="00A61CDB" w:rsidP="00426C3F" w:rsidRDefault="00A61CDB" w14:paraId="0B868C00" w14:textId="6852F752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īstenošana tiks veikta esošo cilvēkresursu ietvaros. Saistībā ar projekta izpildi </w:t>
            </w:r>
            <w:r w:rsidR="003A7C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nepieciešams veidot jaunas institūcijas vai likvidēt vai reorganizēt esošās.  </w:t>
            </w:r>
          </w:p>
          <w:p w:rsidRPr="00464229" w:rsidR="00A61CDB" w:rsidP="00426C3F" w:rsidRDefault="00A61CDB" w14:paraId="43B58EF4" w14:textId="77777777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Pr="00DD555B" w:rsidR="00A61CDB" w14:paraId="65F26C79" w14:textId="77777777">
        <w:trPr>
          <w:trHeight w:val="402"/>
        </w:trPr>
        <w:tc>
          <w:tcPr>
            <w:tcW w:w="426" w:type="dxa"/>
          </w:tcPr>
          <w:p w:rsidRPr="00464229" w:rsidR="00A61CDB" w:rsidP="00895E3C" w:rsidRDefault="00A61CDB" w14:paraId="7468606D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:rsidRPr="00464229" w:rsidR="00A61CDB" w:rsidP="00895E3C" w:rsidRDefault="00A61CDB" w14:paraId="6348279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</w:tcPr>
          <w:p w:rsidRPr="00464229" w:rsidR="00A61CDB" w:rsidP="00195A92" w:rsidRDefault="00A61CDB" w14:paraId="6222A3CA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  <w:bookmarkEnd w:id="1"/>
    </w:tbl>
    <w:p w:rsidRPr="00DD555B" w:rsidR="00A61CDB" w:rsidP="00313745" w:rsidRDefault="00A61CDB" w14:paraId="203853F9" w14:textId="77777777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Pr="00DD555B" w:rsidR="00A61CDB" w:rsidP="006432B0" w:rsidRDefault="00A61CDB" w14:paraId="2BFA2E28" w14:textId="77777777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Pr="00DD555B" w:rsidR="00A61CDB" w:rsidP="006432B0" w:rsidRDefault="00A61CDB" w14:paraId="37C97EF0" w14:textId="77777777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>atiksmes ministrs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T. </w:t>
      </w:r>
      <w:proofErr w:type="spellStart"/>
      <w:r w:rsidRPr="00DD555B">
        <w:rPr>
          <w:rFonts w:ascii="Times New Roman" w:hAnsi="Times New Roman" w:cs="Times New Roman"/>
          <w:sz w:val="24"/>
          <w:szCs w:val="24"/>
          <w:lang w:val="lv-LV"/>
        </w:rPr>
        <w:t>Linkaits</w:t>
      </w:r>
      <w:proofErr w:type="spellEnd"/>
    </w:p>
    <w:p w:rsidRPr="00DD555B" w:rsidR="00A61CDB" w:rsidP="006432B0" w:rsidRDefault="00A61CDB" w14:paraId="48177ED3" w14:textId="77777777">
      <w:pPr>
        <w:widowControl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Pr="00DD555B" w:rsidR="00A61CDB" w:rsidP="00464229" w:rsidRDefault="00A61CDB" w14:paraId="486942FD" w14:textId="64156FF2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D555B">
        <w:rPr>
          <w:rFonts w:ascii="Times New Roman" w:hAnsi="Times New Roman" w:cs="Times New Roman"/>
          <w:sz w:val="24"/>
          <w:szCs w:val="24"/>
          <w:lang w:val="lv-LV"/>
        </w:rPr>
        <w:t xml:space="preserve">Vīza: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 xml:space="preserve">alsts </w:t>
      </w:r>
      <w:r w:rsidR="00000A3C">
        <w:rPr>
          <w:rFonts w:ascii="Times New Roman" w:hAnsi="Times New Roman" w:cs="Times New Roman"/>
          <w:sz w:val="24"/>
          <w:szCs w:val="24"/>
          <w:lang w:val="lv-LV"/>
        </w:rPr>
        <w:t>sekretāre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00A3C">
        <w:rPr>
          <w:rFonts w:ascii="Times New Roman" w:hAnsi="Times New Roman" w:cs="Times New Roman"/>
          <w:sz w:val="24"/>
          <w:szCs w:val="24"/>
          <w:lang w:val="lv-LV"/>
        </w:rPr>
        <w:t>I. Stepanova</w:t>
      </w:r>
    </w:p>
    <w:sectPr w:rsidRPr="00DD555B" w:rsidR="00A61CDB" w:rsidSect="008567C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2A15" w14:textId="77777777" w:rsidR="00F81AE0" w:rsidRDefault="00F81AE0" w:rsidP="00D143FB">
      <w:pPr>
        <w:spacing w:after="0" w:line="240" w:lineRule="auto"/>
      </w:pPr>
      <w:r>
        <w:separator/>
      </w:r>
    </w:p>
  </w:endnote>
  <w:endnote w:type="continuationSeparator" w:id="0">
    <w:p w14:paraId="01D2D32E" w14:textId="77777777" w:rsidR="00F81AE0" w:rsidRDefault="00F81AE0" w:rsidP="00D143FB">
      <w:pPr>
        <w:spacing w:after="0" w:line="240" w:lineRule="auto"/>
      </w:pPr>
      <w:r>
        <w:continuationSeparator/>
      </w:r>
    </w:p>
  </w:endnote>
  <w:endnote w:type="continuationNotice" w:id="1">
    <w:p w14:paraId="4EF37242" w14:textId="77777777" w:rsidR="005C57E4" w:rsidRDefault="005C5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0373" w14:textId="77777777" w:rsidR="00F81AE0" w:rsidRDefault="00F81AE0" w:rsidP="00003AC0">
    <w:pPr>
      <w:pStyle w:val="Footer"/>
      <w:rPr>
        <w:rFonts w:ascii="Times New Roman" w:hAnsi="Times New Roman" w:cs="Times New Roman"/>
        <w:noProof/>
        <w:sz w:val="20"/>
        <w:szCs w:val="20"/>
      </w:rPr>
    </w:pPr>
  </w:p>
  <w:p w14:paraId="39E7219A" w14:textId="44DBB77B" w:rsidR="00F81AE0" w:rsidRPr="00DB0CD5" w:rsidRDefault="00F81AE0" w:rsidP="00464229">
    <w:pPr>
      <w:pStyle w:val="Footer"/>
      <w:tabs>
        <w:tab w:val="clear" w:pos="4153"/>
        <w:tab w:val="clear" w:pos="8306"/>
        <w:tab w:val="left" w:pos="5880"/>
      </w:tabs>
      <w:rPr>
        <w:rFonts w:ascii="Times New Roman" w:hAnsi="Times New Roman" w:cs="Times New Roman"/>
        <w:sz w:val="20"/>
        <w:szCs w:val="20"/>
      </w:rPr>
    </w:pPr>
    <w:r w:rsidRPr="00AD7453">
      <w:rPr>
        <w:rFonts w:ascii="Times New Roman" w:hAnsi="Times New Roman" w:cs="Times New Roman"/>
        <w:noProof/>
        <w:sz w:val="20"/>
        <w:szCs w:val="20"/>
      </w:rPr>
      <w:t>SMAnot_</w:t>
    </w:r>
    <w:r>
      <w:rPr>
        <w:rFonts w:ascii="Times New Roman" w:hAnsi="Times New Roman" w:cs="Times New Roman"/>
        <w:noProof/>
        <w:sz w:val="20"/>
        <w:szCs w:val="20"/>
      </w:rPr>
      <w:t>110920</w:t>
    </w:r>
    <w:r w:rsidRPr="00AD7453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noProof/>
        <w:sz w:val="20"/>
        <w:szCs w:val="20"/>
      </w:rPr>
      <w:t>GrozMKNot_411</w:t>
    </w:r>
    <w:r>
      <w:rPr>
        <w:rFonts w:ascii="Times New Roman" w:hAnsi="Times New Roman" w:cs="Times New Roman"/>
        <w:noProof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7D07" w14:textId="1B318E91" w:rsidR="00F81AE0" w:rsidRPr="00A0261B" w:rsidRDefault="00F81AE0" w:rsidP="00003AC0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AD7453">
      <w:rPr>
        <w:rFonts w:ascii="Times New Roman" w:hAnsi="Times New Roman" w:cs="Times New Roman"/>
        <w:sz w:val="20"/>
        <w:szCs w:val="20"/>
        <w:lang w:val="lv-LV"/>
      </w:rPr>
      <w:t>SMAnot_</w:t>
    </w:r>
    <w:r>
      <w:rPr>
        <w:rFonts w:ascii="Times New Roman" w:hAnsi="Times New Roman" w:cs="Times New Roman"/>
        <w:sz w:val="20"/>
        <w:szCs w:val="20"/>
        <w:lang w:val="lv-LV"/>
      </w:rPr>
      <w:t>110920</w:t>
    </w:r>
    <w:r w:rsidRPr="00AD7453">
      <w:rPr>
        <w:rFonts w:ascii="Times New Roman" w:hAnsi="Times New Roman" w:cs="Times New Roman"/>
        <w:sz w:val="20"/>
        <w:szCs w:val="20"/>
        <w:lang w:val="lv-LV"/>
      </w:rPr>
      <w:t>_</w:t>
    </w:r>
    <w:r w:rsidR="00A61CDB">
      <w:rPr>
        <w:rFonts w:ascii="Times New Roman" w:hAnsi="Times New Roman" w:cs="Times New Roman"/>
        <w:sz w:val="20"/>
        <w:szCs w:val="20"/>
        <w:lang w:val="lv-LV"/>
      </w:rPr>
      <w:t>Groz</w:t>
    </w:r>
    <w:r w:rsidR="00A61CDB" w:rsidRPr="00AD7453">
      <w:rPr>
        <w:rFonts w:ascii="Times New Roman" w:hAnsi="Times New Roman" w:cs="Times New Roman"/>
        <w:sz w:val="20"/>
        <w:szCs w:val="20"/>
        <w:lang w:val="lv-LV"/>
      </w:rPr>
      <w:t>M</w:t>
    </w:r>
    <w:r w:rsidR="009036C6">
      <w:rPr>
        <w:rFonts w:ascii="Times New Roman" w:hAnsi="Times New Roman" w:cs="Times New Roman"/>
        <w:sz w:val="20"/>
        <w:szCs w:val="20"/>
        <w:lang w:val="lv-LV"/>
      </w:rPr>
      <w:t>K</w:t>
    </w:r>
    <w:r w:rsidR="00A61CDB">
      <w:rPr>
        <w:rFonts w:ascii="Times New Roman" w:hAnsi="Times New Roman" w:cs="Times New Roman"/>
        <w:sz w:val="20"/>
        <w:szCs w:val="20"/>
        <w:lang w:val="lv-LV"/>
      </w:rPr>
      <w:t>Not</w:t>
    </w:r>
    <w:r>
      <w:rPr>
        <w:rFonts w:ascii="Times New Roman" w:hAnsi="Times New Roman" w:cs="Times New Roman"/>
        <w:sz w:val="20"/>
        <w:szCs w:val="20"/>
        <w:lang w:val="lv-LV"/>
      </w:rPr>
      <w:t>_411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1079" w14:textId="77777777" w:rsidR="00F81AE0" w:rsidRDefault="00F81AE0" w:rsidP="00D143FB">
      <w:pPr>
        <w:spacing w:after="0" w:line="240" w:lineRule="auto"/>
      </w:pPr>
      <w:r>
        <w:separator/>
      </w:r>
    </w:p>
  </w:footnote>
  <w:footnote w:type="continuationSeparator" w:id="0">
    <w:p w14:paraId="33C341EF" w14:textId="77777777" w:rsidR="00F81AE0" w:rsidRDefault="00F81AE0" w:rsidP="00D143FB">
      <w:pPr>
        <w:spacing w:after="0" w:line="240" w:lineRule="auto"/>
      </w:pPr>
      <w:r>
        <w:continuationSeparator/>
      </w:r>
    </w:p>
  </w:footnote>
  <w:footnote w:type="continuationNotice" w:id="1">
    <w:p w14:paraId="1D4BA0A8" w14:textId="77777777" w:rsidR="005C57E4" w:rsidRDefault="005C5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143FB" w:rsidR="00F81AE0" w:rsidRDefault="00F81AE0" w14:paraId="487E7107" w14:textId="7777777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143FB">
      <w:rPr>
        <w:rFonts w:ascii="Times New Roman" w:hAnsi="Times New Roman" w:cs="Times New Roman"/>
        <w:sz w:val="24"/>
        <w:szCs w:val="24"/>
      </w:rPr>
      <w:fldChar w:fldCharType="begin"/>
    </w:r>
    <w:r w:rsidRPr="00D143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43F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143FB">
      <w:rPr>
        <w:rFonts w:ascii="Times New Roman" w:hAnsi="Times New Roman" w:cs="Times New Roman"/>
        <w:sz w:val="24"/>
        <w:szCs w:val="24"/>
      </w:rPr>
      <w:fldChar w:fldCharType="end"/>
    </w:r>
  </w:p>
  <w:p w:rsidR="00F81AE0" w:rsidRDefault="00F81AE0" w14:paraId="35C2FB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F0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87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24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0B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C6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DA3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00A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C105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8A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48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AC078CE"/>
    <w:multiLevelType w:val="hybridMultilevel"/>
    <w:tmpl w:val="770EE252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C8312A0"/>
    <w:multiLevelType w:val="hybridMultilevel"/>
    <w:tmpl w:val="EAA8ED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F"/>
    <w:rsid w:val="00000A3C"/>
    <w:rsid w:val="00000B13"/>
    <w:rsid w:val="0000342B"/>
    <w:rsid w:val="00003AC0"/>
    <w:rsid w:val="00014AD1"/>
    <w:rsid w:val="000178CA"/>
    <w:rsid w:val="00020BDF"/>
    <w:rsid w:val="00020C5C"/>
    <w:rsid w:val="00027924"/>
    <w:rsid w:val="00031716"/>
    <w:rsid w:val="00033279"/>
    <w:rsid w:val="00037149"/>
    <w:rsid w:val="00044287"/>
    <w:rsid w:val="00050D62"/>
    <w:rsid w:val="000571A3"/>
    <w:rsid w:val="00070B63"/>
    <w:rsid w:val="000730B3"/>
    <w:rsid w:val="00080E99"/>
    <w:rsid w:val="00083201"/>
    <w:rsid w:val="00084159"/>
    <w:rsid w:val="000845AA"/>
    <w:rsid w:val="00084701"/>
    <w:rsid w:val="0008688D"/>
    <w:rsid w:val="000A1F81"/>
    <w:rsid w:val="000A3244"/>
    <w:rsid w:val="000A3EB5"/>
    <w:rsid w:val="000A5542"/>
    <w:rsid w:val="000B10BB"/>
    <w:rsid w:val="000B11C5"/>
    <w:rsid w:val="000B5093"/>
    <w:rsid w:val="000B56A2"/>
    <w:rsid w:val="000B6313"/>
    <w:rsid w:val="000D5938"/>
    <w:rsid w:val="000D5EAC"/>
    <w:rsid w:val="00100F67"/>
    <w:rsid w:val="00101DE2"/>
    <w:rsid w:val="001077A5"/>
    <w:rsid w:val="00107A67"/>
    <w:rsid w:val="001110E5"/>
    <w:rsid w:val="00116CF9"/>
    <w:rsid w:val="001213BE"/>
    <w:rsid w:val="00122299"/>
    <w:rsid w:val="001324EB"/>
    <w:rsid w:val="00136A1F"/>
    <w:rsid w:val="001470FE"/>
    <w:rsid w:val="001474F0"/>
    <w:rsid w:val="00150148"/>
    <w:rsid w:val="00150F67"/>
    <w:rsid w:val="00157136"/>
    <w:rsid w:val="001635D1"/>
    <w:rsid w:val="00164F15"/>
    <w:rsid w:val="001654CC"/>
    <w:rsid w:val="00166035"/>
    <w:rsid w:val="00166244"/>
    <w:rsid w:val="00166C95"/>
    <w:rsid w:val="00167F08"/>
    <w:rsid w:val="0017190C"/>
    <w:rsid w:val="001775A7"/>
    <w:rsid w:val="00177D30"/>
    <w:rsid w:val="00183A15"/>
    <w:rsid w:val="00183D98"/>
    <w:rsid w:val="00186B08"/>
    <w:rsid w:val="001872FA"/>
    <w:rsid w:val="00195A92"/>
    <w:rsid w:val="00195EB3"/>
    <w:rsid w:val="001A539E"/>
    <w:rsid w:val="001B3FD5"/>
    <w:rsid w:val="001C210B"/>
    <w:rsid w:val="001C5006"/>
    <w:rsid w:val="001C509D"/>
    <w:rsid w:val="001C730E"/>
    <w:rsid w:val="001D4B60"/>
    <w:rsid w:val="001D5A26"/>
    <w:rsid w:val="001E1CD8"/>
    <w:rsid w:val="001E1FAB"/>
    <w:rsid w:val="001E4A55"/>
    <w:rsid w:val="002018D6"/>
    <w:rsid w:val="0020345A"/>
    <w:rsid w:val="00214CA6"/>
    <w:rsid w:val="0022135F"/>
    <w:rsid w:val="00226CDD"/>
    <w:rsid w:val="00234984"/>
    <w:rsid w:val="0024095F"/>
    <w:rsid w:val="00240CD2"/>
    <w:rsid w:val="002432A1"/>
    <w:rsid w:val="00247227"/>
    <w:rsid w:val="00255BE0"/>
    <w:rsid w:val="002562C2"/>
    <w:rsid w:val="00257F6A"/>
    <w:rsid w:val="00262933"/>
    <w:rsid w:val="00266C74"/>
    <w:rsid w:val="00277BDE"/>
    <w:rsid w:val="00280E07"/>
    <w:rsid w:val="00284F34"/>
    <w:rsid w:val="00293A54"/>
    <w:rsid w:val="0029544E"/>
    <w:rsid w:val="00297406"/>
    <w:rsid w:val="002A1CF7"/>
    <w:rsid w:val="002A43C4"/>
    <w:rsid w:val="002B4092"/>
    <w:rsid w:val="002B6A0D"/>
    <w:rsid w:val="002C2BDD"/>
    <w:rsid w:val="002C6885"/>
    <w:rsid w:val="002C733E"/>
    <w:rsid w:val="002D4EA9"/>
    <w:rsid w:val="002E1471"/>
    <w:rsid w:val="002E1E22"/>
    <w:rsid w:val="002E33DD"/>
    <w:rsid w:val="002F1044"/>
    <w:rsid w:val="002F5E2D"/>
    <w:rsid w:val="0030122B"/>
    <w:rsid w:val="00305B2A"/>
    <w:rsid w:val="00311B83"/>
    <w:rsid w:val="00313745"/>
    <w:rsid w:val="00316D85"/>
    <w:rsid w:val="003276B2"/>
    <w:rsid w:val="00330B4C"/>
    <w:rsid w:val="00332ACE"/>
    <w:rsid w:val="00335F25"/>
    <w:rsid w:val="00342B3B"/>
    <w:rsid w:val="00353D99"/>
    <w:rsid w:val="00354A6A"/>
    <w:rsid w:val="003574D9"/>
    <w:rsid w:val="00361CB9"/>
    <w:rsid w:val="00365A52"/>
    <w:rsid w:val="0037005D"/>
    <w:rsid w:val="00372938"/>
    <w:rsid w:val="00376DAE"/>
    <w:rsid w:val="0039090B"/>
    <w:rsid w:val="003A04D0"/>
    <w:rsid w:val="003A4F4E"/>
    <w:rsid w:val="003A7C45"/>
    <w:rsid w:val="003B0566"/>
    <w:rsid w:val="003B13BE"/>
    <w:rsid w:val="003B7FD6"/>
    <w:rsid w:val="003C2A9E"/>
    <w:rsid w:val="003C39B1"/>
    <w:rsid w:val="003C7C70"/>
    <w:rsid w:val="003E16EE"/>
    <w:rsid w:val="003E4097"/>
    <w:rsid w:val="003E7137"/>
    <w:rsid w:val="003F009A"/>
    <w:rsid w:val="00400933"/>
    <w:rsid w:val="004048C7"/>
    <w:rsid w:val="0041067B"/>
    <w:rsid w:val="00410722"/>
    <w:rsid w:val="00415EAF"/>
    <w:rsid w:val="004204DA"/>
    <w:rsid w:val="0042245E"/>
    <w:rsid w:val="00426C3F"/>
    <w:rsid w:val="00430A00"/>
    <w:rsid w:val="00433F9C"/>
    <w:rsid w:val="00435A76"/>
    <w:rsid w:val="00436CD3"/>
    <w:rsid w:val="00441DCD"/>
    <w:rsid w:val="0044236B"/>
    <w:rsid w:val="00444198"/>
    <w:rsid w:val="00444BCE"/>
    <w:rsid w:val="00450659"/>
    <w:rsid w:val="00450DE6"/>
    <w:rsid w:val="00451B5C"/>
    <w:rsid w:val="00452004"/>
    <w:rsid w:val="00453173"/>
    <w:rsid w:val="0045697B"/>
    <w:rsid w:val="00461416"/>
    <w:rsid w:val="00464229"/>
    <w:rsid w:val="0046574D"/>
    <w:rsid w:val="00470432"/>
    <w:rsid w:val="00473CFA"/>
    <w:rsid w:val="004756B3"/>
    <w:rsid w:val="00476542"/>
    <w:rsid w:val="00481D74"/>
    <w:rsid w:val="00483E63"/>
    <w:rsid w:val="0049038E"/>
    <w:rsid w:val="00496634"/>
    <w:rsid w:val="004A489A"/>
    <w:rsid w:val="004A4E25"/>
    <w:rsid w:val="004B02A3"/>
    <w:rsid w:val="004B1B65"/>
    <w:rsid w:val="004B3B72"/>
    <w:rsid w:val="004C1E0F"/>
    <w:rsid w:val="004E3FBC"/>
    <w:rsid w:val="004F400E"/>
    <w:rsid w:val="004F670A"/>
    <w:rsid w:val="00501FF9"/>
    <w:rsid w:val="0050375E"/>
    <w:rsid w:val="00504CB8"/>
    <w:rsid w:val="00506E22"/>
    <w:rsid w:val="005170BE"/>
    <w:rsid w:val="0052128F"/>
    <w:rsid w:val="00522C7B"/>
    <w:rsid w:val="00523120"/>
    <w:rsid w:val="00526FF3"/>
    <w:rsid w:val="00527595"/>
    <w:rsid w:val="0053011D"/>
    <w:rsid w:val="005303AE"/>
    <w:rsid w:val="005342F5"/>
    <w:rsid w:val="00536FBF"/>
    <w:rsid w:val="00552DBB"/>
    <w:rsid w:val="005538B8"/>
    <w:rsid w:val="005614EB"/>
    <w:rsid w:val="00563399"/>
    <w:rsid w:val="00567BE5"/>
    <w:rsid w:val="005721CC"/>
    <w:rsid w:val="00573612"/>
    <w:rsid w:val="0057410F"/>
    <w:rsid w:val="005804DC"/>
    <w:rsid w:val="00581FF9"/>
    <w:rsid w:val="005845BF"/>
    <w:rsid w:val="00586E8E"/>
    <w:rsid w:val="00587255"/>
    <w:rsid w:val="005877F2"/>
    <w:rsid w:val="00594E30"/>
    <w:rsid w:val="005A4E64"/>
    <w:rsid w:val="005B0863"/>
    <w:rsid w:val="005B2703"/>
    <w:rsid w:val="005B3447"/>
    <w:rsid w:val="005B4BF1"/>
    <w:rsid w:val="005C324B"/>
    <w:rsid w:val="005C57E4"/>
    <w:rsid w:val="005D0BE8"/>
    <w:rsid w:val="005D4B7E"/>
    <w:rsid w:val="005F2F0D"/>
    <w:rsid w:val="005F4768"/>
    <w:rsid w:val="005F5E82"/>
    <w:rsid w:val="005F6972"/>
    <w:rsid w:val="005F6974"/>
    <w:rsid w:val="005F7483"/>
    <w:rsid w:val="006019B6"/>
    <w:rsid w:val="00602303"/>
    <w:rsid w:val="00605457"/>
    <w:rsid w:val="006078F4"/>
    <w:rsid w:val="006114F1"/>
    <w:rsid w:val="006141E9"/>
    <w:rsid w:val="00617231"/>
    <w:rsid w:val="006177F5"/>
    <w:rsid w:val="00622924"/>
    <w:rsid w:val="006240CB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61CAB"/>
    <w:rsid w:val="00664A67"/>
    <w:rsid w:val="006658B1"/>
    <w:rsid w:val="0066636D"/>
    <w:rsid w:val="006768A4"/>
    <w:rsid w:val="0068021C"/>
    <w:rsid w:val="006840F4"/>
    <w:rsid w:val="00685EF4"/>
    <w:rsid w:val="006A0D58"/>
    <w:rsid w:val="006A17A5"/>
    <w:rsid w:val="006A5D96"/>
    <w:rsid w:val="006A6D30"/>
    <w:rsid w:val="006A784D"/>
    <w:rsid w:val="006B5FCA"/>
    <w:rsid w:val="006B7659"/>
    <w:rsid w:val="006C1A77"/>
    <w:rsid w:val="006C2CE1"/>
    <w:rsid w:val="006C56C8"/>
    <w:rsid w:val="006E2009"/>
    <w:rsid w:val="006E4E51"/>
    <w:rsid w:val="00703224"/>
    <w:rsid w:val="007050C7"/>
    <w:rsid w:val="00705BFD"/>
    <w:rsid w:val="007109CC"/>
    <w:rsid w:val="00717776"/>
    <w:rsid w:val="0072274B"/>
    <w:rsid w:val="00723C06"/>
    <w:rsid w:val="00725313"/>
    <w:rsid w:val="00725F65"/>
    <w:rsid w:val="00727AA6"/>
    <w:rsid w:val="0073387A"/>
    <w:rsid w:val="00740C68"/>
    <w:rsid w:val="00746A25"/>
    <w:rsid w:val="00757151"/>
    <w:rsid w:val="0076178E"/>
    <w:rsid w:val="00762B0D"/>
    <w:rsid w:val="00765F5F"/>
    <w:rsid w:val="007665DC"/>
    <w:rsid w:val="0076754A"/>
    <w:rsid w:val="00773484"/>
    <w:rsid w:val="00781EA4"/>
    <w:rsid w:val="00781EC7"/>
    <w:rsid w:val="0078608F"/>
    <w:rsid w:val="00791145"/>
    <w:rsid w:val="007911D0"/>
    <w:rsid w:val="00792684"/>
    <w:rsid w:val="007A05FD"/>
    <w:rsid w:val="007A1661"/>
    <w:rsid w:val="007A53BF"/>
    <w:rsid w:val="007A58D5"/>
    <w:rsid w:val="007B0D86"/>
    <w:rsid w:val="007C1530"/>
    <w:rsid w:val="007C61CC"/>
    <w:rsid w:val="007D350F"/>
    <w:rsid w:val="007E0E29"/>
    <w:rsid w:val="007F0D84"/>
    <w:rsid w:val="007F3F07"/>
    <w:rsid w:val="0080145E"/>
    <w:rsid w:val="00802236"/>
    <w:rsid w:val="00803CC9"/>
    <w:rsid w:val="00811C3A"/>
    <w:rsid w:val="008171F4"/>
    <w:rsid w:val="00825C62"/>
    <w:rsid w:val="00841C7A"/>
    <w:rsid w:val="008455C4"/>
    <w:rsid w:val="008567C6"/>
    <w:rsid w:val="0085680C"/>
    <w:rsid w:val="00870F22"/>
    <w:rsid w:val="00875410"/>
    <w:rsid w:val="00877438"/>
    <w:rsid w:val="00887819"/>
    <w:rsid w:val="00887AD6"/>
    <w:rsid w:val="008913D1"/>
    <w:rsid w:val="0089529D"/>
    <w:rsid w:val="00895E3C"/>
    <w:rsid w:val="00895E99"/>
    <w:rsid w:val="008964C1"/>
    <w:rsid w:val="00897A3C"/>
    <w:rsid w:val="00897DDE"/>
    <w:rsid w:val="008A616F"/>
    <w:rsid w:val="008C3429"/>
    <w:rsid w:val="008C7097"/>
    <w:rsid w:val="008D6055"/>
    <w:rsid w:val="008D7DFE"/>
    <w:rsid w:val="008E3EBC"/>
    <w:rsid w:val="009006DF"/>
    <w:rsid w:val="009036C6"/>
    <w:rsid w:val="00907ED6"/>
    <w:rsid w:val="00912410"/>
    <w:rsid w:val="00937188"/>
    <w:rsid w:val="00944DEE"/>
    <w:rsid w:val="00946504"/>
    <w:rsid w:val="00950064"/>
    <w:rsid w:val="009512B9"/>
    <w:rsid w:val="00952420"/>
    <w:rsid w:val="00953067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86691"/>
    <w:rsid w:val="00996DE3"/>
    <w:rsid w:val="00996F66"/>
    <w:rsid w:val="009A5419"/>
    <w:rsid w:val="009A7F89"/>
    <w:rsid w:val="009B3524"/>
    <w:rsid w:val="009C3244"/>
    <w:rsid w:val="009C7C97"/>
    <w:rsid w:val="009E3115"/>
    <w:rsid w:val="009E42FF"/>
    <w:rsid w:val="009F1EFF"/>
    <w:rsid w:val="009F4A3E"/>
    <w:rsid w:val="00A0261B"/>
    <w:rsid w:val="00A14B0A"/>
    <w:rsid w:val="00A15548"/>
    <w:rsid w:val="00A22448"/>
    <w:rsid w:val="00A256D6"/>
    <w:rsid w:val="00A25F4E"/>
    <w:rsid w:val="00A275A2"/>
    <w:rsid w:val="00A27CF6"/>
    <w:rsid w:val="00A3360F"/>
    <w:rsid w:val="00A35B4B"/>
    <w:rsid w:val="00A35BBD"/>
    <w:rsid w:val="00A36DA9"/>
    <w:rsid w:val="00A372D7"/>
    <w:rsid w:val="00A506DE"/>
    <w:rsid w:val="00A530F5"/>
    <w:rsid w:val="00A61CDB"/>
    <w:rsid w:val="00A642A5"/>
    <w:rsid w:val="00A643A2"/>
    <w:rsid w:val="00A728FE"/>
    <w:rsid w:val="00A77E4F"/>
    <w:rsid w:val="00A9398E"/>
    <w:rsid w:val="00A95816"/>
    <w:rsid w:val="00A966CB"/>
    <w:rsid w:val="00AA0542"/>
    <w:rsid w:val="00AB19AB"/>
    <w:rsid w:val="00AB4021"/>
    <w:rsid w:val="00AB7B43"/>
    <w:rsid w:val="00AD5B57"/>
    <w:rsid w:val="00AD7453"/>
    <w:rsid w:val="00AD7758"/>
    <w:rsid w:val="00AE09AD"/>
    <w:rsid w:val="00AE4223"/>
    <w:rsid w:val="00AE4760"/>
    <w:rsid w:val="00AE623D"/>
    <w:rsid w:val="00AE769F"/>
    <w:rsid w:val="00AF1045"/>
    <w:rsid w:val="00AF57A4"/>
    <w:rsid w:val="00B1059D"/>
    <w:rsid w:val="00B10EE5"/>
    <w:rsid w:val="00B11721"/>
    <w:rsid w:val="00B12909"/>
    <w:rsid w:val="00B13BD4"/>
    <w:rsid w:val="00B17292"/>
    <w:rsid w:val="00B26D05"/>
    <w:rsid w:val="00B2774E"/>
    <w:rsid w:val="00B37EE3"/>
    <w:rsid w:val="00B41775"/>
    <w:rsid w:val="00B42264"/>
    <w:rsid w:val="00B469B1"/>
    <w:rsid w:val="00B5402B"/>
    <w:rsid w:val="00B555E5"/>
    <w:rsid w:val="00B63BAF"/>
    <w:rsid w:val="00B81259"/>
    <w:rsid w:val="00B8582A"/>
    <w:rsid w:val="00B87905"/>
    <w:rsid w:val="00B94A7F"/>
    <w:rsid w:val="00BA43B8"/>
    <w:rsid w:val="00BA664B"/>
    <w:rsid w:val="00BB5E95"/>
    <w:rsid w:val="00BC3F74"/>
    <w:rsid w:val="00BD14F3"/>
    <w:rsid w:val="00BD31D8"/>
    <w:rsid w:val="00BD373E"/>
    <w:rsid w:val="00BD51A8"/>
    <w:rsid w:val="00BD67A3"/>
    <w:rsid w:val="00BE0428"/>
    <w:rsid w:val="00BE083D"/>
    <w:rsid w:val="00BE0B14"/>
    <w:rsid w:val="00BE1572"/>
    <w:rsid w:val="00BE457E"/>
    <w:rsid w:val="00BE6362"/>
    <w:rsid w:val="00BE74A7"/>
    <w:rsid w:val="00C010E4"/>
    <w:rsid w:val="00C01D0B"/>
    <w:rsid w:val="00C04892"/>
    <w:rsid w:val="00C10BCD"/>
    <w:rsid w:val="00C10EF8"/>
    <w:rsid w:val="00C11077"/>
    <w:rsid w:val="00C23873"/>
    <w:rsid w:val="00C27F29"/>
    <w:rsid w:val="00C3168D"/>
    <w:rsid w:val="00C345DE"/>
    <w:rsid w:val="00C410DD"/>
    <w:rsid w:val="00C447D3"/>
    <w:rsid w:val="00C45ED5"/>
    <w:rsid w:val="00C51BD7"/>
    <w:rsid w:val="00C539D9"/>
    <w:rsid w:val="00C601C0"/>
    <w:rsid w:val="00C6043E"/>
    <w:rsid w:val="00C60E24"/>
    <w:rsid w:val="00C6563D"/>
    <w:rsid w:val="00C842CB"/>
    <w:rsid w:val="00C93DAB"/>
    <w:rsid w:val="00CA2BBB"/>
    <w:rsid w:val="00CB38B8"/>
    <w:rsid w:val="00CC0E2D"/>
    <w:rsid w:val="00CD0A36"/>
    <w:rsid w:val="00CD7ECE"/>
    <w:rsid w:val="00CE2314"/>
    <w:rsid w:val="00CE5526"/>
    <w:rsid w:val="00CE57C1"/>
    <w:rsid w:val="00CE5D50"/>
    <w:rsid w:val="00CF0628"/>
    <w:rsid w:val="00CF4E3E"/>
    <w:rsid w:val="00D009DE"/>
    <w:rsid w:val="00D02C85"/>
    <w:rsid w:val="00D03CD5"/>
    <w:rsid w:val="00D10715"/>
    <w:rsid w:val="00D116E7"/>
    <w:rsid w:val="00D143FB"/>
    <w:rsid w:val="00D173CE"/>
    <w:rsid w:val="00D2180C"/>
    <w:rsid w:val="00D22073"/>
    <w:rsid w:val="00D42E70"/>
    <w:rsid w:val="00D44FC4"/>
    <w:rsid w:val="00D471C4"/>
    <w:rsid w:val="00D50863"/>
    <w:rsid w:val="00D51E42"/>
    <w:rsid w:val="00D520EF"/>
    <w:rsid w:val="00D53524"/>
    <w:rsid w:val="00D72C62"/>
    <w:rsid w:val="00D72C6C"/>
    <w:rsid w:val="00D83305"/>
    <w:rsid w:val="00D8427B"/>
    <w:rsid w:val="00D875E0"/>
    <w:rsid w:val="00DA116F"/>
    <w:rsid w:val="00DB0CD5"/>
    <w:rsid w:val="00DB2EA2"/>
    <w:rsid w:val="00DB59C1"/>
    <w:rsid w:val="00DB6D8C"/>
    <w:rsid w:val="00DB6E71"/>
    <w:rsid w:val="00DC1043"/>
    <w:rsid w:val="00DC49F0"/>
    <w:rsid w:val="00DC5099"/>
    <w:rsid w:val="00DC6478"/>
    <w:rsid w:val="00DD555B"/>
    <w:rsid w:val="00DD5C49"/>
    <w:rsid w:val="00DE0637"/>
    <w:rsid w:val="00DE5D25"/>
    <w:rsid w:val="00DE6F50"/>
    <w:rsid w:val="00DF0960"/>
    <w:rsid w:val="00E00953"/>
    <w:rsid w:val="00E033F4"/>
    <w:rsid w:val="00E03D92"/>
    <w:rsid w:val="00E06A1B"/>
    <w:rsid w:val="00E0711E"/>
    <w:rsid w:val="00E2408A"/>
    <w:rsid w:val="00E271BB"/>
    <w:rsid w:val="00E30093"/>
    <w:rsid w:val="00E301ED"/>
    <w:rsid w:val="00E40127"/>
    <w:rsid w:val="00E40F4A"/>
    <w:rsid w:val="00E43B36"/>
    <w:rsid w:val="00E62FFE"/>
    <w:rsid w:val="00E72A8D"/>
    <w:rsid w:val="00E81A88"/>
    <w:rsid w:val="00E83B3B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3266"/>
    <w:rsid w:val="00EE7672"/>
    <w:rsid w:val="00EF02C6"/>
    <w:rsid w:val="00EF3AEF"/>
    <w:rsid w:val="00EF57A2"/>
    <w:rsid w:val="00F00012"/>
    <w:rsid w:val="00F217B5"/>
    <w:rsid w:val="00F22F29"/>
    <w:rsid w:val="00F30C2B"/>
    <w:rsid w:val="00F342F2"/>
    <w:rsid w:val="00F42982"/>
    <w:rsid w:val="00F44DFE"/>
    <w:rsid w:val="00F53A77"/>
    <w:rsid w:val="00F60ED9"/>
    <w:rsid w:val="00F67C51"/>
    <w:rsid w:val="00F81AE0"/>
    <w:rsid w:val="00F97E57"/>
    <w:rsid w:val="00FA1E50"/>
    <w:rsid w:val="00FA4A4D"/>
    <w:rsid w:val="00FA6A22"/>
    <w:rsid w:val="00FB3064"/>
    <w:rsid w:val="00FB31E0"/>
    <w:rsid w:val="00FB3709"/>
    <w:rsid w:val="00FB392A"/>
    <w:rsid w:val="00FC1C79"/>
    <w:rsid w:val="00FC6C3D"/>
    <w:rsid w:val="00FD116A"/>
    <w:rsid w:val="00FD4C11"/>
    <w:rsid w:val="00FD5F1E"/>
    <w:rsid w:val="00FD74B2"/>
    <w:rsid w:val="00FE023F"/>
    <w:rsid w:val="00FE7265"/>
    <w:rsid w:val="00FF01D4"/>
    <w:rsid w:val="00FF2130"/>
    <w:rsid w:val="00FF39B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CFB6A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16D85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143F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43FB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rsid w:val="00B469B1"/>
    <w:rPr>
      <w:color w:val="0563C1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1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B3B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B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B3B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naiskr">
    <w:name w:val="naiskr"/>
    <w:basedOn w:val="Normal"/>
    <w:uiPriority w:val="99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link w:val="PlainText"/>
    <w:uiPriority w:val="99"/>
    <w:rsid w:val="00313745"/>
    <w:rPr>
      <w:rFonts w:ascii="Courier New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D83305"/>
    <w:pPr>
      <w:ind w:left="720"/>
      <w:contextualSpacing/>
    </w:pPr>
  </w:style>
  <w:style w:type="paragraph" w:styleId="NoSpacing">
    <w:name w:val="No Spacing"/>
    <w:uiPriority w:val="99"/>
    <w:qFormat/>
    <w:rsid w:val="00177D3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021"/>
    <w:pPr>
      <w:widowControl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val="lv-LV" w:eastAsia="lv-LV"/>
    </w:rPr>
  </w:style>
  <w:style w:type="character" w:customStyle="1" w:styleId="UnresolvedMention1">
    <w:name w:val="Unresolved Mention1"/>
    <w:uiPriority w:val="99"/>
    <w:semiHidden/>
    <w:rsid w:val="0007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3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 gada 20. oktobra noteikumos Nr. 411 "Noteikumi par stratēģiskās nozīmes dzelzceļa infrastruktūras iedalījums" (VSS-111)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 gada 20. oktobra noteikumos Nr. 411 "Noteikumi par stratēģiskās nozīmes dzelzceļa infrastruktūras iedalījums" (VSS-111)</dc:title>
  <dc:subject/>
  <dc:creator>User</dc:creator>
  <cp:keywords>anotācija</cp:keywords>
  <dc:description>Balaša 67028071Santa.Balasa@mk.gov.lv</dc:description>
  <cp:lastModifiedBy>Baiba Jirgena</cp:lastModifiedBy>
  <cp:revision>54</cp:revision>
  <cp:lastPrinted>2020-01-27T15:54:00Z</cp:lastPrinted>
  <dcterms:created xsi:type="dcterms:W3CDTF">2019-11-12T14:37:00Z</dcterms:created>
  <dcterms:modified xsi:type="dcterms:W3CDTF">2020-09-16T07:51:00Z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