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29E2" w:rsidR="00CD4343" w:rsidP="00BE32C0" w:rsidRDefault="002A1184" w14:paraId="35F20403" w14:textId="5A677100">
      <w:pPr>
        <w:spacing w:after="160" w:line="259" w:lineRule="auto"/>
        <w:jc w:val="center"/>
        <w:rPr>
          <w:b/>
          <w:bCs/>
        </w:rPr>
      </w:pPr>
      <w:r>
        <w:rPr>
          <w:b/>
          <w:bCs/>
          <w:lang w:eastAsia="lv-LV"/>
        </w:rPr>
        <w:t>Likumprojekta “</w:t>
      </w:r>
      <w:r w:rsidRPr="00630CBF">
        <w:rPr>
          <w:b/>
          <w:bCs/>
          <w:lang w:eastAsia="lv-LV"/>
        </w:rPr>
        <w:t>Grozījum</w:t>
      </w:r>
      <w:r w:rsidR="006C533D">
        <w:rPr>
          <w:b/>
          <w:bCs/>
          <w:lang w:eastAsia="lv-LV"/>
        </w:rPr>
        <w:t>i</w:t>
      </w:r>
      <w:r w:rsidRPr="002A1184">
        <w:rPr>
          <w:b/>
          <w:bCs/>
          <w:lang w:eastAsia="lv-LV"/>
        </w:rPr>
        <w:t xml:space="preserve"> Transportlīdzekļa ekspluatācijas nodokļa un uzņēmumu vieglo transportlīdzekļu nodokļa likumā</w:t>
      </w:r>
      <w:r>
        <w:rPr>
          <w:b/>
          <w:bCs/>
          <w:lang w:eastAsia="lv-LV"/>
        </w:rPr>
        <w:t xml:space="preserve">” </w:t>
      </w:r>
      <w:r w:rsidRPr="00E529E2" w:rsidR="00BE32C0">
        <w:rPr>
          <w:b/>
          <w:bCs/>
          <w:lang w:eastAsia="lv-LV"/>
        </w:rPr>
        <w:t>sākotnējās ietekmes novērtējuma ziņojums</w:t>
      </w:r>
      <w:r w:rsidRPr="00E529E2" w:rsidR="00842CCF">
        <w:rPr>
          <w:b/>
          <w:bCs/>
          <w:lang w:eastAsia="lv-LV"/>
        </w:rPr>
        <w:t xml:space="preserve"> </w:t>
      </w:r>
      <w:r w:rsidRPr="00E529E2" w:rsidR="00BE32C0">
        <w:rPr>
          <w:b/>
          <w:bCs/>
          <w:lang w:eastAsia="lv-LV"/>
        </w:rPr>
        <w:t>(anotācija)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969"/>
        <w:gridCol w:w="6086"/>
      </w:tblGrid>
      <w:tr w:rsidRPr="00E529E2" w:rsidR="00A13E24" w:rsidTr="00E5323B" w14:paraId="0B0FBA8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3F4667FA" w14:textId="77777777">
            <w:pPr>
              <w:jc w:val="center"/>
              <w:rPr>
                <w:b/>
                <w:bCs/>
                <w:iCs/>
                <w:lang w:eastAsia="lv-LV"/>
              </w:rPr>
            </w:pPr>
            <w:r w:rsidRPr="00E529E2">
              <w:rPr>
                <w:b/>
                <w:bCs/>
                <w:iCs/>
                <w:lang w:eastAsia="lv-LV"/>
              </w:rPr>
              <w:t>Tiesību akta projekta anotācijas kopsavilkums</w:t>
            </w:r>
          </w:p>
        </w:tc>
      </w:tr>
      <w:tr w:rsidRPr="00076314" w:rsidR="00A13E24" w:rsidTr="008B4AF6" w14:paraId="3EEA3B02" w14:textId="77777777">
        <w:trPr>
          <w:tblCellSpacing w:w="15" w:type="dxa"/>
        </w:trPr>
        <w:tc>
          <w:tcPr>
            <w:tcW w:w="1615" w:type="pct"/>
            <w:tcBorders>
              <w:top w:val="outset" w:color="auto" w:sz="6" w:space="0"/>
              <w:left w:val="outset" w:color="auto" w:sz="6" w:space="0"/>
              <w:bottom w:val="outset" w:color="auto" w:sz="6" w:space="0"/>
              <w:right w:val="outset" w:color="auto" w:sz="6" w:space="0"/>
            </w:tcBorders>
            <w:hideMark/>
          </w:tcPr>
          <w:p w:rsidRPr="00076314" w:rsidR="00E5323B" w:rsidP="008D631D" w:rsidRDefault="00E5323B" w14:paraId="7573F601" w14:textId="4C12CAA6">
            <w:pPr>
              <w:jc w:val="both"/>
              <w:rPr>
                <w:iCs/>
                <w:lang w:eastAsia="lv-LV"/>
              </w:rPr>
            </w:pPr>
            <w:r w:rsidRPr="00076314">
              <w:rPr>
                <w:iCs/>
                <w:lang w:eastAsia="lv-LV"/>
              </w:rPr>
              <w:t>Mērķis, risinājums un projekta spēkā stāšanās laiks (500 zīmes bez atstarpēm)</w:t>
            </w:r>
          </w:p>
        </w:tc>
        <w:tc>
          <w:tcPr>
            <w:tcW w:w="3336" w:type="pct"/>
            <w:tcBorders>
              <w:top w:val="outset" w:color="auto" w:sz="6" w:space="0"/>
              <w:left w:val="outset" w:color="auto" w:sz="6" w:space="0"/>
              <w:bottom w:val="outset" w:color="auto" w:sz="6" w:space="0"/>
              <w:right w:val="outset" w:color="auto" w:sz="6" w:space="0"/>
            </w:tcBorders>
            <w:hideMark/>
          </w:tcPr>
          <w:p w:rsidR="006C533D" w:rsidP="00405F58" w:rsidRDefault="006C533D" w14:paraId="10E79061" w14:textId="21AE8383">
            <w:pPr>
              <w:jc w:val="both"/>
            </w:pPr>
            <w:r>
              <w:rPr>
                <w:iCs/>
                <w:lang w:eastAsia="lv-LV"/>
              </w:rPr>
              <w:t>Likumprojekt</w:t>
            </w:r>
            <w:r w:rsidR="00FC745F">
              <w:rPr>
                <w:iCs/>
                <w:lang w:eastAsia="lv-LV"/>
              </w:rPr>
              <w:t>a</w:t>
            </w:r>
            <w:r>
              <w:rPr>
                <w:iCs/>
                <w:lang w:eastAsia="lv-LV"/>
              </w:rPr>
              <w:t xml:space="preserve"> </w:t>
            </w:r>
            <w:r w:rsidRPr="006C533D">
              <w:rPr>
                <w:iCs/>
                <w:lang w:eastAsia="lv-LV"/>
              </w:rPr>
              <w:t>“Grozījum</w:t>
            </w:r>
            <w:r>
              <w:rPr>
                <w:iCs/>
                <w:lang w:eastAsia="lv-LV"/>
              </w:rPr>
              <w:t>i</w:t>
            </w:r>
            <w:r w:rsidRPr="006C533D">
              <w:rPr>
                <w:iCs/>
                <w:lang w:eastAsia="lv-LV"/>
              </w:rPr>
              <w:t xml:space="preserve"> Transportlīdzekļa ekspluatācijas nodokļa un uzņēmumu vieglo transportlīdzekļu nodokļa likumā”</w:t>
            </w:r>
            <w:r>
              <w:rPr>
                <w:iCs/>
                <w:lang w:eastAsia="lv-LV"/>
              </w:rPr>
              <w:t xml:space="preserve"> (turpmāk-Likumprojekts) </w:t>
            </w:r>
            <w:r w:rsidRPr="00076314" w:rsidR="006E1149">
              <w:t>mērķis ir</w:t>
            </w:r>
            <w:r>
              <w:t xml:space="preserve"> </w:t>
            </w:r>
            <w:r w:rsidRPr="00076314" w:rsidR="00E61D25">
              <w:t>līdzsvarot</w:t>
            </w:r>
            <w:r w:rsidR="004B4FB2">
              <w:t xml:space="preserve"> </w:t>
            </w:r>
            <w:r w:rsidRPr="006C533D">
              <w:t>vieglo automobi</w:t>
            </w:r>
            <w:r>
              <w:t xml:space="preserve">ļu un </w:t>
            </w:r>
            <w:r w:rsidRPr="006C533D">
              <w:t>kravas automobi</w:t>
            </w:r>
            <w:r>
              <w:t>ļu</w:t>
            </w:r>
            <w:r w:rsidRPr="006C533D">
              <w:t xml:space="preserve"> ar pilnu masu līdz 3500 kg</w:t>
            </w:r>
            <w:r w:rsidRPr="00076314" w:rsidR="00E61D25">
              <w:t xml:space="preserve"> transportlīdzekļa ekspluatācijas nodokļa</w:t>
            </w:r>
            <w:r w:rsidR="004B4FB2">
              <w:t xml:space="preserve"> </w:t>
            </w:r>
            <w:r>
              <w:t xml:space="preserve">likmes un to aprēķināšanas kārtību, </w:t>
            </w:r>
            <w:r w:rsidR="00D13BB2">
              <w:t xml:space="preserve"> kā arī noteikt </w:t>
            </w:r>
            <w:r w:rsidRPr="006C533D">
              <w:t xml:space="preserve">autobusu </w:t>
            </w:r>
            <w:r w:rsidR="00D13BB2">
              <w:t xml:space="preserve">un </w:t>
            </w:r>
            <w:r w:rsidRPr="00D13BB2" w:rsidR="00D13BB2">
              <w:t>kravas automobiļ</w:t>
            </w:r>
            <w:r w:rsidR="00D13BB2">
              <w:t>u t</w:t>
            </w:r>
            <w:r w:rsidRPr="00D13BB2" w:rsidR="00D13BB2">
              <w:t xml:space="preserve">ransportlīdzekļa ekspluatācijas nodokļa </w:t>
            </w:r>
            <w:proofErr w:type="spellStart"/>
            <w:r w:rsidR="00D13BB2">
              <w:t>aprēkināšanas</w:t>
            </w:r>
            <w:proofErr w:type="spellEnd"/>
            <w:r w:rsidR="00D13BB2">
              <w:t xml:space="preserve"> kārtību atbilstoši to </w:t>
            </w:r>
            <w:r w:rsidRPr="006C533D">
              <w:t>dzinēja izmešu līmenim</w:t>
            </w:r>
            <w:r w:rsidR="00D13BB2">
              <w:t>.</w:t>
            </w:r>
          </w:p>
          <w:p w:rsidRPr="00D36507" w:rsidR="00D36507" w:rsidP="00D36507" w:rsidRDefault="00D36507" w14:paraId="448ACC8C" w14:textId="204B5C38">
            <w:pPr>
              <w:jc w:val="both"/>
              <w:rPr>
                <w:iCs/>
                <w:lang w:eastAsia="lv-LV"/>
              </w:rPr>
            </w:pPr>
            <w:r>
              <w:rPr>
                <w:iCs/>
                <w:lang w:eastAsia="lv-LV"/>
              </w:rPr>
              <w:t xml:space="preserve">Papildus Likumprojekts paredz </w:t>
            </w:r>
            <w:proofErr w:type="spellStart"/>
            <w:r w:rsidRPr="00D36507">
              <w:rPr>
                <w:iCs/>
                <w:lang w:eastAsia="lv-LV"/>
              </w:rPr>
              <w:t>paredz</w:t>
            </w:r>
            <w:proofErr w:type="spellEnd"/>
            <w:r w:rsidRPr="00D36507">
              <w:rPr>
                <w:iCs/>
                <w:lang w:eastAsia="lv-LV"/>
              </w:rPr>
              <w:t xml:space="preserve"> no 2021.gada:</w:t>
            </w:r>
          </w:p>
          <w:p w:rsidRPr="00D36507" w:rsidR="00D36507" w:rsidP="00D36507" w:rsidRDefault="00D36507" w14:paraId="1BD5F280" w14:textId="77777777">
            <w:pPr>
              <w:jc w:val="both"/>
              <w:rPr>
                <w:iCs/>
                <w:lang w:eastAsia="lv-LV"/>
              </w:rPr>
            </w:pPr>
            <w:r w:rsidRPr="00D36507">
              <w:rPr>
                <w:iCs/>
                <w:lang w:eastAsia="lv-LV"/>
              </w:rPr>
              <w:t>1)</w:t>
            </w:r>
            <w:r w:rsidRPr="00D36507">
              <w:rPr>
                <w:iCs/>
                <w:lang w:eastAsia="lv-LV"/>
              </w:rPr>
              <w:tab/>
              <w:t>indeksēt uzņēmumu vieglo transportlīdzekļu nodokļa likmes, ņemot vērā inflācijas pieauguma tempu no 2017.gada;</w:t>
            </w:r>
          </w:p>
          <w:p w:rsidR="00D36507" w:rsidP="00D36507" w:rsidRDefault="00D36507" w14:paraId="79B66408" w14:textId="79C4D198">
            <w:pPr>
              <w:jc w:val="both"/>
              <w:rPr>
                <w:iCs/>
                <w:lang w:eastAsia="lv-LV"/>
              </w:rPr>
            </w:pPr>
            <w:r w:rsidRPr="00D36507">
              <w:rPr>
                <w:iCs/>
                <w:lang w:eastAsia="lv-LV"/>
              </w:rPr>
              <w:t>2)</w:t>
            </w:r>
            <w:r w:rsidRPr="00D36507">
              <w:rPr>
                <w:iCs/>
                <w:lang w:eastAsia="lv-LV"/>
              </w:rPr>
              <w:tab/>
              <w:t>noteikt atsevišķu uzņēmumu vieglo transportlīdzekļu nodokļa likmi transportlīdzekļiem, kuru motora tilpums pārsniedz 3000 kubikcentimetrus.</w:t>
            </w:r>
          </w:p>
          <w:p w:rsidRPr="00076314" w:rsidR="00E5323B" w:rsidP="003A37A0" w:rsidRDefault="00E61D25" w14:paraId="7CB17534" w14:textId="5E193766">
            <w:pPr>
              <w:jc w:val="both"/>
              <w:rPr>
                <w:iCs/>
                <w:lang w:eastAsia="lv-LV"/>
              </w:rPr>
            </w:pPr>
            <w:r w:rsidRPr="00076314">
              <w:rPr>
                <w:iCs/>
                <w:lang w:eastAsia="lv-LV"/>
              </w:rPr>
              <w:t xml:space="preserve">Likumprojekts </w:t>
            </w:r>
            <w:r w:rsidRPr="00076314" w:rsidR="00041696">
              <w:rPr>
                <w:iCs/>
                <w:lang w:eastAsia="lv-LV"/>
              </w:rPr>
              <w:t xml:space="preserve">stāsies spēkā </w:t>
            </w:r>
            <w:r w:rsidR="004B4FB2">
              <w:rPr>
                <w:iCs/>
                <w:lang w:eastAsia="lv-LV"/>
              </w:rPr>
              <w:t>2021. gada 1. janvār</w:t>
            </w:r>
            <w:r w:rsidR="00D13BB2">
              <w:rPr>
                <w:iCs/>
                <w:lang w:eastAsia="lv-LV"/>
              </w:rPr>
              <w:t>ī.</w:t>
            </w:r>
            <w:r w:rsidR="004B4FB2">
              <w:rPr>
                <w:iCs/>
                <w:lang w:eastAsia="lv-LV"/>
              </w:rPr>
              <w:t xml:space="preserve"> </w:t>
            </w:r>
          </w:p>
        </w:tc>
      </w:tr>
    </w:tbl>
    <w:p w:rsidRPr="00076314" w:rsidR="00E5323B" w:rsidP="00E5323B" w:rsidRDefault="00E5323B" w14:paraId="3AE6A3F4" w14:textId="77777777">
      <w:pPr>
        <w:rPr>
          <w:iCs/>
          <w:lang w:eastAsia="lv-LV"/>
        </w:rPr>
      </w:pPr>
      <w:r w:rsidRPr="00076314">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Pr="00076314" w:rsidR="00A13E24" w:rsidTr="00E5323B" w14:paraId="724A73B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76314" w:rsidR="00655F2C" w:rsidP="00901895" w:rsidRDefault="00E5323B" w14:paraId="3D2C9484" w14:textId="77777777">
            <w:pPr>
              <w:jc w:val="center"/>
              <w:rPr>
                <w:b/>
                <w:bCs/>
                <w:iCs/>
                <w:lang w:eastAsia="lv-LV"/>
              </w:rPr>
            </w:pPr>
            <w:r w:rsidRPr="00076314">
              <w:rPr>
                <w:b/>
                <w:bCs/>
                <w:iCs/>
                <w:lang w:eastAsia="lv-LV"/>
              </w:rPr>
              <w:t>I. Tiesību akta projekta izstrādes nepieciešamība</w:t>
            </w:r>
          </w:p>
        </w:tc>
      </w:tr>
      <w:tr w:rsidRPr="00E529E2" w:rsidR="00A13E24" w:rsidTr="00767500" w14:paraId="55C291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76314" w:rsidR="00655F2C" w:rsidP="00E5323B" w:rsidRDefault="00E5323B" w14:paraId="2D46965D" w14:textId="77777777">
            <w:pPr>
              <w:rPr>
                <w:iCs/>
                <w:lang w:eastAsia="lv-LV"/>
              </w:rPr>
            </w:pPr>
            <w:r w:rsidRPr="00076314">
              <w:rPr>
                <w:iCs/>
                <w:lang w:eastAsia="lv-LV"/>
              </w:rPr>
              <w:t>1.</w:t>
            </w:r>
          </w:p>
        </w:tc>
        <w:tc>
          <w:tcPr>
            <w:tcW w:w="1302" w:type="pct"/>
            <w:tcBorders>
              <w:top w:val="outset" w:color="auto" w:sz="6" w:space="0"/>
              <w:left w:val="outset" w:color="auto" w:sz="6" w:space="0"/>
              <w:bottom w:val="outset" w:color="auto" w:sz="6" w:space="0"/>
              <w:right w:val="outset" w:color="auto" w:sz="6" w:space="0"/>
            </w:tcBorders>
            <w:hideMark/>
          </w:tcPr>
          <w:p w:rsidRPr="00076314" w:rsidR="00E5323B" w:rsidP="00E5323B" w:rsidRDefault="00E5323B" w14:paraId="080347ED" w14:textId="77777777">
            <w:pPr>
              <w:rPr>
                <w:iCs/>
                <w:lang w:eastAsia="lv-LV"/>
              </w:rPr>
            </w:pPr>
            <w:r w:rsidRPr="00076314">
              <w:rPr>
                <w:iCs/>
                <w:lang w:eastAsia="lv-LV"/>
              </w:rPr>
              <w:t>Pamatojums</w:t>
            </w:r>
          </w:p>
        </w:tc>
        <w:tc>
          <w:tcPr>
            <w:tcW w:w="3336" w:type="pct"/>
            <w:tcBorders>
              <w:top w:val="outset" w:color="auto" w:sz="6" w:space="0"/>
              <w:left w:val="outset" w:color="auto" w:sz="6" w:space="0"/>
              <w:bottom w:val="outset" w:color="auto" w:sz="6" w:space="0"/>
              <w:right w:val="outset" w:color="auto" w:sz="6" w:space="0"/>
            </w:tcBorders>
            <w:hideMark/>
          </w:tcPr>
          <w:p w:rsidR="008B4AF6" w:rsidP="00D13BB2" w:rsidRDefault="00D13BB2" w14:paraId="0D087736" w14:textId="3C995B2C">
            <w:pPr>
              <w:jc w:val="both"/>
              <w:rPr>
                <w:iCs/>
                <w:lang w:eastAsia="lv-LV"/>
              </w:rPr>
            </w:pPr>
            <w:r w:rsidRPr="008B4AF6">
              <w:rPr>
                <w:iCs/>
                <w:lang w:eastAsia="lv-LV"/>
              </w:rPr>
              <w:t xml:space="preserve">Likumprojekts izstrādāts atbilstoši Ministru kabineta 2020. gada 2.septembra sēdes </w:t>
            </w:r>
            <w:proofErr w:type="spellStart"/>
            <w:r w:rsidRPr="008B4AF6">
              <w:rPr>
                <w:iCs/>
                <w:lang w:eastAsia="lv-LV"/>
              </w:rPr>
              <w:t>protokol</w:t>
            </w:r>
            <w:r w:rsidR="00D2728F">
              <w:rPr>
                <w:iCs/>
                <w:lang w:eastAsia="lv-LV"/>
              </w:rPr>
              <w:t>lēmuma</w:t>
            </w:r>
            <w:proofErr w:type="spellEnd"/>
            <w:r w:rsidRPr="008B4AF6">
              <w:rPr>
                <w:iCs/>
                <w:lang w:eastAsia="lv-LV"/>
              </w:rPr>
              <w:t xml:space="preserve"> (prot. Nr.51</w:t>
            </w:r>
            <w:r w:rsidR="008B4AF6">
              <w:rPr>
                <w:iCs/>
                <w:lang w:eastAsia="lv-LV"/>
              </w:rPr>
              <w:t xml:space="preserve"> </w:t>
            </w:r>
            <w:r w:rsidRPr="008B4AF6">
              <w:rPr>
                <w:iCs/>
                <w:lang w:eastAsia="lv-LV"/>
              </w:rPr>
              <w:t>45.§)</w:t>
            </w:r>
            <w:r w:rsidR="00D36507">
              <w:rPr>
                <w:iCs/>
                <w:lang w:eastAsia="lv-LV"/>
              </w:rPr>
              <w:t xml:space="preserve"> 2.2.9., 2.2.10. un</w:t>
            </w:r>
            <w:r w:rsidRPr="008B4AF6">
              <w:rPr>
                <w:iCs/>
                <w:lang w:eastAsia="lv-LV"/>
              </w:rPr>
              <w:t xml:space="preserve"> 2.3. apakšpunktam, saskaņā ar kuru uzdots sagatavot grozījumus Transportlīdzekļa ekspluatācijas nodokļa un uzņēmumu vieglo transportlīdzekļu nodokļa likumā</w:t>
            </w:r>
            <w:r w:rsidRPr="008B4AF6" w:rsidR="008B4AF6">
              <w:rPr>
                <w:iCs/>
                <w:lang w:eastAsia="lv-LV"/>
              </w:rPr>
              <w:t>:</w:t>
            </w:r>
          </w:p>
          <w:p w:rsidRPr="008B4AF6" w:rsidR="00D13BB2" w:rsidP="00D13BB2" w:rsidRDefault="008B4AF6" w14:paraId="61E2F533" w14:textId="4FA84D77">
            <w:pPr>
              <w:jc w:val="both"/>
              <w:rPr>
                <w:iCs/>
                <w:lang w:eastAsia="lv-LV"/>
              </w:rPr>
            </w:pPr>
            <w:r w:rsidRPr="008B4AF6">
              <w:rPr>
                <w:iCs/>
                <w:lang w:eastAsia="lv-LV"/>
              </w:rPr>
              <w:t>1.</w:t>
            </w:r>
            <w:r w:rsidRPr="008B4AF6" w:rsidR="00D13BB2">
              <w:rPr>
                <w:iCs/>
                <w:lang w:eastAsia="lv-LV"/>
              </w:rPr>
              <w:t xml:space="preserve"> </w:t>
            </w:r>
            <w:r w:rsidRPr="008B4AF6">
              <w:rPr>
                <w:iCs/>
                <w:lang w:eastAsia="lv-LV"/>
              </w:rPr>
              <w:t>L</w:t>
            </w:r>
            <w:r w:rsidRPr="008B4AF6" w:rsidR="00D13BB2">
              <w:rPr>
                <w:iCs/>
                <w:lang w:eastAsia="lv-LV"/>
              </w:rPr>
              <w:t xml:space="preserve">ai no 2021.gada piemērotu jaunu transportlīdzekļa ekspluatācijas nodokļa likmju aprēķinu tiem transportlīdzekļiem, kuriem CO2 </w:t>
            </w:r>
            <w:proofErr w:type="spellStart"/>
            <w:r w:rsidRPr="008B4AF6" w:rsidR="00D13BB2">
              <w:rPr>
                <w:iCs/>
                <w:lang w:eastAsia="lv-LV"/>
              </w:rPr>
              <w:t>izmeši</w:t>
            </w:r>
            <w:proofErr w:type="spellEnd"/>
            <w:r w:rsidRPr="008B4AF6" w:rsidR="00D13BB2">
              <w:rPr>
                <w:iCs/>
                <w:lang w:eastAsia="lv-LV"/>
              </w:rPr>
              <w:t xml:space="preserve"> ir noteikti atbilstoši jaunajai CO2 izmešu metodei</w:t>
            </w:r>
            <w:r w:rsidR="00720AAF">
              <w:rPr>
                <w:iCs/>
                <w:lang w:eastAsia="lv-LV"/>
              </w:rPr>
              <w:t>;</w:t>
            </w:r>
          </w:p>
          <w:p w:rsidRPr="008B4AF6" w:rsidR="00D13BB2" w:rsidP="00D13BB2" w:rsidRDefault="008B4AF6" w14:paraId="5AE58AAE" w14:textId="018E873C">
            <w:pPr>
              <w:jc w:val="both"/>
              <w:rPr>
                <w:iCs/>
                <w:lang w:eastAsia="lv-LV"/>
              </w:rPr>
            </w:pPr>
            <w:r w:rsidRPr="008B4AF6">
              <w:rPr>
                <w:iCs/>
                <w:lang w:eastAsia="lv-LV"/>
              </w:rPr>
              <w:t>2.</w:t>
            </w:r>
            <w:r w:rsidR="00EA60F3">
              <w:rPr>
                <w:iCs/>
                <w:lang w:eastAsia="lv-LV"/>
              </w:rPr>
              <w:t xml:space="preserve"> </w:t>
            </w:r>
            <w:r w:rsidRPr="008B4AF6">
              <w:rPr>
                <w:iCs/>
                <w:lang w:eastAsia="lv-LV"/>
              </w:rPr>
              <w:t>L</w:t>
            </w:r>
            <w:r w:rsidRPr="008B4AF6" w:rsidR="00D13BB2">
              <w:rPr>
                <w:iCs/>
                <w:lang w:eastAsia="lv-LV"/>
              </w:rPr>
              <w:t xml:space="preserve">ai no 2021.gada kravas transportlīdzekļiem ar pilnu masu līdz 3,5 t (kategorija N1) noteiktu vieglo transportlīdzekļu </w:t>
            </w:r>
            <w:r w:rsidRPr="008B4AF6">
              <w:rPr>
                <w:iCs/>
                <w:lang w:eastAsia="lv-LV"/>
              </w:rPr>
              <w:t>ekspluatācijas nod</w:t>
            </w:r>
            <w:r>
              <w:rPr>
                <w:iCs/>
                <w:lang w:eastAsia="lv-LV"/>
              </w:rPr>
              <w:t>okļa</w:t>
            </w:r>
            <w:r w:rsidRPr="008B4AF6" w:rsidR="00D13BB2">
              <w:rPr>
                <w:iCs/>
                <w:lang w:eastAsia="lv-LV"/>
              </w:rPr>
              <w:t xml:space="preserve"> piemērošanas principu</w:t>
            </w:r>
            <w:r w:rsidR="0008483F">
              <w:rPr>
                <w:iCs/>
                <w:lang w:eastAsia="lv-LV"/>
              </w:rPr>
              <w:t>s</w:t>
            </w:r>
            <w:r w:rsidRPr="008B4AF6" w:rsidR="00D13BB2">
              <w:rPr>
                <w:iCs/>
                <w:lang w:eastAsia="lv-LV"/>
              </w:rPr>
              <w:t>, kravas transportlīdzekļiem ar pilnu masu no 3,5 t līdz 12 t piemērot</w:t>
            </w:r>
            <w:r>
              <w:rPr>
                <w:iCs/>
                <w:lang w:eastAsia="lv-LV"/>
              </w:rPr>
              <w:t>u</w:t>
            </w:r>
            <w:r w:rsidRPr="008B4AF6" w:rsidR="00D13BB2">
              <w:rPr>
                <w:iCs/>
                <w:lang w:eastAsia="lv-LV"/>
              </w:rPr>
              <w:t xml:space="preserve"> likmes, ņemot vērā EUR</w:t>
            </w:r>
            <w:r w:rsidR="0008483F">
              <w:rPr>
                <w:iCs/>
                <w:lang w:eastAsia="lv-LV"/>
              </w:rPr>
              <w:t>O</w:t>
            </w:r>
            <w:r w:rsidRPr="008B4AF6" w:rsidR="00D13BB2">
              <w:rPr>
                <w:iCs/>
                <w:lang w:eastAsia="lv-LV"/>
              </w:rPr>
              <w:t xml:space="preserve"> izmešu</w:t>
            </w:r>
            <w:r w:rsidR="00795548">
              <w:rPr>
                <w:iCs/>
                <w:lang w:eastAsia="lv-LV"/>
              </w:rPr>
              <w:t xml:space="preserve"> līmeni</w:t>
            </w:r>
            <w:r>
              <w:rPr>
                <w:iCs/>
                <w:lang w:eastAsia="lv-LV"/>
              </w:rPr>
              <w:t xml:space="preserve"> un </w:t>
            </w:r>
            <w:r w:rsidRPr="008B4AF6" w:rsidR="00D13BB2">
              <w:rPr>
                <w:iCs/>
                <w:lang w:eastAsia="lv-LV"/>
              </w:rPr>
              <w:t xml:space="preserve"> kravas transportlīdzekļiem ar pilnu masu virs 12 t piemērot likmes, ņemot vērā EUR</w:t>
            </w:r>
            <w:r w:rsidR="0008483F">
              <w:rPr>
                <w:iCs/>
                <w:lang w:eastAsia="lv-LV"/>
              </w:rPr>
              <w:t>O</w:t>
            </w:r>
            <w:r w:rsidRPr="008B4AF6" w:rsidR="00D13BB2">
              <w:rPr>
                <w:iCs/>
                <w:lang w:eastAsia="lv-LV"/>
              </w:rPr>
              <w:t xml:space="preserve"> izmešu </w:t>
            </w:r>
            <w:r w:rsidR="00795548">
              <w:rPr>
                <w:iCs/>
                <w:lang w:eastAsia="lv-LV"/>
              </w:rPr>
              <w:t>līmeni</w:t>
            </w:r>
            <w:r w:rsidRPr="008B4AF6" w:rsidR="00D13BB2">
              <w:rPr>
                <w:iCs/>
                <w:lang w:eastAsia="lv-LV"/>
              </w:rPr>
              <w:t xml:space="preserve"> un asu skaitu;</w:t>
            </w:r>
          </w:p>
          <w:p w:rsidR="00D000F2" w:rsidP="001E5DDF" w:rsidRDefault="00075DCD" w14:paraId="3B749096" w14:textId="4AD0BB9B">
            <w:pPr>
              <w:jc w:val="both"/>
              <w:rPr>
                <w:iCs/>
                <w:lang w:eastAsia="lv-LV"/>
              </w:rPr>
            </w:pPr>
            <w:r w:rsidRPr="00075DCD">
              <w:rPr>
                <w:iCs/>
                <w:lang w:eastAsia="lv-LV"/>
              </w:rPr>
              <w:t>Ministru kabineta 2020. gada 26. februāra rīkojuma Nr. 67</w:t>
            </w:r>
            <w:r w:rsidR="00BB7507">
              <w:rPr>
                <w:iCs/>
                <w:lang w:eastAsia="lv-LV"/>
              </w:rPr>
              <w:t xml:space="preserve"> ”</w:t>
            </w:r>
            <w:r w:rsidRPr="00BB7507" w:rsidR="00BB7507">
              <w:rPr>
                <w:iCs/>
                <w:lang w:eastAsia="lv-LV"/>
              </w:rPr>
              <w:t xml:space="preserve">Par likumprojekta </w:t>
            </w:r>
            <w:r w:rsidR="00BB7507">
              <w:rPr>
                <w:iCs/>
                <w:lang w:eastAsia="lv-LV"/>
              </w:rPr>
              <w:t>“</w:t>
            </w:r>
            <w:r w:rsidRPr="00BB7507" w:rsidR="00BB7507">
              <w:rPr>
                <w:iCs/>
                <w:lang w:eastAsia="lv-LV"/>
              </w:rPr>
              <w:t>Par vidēja termiņa budžeta ietvaru 2021., 2022. un 2023. gadam</w:t>
            </w:r>
            <w:r w:rsidR="00BB7507">
              <w:rPr>
                <w:iCs/>
                <w:lang w:eastAsia="lv-LV"/>
              </w:rPr>
              <w:t>”</w:t>
            </w:r>
            <w:r w:rsidRPr="00BB7507" w:rsidR="00BB7507">
              <w:rPr>
                <w:iCs/>
                <w:lang w:eastAsia="lv-LV"/>
              </w:rPr>
              <w:t xml:space="preserve"> un likumprojekta </w:t>
            </w:r>
            <w:r w:rsidR="00BB7507">
              <w:rPr>
                <w:iCs/>
                <w:lang w:eastAsia="lv-LV"/>
              </w:rPr>
              <w:t>“</w:t>
            </w:r>
            <w:r w:rsidRPr="00BB7507" w:rsidR="00BB7507">
              <w:rPr>
                <w:iCs/>
                <w:lang w:eastAsia="lv-LV"/>
              </w:rPr>
              <w:t>Par valsts budžetu 2021. gadam</w:t>
            </w:r>
            <w:r w:rsidR="00BB7507">
              <w:rPr>
                <w:iCs/>
                <w:lang w:eastAsia="lv-LV"/>
              </w:rPr>
              <w:t>”</w:t>
            </w:r>
            <w:r w:rsidRPr="00BB7507" w:rsidR="00BB7507">
              <w:rPr>
                <w:iCs/>
                <w:lang w:eastAsia="lv-LV"/>
              </w:rPr>
              <w:t xml:space="preserve"> sagatavošanas grafiku</w:t>
            </w:r>
            <w:r w:rsidR="00BB7507">
              <w:rPr>
                <w:iCs/>
                <w:lang w:eastAsia="lv-LV"/>
              </w:rPr>
              <w:t>” pielikuma</w:t>
            </w:r>
            <w:r w:rsidRPr="00075DCD">
              <w:rPr>
                <w:iCs/>
                <w:lang w:eastAsia="lv-LV"/>
              </w:rPr>
              <w:t xml:space="preserve"> 15. punkts.</w:t>
            </w:r>
          </w:p>
          <w:p w:rsidR="00D000F2" w:rsidP="001E5DDF" w:rsidRDefault="00D000F2" w14:paraId="17219C86" w14:textId="0394E406">
            <w:pPr>
              <w:jc w:val="both"/>
              <w:rPr>
                <w:iCs/>
                <w:lang w:eastAsia="lv-LV"/>
              </w:rPr>
            </w:pPr>
            <w:r w:rsidRPr="00D000F2">
              <w:rPr>
                <w:iCs/>
                <w:lang w:eastAsia="lv-LV"/>
              </w:rPr>
              <w:t xml:space="preserve">2017.gada 24.maija Ministru kabineta rīkojuma Nr.245 “Par Valsts nodokļu politikas pamatnostādnēm 2018.-2121.gadam” V sadaļas “Rīcības virziens – pārnest nodokļu slogu no darbaspēka uz īpašuma, patēriņa un vides nodokļiem” 1.10.2. </w:t>
            </w:r>
            <w:proofErr w:type="spellStart"/>
            <w:r w:rsidRPr="00D000F2">
              <w:rPr>
                <w:iCs/>
                <w:lang w:eastAsia="lv-LV"/>
              </w:rPr>
              <w:t>apakšudevums</w:t>
            </w:r>
            <w:proofErr w:type="spellEnd"/>
            <w:r w:rsidRPr="00D000F2">
              <w:rPr>
                <w:iCs/>
                <w:lang w:eastAsia="lv-LV"/>
              </w:rPr>
              <w:t xml:space="preserve"> paredz vienu reizi trijos gados pārskatīt uzņēmumu vieglo transportlīdzekļu nodokļa apmēru transportlīdzekļiem atbilstoši ekonomiskajai attīstībai.</w:t>
            </w:r>
          </w:p>
          <w:p w:rsidRPr="00D36507" w:rsidR="00D000F2" w:rsidP="001E5DDF" w:rsidRDefault="00D000F2" w14:paraId="00EB1649" w14:textId="16B511B2">
            <w:pPr>
              <w:jc w:val="both"/>
              <w:rPr>
                <w:iCs/>
                <w:lang w:eastAsia="lv-LV"/>
              </w:rPr>
            </w:pPr>
          </w:p>
        </w:tc>
      </w:tr>
      <w:tr w:rsidRPr="00E529E2" w:rsidR="00A13E24" w:rsidTr="00767500" w14:paraId="28DF50C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2443E28A" w14:textId="77777777">
            <w:pPr>
              <w:rPr>
                <w:iCs/>
                <w:lang w:eastAsia="lv-LV"/>
              </w:rPr>
            </w:pPr>
            <w:r w:rsidRPr="00E529E2">
              <w:rPr>
                <w:iCs/>
                <w:lang w:eastAsia="lv-LV"/>
              </w:rPr>
              <w:lastRenderedPageBreak/>
              <w:t>2.</w:t>
            </w:r>
          </w:p>
        </w:tc>
        <w:tc>
          <w:tcPr>
            <w:tcW w:w="1302" w:type="pct"/>
            <w:tcBorders>
              <w:top w:val="outset" w:color="auto" w:sz="6" w:space="0"/>
              <w:left w:val="outset" w:color="auto" w:sz="6" w:space="0"/>
              <w:bottom w:val="outset" w:color="auto" w:sz="6" w:space="0"/>
              <w:right w:val="outset" w:color="auto" w:sz="6" w:space="0"/>
            </w:tcBorders>
            <w:hideMark/>
          </w:tcPr>
          <w:p w:rsidRPr="00E529E2" w:rsidR="00E5323B" w:rsidP="00A524B1" w:rsidRDefault="00E5323B" w14:paraId="3FF161FA" w14:textId="77777777">
            <w:pPr>
              <w:jc w:val="both"/>
              <w:rPr>
                <w:iCs/>
                <w:lang w:eastAsia="lv-LV"/>
              </w:rPr>
            </w:pPr>
            <w:r w:rsidRPr="00E529E2">
              <w:rPr>
                <w:iCs/>
                <w:lang w:eastAsia="lv-LV"/>
              </w:rPr>
              <w:t>Pašreizējā situācija un problēmas, kuru risināšanai tiesību akta projekts izstrādāts, tiesiskā regulējuma mērķis un būtība</w:t>
            </w:r>
          </w:p>
          <w:p w:rsidRPr="00E529E2" w:rsidR="00B27EFF" w:rsidP="0059578D" w:rsidRDefault="00B27EFF" w14:paraId="5B569143" w14:textId="6BBD12CE">
            <w:pPr>
              <w:rPr>
                <w:lang w:eastAsia="lv-LV"/>
              </w:rPr>
            </w:pPr>
          </w:p>
        </w:tc>
        <w:tc>
          <w:tcPr>
            <w:tcW w:w="3336" w:type="pct"/>
            <w:tcBorders>
              <w:top w:val="outset" w:color="auto" w:sz="6" w:space="0"/>
              <w:left w:val="outset" w:color="auto" w:sz="6" w:space="0"/>
              <w:bottom w:val="outset" w:color="auto" w:sz="6" w:space="0"/>
              <w:right w:val="outset" w:color="auto" w:sz="6" w:space="0"/>
            </w:tcBorders>
            <w:hideMark/>
          </w:tcPr>
          <w:p w:rsidR="00B97BAF" w:rsidP="00350BAA" w:rsidRDefault="00605610" w14:paraId="3E4AF0B1" w14:textId="010CFDE2">
            <w:pPr>
              <w:jc w:val="both"/>
              <w:rPr>
                <w:iCs/>
                <w:lang w:eastAsia="lv-LV"/>
              </w:rPr>
            </w:pPr>
            <w:r w:rsidRPr="00605610">
              <w:rPr>
                <w:iCs/>
                <w:lang w:eastAsia="lv-LV"/>
              </w:rPr>
              <w:t xml:space="preserve">Transportlīdzekļa ekspluatācijas nodokļa maksātājs ir transportlīdzekļu un to vadītāju valsts reģistrā norādītais turētājs vai, ja turētājs nav norādīts, — transportlīdzekļa īpašnieks (valdītājs), kuram Latvijā ir reģistrēts vai tiek reģistrēts </w:t>
            </w:r>
            <w:r w:rsidR="008E2D91">
              <w:rPr>
                <w:iCs/>
                <w:lang w:eastAsia="lv-LV"/>
              </w:rPr>
              <w:t>L</w:t>
            </w:r>
            <w:r w:rsidRPr="00605610">
              <w:rPr>
                <w:iCs/>
                <w:lang w:eastAsia="lv-LV"/>
              </w:rPr>
              <w:t xml:space="preserve">ikuma 2. pantā minētais ar nodokli apliekamais transportlīdzeklis vai kura īpašumā, turējumā vai valdījumā esošajam </w:t>
            </w:r>
            <w:r w:rsidR="008E2D91">
              <w:rPr>
                <w:iCs/>
                <w:lang w:eastAsia="lv-LV"/>
              </w:rPr>
              <w:t>L</w:t>
            </w:r>
            <w:r w:rsidRPr="00605610">
              <w:rPr>
                <w:iCs/>
                <w:lang w:eastAsia="lv-LV"/>
              </w:rPr>
              <w:t>ikuma 2. pantā minētajam ar nodokli apliekamajam transportlīdzeklim Latvijā tiek izsniegtas tranzīta numura zīmes, vai persona, kuras deklarētā dzīvesvieta ir Latvijā un kura dalībai ceļu satiksmē izmanto ārvalstī reģistrētu M1 un N1 kategorijas automobili.</w:t>
            </w:r>
          </w:p>
          <w:p w:rsidR="0020689A" w:rsidP="00605610" w:rsidRDefault="00350BAA" w14:paraId="780297EF" w14:textId="5C84BFDF">
            <w:pPr>
              <w:jc w:val="both"/>
              <w:rPr>
                <w:iCs/>
                <w:lang w:eastAsia="lv-LV"/>
              </w:rPr>
            </w:pPr>
            <w:r>
              <w:rPr>
                <w:iCs/>
                <w:lang w:eastAsia="lv-LV"/>
              </w:rPr>
              <w:t>2014. gada 1. janvār</w:t>
            </w:r>
            <w:r w:rsidR="008B4AF6">
              <w:rPr>
                <w:iCs/>
                <w:lang w:eastAsia="lv-LV"/>
              </w:rPr>
              <w:t>ī</w:t>
            </w:r>
            <w:r>
              <w:rPr>
                <w:iCs/>
                <w:lang w:eastAsia="lv-LV"/>
              </w:rPr>
              <w:t xml:space="preserve"> Latvijā notik</w:t>
            </w:r>
            <w:r w:rsidR="008B4AF6">
              <w:rPr>
                <w:iCs/>
                <w:lang w:eastAsia="lv-LV"/>
              </w:rPr>
              <w:t>a</w:t>
            </w:r>
            <w:r>
              <w:rPr>
                <w:iCs/>
                <w:lang w:eastAsia="lv-LV"/>
              </w:rPr>
              <w:t xml:space="preserve"> pāreja uz </w:t>
            </w:r>
            <w:proofErr w:type="spellStart"/>
            <w:r>
              <w:rPr>
                <w:iCs/>
                <w:lang w:eastAsia="lv-LV"/>
              </w:rPr>
              <w:t>e</w:t>
            </w:r>
            <w:r w:rsidR="008B4AF6">
              <w:rPr>
                <w:iCs/>
                <w:lang w:eastAsia="lv-LV"/>
              </w:rPr>
              <w:t>uro</w:t>
            </w:r>
            <w:proofErr w:type="spellEnd"/>
            <w:r>
              <w:rPr>
                <w:iCs/>
                <w:lang w:eastAsia="lv-LV"/>
              </w:rPr>
              <w:t xml:space="preserve">. Attiecīgi tika </w:t>
            </w:r>
            <w:proofErr w:type="spellStart"/>
            <w:r>
              <w:rPr>
                <w:iCs/>
                <w:lang w:eastAsia="lv-LV"/>
              </w:rPr>
              <w:t>pērrēķinātas</w:t>
            </w:r>
            <w:proofErr w:type="spellEnd"/>
            <w:r>
              <w:rPr>
                <w:iCs/>
                <w:lang w:eastAsia="lv-LV"/>
              </w:rPr>
              <w:t xml:space="preserve"> transportlīdzekļa ekspluatācijas nodokļa likmes</w:t>
            </w:r>
            <w:r w:rsidR="0020689A">
              <w:rPr>
                <w:iCs/>
                <w:lang w:eastAsia="lv-LV"/>
              </w:rPr>
              <w:t xml:space="preserve">, kas nav izteiktas veselos </w:t>
            </w:r>
            <w:proofErr w:type="spellStart"/>
            <w:r w:rsidRPr="0020689A" w:rsidR="0020689A">
              <w:rPr>
                <w:i/>
                <w:lang w:eastAsia="lv-LV"/>
              </w:rPr>
              <w:t>euro</w:t>
            </w:r>
            <w:proofErr w:type="spellEnd"/>
            <w:r w:rsidR="0020689A">
              <w:rPr>
                <w:iCs/>
                <w:lang w:eastAsia="lv-LV"/>
              </w:rPr>
              <w:t>.</w:t>
            </w:r>
          </w:p>
          <w:p w:rsidR="00711C66" w:rsidP="00605610" w:rsidRDefault="00605610" w14:paraId="69637E0F" w14:textId="11AEBFD9">
            <w:pPr>
              <w:jc w:val="both"/>
              <w:rPr>
                <w:iCs/>
                <w:lang w:eastAsia="lv-LV"/>
              </w:rPr>
            </w:pPr>
            <w:r w:rsidRPr="00605610">
              <w:rPr>
                <w:iCs/>
                <w:lang w:eastAsia="lv-LV"/>
              </w:rPr>
              <w:t xml:space="preserve">Lai </w:t>
            </w:r>
            <w:r w:rsidR="00350BAA">
              <w:rPr>
                <w:iCs/>
                <w:lang w:eastAsia="lv-LV"/>
              </w:rPr>
              <w:t xml:space="preserve">atvieglotu </w:t>
            </w:r>
            <w:r w:rsidRPr="00350BAA" w:rsidR="00350BAA">
              <w:rPr>
                <w:iCs/>
                <w:lang w:eastAsia="lv-LV"/>
              </w:rPr>
              <w:t>transportlīdzekļa ekspluatācijas nodokļa</w:t>
            </w:r>
            <w:r w:rsidR="00350BAA">
              <w:rPr>
                <w:iCs/>
                <w:lang w:eastAsia="lv-LV"/>
              </w:rPr>
              <w:t xml:space="preserve"> aprēķināšanas un atmaksāšanas procesu, </w:t>
            </w:r>
            <w:r w:rsidRPr="00A2004F" w:rsidR="00A2004F">
              <w:rPr>
                <w:iCs/>
                <w:lang w:eastAsia="lv-LV"/>
              </w:rPr>
              <w:t>ir lietderīgi pārskatīt nodokļu likmes</w:t>
            </w:r>
            <w:r w:rsidR="00A2004F">
              <w:rPr>
                <w:iCs/>
                <w:lang w:eastAsia="lv-LV"/>
              </w:rPr>
              <w:t>,</w:t>
            </w:r>
            <w:r w:rsidR="00A2004F">
              <w:t xml:space="preserve"> </w:t>
            </w:r>
            <w:r w:rsidRPr="00A2004F" w:rsidR="00A2004F">
              <w:rPr>
                <w:iCs/>
                <w:lang w:eastAsia="lv-LV"/>
              </w:rPr>
              <w:t xml:space="preserve">rezultātu noapaļojot līdz veseliem </w:t>
            </w:r>
            <w:proofErr w:type="spellStart"/>
            <w:r w:rsidRPr="0020689A" w:rsidR="00A2004F">
              <w:rPr>
                <w:i/>
                <w:lang w:eastAsia="lv-LV"/>
              </w:rPr>
              <w:t>euro</w:t>
            </w:r>
            <w:proofErr w:type="spellEnd"/>
            <w:r w:rsidRPr="00A2004F" w:rsidR="00A2004F">
              <w:rPr>
                <w:iCs/>
                <w:lang w:eastAsia="lv-LV"/>
              </w:rPr>
              <w:t>.</w:t>
            </w:r>
            <w:r w:rsidR="00350BAA">
              <w:rPr>
                <w:iCs/>
                <w:lang w:eastAsia="lv-LV"/>
              </w:rPr>
              <w:t xml:space="preserve"> </w:t>
            </w:r>
            <w:r w:rsidRPr="00680723" w:rsidR="008B4AF6">
              <w:rPr>
                <w:iCs/>
                <w:lang w:eastAsia="lv-LV"/>
              </w:rPr>
              <w:t xml:space="preserve">Ievērojot minēto, </w:t>
            </w:r>
            <w:r w:rsidRPr="00680723" w:rsidR="00325CC0">
              <w:rPr>
                <w:iCs/>
                <w:lang w:eastAsia="lv-LV"/>
              </w:rPr>
              <w:t xml:space="preserve">Likumprojekts paredz pilnveidot transportlīdzekļa ekspluatācijas nodokļa aprēķināšanu un noapaļot </w:t>
            </w:r>
            <w:r w:rsidRPr="00680723" w:rsidR="00680723">
              <w:rPr>
                <w:iCs/>
                <w:lang w:eastAsia="lv-LV"/>
              </w:rPr>
              <w:t xml:space="preserve">nodokļa </w:t>
            </w:r>
            <w:r w:rsidRPr="00680723" w:rsidR="00325CC0">
              <w:rPr>
                <w:iCs/>
                <w:lang w:eastAsia="lv-LV"/>
              </w:rPr>
              <w:t>likmes motociklu, triciklu</w:t>
            </w:r>
            <w:r w:rsidRPr="00680723" w:rsidR="00680723">
              <w:rPr>
                <w:iCs/>
                <w:lang w:eastAsia="lv-LV"/>
              </w:rPr>
              <w:t xml:space="preserve">, </w:t>
            </w:r>
            <w:r w:rsidRPr="00680723" w:rsidR="00325CC0">
              <w:rPr>
                <w:iCs/>
                <w:lang w:eastAsia="lv-LV"/>
              </w:rPr>
              <w:t>kvadriciklu</w:t>
            </w:r>
            <w:r w:rsidR="001A7B68">
              <w:rPr>
                <w:iCs/>
                <w:lang w:eastAsia="lv-LV"/>
              </w:rPr>
              <w:t>,</w:t>
            </w:r>
            <w:r w:rsidRPr="00680723" w:rsidR="00325CC0">
              <w:rPr>
                <w:iCs/>
                <w:lang w:eastAsia="lv-LV"/>
              </w:rPr>
              <w:t xml:space="preserve"> </w:t>
            </w:r>
            <w:proofErr w:type="spellStart"/>
            <w:r w:rsidRPr="001A7B68" w:rsidR="001A7B68">
              <w:rPr>
                <w:iCs/>
                <w:lang w:eastAsia="lv-LV"/>
              </w:rPr>
              <w:t>vienass</w:t>
            </w:r>
            <w:proofErr w:type="spellEnd"/>
            <w:r w:rsidRPr="001A7B68" w:rsidR="001A7B68">
              <w:rPr>
                <w:iCs/>
                <w:lang w:eastAsia="lv-LV"/>
              </w:rPr>
              <w:t xml:space="preserve"> piekab</w:t>
            </w:r>
            <w:r w:rsidR="001A7B68">
              <w:rPr>
                <w:iCs/>
                <w:lang w:eastAsia="lv-LV"/>
              </w:rPr>
              <w:t xml:space="preserve">ju un </w:t>
            </w:r>
            <w:r w:rsidRPr="001A7B68" w:rsidR="001A7B68">
              <w:rPr>
                <w:iCs/>
                <w:lang w:eastAsia="lv-LV"/>
              </w:rPr>
              <w:t>puspiekab</w:t>
            </w:r>
            <w:r w:rsidR="001A7B68">
              <w:rPr>
                <w:iCs/>
                <w:lang w:eastAsia="lv-LV"/>
              </w:rPr>
              <w:t>ju,</w:t>
            </w:r>
            <w:r w:rsidRPr="00680723" w:rsidR="00680723">
              <w:rPr>
                <w:iCs/>
                <w:lang w:eastAsia="lv-LV"/>
              </w:rPr>
              <w:t xml:space="preserve"> </w:t>
            </w:r>
            <w:r w:rsidRPr="00680723" w:rsidR="00325CC0">
              <w:rPr>
                <w:iCs/>
                <w:lang w:eastAsia="lv-LV"/>
              </w:rPr>
              <w:t xml:space="preserve"> autobusu</w:t>
            </w:r>
            <w:r w:rsidRPr="00680723" w:rsidR="00680723">
              <w:rPr>
                <w:iCs/>
                <w:lang w:eastAsia="lv-LV"/>
              </w:rPr>
              <w:t xml:space="preserve"> </w:t>
            </w:r>
            <w:r w:rsidRPr="00680723" w:rsidR="00EA3C4A">
              <w:rPr>
                <w:iCs/>
                <w:lang w:eastAsia="lv-LV"/>
              </w:rPr>
              <w:t xml:space="preserve">ar pilnu masu līdz 3500 kg </w:t>
            </w:r>
            <w:r w:rsidRPr="00680723" w:rsidR="00680723">
              <w:rPr>
                <w:iCs/>
                <w:lang w:eastAsia="lv-LV"/>
              </w:rPr>
              <w:t>kategorijai.</w:t>
            </w:r>
          </w:p>
          <w:p w:rsidR="0019152A" w:rsidP="001E5DDF" w:rsidRDefault="001E5DDF" w14:paraId="79BF24E9" w14:textId="563F5592">
            <w:pPr>
              <w:jc w:val="both"/>
              <w:rPr>
                <w:iCs/>
                <w:lang w:eastAsia="lv-LV"/>
              </w:rPr>
            </w:pPr>
            <w:r w:rsidRPr="001E5DDF">
              <w:rPr>
                <w:iCs/>
                <w:lang w:eastAsia="lv-LV"/>
              </w:rPr>
              <w:t xml:space="preserve">Latvijā reģistrētiem </w:t>
            </w:r>
            <w:r w:rsidR="00711C66">
              <w:rPr>
                <w:iCs/>
                <w:lang w:eastAsia="lv-LV"/>
              </w:rPr>
              <w:t xml:space="preserve">vieglajiem </w:t>
            </w:r>
            <w:r w:rsidR="00680723">
              <w:rPr>
                <w:iCs/>
                <w:lang w:eastAsia="lv-LV"/>
              </w:rPr>
              <w:t xml:space="preserve">automobiļiem </w:t>
            </w:r>
            <w:r w:rsidRPr="001E5DDF">
              <w:rPr>
                <w:iCs/>
                <w:lang w:eastAsia="lv-LV"/>
              </w:rPr>
              <w:t>transportlīdzekļ</w:t>
            </w:r>
            <w:r w:rsidR="00680723">
              <w:rPr>
                <w:iCs/>
                <w:lang w:eastAsia="lv-LV"/>
              </w:rPr>
              <w:t>u ekspluatācijas</w:t>
            </w:r>
            <w:r w:rsidRPr="001E5DDF">
              <w:rPr>
                <w:iCs/>
                <w:lang w:eastAsia="lv-LV"/>
              </w:rPr>
              <w:t xml:space="preserve"> nodokļa likmi nosaka, pamatojoties uz CO2 emisijām </w:t>
            </w:r>
            <w:r w:rsidRPr="004829C0">
              <w:rPr>
                <w:iCs/>
                <w:lang w:eastAsia="lv-LV"/>
              </w:rPr>
              <w:t>(automobiļiem, kas pirmoreiz reģistrēti pēc 2008. gada 31. decembra), vai uz piln</w:t>
            </w:r>
            <w:r w:rsidR="00E264A3">
              <w:rPr>
                <w:iCs/>
                <w:lang w:eastAsia="lv-LV"/>
              </w:rPr>
              <w:t xml:space="preserve">u </w:t>
            </w:r>
            <w:r w:rsidRPr="004829C0">
              <w:rPr>
                <w:iCs/>
                <w:lang w:eastAsia="lv-LV"/>
              </w:rPr>
              <w:t>masu, motora darba tilpumu un maksimālo jaudu (automobiļiem, kas pirmoreiz reģistrēti pēc 2005. gada 1. janvāra), vai ņemot vērā tikai transportlīdzekļa piln</w:t>
            </w:r>
            <w:r w:rsidR="00E264A3">
              <w:rPr>
                <w:iCs/>
                <w:lang w:eastAsia="lv-LV"/>
              </w:rPr>
              <w:t xml:space="preserve">u </w:t>
            </w:r>
            <w:r w:rsidRPr="004829C0">
              <w:rPr>
                <w:iCs/>
                <w:lang w:eastAsia="lv-LV"/>
              </w:rPr>
              <w:t>masu</w:t>
            </w:r>
            <w:r w:rsidR="00680723">
              <w:rPr>
                <w:iCs/>
                <w:lang w:eastAsia="lv-LV"/>
              </w:rPr>
              <w:t xml:space="preserve">. </w:t>
            </w:r>
            <w:r w:rsidRPr="004829C0">
              <w:rPr>
                <w:iCs/>
                <w:lang w:eastAsia="lv-LV"/>
              </w:rPr>
              <w:t xml:space="preserve"> </w:t>
            </w:r>
          </w:p>
          <w:p w:rsidR="00711C66" w:rsidP="001E5DDF" w:rsidRDefault="00711C66" w14:paraId="3ED4C023" w14:textId="4F85D149">
            <w:pPr>
              <w:jc w:val="both"/>
              <w:rPr>
                <w:iCs/>
                <w:lang w:eastAsia="lv-LV"/>
              </w:rPr>
            </w:pPr>
            <w:r>
              <w:rPr>
                <w:iCs/>
                <w:lang w:eastAsia="lv-LV"/>
              </w:rPr>
              <w:t xml:space="preserve">Savukārt </w:t>
            </w:r>
            <w:r w:rsidRPr="001E5DDF">
              <w:rPr>
                <w:iCs/>
                <w:lang w:eastAsia="lv-LV"/>
              </w:rPr>
              <w:t xml:space="preserve">Latvijā reģistrētiem </w:t>
            </w:r>
            <w:r w:rsidRPr="006C533D" w:rsidR="00680723">
              <w:t>kravas automobi</w:t>
            </w:r>
            <w:r w:rsidR="00680723">
              <w:t>ļiem</w:t>
            </w:r>
            <w:r w:rsidRPr="006C533D" w:rsidR="00680723">
              <w:t xml:space="preserve"> ar pilnu masu līdz 3500 kg</w:t>
            </w:r>
            <w:r w:rsidRPr="00076314" w:rsidR="00680723">
              <w:t xml:space="preserve"> </w:t>
            </w:r>
            <w:r w:rsidRPr="001E5DDF">
              <w:rPr>
                <w:iCs/>
                <w:lang w:eastAsia="lv-LV"/>
              </w:rPr>
              <w:t>nodokļa likmi nosaka</w:t>
            </w:r>
            <w:r>
              <w:rPr>
                <w:iCs/>
                <w:lang w:eastAsia="lv-LV"/>
              </w:rPr>
              <w:t xml:space="preserve">, ņemot vērā </w:t>
            </w:r>
            <w:r w:rsidRPr="004829C0">
              <w:rPr>
                <w:iCs/>
                <w:lang w:eastAsia="lv-LV"/>
              </w:rPr>
              <w:t>tikai transportlīdzekļa piln</w:t>
            </w:r>
            <w:r w:rsidR="00680723">
              <w:rPr>
                <w:iCs/>
                <w:lang w:eastAsia="lv-LV"/>
              </w:rPr>
              <w:t xml:space="preserve">u </w:t>
            </w:r>
            <w:r w:rsidRPr="004829C0">
              <w:rPr>
                <w:iCs/>
                <w:lang w:eastAsia="lv-LV"/>
              </w:rPr>
              <w:t>masu</w:t>
            </w:r>
            <w:r>
              <w:rPr>
                <w:iCs/>
                <w:lang w:eastAsia="lv-LV"/>
              </w:rPr>
              <w:t xml:space="preserve">. </w:t>
            </w:r>
            <w:r w:rsidR="00680723">
              <w:rPr>
                <w:iCs/>
                <w:lang w:eastAsia="lv-LV"/>
              </w:rPr>
              <w:t xml:space="preserve">Ievērojot minēto, </w:t>
            </w:r>
            <w:r w:rsidRPr="00680723">
              <w:rPr>
                <w:iCs/>
                <w:lang w:eastAsia="lv-LV"/>
              </w:rPr>
              <w:t>Likumprojekts paredz</w:t>
            </w:r>
            <w:r w:rsidR="00680723">
              <w:rPr>
                <w:iCs/>
                <w:lang w:eastAsia="lv-LV"/>
              </w:rPr>
              <w:t xml:space="preserve"> </w:t>
            </w:r>
            <w:r w:rsidRPr="00711C66">
              <w:rPr>
                <w:iCs/>
                <w:lang w:eastAsia="lv-LV"/>
              </w:rPr>
              <w:t xml:space="preserve">no 2021.gada līdzsvarot </w:t>
            </w:r>
            <w:r w:rsidR="00680723">
              <w:rPr>
                <w:iCs/>
                <w:lang w:eastAsia="lv-LV"/>
              </w:rPr>
              <w:t>vieglo automobiļu</w:t>
            </w:r>
            <w:r w:rsidRPr="00711C66">
              <w:rPr>
                <w:iCs/>
                <w:lang w:eastAsia="lv-LV"/>
              </w:rPr>
              <w:t xml:space="preserve"> transportlīdzekļa ekspluatācijas nodokļa likmes ar</w:t>
            </w:r>
            <w:r w:rsidR="00680723">
              <w:rPr>
                <w:iCs/>
                <w:lang w:eastAsia="lv-LV"/>
              </w:rPr>
              <w:t xml:space="preserve"> </w:t>
            </w:r>
            <w:r w:rsidRPr="00680723" w:rsidR="00680723">
              <w:rPr>
                <w:iCs/>
                <w:lang w:eastAsia="lv-LV"/>
              </w:rPr>
              <w:t>kravas automobiļu ar pilnu masu līdz 3500 kg</w:t>
            </w:r>
            <w:r w:rsidRPr="00711C66">
              <w:rPr>
                <w:iCs/>
                <w:lang w:eastAsia="lv-LV"/>
              </w:rPr>
              <w:t xml:space="preserve"> nodokļa likmēm</w:t>
            </w:r>
            <w:r w:rsidR="006E3956">
              <w:rPr>
                <w:iCs/>
                <w:lang w:eastAsia="lv-LV"/>
              </w:rPr>
              <w:t xml:space="preserve"> un pilnveidot</w:t>
            </w:r>
            <w:r w:rsidR="00680723">
              <w:rPr>
                <w:iCs/>
                <w:lang w:eastAsia="lv-LV"/>
              </w:rPr>
              <w:t xml:space="preserve"> nodokļa aprēķināšanas metodiku</w:t>
            </w:r>
            <w:r>
              <w:rPr>
                <w:iCs/>
                <w:lang w:eastAsia="lv-LV"/>
              </w:rPr>
              <w:t>.</w:t>
            </w:r>
          </w:p>
          <w:p w:rsidR="00AF6D3F" w:rsidP="001E5DDF" w:rsidRDefault="00F30DD9" w14:paraId="4C92C47A" w14:textId="6BC1A4ED">
            <w:pPr>
              <w:jc w:val="both"/>
              <w:rPr>
                <w:iCs/>
                <w:lang w:eastAsia="lv-LV"/>
              </w:rPr>
            </w:pPr>
            <w:r w:rsidRPr="001E5DDF">
              <w:rPr>
                <w:iCs/>
                <w:lang w:eastAsia="lv-LV"/>
              </w:rPr>
              <w:t xml:space="preserve">Latvijā reģistrētiem </w:t>
            </w:r>
            <w:r w:rsidR="00E631BF">
              <w:rPr>
                <w:iCs/>
                <w:lang w:eastAsia="lv-LV"/>
              </w:rPr>
              <w:t>kravas transportlīdzekļ</w:t>
            </w:r>
            <w:r w:rsidR="00AF6D3F">
              <w:rPr>
                <w:iCs/>
                <w:lang w:eastAsia="lv-LV"/>
              </w:rPr>
              <w:t>iem</w:t>
            </w:r>
            <w:r w:rsidR="00E631BF">
              <w:rPr>
                <w:iCs/>
                <w:lang w:eastAsia="lv-LV"/>
              </w:rPr>
              <w:t xml:space="preserve"> </w:t>
            </w:r>
            <w:r w:rsidRPr="001E5DDF">
              <w:rPr>
                <w:iCs/>
                <w:lang w:eastAsia="lv-LV"/>
              </w:rPr>
              <w:t>nodokļa likmi nosaka</w:t>
            </w:r>
            <w:r>
              <w:rPr>
                <w:iCs/>
                <w:lang w:eastAsia="lv-LV"/>
              </w:rPr>
              <w:t xml:space="preserve">, ņemot vērā </w:t>
            </w:r>
            <w:r w:rsidRPr="004829C0">
              <w:rPr>
                <w:iCs/>
                <w:lang w:eastAsia="lv-LV"/>
              </w:rPr>
              <w:t>transportlīdzekļa piln</w:t>
            </w:r>
            <w:r w:rsidR="00680723">
              <w:rPr>
                <w:iCs/>
                <w:lang w:eastAsia="lv-LV"/>
              </w:rPr>
              <w:t xml:space="preserve">u </w:t>
            </w:r>
            <w:r w:rsidRPr="004829C0">
              <w:rPr>
                <w:iCs/>
                <w:lang w:eastAsia="lv-LV"/>
              </w:rPr>
              <w:t>masu</w:t>
            </w:r>
            <w:r>
              <w:rPr>
                <w:iCs/>
                <w:lang w:eastAsia="lv-LV"/>
              </w:rPr>
              <w:t xml:space="preserve">. Lai veicinātu tīrāku kravas transportlīdzekļu reģistrēšanu Latvijā, </w:t>
            </w:r>
            <w:r w:rsidRPr="00680723" w:rsidR="00680723">
              <w:rPr>
                <w:iCs/>
                <w:lang w:eastAsia="lv-LV"/>
              </w:rPr>
              <w:t>L</w:t>
            </w:r>
            <w:r w:rsidRPr="00680723">
              <w:rPr>
                <w:iCs/>
                <w:lang w:eastAsia="lv-LV"/>
              </w:rPr>
              <w:t>ikumprojekts paredz</w:t>
            </w:r>
            <w:r w:rsidR="00AF6D3F">
              <w:rPr>
                <w:iCs/>
                <w:lang w:eastAsia="lv-LV"/>
              </w:rPr>
              <w:t>:</w:t>
            </w:r>
          </w:p>
          <w:p w:rsidR="00C777F0" w:rsidP="001E5DDF" w:rsidRDefault="00AF6D3F" w14:paraId="4DA32741" w14:textId="6F12751D">
            <w:pPr>
              <w:jc w:val="both"/>
              <w:rPr>
                <w:iCs/>
                <w:lang w:eastAsia="lv-LV"/>
              </w:rPr>
            </w:pPr>
            <w:r>
              <w:rPr>
                <w:iCs/>
                <w:lang w:eastAsia="lv-LV"/>
              </w:rPr>
              <w:t>1.</w:t>
            </w:r>
            <w:r w:rsidR="00EA60F3">
              <w:rPr>
                <w:iCs/>
                <w:lang w:eastAsia="lv-LV"/>
              </w:rPr>
              <w:t xml:space="preserve"> </w:t>
            </w:r>
            <w:r>
              <w:rPr>
                <w:iCs/>
                <w:lang w:eastAsia="lv-LV"/>
              </w:rPr>
              <w:t>N</w:t>
            </w:r>
            <w:r w:rsidRPr="00F30DD9" w:rsidR="00F30DD9">
              <w:rPr>
                <w:iCs/>
                <w:lang w:eastAsia="lv-LV"/>
              </w:rPr>
              <w:t xml:space="preserve">o 2021.gada piemērot jaunu transportlīdzekļa ekspluatācijas nodokļa likmju aprēķinu </w:t>
            </w:r>
            <w:r w:rsidR="00680723">
              <w:rPr>
                <w:iCs/>
                <w:lang w:eastAsia="lv-LV"/>
              </w:rPr>
              <w:t xml:space="preserve">kravas </w:t>
            </w:r>
            <w:r w:rsidR="00F30DD9">
              <w:rPr>
                <w:iCs/>
                <w:lang w:eastAsia="lv-LV"/>
              </w:rPr>
              <w:t>transportlīdzekļiem ar pilnu masu no 3500 kg līdz 12000 kg</w:t>
            </w:r>
            <w:r w:rsidRPr="00F30DD9" w:rsidR="00F30DD9">
              <w:rPr>
                <w:iCs/>
                <w:lang w:eastAsia="lv-LV"/>
              </w:rPr>
              <w:t>, ņemot vērā EUR</w:t>
            </w:r>
            <w:r w:rsidR="00680723">
              <w:rPr>
                <w:iCs/>
                <w:lang w:eastAsia="lv-LV"/>
              </w:rPr>
              <w:t>O</w:t>
            </w:r>
            <w:r w:rsidRPr="00F30DD9" w:rsidR="00F30DD9">
              <w:rPr>
                <w:iCs/>
                <w:lang w:eastAsia="lv-LV"/>
              </w:rPr>
              <w:t xml:space="preserve"> izmešu </w:t>
            </w:r>
            <w:r w:rsidR="00795548">
              <w:rPr>
                <w:iCs/>
                <w:lang w:eastAsia="lv-LV"/>
              </w:rPr>
              <w:t>līmeni</w:t>
            </w:r>
            <w:r w:rsidR="00F30DD9">
              <w:rPr>
                <w:iCs/>
                <w:lang w:eastAsia="lv-LV"/>
              </w:rPr>
              <w:t>.</w:t>
            </w:r>
          </w:p>
          <w:p w:rsidR="00C777F0" w:rsidP="00C777F0" w:rsidRDefault="00AF6D3F" w14:paraId="453BF81C" w14:textId="62D5A662">
            <w:pPr>
              <w:jc w:val="both"/>
              <w:rPr>
                <w:iCs/>
                <w:lang w:eastAsia="lv-LV"/>
              </w:rPr>
            </w:pPr>
            <w:r>
              <w:rPr>
                <w:iCs/>
                <w:lang w:eastAsia="lv-LV"/>
              </w:rPr>
              <w:t>2.</w:t>
            </w:r>
            <w:r w:rsidR="00EA60F3">
              <w:rPr>
                <w:iCs/>
                <w:lang w:eastAsia="lv-LV"/>
              </w:rPr>
              <w:t xml:space="preserve"> </w:t>
            </w:r>
            <w:r>
              <w:rPr>
                <w:iCs/>
                <w:lang w:eastAsia="lv-LV"/>
              </w:rPr>
              <w:t>N</w:t>
            </w:r>
            <w:r w:rsidRPr="00F30DD9" w:rsidR="00C777F0">
              <w:rPr>
                <w:iCs/>
                <w:lang w:eastAsia="lv-LV"/>
              </w:rPr>
              <w:t xml:space="preserve">o 2021.gada piemērot jaunu transportlīdzekļa ekspluatācijas nodokļa likmju aprēķinu </w:t>
            </w:r>
            <w:r w:rsidR="00C777F0">
              <w:rPr>
                <w:iCs/>
                <w:lang w:eastAsia="lv-LV"/>
              </w:rPr>
              <w:t>transportlīdzekļiem ar pilnu masu virs 12000 kg</w:t>
            </w:r>
            <w:r w:rsidRPr="00F30DD9" w:rsidR="00C777F0">
              <w:rPr>
                <w:iCs/>
                <w:lang w:eastAsia="lv-LV"/>
              </w:rPr>
              <w:t>, ņemot vērā EUR</w:t>
            </w:r>
            <w:r w:rsidR="00680723">
              <w:rPr>
                <w:iCs/>
                <w:lang w:eastAsia="lv-LV"/>
              </w:rPr>
              <w:t>O</w:t>
            </w:r>
            <w:r w:rsidRPr="00F30DD9" w:rsidR="00C777F0">
              <w:rPr>
                <w:iCs/>
                <w:lang w:eastAsia="lv-LV"/>
              </w:rPr>
              <w:t xml:space="preserve"> izmešu </w:t>
            </w:r>
            <w:r w:rsidR="00795548">
              <w:rPr>
                <w:iCs/>
                <w:lang w:eastAsia="lv-LV"/>
              </w:rPr>
              <w:t>līmeni</w:t>
            </w:r>
            <w:r w:rsidR="00C777F0">
              <w:rPr>
                <w:iCs/>
                <w:lang w:eastAsia="lv-LV"/>
              </w:rPr>
              <w:t xml:space="preserve"> un asu skaitu. </w:t>
            </w:r>
          </w:p>
          <w:p w:rsidR="0050046E" w:rsidP="00C777F0" w:rsidRDefault="00AF6D3F" w14:paraId="7AC04838" w14:textId="5A0E4DFF">
            <w:pPr>
              <w:jc w:val="both"/>
              <w:rPr>
                <w:iCs/>
                <w:lang w:eastAsia="lv-LV"/>
              </w:rPr>
            </w:pPr>
            <w:r>
              <w:rPr>
                <w:iCs/>
                <w:lang w:eastAsia="lv-LV"/>
              </w:rPr>
              <w:lastRenderedPageBreak/>
              <w:t>3. N</w:t>
            </w:r>
            <w:r w:rsidRPr="00F30DD9" w:rsidR="00C777F0">
              <w:rPr>
                <w:iCs/>
                <w:lang w:eastAsia="lv-LV"/>
              </w:rPr>
              <w:t xml:space="preserve">o 2021.gada piemērot jaunu transportlīdzekļa ekspluatācijas nodokļa likmju aprēķinu </w:t>
            </w:r>
            <w:r w:rsidR="00C777F0">
              <w:rPr>
                <w:iCs/>
                <w:lang w:eastAsia="lv-LV"/>
              </w:rPr>
              <w:t>seglu vilcējiem</w:t>
            </w:r>
            <w:r w:rsidRPr="00F30DD9" w:rsidR="00C777F0">
              <w:rPr>
                <w:iCs/>
                <w:lang w:eastAsia="lv-LV"/>
              </w:rPr>
              <w:t>, ņemot vērā EUR</w:t>
            </w:r>
            <w:r w:rsidR="00680723">
              <w:rPr>
                <w:iCs/>
                <w:lang w:eastAsia="lv-LV"/>
              </w:rPr>
              <w:t>O</w:t>
            </w:r>
            <w:r w:rsidRPr="00F30DD9" w:rsidR="00C777F0">
              <w:rPr>
                <w:iCs/>
                <w:lang w:eastAsia="lv-LV"/>
              </w:rPr>
              <w:t xml:space="preserve"> izmešu </w:t>
            </w:r>
            <w:r w:rsidR="00795548">
              <w:rPr>
                <w:iCs/>
                <w:lang w:eastAsia="lv-LV"/>
              </w:rPr>
              <w:t>līmeni</w:t>
            </w:r>
            <w:r w:rsidR="00C777F0">
              <w:rPr>
                <w:iCs/>
                <w:lang w:eastAsia="lv-LV"/>
              </w:rPr>
              <w:t xml:space="preserve"> </w:t>
            </w:r>
            <w:r w:rsidR="00E064ED">
              <w:rPr>
                <w:iCs/>
                <w:lang w:eastAsia="lv-LV"/>
              </w:rPr>
              <w:t>un asu skaitu</w:t>
            </w:r>
            <w:r w:rsidR="00C777F0">
              <w:rPr>
                <w:iCs/>
                <w:lang w:eastAsia="lv-LV"/>
              </w:rPr>
              <w:t xml:space="preserve">. </w:t>
            </w:r>
          </w:p>
          <w:p w:rsidR="00D41129" w:rsidP="00C777F0" w:rsidRDefault="00D41129" w14:paraId="0E08BE03" w14:textId="62E75D1C">
            <w:pPr>
              <w:jc w:val="both"/>
              <w:rPr>
                <w:iCs/>
                <w:lang w:eastAsia="lv-LV"/>
              </w:rPr>
            </w:pPr>
            <w:r>
              <w:rPr>
                <w:iCs/>
                <w:lang w:eastAsia="lv-LV"/>
              </w:rPr>
              <w:t>No 2017. gada 1. janvāra t</w:t>
            </w:r>
            <w:r w:rsidRPr="00D41129">
              <w:rPr>
                <w:iCs/>
                <w:lang w:eastAsia="lv-LV"/>
              </w:rPr>
              <w:t xml:space="preserve">ransportlīdzekļa ekspluatācijas nodokli par tādu vieglo automobili, kurš ir aprīkots ar </w:t>
            </w:r>
            <w:proofErr w:type="spellStart"/>
            <w:r w:rsidRPr="00D41129">
              <w:rPr>
                <w:iCs/>
                <w:lang w:eastAsia="lv-LV"/>
              </w:rPr>
              <w:t>iekšdedzes</w:t>
            </w:r>
            <w:proofErr w:type="spellEnd"/>
            <w:r w:rsidRPr="00D41129">
              <w:rPr>
                <w:iCs/>
                <w:lang w:eastAsia="lv-LV"/>
              </w:rPr>
              <w:t xml:space="preserve"> dzinēju vai pēc savas konstrukcijas ir aprīkots ar </w:t>
            </w:r>
            <w:proofErr w:type="spellStart"/>
            <w:r w:rsidRPr="00D41129">
              <w:rPr>
                <w:iCs/>
                <w:lang w:eastAsia="lv-LV"/>
              </w:rPr>
              <w:t>iekšdedzes</w:t>
            </w:r>
            <w:proofErr w:type="spellEnd"/>
            <w:r w:rsidRPr="00D41129">
              <w:rPr>
                <w:iCs/>
                <w:lang w:eastAsia="lv-LV"/>
              </w:rPr>
              <w:t xml:space="preserve"> dzinēju un kā mehānisku dzinējspēku izmanto enerģiju no transportlīdzeklī glabātas elektroenerģijas vai dzinējspēka glabāšanas iekārtas (piemēram, akumulators, kondensators, spararats vai ģenerators u.c.) un kurš pirmo reizi reģistrēts pēc 2008.gada 31.decembra, maksā, piemērojot likmi atkarībā no automobiļa radītā oglekļa dioksīda (CO2) izmešu daudzuma gramos (g) uz vienu kilometru (km)</w:t>
            </w:r>
            <w:r>
              <w:rPr>
                <w:iCs/>
                <w:lang w:eastAsia="lv-LV"/>
              </w:rPr>
              <w:t xml:space="preserve">, kas ir aprēķināts pēc </w:t>
            </w:r>
            <w:r w:rsidRPr="00EA60F3" w:rsidR="00EA60F3">
              <w:rPr>
                <w:iCs/>
                <w:lang w:eastAsia="lv-LV"/>
              </w:rPr>
              <w:t>Eiropas Jaunā braukšanas cikla (</w:t>
            </w:r>
            <w:proofErr w:type="spellStart"/>
            <w:r w:rsidRPr="00993851" w:rsidR="00993851">
              <w:rPr>
                <w:iCs/>
                <w:lang w:eastAsia="lv-LV"/>
              </w:rPr>
              <w:t>New</w:t>
            </w:r>
            <w:proofErr w:type="spellEnd"/>
            <w:r w:rsidRPr="00993851" w:rsidR="00993851">
              <w:rPr>
                <w:iCs/>
                <w:lang w:eastAsia="lv-LV"/>
              </w:rPr>
              <w:t xml:space="preserve"> </w:t>
            </w:r>
            <w:proofErr w:type="spellStart"/>
            <w:r w:rsidRPr="00993851" w:rsidR="00993851">
              <w:rPr>
                <w:iCs/>
                <w:lang w:eastAsia="lv-LV"/>
              </w:rPr>
              <w:t>European</w:t>
            </w:r>
            <w:proofErr w:type="spellEnd"/>
            <w:r w:rsidRPr="00993851" w:rsidR="00993851">
              <w:rPr>
                <w:iCs/>
                <w:lang w:eastAsia="lv-LV"/>
              </w:rPr>
              <w:t xml:space="preserve"> </w:t>
            </w:r>
            <w:proofErr w:type="spellStart"/>
            <w:r w:rsidRPr="00993851" w:rsidR="00993851">
              <w:rPr>
                <w:iCs/>
                <w:lang w:eastAsia="lv-LV"/>
              </w:rPr>
              <w:t>Driving</w:t>
            </w:r>
            <w:proofErr w:type="spellEnd"/>
            <w:r w:rsidRPr="00993851" w:rsidR="00993851">
              <w:rPr>
                <w:iCs/>
                <w:lang w:eastAsia="lv-LV"/>
              </w:rPr>
              <w:t xml:space="preserve"> </w:t>
            </w:r>
            <w:proofErr w:type="spellStart"/>
            <w:r w:rsidRPr="00993851" w:rsidR="00993851">
              <w:rPr>
                <w:iCs/>
                <w:lang w:eastAsia="lv-LV"/>
              </w:rPr>
              <w:t>Cycle</w:t>
            </w:r>
            <w:proofErr w:type="spellEnd"/>
            <w:r w:rsidR="00993851">
              <w:rPr>
                <w:iCs/>
                <w:lang w:eastAsia="lv-LV"/>
              </w:rPr>
              <w:t xml:space="preserve">, </w:t>
            </w:r>
            <w:r w:rsidRPr="00EA60F3" w:rsidR="00EA60F3">
              <w:rPr>
                <w:iCs/>
                <w:lang w:eastAsia="lv-LV"/>
              </w:rPr>
              <w:t>turpmāk – NEDC)</w:t>
            </w:r>
            <w:r>
              <w:rPr>
                <w:iCs/>
                <w:lang w:eastAsia="lv-LV"/>
              </w:rPr>
              <w:t xml:space="preserve"> metodes.</w:t>
            </w:r>
          </w:p>
          <w:p w:rsidR="00D41129" w:rsidP="00D41129" w:rsidRDefault="00097CF7" w14:paraId="08467D37" w14:textId="3FEE8DC7">
            <w:pPr>
              <w:jc w:val="both"/>
              <w:rPr>
                <w:iCs/>
                <w:lang w:eastAsia="lv-LV"/>
              </w:rPr>
            </w:pPr>
            <w:r w:rsidRPr="00D41129">
              <w:rPr>
                <w:iCs/>
                <w:lang w:eastAsia="lv-LV"/>
              </w:rPr>
              <w:t>2017. gada 31. maij</w:t>
            </w:r>
            <w:r w:rsidR="008A1CD7">
              <w:rPr>
                <w:iCs/>
                <w:lang w:eastAsia="lv-LV"/>
              </w:rPr>
              <w:t>ā Eiropas Komisija pieņēma i</w:t>
            </w:r>
            <w:r w:rsidRPr="00D41129" w:rsidR="00D41129">
              <w:rPr>
                <w:iCs/>
                <w:lang w:eastAsia="lv-LV"/>
              </w:rPr>
              <w:t>eteikum</w:t>
            </w:r>
            <w:r w:rsidR="00D41129">
              <w:rPr>
                <w:iCs/>
                <w:lang w:eastAsia="lv-LV"/>
              </w:rPr>
              <w:t>u</w:t>
            </w:r>
            <w:r w:rsidRPr="00D41129" w:rsidR="00D41129">
              <w:rPr>
                <w:iCs/>
                <w:lang w:eastAsia="lv-LV"/>
              </w:rPr>
              <w:t xml:space="preserve"> </w:t>
            </w:r>
            <w:r w:rsidR="00D41129">
              <w:rPr>
                <w:iCs/>
                <w:lang w:eastAsia="lv-LV"/>
              </w:rPr>
              <w:t>Nr.</w:t>
            </w:r>
            <w:r w:rsidRPr="00D41129" w:rsidR="00D41129">
              <w:rPr>
                <w:iCs/>
                <w:lang w:eastAsia="lv-LV"/>
              </w:rPr>
              <w:t xml:space="preserve"> 2017/948 </w:t>
            </w:r>
            <w:r w:rsidRPr="008A1CD7" w:rsidR="008A1CD7">
              <w:rPr>
                <w:iCs/>
                <w:lang w:eastAsia="lv-LV"/>
              </w:rPr>
              <w:t xml:space="preserve">par to degvielas patēriņa un CO2 emisijas vērtību izmantošanu, kurām veikta tipa apstiprināšana un kuras izmērītas atbilstoši jaunajai pasaulē saskaņotajai vieglo transportlīdzekļu testēšanas procedūrai (WLTP). </w:t>
            </w:r>
            <w:r w:rsidRPr="0050046E" w:rsidR="00D41129">
              <w:rPr>
                <w:iCs/>
                <w:lang w:eastAsia="lv-LV"/>
              </w:rPr>
              <w:t xml:space="preserve">Šāda procedūra jāveic, darot pieejamu informāciju patērētājiem, lai nodrošinātu, ka tiem pēc iespējas drīzāk ir pieejamas precīzākas </w:t>
            </w:r>
            <w:r w:rsidR="0036556C">
              <w:rPr>
                <w:iCs/>
                <w:lang w:eastAsia="lv-LV"/>
              </w:rPr>
              <w:t>CO2</w:t>
            </w:r>
            <w:r w:rsidRPr="0050046E" w:rsidR="00D41129">
              <w:rPr>
                <w:iCs/>
                <w:lang w:eastAsia="lv-LV"/>
              </w:rPr>
              <w:t xml:space="preserve"> vērtības, lai novērstu tirgus izkropļojumus un</w:t>
            </w:r>
            <w:r w:rsidR="006915D0">
              <w:rPr>
                <w:iCs/>
                <w:lang w:eastAsia="lv-LV"/>
              </w:rPr>
              <w:t xml:space="preserve"> nodrošinātu šīs procedūras</w:t>
            </w:r>
            <w:r w:rsidRPr="0050046E" w:rsidR="00D41129">
              <w:rPr>
                <w:iCs/>
                <w:lang w:eastAsia="lv-LV"/>
              </w:rPr>
              <w:t xml:space="preserve"> vienmērīgu un saskaņotu īstenošanu </w:t>
            </w:r>
            <w:r w:rsidR="00D41129">
              <w:rPr>
                <w:iCs/>
                <w:lang w:eastAsia="lv-LV"/>
              </w:rPr>
              <w:t>Eiropas Savienībā</w:t>
            </w:r>
            <w:r w:rsidRPr="0050046E" w:rsidR="00D41129">
              <w:rPr>
                <w:iCs/>
                <w:lang w:eastAsia="lv-LV"/>
              </w:rPr>
              <w:t xml:space="preserve">. </w:t>
            </w:r>
          </w:p>
          <w:p w:rsidRPr="001F3CDB" w:rsidR="001F3CDB" w:rsidP="001F3CDB" w:rsidRDefault="001F3CDB" w14:paraId="54A233BB" w14:textId="2563B4E9">
            <w:pPr>
              <w:jc w:val="both"/>
              <w:rPr>
                <w:iCs/>
                <w:lang w:eastAsia="lv-LV"/>
              </w:rPr>
            </w:pPr>
            <w:r w:rsidRPr="001F3CDB">
              <w:rPr>
                <w:iCs/>
                <w:lang w:eastAsia="lv-LV"/>
              </w:rPr>
              <w:t>2017. gad</w:t>
            </w:r>
            <w:r w:rsidR="008A5016">
              <w:rPr>
                <w:iCs/>
                <w:lang w:eastAsia="lv-LV"/>
              </w:rPr>
              <w:t xml:space="preserve">ā </w:t>
            </w:r>
            <w:r w:rsidRPr="001F3CDB">
              <w:rPr>
                <w:iCs/>
                <w:lang w:eastAsia="lv-LV"/>
              </w:rPr>
              <w:t>sākās WLTP ieviešana jauniem automobiļu modeļiem vai jaunām spēka piedziņām, un WLTP pakāpeniski aizstā</w:t>
            </w:r>
            <w:r>
              <w:rPr>
                <w:iCs/>
                <w:lang w:eastAsia="lv-LV"/>
              </w:rPr>
              <w:t>s</w:t>
            </w:r>
            <w:r w:rsidRPr="001F3CDB">
              <w:rPr>
                <w:iCs/>
                <w:lang w:eastAsia="lv-LV"/>
              </w:rPr>
              <w:t xml:space="preserve"> agrāko testēšanas procesu – Eiropas Jauno braukšanas ciklu (</w:t>
            </w:r>
            <w:proofErr w:type="spellStart"/>
            <w:r w:rsidRPr="001F3CDB">
              <w:rPr>
                <w:iCs/>
                <w:lang w:eastAsia="lv-LV"/>
              </w:rPr>
              <w:t>New</w:t>
            </w:r>
            <w:proofErr w:type="spellEnd"/>
            <w:r w:rsidRPr="001F3CDB">
              <w:rPr>
                <w:iCs/>
                <w:lang w:eastAsia="lv-LV"/>
              </w:rPr>
              <w:t xml:space="preserve"> </w:t>
            </w:r>
            <w:proofErr w:type="spellStart"/>
            <w:r w:rsidRPr="001F3CDB">
              <w:rPr>
                <w:iCs/>
                <w:lang w:eastAsia="lv-LV"/>
              </w:rPr>
              <w:t>European</w:t>
            </w:r>
            <w:proofErr w:type="spellEnd"/>
            <w:r w:rsidRPr="001F3CDB">
              <w:rPr>
                <w:iCs/>
                <w:lang w:eastAsia="lv-LV"/>
              </w:rPr>
              <w:t xml:space="preserve"> </w:t>
            </w:r>
            <w:proofErr w:type="spellStart"/>
            <w:r w:rsidRPr="001F3CDB">
              <w:rPr>
                <w:iCs/>
                <w:lang w:eastAsia="lv-LV"/>
              </w:rPr>
              <w:t>Driving</w:t>
            </w:r>
            <w:proofErr w:type="spellEnd"/>
            <w:r w:rsidRPr="001F3CDB">
              <w:rPr>
                <w:iCs/>
                <w:lang w:eastAsia="lv-LV"/>
              </w:rPr>
              <w:t xml:space="preserve"> </w:t>
            </w:r>
            <w:proofErr w:type="spellStart"/>
            <w:r w:rsidRPr="001F3CDB">
              <w:rPr>
                <w:iCs/>
                <w:lang w:eastAsia="lv-LV"/>
              </w:rPr>
              <w:t>Cycle</w:t>
            </w:r>
            <w:proofErr w:type="spellEnd"/>
            <w:r w:rsidRPr="001F3CDB">
              <w:rPr>
                <w:iCs/>
                <w:lang w:eastAsia="lv-LV"/>
              </w:rPr>
              <w:t>) jeb NEDC.</w:t>
            </w:r>
          </w:p>
          <w:p w:rsidR="001F3CDB" w:rsidP="001F3CDB" w:rsidRDefault="0036556C" w14:paraId="16F8F18E" w14:textId="0B41FE74">
            <w:pPr>
              <w:jc w:val="both"/>
              <w:rPr>
                <w:iCs/>
                <w:lang w:eastAsia="lv-LV"/>
              </w:rPr>
            </w:pPr>
            <w:r w:rsidRPr="0036556C">
              <w:rPr>
                <w:iCs/>
                <w:lang w:eastAsia="lv-LV"/>
              </w:rPr>
              <w:t>Pārejas posmā no NEDC uz WLTP var būt norādītas vērtības pēc abām sistēmā</w:t>
            </w:r>
            <w:r>
              <w:rPr>
                <w:iCs/>
                <w:lang w:eastAsia="lv-LV"/>
              </w:rPr>
              <w:t>m</w:t>
            </w:r>
            <w:r w:rsidRPr="0036556C">
              <w:rPr>
                <w:iCs/>
                <w:lang w:eastAsia="lv-LV"/>
              </w:rPr>
              <w:t>.</w:t>
            </w:r>
          </w:p>
          <w:p w:rsidRPr="005D2891" w:rsidR="00F5543B" w:rsidP="001E5DDF" w:rsidRDefault="005D2891" w14:paraId="608FFB43" w14:textId="0D885DC7">
            <w:pPr>
              <w:jc w:val="both"/>
              <w:rPr>
                <w:iCs/>
                <w:color w:val="FF0000"/>
                <w:lang w:eastAsia="lv-LV"/>
              </w:rPr>
            </w:pPr>
            <w:r>
              <w:rPr>
                <w:iCs/>
                <w:lang w:eastAsia="lv-LV"/>
              </w:rPr>
              <w:t xml:space="preserve">Ievērojot minēto, </w:t>
            </w:r>
            <w:r w:rsidR="00D41129">
              <w:rPr>
                <w:iCs/>
                <w:lang w:eastAsia="lv-LV"/>
              </w:rPr>
              <w:t xml:space="preserve">Likumprojekts paredz no 2021. gada 1. janvāra tiem transportlīdzekļiem, kam ir zināms </w:t>
            </w:r>
            <w:r w:rsidRPr="005D2891" w:rsidR="00D41129">
              <w:rPr>
                <w:iCs/>
                <w:lang w:eastAsia="lv-LV"/>
              </w:rPr>
              <w:t>tikai</w:t>
            </w:r>
            <w:r w:rsidR="00D41129">
              <w:rPr>
                <w:iCs/>
                <w:lang w:eastAsia="lv-LV"/>
              </w:rPr>
              <w:t xml:space="preserve"> WLTP izmešu rādītājs, noteikt jaunās t</w:t>
            </w:r>
            <w:r w:rsidRPr="00D41129" w:rsidR="00D41129">
              <w:rPr>
                <w:iCs/>
                <w:lang w:eastAsia="lv-LV"/>
              </w:rPr>
              <w:t>ransportlīdzekļa ekspluatācijas nodok</w:t>
            </w:r>
            <w:r w:rsidR="00D41129">
              <w:rPr>
                <w:iCs/>
                <w:lang w:eastAsia="lv-LV"/>
              </w:rPr>
              <w:t>ļa likmes</w:t>
            </w:r>
            <w:r>
              <w:rPr>
                <w:iCs/>
                <w:lang w:eastAsia="lv-LV"/>
              </w:rPr>
              <w:t xml:space="preserve"> atbilstoši CO2 izmešu līmenim</w:t>
            </w:r>
            <w:r w:rsidR="002A7B53">
              <w:rPr>
                <w:iCs/>
                <w:lang w:eastAsia="lv-LV"/>
              </w:rPr>
              <w:t>.</w:t>
            </w:r>
          </w:p>
          <w:p w:rsidR="00D61091" w:rsidP="001E5DDF" w:rsidRDefault="00D61091" w14:paraId="613FBD6C" w14:textId="60F9B7D3">
            <w:pPr>
              <w:jc w:val="both"/>
              <w:rPr>
                <w:iCs/>
                <w:lang w:eastAsia="lv-LV"/>
              </w:rPr>
            </w:pPr>
            <w:r w:rsidRPr="005D2891">
              <w:rPr>
                <w:iCs/>
                <w:lang w:eastAsia="lv-LV"/>
              </w:rPr>
              <w:t xml:space="preserve">Transportlīdzekļa ekspluatācijas nodokļa likmes par </w:t>
            </w:r>
            <w:proofErr w:type="spellStart"/>
            <w:r w:rsidRPr="005D2891">
              <w:rPr>
                <w:iCs/>
                <w:lang w:eastAsia="lv-LV"/>
              </w:rPr>
              <w:t>divasu</w:t>
            </w:r>
            <w:proofErr w:type="spellEnd"/>
            <w:r w:rsidRPr="005D2891">
              <w:rPr>
                <w:iCs/>
                <w:lang w:eastAsia="lv-LV"/>
              </w:rPr>
              <w:t xml:space="preserve">, </w:t>
            </w:r>
            <w:proofErr w:type="spellStart"/>
            <w:r w:rsidRPr="005D2891">
              <w:rPr>
                <w:iCs/>
                <w:lang w:eastAsia="lv-LV"/>
              </w:rPr>
              <w:t>trīsasu</w:t>
            </w:r>
            <w:proofErr w:type="spellEnd"/>
            <w:r w:rsidRPr="005D2891">
              <w:rPr>
                <w:iCs/>
                <w:lang w:eastAsia="lv-LV"/>
              </w:rPr>
              <w:t xml:space="preserve"> un vairāk asu piekabēm </w:t>
            </w:r>
            <w:r w:rsidRPr="005D2891" w:rsidR="005D2891">
              <w:rPr>
                <w:iCs/>
                <w:lang w:eastAsia="lv-LV"/>
              </w:rPr>
              <w:t xml:space="preserve">šobrīd </w:t>
            </w:r>
            <w:r w:rsidRPr="005D2891">
              <w:rPr>
                <w:iCs/>
                <w:lang w:eastAsia="lv-LV"/>
              </w:rPr>
              <w:t xml:space="preserve">piemēro atkarībā no šo piekabju asu skaita, pilnas masas un šīs piekabes velkošo kravas automobiļu pilnas masas, asu skaita un dzenošā tilta atsperojuma veida (pneimatiskais vai mehāniskais atsperojums). Likumprojekts paredz </w:t>
            </w:r>
            <w:r w:rsidRPr="00D61091">
              <w:rPr>
                <w:iCs/>
                <w:lang w:eastAsia="lv-LV"/>
              </w:rPr>
              <w:t>no 2021.gada</w:t>
            </w:r>
            <w:r>
              <w:rPr>
                <w:iCs/>
                <w:lang w:eastAsia="lv-LV"/>
              </w:rPr>
              <w:t xml:space="preserve"> pilnveidot </w:t>
            </w:r>
            <w:r w:rsidRPr="00D61091">
              <w:rPr>
                <w:iCs/>
                <w:lang w:eastAsia="lv-LV"/>
              </w:rPr>
              <w:t>Transportlīdzekļa ekspluatācijas nodokļa likmes piekabēm</w:t>
            </w:r>
            <w:r>
              <w:rPr>
                <w:iCs/>
                <w:lang w:eastAsia="lv-LV"/>
              </w:rPr>
              <w:t>, piemērojot tās atkarībā no piekabju masas un asu skaita.</w:t>
            </w:r>
          </w:p>
          <w:p w:rsidR="00711C66" w:rsidP="001E5DDF" w:rsidRDefault="00D61091" w14:paraId="6BD7D811" w14:textId="17281E2A">
            <w:pPr>
              <w:jc w:val="both"/>
              <w:rPr>
                <w:iCs/>
                <w:lang w:eastAsia="lv-LV"/>
              </w:rPr>
            </w:pPr>
            <w:r w:rsidRPr="005D2891">
              <w:rPr>
                <w:iCs/>
                <w:lang w:eastAsia="lv-LV"/>
              </w:rPr>
              <w:t xml:space="preserve">Transportlīdzekļa ekspluatācijas nodokļa likmes par </w:t>
            </w:r>
            <w:proofErr w:type="spellStart"/>
            <w:r w:rsidRPr="005D2891">
              <w:rPr>
                <w:iCs/>
                <w:lang w:eastAsia="lv-LV"/>
              </w:rPr>
              <w:t>divasu</w:t>
            </w:r>
            <w:proofErr w:type="spellEnd"/>
            <w:r w:rsidRPr="005D2891">
              <w:rPr>
                <w:iCs/>
                <w:lang w:eastAsia="lv-LV"/>
              </w:rPr>
              <w:t xml:space="preserve">, </w:t>
            </w:r>
            <w:proofErr w:type="spellStart"/>
            <w:r w:rsidRPr="005D2891">
              <w:rPr>
                <w:iCs/>
                <w:lang w:eastAsia="lv-LV"/>
              </w:rPr>
              <w:t>trīsasu</w:t>
            </w:r>
            <w:proofErr w:type="spellEnd"/>
            <w:r w:rsidRPr="005D2891">
              <w:rPr>
                <w:iCs/>
                <w:lang w:eastAsia="lv-LV"/>
              </w:rPr>
              <w:t xml:space="preserve"> un vairāk asu puspiekabēm piemēro atkarībā no šo puspiekabju asu skaita, pilnas masas un šīs puspiekabes velkošo seglu vilcēju pašmasas, asu skaita un dzenošā tilta atsperojuma veida (pneimatiskais vai mehāniskais atsperojums).</w:t>
            </w:r>
            <w:r w:rsidR="008274FB">
              <w:rPr>
                <w:iCs/>
                <w:lang w:eastAsia="lv-LV"/>
              </w:rPr>
              <w:t xml:space="preserve"> </w:t>
            </w:r>
            <w:r w:rsidRPr="005D2891">
              <w:rPr>
                <w:iCs/>
                <w:lang w:eastAsia="lv-LV"/>
              </w:rPr>
              <w:t xml:space="preserve">Likumprojekts paredz </w:t>
            </w:r>
            <w:r w:rsidRPr="00D61091">
              <w:rPr>
                <w:iCs/>
                <w:lang w:eastAsia="lv-LV"/>
              </w:rPr>
              <w:t>no 2021.gada</w:t>
            </w:r>
            <w:r>
              <w:rPr>
                <w:iCs/>
                <w:lang w:eastAsia="lv-LV"/>
              </w:rPr>
              <w:t xml:space="preserve"> pilnveidot </w:t>
            </w:r>
            <w:r w:rsidRPr="00D61091">
              <w:rPr>
                <w:iCs/>
                <w:lang w:eastAsia="lv-LV"/>
              </w:rPr>
              <w:t xml:space="preserve">Transportlīdzekļa ekspluatācijas nodokļa likmes </w:t>
            </w:r>
            <w:r>
              <w:rPr>
                <w:iCs/>
                <w:lang w:eastAsia="lv-LV"/>
              </w:rPr>
              <w:t>pus</w:t>
            </w:r>
            <w:r w:rsidRPr="00D61091">
              <w:rPr>
                <w:iCs/>
                <w:lang w:eastAsia="lv-LV"/>
              </w:rPr>
              <w:t>piekabēm</w:t>
            </w:r>
            <w:r>
              <w:rPr>
                <w:iCs/>
                <w:lang w:eastAsia="lv-LV"/>
              </w:rPr>
              <w:t>, piemērojot tās atkarībā no piekabju masas un asu skaita.</w:t>
            </w:r>
          </w:p>
          <w:p w:rsidRPr="00096CE5" w:rsidR="00096CE5" w:rsidP="00096CE5" w:rsidRDefault="00096CE5" w14:paraId="407DA369" w14:textId="77777777">
            <w:pPr>
              <w:jc w:val="both"/>
              <w:rPr>
                <w:iCs/>
                <w:lang w:eastAsia="lv-LV"/>
              </w:rPr>
            </w:pPr>
            <w:r w:rsidRPr="00096CE5">
              <w:rPr>
                <w:iCs/>
                <w:lang w:eastAsia="lv-LV"/>
              </w:rPr>
              <w:lastRenderedPageBreak/>
              <w:t>Uzņēmumu vieglo transportlīdzekļu nodokļa (turpmāk - UVTN) likmes ir noteiktas kā nemainīgs skaitlis, nevis izteiktas procentuālā izteiksmē, kā tas ir lielākajai daļai nodokļu. Tādējādi šāda veida nodokļa likmes paliek nemainīgas, neskatoties uz patēriņa cenu indeksa izmaiņām. Ņemot to vērā, ir nepieciešams pārskatīt UVTN likmes ik pēc noteikta laika perioda un veikt to indeksēšanu atbilstoši inflācijas apjomam.</w:t>
            </w:r>
          </w:p>
          <w:p w:rsidRPr="00096CE5" w:rsidR="00096CE5" w:rsidP="00096CE5" w:rsidRDefault="00096CE5" w14:paraId="328C5E48" w14:textId="77777777">
            <w:pPr>
              <w:jc w:val="both"/>
              <w:rPr>
                <w:iCs/>
                <w:lang w:eastAsia="lv-LV"/>
              </w:rPr>
            </w:pPr>
            <w:r w:rsidRPr="00096CE5">
              <w:rPr>
                <w:iCs/>
                <w:lang w:eastAsia="lv-LV"/>
              </w:rPr>
              <w:t xml:space="preserve">Ievērojot to, likumprojekts paredz, ka UVTN likmes tiek palielinātas, ņemot vērā patēriņa cenu indeksa izmaiņas, sākot no 2017.gada. Iepriekš UVTN likmes indeksēja, ņemot vērā Centrālās statistikas pārvaldes aprēķinātā patēriņa cenu indeksa izmaiņas 2014.gadā pret 2010.gadu un tās attiecīgi tika piemērotas, sākot ar 2016.gada 1.janvāri. </w:t>
            </w:r>
          </w:p>
          <w:p w:rsidRPr="00096CE5" w:rsidR="00096CE5" w:rsidP="00096CE5" w:rsidRDefault="00096CE5" w14:paraId="4E09C3C7" w14:textId="77777777">
            <w:pPr>
              <w:jc w:val="both"/>
              <w:rPr>
                <w:iCs/>
                <w:lang w:eastAsia="lv-LV"/>
              </w:rPr>
            </w:pPr>
            <w:r w:rsidRPr="00096CE5">
              <w:rPr>
                <w:iCs/>
                <w:lang w:eastAsia="lv-LV"/>
              </w:rPr>
              <w:t xml:space="preserve">Ņemot vērā to, ka šobrīd būtiski ir stiprināt rīcību klimata pārmaiņu mazināšanai, tad kā viens no pasākumiem ir mēģināt ierobežot komersantus izmantot automobiļus ar liela tilpuma motoru privātajām vajadzībām. </w:t>
            </w:r>
          </w:p>
          <w:p w:rsidRPr="004829C0" w:rsidR="00096CE5" w:rsidP="001E5DDF" w:rsidRDefault="00096CE5" w14:paraId="75BEDDC3" w14:textId="4512142A">
            <w:pPr>
              <w:jc w:val="both"/>
              <w:rPr>
                <w:iCs/>
                <w:lang w:eastAsia="lv-LV"/>
              </w:rPr>
            </w:pPr>
            <w:r w:rsidRPr="00096CE5">
              <w:rPr>
                <w:iCs/>
                <w:lang w:eastAsia="lv-LV"/>
              </w:rPr>
              <w:t xml:space="preserve">Līdz ar to papildus iepriekšminētajām izmaiņām atsevišķi ir izdalīti transportlīdzekļi ar lielu motora tilpuma, proti, automobiļiem ar motora tilpumu, kas pārsniedz 3000 cm3, tiek noteikta jauna UVTN likme 82 </w:t>
            </w:r>
            <w:proofErr w:type="spellStart"/>
            <w:r w:rsidRPr="00096CE5">
              <w:rPr>
                <w:iCs/>
                <w:lang w:eastAsia="lv-LV"/>
              </w:rPr>
              <w:t>euro</w:t>
            </w:r>
            <w:proofErr w:type="spellEnd"/>
            <w:r w:rsidRPr="00096CE5">
              <w:rPr>
                <w:iCs/>
                <w:lang w:eastAsia="lv-LV"/>
              </w:rPr>
              <w:t xml:space="preserve"> apmērā.</w:t>
            </w:r>
          </w:p>
          <w:p w:rsidRPr="00E529E2" w:rsidR="001E5DDF" w:rsidP="001E5DDF" w:rsidRDefault="001E5DDF" w14:paraId="230F9BF8" w14:textId="1E983516">
            <w:pPr>
              <w:jc w:val="both"/>
              <w:rPr>
                <w:iCs/>
                <w:lang w:eastAsia="lv-LV"/>
              </w:rPr>
            </w:pPr>
          </w:p>
        </w:tc>
      </w:tr>
      <w:tr w:rsidRPr="00E529E2" w:rsidR="00A13E24" w:rsidTr="00767500" w14:paraId="562CC7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1A2A1040" w14:textId="77777777">
            <w:pPr>
              <w:rPr>
                <w:iCs/>
                <w:lang w:eastAsia="lv-LV"/>
              </w:rPr>
            </w:pPr>
            <w:r w:rsidRPr="00E529E2">
              <w:rPr>
                <w:iCs/>
                <w:lang w:eastAsia="lv-LV"/>
              </w:rPr>
              <w:lastRenderedPageBreak/>
              <w:t>3.</w:t>
            </w:r>
          </w:p>
        </w:tc>
        <w:tc>
          <w:tcPr>
            <w:tcW w:w="1302" w:type="pct"/>
            <w:tcBorders>
              <w:top w:val="outset" w:color="auto" w:sz="6" w:space="0"/>
              <w:left w:val="outset" w:color="auto" w:sz="6" w:space="0"/>
              <w:bottom w:val="outset" w:color="auto" w:sz="6" w:space="0"/>
              <w:right w:val="outset" w:color="auto" w:sz="6" w:space="0"/>
            </w:tcBorders>
            <w:hideMark/>
          </w:tcPr>
          <w:p w:rsidRPr="00E529E2" w:rsidR="00E5323B" w:rsidP="00836C3A" w:rsidRDefault="00E5323B" w14:paraId="5ABE1EB2" w14:textId="77777777">
            <w:pPr>
              <w:jc w:val="both"/>
              <w:rPr>
                <w:iCs/>
                <w:lang w:eastAsia="lv-LV"/>
              </w:rPr>
            </w:pPr>
            <w:r w:rsidRPr="00E529E2">
              <w:rPr>
                <w:iCs/>
                <w:lang w:eastAsia="lv-LV"/>
              </w:rPr>
              <w:t>Projekta izstrādē iesaistītās institūcijas un publiskas personas kapitālsabiedrības</w:t>
            </w:r>
          </w:p>
        </w:tc>
        <w:tc>
          <w:tcPr>
            <w:tcW w:w="3336" w:type="pct"/>
            <w:tcBorders>
              <w:top w:val="outset" w:color="auto" w:sz="6" w:space="0"/>
              <w:left w:val="outset" w:color="auto" w:sz="6" w:space="0"/>
              <w:bottom w:val="outset" w:color="auto" w:sz="6" w:space="0"/>
              <w:right w:val="outset" w:color="auto" w:sz="6" w:space="0"/>
            </w:tcBorders>
            <w:hideMark/>
          </w:tcPr>
          <w:p w:rsidRPr="00E529E2" w:rsidR="00E5323B" w:rsidP="002C67D6" w:rsidRDefault="009729BD" w14:paraId="4AAC7C63" w14:textId="0F080ABB">
            <w:pPr>
              <w:jc w:val="both"/>
              <w:rPr>
                <w:iCs/>
                <w:lang w:eastAsia="lv-LV"/>
              </w:rPr>
            </w:pPr>
            <w:r w:rsidRPr="00E529E2">
              <w:rPr>
                <w:iCs/>
                <w:lang w:eastAsia="lv-LV"/>
              </w:rPr>
              <w:t>Satiksmes ministrija,</w:t>
            </w:r>
            <w:r w:rsidR="00096CE5">
              <w:rPr>
                <w:iCs/>
                <w:lang w:eastAsia="lv-LV"/>
              </w:rPr>
              <w:t xml:space="preserve"> Finanšu ministrija, </w:t>
            </w:r>
            <w:r w:rsidRPr="00E529E2" w:rsidR="00A935E3">
              <w:rPr>
                <w:iCs/>
                <w:lang w:eastAsia="lv-LV"/>
              </w:rPr>
              <w:t>VAS</w:t>
            </w:r>
            <w:r w:rsidRPr="00E529E2" w:rsidR="0059578D">
              <w:rPr>
                <w:iCs/>
                <w:lang w:eastAsia="lv-LV"/>
              </w:rPr>
              <w:t xml:space="preserve"> </w:t>
            </w:r>
            <w:r w:rsidRPr="00E529E2" w:rsidR="00A935E3">
              <w:rPr>
                <w:iCs/>
                <w:lang w:eastAsia="lv-LV"/>
              </w:rPr>
              <w:t>“</w:t>
            </w:r>
            <w:r w:rsidRPr="00E529E2" w:rsidR="0059578D">
              <w:rPr>
                <w:iCs/>
                <w:lang w:eastAsia="lv-LV"/>
              </w:rPr>
              <w:t>Ceļu satiksmes drošības direkcija</w:t>
            </w:r>
            <w:r w:rsidRPr="00E529E2" w:rsidR="00A935E3">
              <w:rPr>
                <w:iCs/>
                <w:lang w:eastAsia="lv-LV"/>
              </w:rPr>
              <w:t>”</w:t>
            </w:r>
            <w:r w:rsidR="00232759">
              <w:rPr>
                <w:iCs/>
                <w:lang w:eastAsia="lv-LV"/>
              </w:rPr>
              <w:t xml:space="preserve">, </w:t>
            </w:r>
            <w:r w:rsidRPr="00232759" w:rsidR="00232759">
              <w:rPr>
                <w:iCs/>
                <w:lang w:eastAsia="lv-LV"/>
              </w:rPr>
              <w:t>Latvijas Darba devēju konfederācija, Latvijas Tirdzniecības un rūpniecības kamera, Biedrība "Auto Asociācija"</w:t>
            </w:r>
            <w:r w:rsidR="00096CE5">
              <w:rPr>
                <w:iCs/>
                <w:lang w:eastAsia="lv-LV"/>
              </w:rPr>
              <w:t>.</w:t>
            </w:r>
          </w:p>
        </w:tc>
      </w:tr>
      <w:tr w:rsidRPr="00E529E2" w:rsidR="00A13E24" w:rsidTr="00767500" w14:paraId="14088C9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0EDFABFC" w14:textId="77777777">
            <w:pPr>
              <w:rPr>
                <w:iCs/>
                <w:lang w:eastAsia="lv-LV"/>
              </w:rPr>
            </w:pPr>
            <w:r w:rsidRPr="00E529E2">
              <w:rPr>
                <w:iCs/>
                <w:lang w:eastAsia="lv-LV"/>
              </w:rPr>
              <w:t>4.</w:t>
            </w:r>
          </w:p>
        </w:tc>
        <w:tc>
          <w:tcPr>
            <w:tcW w:w="1302"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35D58D1B" w14:textId="77777777">
            <w:pPr>
              <w:rPr>
                <w:iCs/>
                <w:lang w:eastAsia="lv-LV"/>
              </w:rPr>
            </w:pPr>
            <w:r w:rsidRPr="00E529E2">
              <w:rPr>
                <w:iCs/>
                <w:lang w:eastAsia="lv-LV"/>
              </w:rPr>
              <w:t>Cita informācija</w:t>
            </w:r>
          </w:p>
        </w:tc>
        <w:tc>
          <w:tcPr>
            <w:tcW w:w="3336" w:type="pct"/>
            <w:tcBorders>
              <w:top w:val="outset" w:color="auto" w:sz="6" w:space="0"/>
              <w:left w:val="outset" w:color="auto" w:sz="6" w:space="0"/>
              <w:bottom w:val="outset" w:color="auto" w:sz="6" w:space="0"/>
              <w:right w:val="outset" w:color="auto" w:sz="6" w:space="0"/>
            </w:tcBorders>
            <w:hideMark/>
          </w:tcPr>
          <w:p w:rsidRPr="00E529E2" w:rsidR="00E5323B" w:rsidP="00E7614A" w:rsidRDefault="0059578D" w14:paraId="5C93253D" w14:textId="598C7711">
            <w:pPr>
              <w:jc w:val="both"/>
              <w:rPr>
                <w:iCs/>
                <w:lang w:eastAsia="lv-LV"/>
              </w:rPr>
            </w:pPr>
            <w:r w:rsidRPr="00E529E2">
              <w:rPr>
                <w:iCs/>
                <w:lang w:eastAsia="lv-LV"/>
              </w:rPr>
              <w:t>Nav</w:t>
            </w:r>
            <w:r w:rsidRPr="00E529E2" w:rsidR="009729BD">
              <w:rPr>
                <w:iCs/>
                <w:lang w:eastAsia="lv-LV"/>
              </w:rPr>
              <w:t>.</w:t>
            </w:r>
          </w:p>
        </w:tc>
      </w:tr>
    </w:tbl>
    <w:p w:rsidRPr="00E529E2" w:rsidR="00E5323B" w:rsidP="00E5323B" w:rsidRDefault="00E5323B" w14:paraId="27069197" w14:textId="77777777">
      <w:pPr>
        <w:rPr>
          <w:iCs/>
          <w:lang w:eastAsia="lv-LV"/>
        </w:rPr>
      </w:pPr>
      <w:r w:rsidRPr="00E529E2">
        <w:rPr>
          <w:iCs/>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29E2" w:rsidR="00A13E24" w:rsidTr="00E5323B" w14:paraId="64CF26B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420C16B0" w14:textId="77777777">
            <w:pPr>
              <w:jc w:val="center"/>
              <w:rPr>
                <w:b/>
                <w:bCs/>
                <w:iCs/>
                <w:lang w:eastAsia="lv-LV"/>
              </w:rPr>
            </w:pPr>
            <w:r w:rsidRPr="00E529E2">
              <w:rPr>
                <w:b/>
                <w:bCs/>
                <w:iCs/>
                <w:lang w:eastAsia="lv-LV"/>
              </w:rPr>
              <w:t>II. Tiesību akta projekta ietekme uz sabiedrību, tautsaimniecības attīstību un administratīvo slogu</w:t>
            </w:r>
          </w:p>
        </w:tc>
      </w:tr>
      <w:tr w:rsidRPr="00E529E2" w:rsidR="00A13E24" w:rsidTr="00E5323B" w14:paraId="6A14F8E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7A0C3C73" w14:textId="77777777">
            <w:pPr>
              <w:rPr>
                <w:iCs/>
                <w:lang w:eastAsia="lv-LV"/>
              </w:rPr>
            </w:pPr>
            <w:r w:rsidRPr="00E529E2">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836C3A" w:rsidRDefault="00E5323B" w14:paraId="4277F40D" w14:textId="77777777">
            <w:pPr>
              <w:jc w:val="both"/>
              <w:rPr>
                <w:iCs/>
                <w:lang w:eastAsia="lv-LV"/>
              </w:rPr>
            </w:pPr>
            <w:r w:rsidRPr="00E529E2">
              <w:rPr>
                <w:iCs/>
                <w:lang w:eastAsia="lv-LV"/>
              </w:rPr>
              <w:t xml:space="preserve">Sabiedrības </w:t>
            </w:r>
            <w:proofErr w:type="spellStart"/>
            <w:r w:rsidRPr="00E529E2">
              <w:rPr>
                <w:iCs/>
                <w:lang w:eastAsia="lv-LV"/>
              </w:rPr>
              <w:t>mērķgrupas</w:t>
            </w:r>
            <w:proofErr w:type="spellEnd"/>
            <w:r w:rsidRPr="00E529E2">
              <w:rPr>
                <w:iCs/>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227A95" w:rsidRDefault="007C63A7" w14:paraId="0EDA5C56" w14:textId="66340C12">
            <w:pPr>
              <w:jc w:val="both"/>
            </w:pPr>
            <w:r w:rsidRPr="007C63A7">
              <w:t>Likumprojekts attiecas uz transportlīdzekļu ekspluatācijas nodokļa</w:t>
            </w:r>
            <w:r w:rsidR="00E6201E">
              <w:t xml:space="preserve"> maksātājiem</w:t>
            </w:r>
            <w:r w:rsidR="00096CE5">
              <w:t xml:space="preserve"> un </w:t>
            </w:r>
            <w:r w:rsidRPr="00096CE5" w:rsidR="00096CE5">
              <w:t>komersantiem, ārvalsts komersanta filiālēm un zemnieku saimniecībām, kuri savā īpašumā vai turējumā reģistrētu transportlīdzekli izmanto ne tikai savas saimnieciskās darbības nodrošināšanai, bet arī privātām vajadzībām.</w:t>
            </w:r>
          </w:p>
        </w:tc>
      </w:tr>
      <w:tr w:rsidRPr="00E529E2" w:rsidR="00A13E24" w:rsidTr="00E5323B" w14:paraId="3E45599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419D8F75" w14:textId="77777777">
            <w:pPr>
              <w:rPr>
                <w:iCs/>
                <w:lang w:eastAsia="lv-LV"/>
              </w:rPr>
            </w:pPr>
            <w:r w:rsidRPr="00E529E2">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AB02CD" w:rsidRDefault="00E5323B" w14:paraId="549557AA" w14:textId="77777777">
            <w:pPr>
              <w:jc w:val="both"/>
              <w:rPr>
                <w:iCs/>
                <w:lang w:eastAsia="lv-LV"/>
              </w:rPr>
            </w:pPr>
            <w:r w:rsidRPr="0036556C">
              <w:rPr>
                <w:iCs/>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BD60E6" w:rsidRDefault="0036556C" w14:paraId="0050FEA3" w14:textId="0E0668CF">
            <w:pPr>
              <w:jc w:val="both"/>
              <w:rPr>
                <w:iCs/>
                <w:lang w:eastAsia="lv-LV"/>
              </w:rPr>
            </w:pPr>
            <w:r w:rsidRPr="0036556C">
              <w:rPr>
                <w:iCs/>
                <w:lang w:eastAsia="lv-LV"/>
              </w:rPr>
              <w:t>Projekts šo jomu neskar.</w:t>
            </w:r>
          </w:p>
        </w:tc>
      </w:tr>
      <w:tr w:rsidRPr="00E529E2" w:rsidR="00A13E24" w:rsidTr="00E5323B" w14:paraId="56CA8DA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058A5C9C" w14:textId="77777777">
            <w:pPr>
              <w:rPr>
                <w:iCs/>
                <w:lang w:eastAsia="lv-LV"/>
              </w:rPr>
            </w:pPr>
            <w:r w:rsidRPr="00E529E2">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280F865E" w14:textId="77777777">
            <w:pPr>
              <w:rPr>
                <w:iCs/>
                <w:lang w:eastAsia="lv-LV"/>
              </w:rPr>
            </w:pPr>
            <w:r w:rsidRPr="00E529E2">
              <w:rPr>
                <w:iCs/>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6E1C21" w14:paraId="76A298BD" w14:textId="4E79303E">
            <w:pPr>
              <w:rPr>
                <w:iCs/>
                <w:lang w:eastAsia="lv-LV"/>
              </w:rPr>
            </w:pPr>
            <w:r w:rsidRPr="00E529E2">
              <w:rPr>
                <w:lang w:eastAsia="lv-LV"/>
              </w:rPr>
              <w:t>Projekts šo jomu neskar.</w:t>
            </w:r>
          </w:p>
        </w:tc>
      </w:tr>
      <w:tr w:rsidRPr="00E529E2" w:rsidR="00A13E24" w:rsidTr="00E5323B" w14:paraId="70EDB8C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33A86D2C" w14:textId="77777777">
            <w:pPr>
              <w:rPr>
                <w:iCs/>
                <w:lang w:eastAsia="lv-LV"/>
              </w:rPr>
            </w:pPr>
            <w:r w:rsidRPr="00E529E2">
              <w:rPr>
                <w:iCs/>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836C3A" w:rsidRDefault="00E5323B" w14:paraId="5F710B59" w14:textId="77777777">
            <w:pPr>
              <w:jc w:val="both"/>
              <w:rPr>
                <w:iCs/>
                <w:lang w:eastAsia="lv-LV"/>
              </w:rPr>
            </w:pPr>
            <w:r w:rsidRPr="00E529E2">
              <w:rPr>
                <w:iCs/>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6E1C21" w14:paraId="0ECD316C" w14:textId="69A232BE">
            <w:pPr>
              <w:rPr>
                <w:iCs/>
                <w:lang w:eastAsia="lv-LV"/>
              </w:rPr>
            </w:pPr>
            <w:r w:rsidRPr="00E529E2">
              <w:rPr>
                <w:lang w:eastAsia="lv-LV"/>
              </w:rPr>
              <w:t>Projekts šo jomu neskar.</w:t>
            </w:r>
          </w:p>
        </w:tc>
      </w:tr>
      <w:tr w:rsidRPr="00E529E2" w:rsidR="00A13E24" w:rsidTr="00E5323B" w14:paraId="662211B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6AD67B23" w14:textId="77777777">
            <w:pPr>
              <w:rPr>
                <w:iCs/>
                <w:lang w:eastAsia="lv-LV"/>
              </w:rPr>
            </w:pPr>
            <w:r w:rsidRPr="00E529E2">
              <w:rPr>
                <w:iCs/>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413EED9E" w14:textId="77777777">
            <w:pPr>
              <w:rPr>
                <w:iCs/>
                <w:lang w:eastAsia="lv-LV"/>
              </w:rPr>
            </w:pPr>
            <w:r w:rsidRPr="00E529E2">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6E1C21" w14:paraId="262EA2A3" w14:textId="33EBEA93">
            <w:pPr>
              <w:rPr>
                <w:iCs/>
                <w:lang w:eastAsia="lv-LV"/>
              </w:rPr>
            </w:pPr>
            <w:r w:rsidRPr="00E529E2">
              <w:rPr>
                <w:iCs/>
                <w:lang w:eastAsia="lv-LV"/>
              </w:rPr>
              <w:t>Nav.</w:t>
            </w:r>
          </w:p>
        </w:tc>
      </w:tr>
    </w:tbl>
    <w:p w:rsidR="00FF4B8C" w:rsidP="00E5323B" w:rsidRDefault="00FF4B8C" w14:paraId="6F929F11" w14:textId="127477A1">
      <w:pPr>
        <w:rPr>
          <w:iCs/>
          <w:highlight w:val="yellow"/>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133"/>
        <w:gridCol w:w="511"/>
        <w:gridCol w:w="616"/>
        <w:gridCol w:w="1134"/>
        <w:gridCol w:w="1276"/>
        <w:gridCol w:w="1134"/>
        <w:gridCol w:w="1134"/>
        <w:gridCol w:w="1044"/>
        <w:gridCol w:w="1023"/>
        <w:gridCol w:w="50"/>
      </w:tblGrid>
      <w:tr w:rsidRPr="002C76E0" w:rsidR="00FF4B8C" w:rsidTr="005C764F" w14:paraId="36536D48" w14:textId="77777777">
        <w:trPr>
          <w:gridAfter w:val="1"/>
          <w:wAfter w:w="5" w:type="dxa"/>
          <w:tblCellSpacing w:w="15" w:type="dxa"/>
        </w:trPr>
        <w:tc>
          <w:tcPr>
            <w:tcW w:w="8960" w:type="dxa"/>
            <w:gridSpan w:val="9"/>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66ED3D3E" w14:textId="77777777">
            <w:pPr>
              <w:jc w:val="center"/>
              <w:rPr>
                <w:b/>
                <w:bCs/>
                <w:iCs/>
                <w:lang w:eastAsia="lv-LV"/>
              </w:rPr>
            </w:pPr>
            <w:r w:rsidRPr="002C76E0">
              <w:rPr>
                <w:b/>
                <w:bCs/>
                <w:iCs/>
                <w:lang w:eastAsia="lv-LV"/>
              </w:rPr>
              <w:lastRenderedPageBreak/>
              <w:t>III. Tiesību akta projekta ietekme uz valsts budžetu un pašvaldību budžetiem</w:t>
            </w:r>
          </w:p>
        </w:tc>
      </w:tr>
      <w:tr w:rsidRPr="002C76E0" w:rsidR="00FF4B8C" w:rsidTr="005C764F" w14:paraId="183D45D2" w14:textId="77777777">
        <w:trPr>
          <w:gridAfter w:val="1"/>
          <w:wAfter w:w="5" w:type="dxa"/>
          <w:tblCellSpacing w:w="15" w:type="dxa"/>
        </w:trPr>
        <w:tc>
          <w:tcPr>
            <w:tcW w:w="1088" w:type="dxa"/>
            <w:vMerge w:val="restart"/>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3994435D" w14:textId="77777777">
            <w:pPr>
              <w:rPr>
                <w:iCs/>
                <w:lang w:eastAsia="lv-LV"/>
              </w:rPr>
            </w:pPr>
            <w:r w:rsidRPr="002C76E0">
              <w:rPr>
                <w:iCs/>
                <w:lang w:eastAsia="lv-LV"/>
              </w:rPr>
              <w:t>Rādītāji</w:t>
            </w:r>
          </w:p>
        </w:tc>
        <w:tc>
          <w:tcPr>
            <w:tcW w:w="2231" w:type="dxa"/>
            <w:gridSpan w:val="3"/>
            <w:vMerge w:val="restart"/>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07E92952" w14:textId="36A78EB0">
            <w:pPr>
              <w:rPr>
                <w:iCs/>
                <w:lang w:eastAsia="lv-LV"/>
              </w:rPr>
            </w:pPr>
            <w:r w:rsidRPr="002C76E0">
              <w:rPr>
                <w:iCs/>
                <w:lang w:eastAsia="lv-LV"/>
              </w:rPr>
              <w:t>20</w:t>
            </w:r>
            <w:r>
              <w:rPr>
                <w:iCs/>
                <w:lang w:eastAsia="lv-LV"/>
              </w:rPr>
              <w:t>20</w:t>
            </w:r>
            <w:r w:rsidRPr="002C76E0">
              <w:rPr>
                <w:iCs/>
                <w:lang w:eastAsia="lv-LV"/>
              </w:rPr>
              <w:t>. gads</w:t>
            </w:r>
          </w:p>
        </w:tc>
        <w:tc>
          <w:tcPr>
            <w:tcW w:w="5581" w:type="dxa"/>
            <w:gridSpan w:val="5"/>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16E2DCCC" w14:textId="77777777">
            <w:pPr>
              <w:rPr>
                <w:iCs/>
                <w:lang w:eastAsia="lv-LV"/>
              </w:rPr>
            </w:pPr>
            <w:r w:rsidRPr="002C76E0">
              <w:rPr>
                <w:iCs/>
                <w:lang w:eastAsia="lv-LV"/>
              </w:rPr>
              <w:t>Turpmākie trīs gadi (</w:t>
            </w:r>
            <w:proofErr w:type="spellStart"/>
            <w:r w:rsidRPr="002C76E0">
              <w:rPr>
                <w:i/>
                <w:iCs/>
                <w:lang w:eastAsia="lv-LV"/>
              </w:rPr>
              <w:t>euro</w:t>
            </w:r>
            <w:proofErr w:type="spellEnd"/>
            <w:r w:rsidRPr="002C76E0">
              <w:rPr>
                <w:iCs/>
                <w:lang w:eastAsia="lv-LV"/>
              </w:rPr>
              <w:t>)</w:t>
            </w:r>
          </w:p>
        </w:tc>
      </w:tr>
      <w:tr w:rsidRPr="002C76E0" w:rsidR="00FF4B8C" w:rsidTr="005C764F" w14:paraId="1B586609" w14:textId="77777777">
        <w:trPr>
          <w:gridAfter w:val="1"/>
          <w:wAfter w:w="5" w:type="dxa"/>
          <w:tblCellSpacing w:w="15" w:type="dxa"/>
        </w:trPr>
        <w:tc>
          <w:tcPr>
            <w:tcW w:w="1088" w:type="dxa"/>
            <w:vMerge/>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01AC3640" w14:textId="77777777">
            <w:pPr>
              <w:rPr>
                <w:iCs/>
                <w:lang w:eastAsia="lv-LV"/>
              </w:rPr>
            </w:pPr>
          </w:p>
        </w:tc>
        <w:tc>
          <w:tcPr>
            <w:tcW w:w="2231" w:type="dxa"/>
            <w:gridSpan w:val="3"/>
            <w:vMerge/>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46A9E820" w14:textId="77777777">
            <w:pPr>
              <w:rPr>
                <w:iCs/>
                <w:lang w:eastAsia="lv-LV"/>
              </w:rPr>
            </w:pPr>
          </w:p>
        </w:tc>
        <w:tc>
          <w:tcPr>
            <w:tcW w:w="2380" w:type="dxa"/>
            <w:gridSpan w:val="2"/>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7F3AFA47" w14:textId="5B58CA8C">
            <w:pPr>
              <w:rPr>
                <w:iCs/>
                <w:lang w:eastAsia="lv-LV"/>
              </w:rPr>
            </w:pPr>
            <w:r w:rsidRPr="002C76E0">
              <w:rPr>
                <w:iCs/>
                <w:lang w:eastAsia="lv-LV"/>
              </w:rPr>
              <w:t>202</w:t>
            </w:r>
            <w:r>
              <w:rPr>
                <w:iCs/>
                <w:lang w:eastAsia="lv-LV"/>
              </w:rPr>
              <w:t>1</w:t>
            </w:r>
            <w:r w:rsidRPr="002C76E0">
              <w:rPr>
                <w:iCs/>
                <w:lang w:eastAsia="lv-LV"/>
              </w:rPr>
              <w:t>. gads</w:t>
            </w:r>
          </w:p>
        </w:tc>
        <w:tc>
          <w:tcPr>
            <w:tcW w:w="2148" w:type="dxa"/>
            <w:gridSpan w:val="2"/>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14A060CB" w14:textId="7BA4D5F3">
            <w:pPr>
              <w:rPr>
                <w:iCs/>
                <w:lang w:eastAsia="lv-LV"/>
              </w:rPr>
            </w:pPr>
            <w:r w:rsidRPr="002C76E0">
              <w:rPr>
                <w:iCs/>
                <w:lang w:eastAsia="lv-LV"/>
              </w:rPr>
              <w:t>202</w:t>
            </w:r>
            <w:r>
              <w:rPr>
                <w:iCs/>
                <w:lang w:eastAsia="lv-LV"/>
              </w:rPr>
              <w:t>2</w:t>
            </w:r>
            <w:r w:rsidRPr="002C76E0">
              <w:rPr>
                <w:iCs/>
                <w:lang w:eastAsia="lv-LV"/>
              </w:rPr>
              <w:t>. gads</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67AE0DE8" w14:textId="01728B55">
            <w:pPr>
              <w:rPr>
                <w:iCs/>
                <w:lang w:eastAsia="lv-LV"/>
              </w:rPr>
            </w:pPr>
            <w:r w:rsidRPr="002C76E0">
              <w:rPr>
                <w:iCs/>
                <w:lang w:eastAsia="lv-LV"/>
              </w:rPr>
              <w:t>202</w:t>
            </w:r>
            <w:r>
              <w:rPr>
                <w:iCs/>
                <w:lang w:eastAsia="lv-LV"/>
              </w:rPr>
              <w:t>3</w:t>
            </w:r>
            <w:r w:rsidRPr="002C76E0">
              <w:rPr>
                <w:iCs/>
                <w:lang w:eastAsia="lv-LV"/>
              </w:rPr>
              <w:t>. gads</w:t>
            </w:r>
          </w:p>
        </w:tc>
      </w:tr>
      <w:tr w:rsidRPr="002C76E0" w:rsidR="00FF4B8C" w:rsidTr="005C764F" w14:paraId="2EC7EC95" w14:textId="77777777">
        <w:trPr>
          <w:gridAfter w:val="1"/>
          <w:wAfter w:w="5" w:type="dxa"/>
          <w:tblCellSpacing w:w="15" w:type="dxa"/>
        </w:trPr>
        <w:tc>
          <w:tcPr>
            <w:tcW w:w="1088" w:type="dxa"/>
            <w:vMerge/>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294F1833" w14:textId="77777777">
            <w:pPr>
              <w:rPr>
                <w:iCs/>
                <w:lang w:eastAsia="lv-LV"/>
              </w:rPr>
            </w:pP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5A602774" w14:textId="77777777">
            <w:pPr>
              <w:rPr>
                <w:iCs/>
                <w:lang w:eastAsia="lv-LV"/>
              </w:rPr>
            </w:pPr>
            <w:r w:rsidRPr="002C76E0">
              <w:rPr>
                <w:iCs/>
                <w:lang w:eastAsia="lv-LV"/>
              </w:rPr>
              <w:t>saskaņā ar valsts budžetu kārtējam gadam</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35D67F8F" w14:textId="77777777">
            <w:pPr>
              <w:rPr>
                <w:iCs/>
                <w:lang w:eastAsia="lv-LV"/>
              </w:rPr>
            </w:pPr>
            <w:r w:rsidRPr="002C76E0">
              <w:rPr>
                <w:iCs/>
                <w:lang w:eastAsia="lv-LV"/>
              </w:rPr>
              <w:t>izmaiņas kārtējā gadā, salīdzinot ar valsts budžetu kārtējam gadam</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00E85271" w14:textId="77777777">
            <w:pPr>
              <w:rPr>
                <w:iCs/>
                <w:lang w:eastAsia="lv-LV"/>
              </w:rPr>
            </w:pPr>
            <w:r w:rsidRPr="002C76E0">
              <w:rPr>
                <w:iCs/>
                <w:lang w:eastAsia="lv-LV"/>
              </w:rPr>
              <w:t>saskaņā ar vidēja termiņa budžeta ietvaru</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A0384" w:rsidR="00FF4B8C" w:rsidP="00E607AD" w:rsidRDefault="00FF4B8C" w14:paraId="6BAF6315" w14:textId="4FCDD9D2">
            <w:pPr>
              <w:rPr>
                <w:iCs/>
                <w:lang w:eastAsia="lv-LV"/>
              </w:rPr>
            </w:pPr>
            <w:r w:rsidRPr="005A0384">
              <w:rPr>
                <w:iCs/>
                <w:lang w:eastAsia="lv-LV"/>
              </w:rPr>
              <w:t>izmaiņas, salīdzinot ar vidēja termiņa budžeta ietvaru 202</w:t>
            </w:r>
            <w:r w:rsidRPr="005A0384" w:rsidR="001B6B93">
              <w:rPr>
                <w:iCs/>
                <w:lang w:eastAsia="lv-LV"/>
              </w:rPr>
              <w:t>1</w:t>
            </w:r>
            <w:r w:rsidRPr="005A0384">
              <w:rPr>
                <w:iCs/>
                <w:lang w:eastAsia="lv-LV"/>
              </w:rPr>
              <w:t>.gadam</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5A0384" w:rsidR="00FF4B8C" w:rsidP="00E607AD" w:rsidRDefault="00FF4B8C" w14:paraId="42791903" w14:textId="77777777">
            <w:pPr>
              <w:rPr>
                <w:iCs/>
                <w:lang w:eastAsia="lv-LV"/>
              </w:rPr>
            </w:pPr>
            <w:r w:rsidRPr="005A0384">
              <w:rPr>
                <w:iCs/>
                <w:lang w:eastAsia="lv-LV"/>
              </w:rPr>
              <w:t>saskaņā ar vidēja termiņa budžeta ietvaru</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5A0384" w:rsidR="00FF4B8C" w:rsidP="00E607AD" w:rsidRDefault="00FF4B8C" w14:paraId="3AC15B30" w14:textId="32BEAD82">
            <w:pPr>
              <w:rPr>
                <w:iCs/>
                <w:lang w:eastAsia="lv-LV"/>
              </w:rPr>
            </w:pPr>
            <w:r w:rsidRPr="005A0384">
              <w:rPr>
                <w:iCs/>
                <w:lang w:eastAsia="lv-LV"/>
              </w:rPr>
              <w:t>izmaiņas, salīdzinot ar vidēja termiņa budžeta ietvaru 202</w:t>
            </w:r>
            <w:r w:rsidRPr="005A0384" w:rsidR="001B6B93">
              <w:rPr>
                <w:iCs/>
                <w:lang w:eastAsia="lv-LV"/>
              </w:rPr>
              <w:t>2</w:t>
            </w:r>
            <w:r w:rsidRPr="005A0384">
              <w:rPr>
                <w:iCs/>
                <w:lang w:eastAsia="lv-LV"/>
              </w:rPr>
              <w:t>. gadam</w:t>
            </w:r>
          </w:p>
        </w:tc>
        <w:tc>
          <w:tcPr>
            <w:tcW w:w="993" w:type="dxa"/>
            <w:tcBorders>
              <w:top w:val="outset" w:color="auto" w:sz="6" w:space="0"/>
              <w:left w:val="outset" w:color="auto" w:sz="6" w:space="0"/>
              <w:bottom w:val="outset" w:color="auto" w:sz="6" w:space="0"/>
              <w:right w:val="outset" w:color="auto" w:sz="6" w:space="0"/>
            </w:tcBorders>
            <w:vAlign w:val="center"/>
            <w:hideMark/>
          </w:tcPr>
          <w:p w:rsidRPr="005A0384" w:rsidR="00FF4B8C" w:rsidP="00E607AD" w:rsidRDefault="00FF4B8C" w14:paraId="26D404C6" w14:textId="73BB49C2">
            <w:pPr>
              <w:rPr>
                <w:iCs/>
                <w:lang w:eastAsia="lv-LV"/>
              </w:rPr>
            </w:pPr>
            <w:r w:rsidRPr="005A0384">
              <w:rPr>
                <w:iCs/>
                <w:lang w:eastAsia="lv-LV"/>
              </w:rPr>
              <w:t>izmaiņas, salīdzinot ar vidēja termiņa budžeta ietvaru 202</w:t>
            </w:r>
            <w:r w:rsidRPr="005A0384" w:rsidR="001B6B93">
              <w:rPr>
                <w:iCs/>
                <w:lang w:eastAsia="lv-LV"/>
              </w:rPr>
              <w:t>2</w:t>
            </w:r>
            <w:r w:rsidRPr="005A0384">
              <w:rPr>
                <w:iCs/>
                <w:lang w:eastAsia="lv-LV"/>
              </w:rPr>
              <w:t>. gadam</w:t>
            </w:r>
          </w:p>
        </w:tc>
      </w:tr>
      <w:tr w:rsidRPr="002C76E0" w:rsidR="00FF4B8C" w:rsidTr="005C764F" w14:paraId="072AAE33"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46CBE300" w14:textId="77777777">
            <w:pPr>
              <w:rPr>
                <w:iCs/>
                <w:lang w:eastAsia="lv-LV"/>
              </w:rPr>
            </w:pPr>
            <w:r w:rsidRPr="002C76E0">
              <w:rPr>
                <w:iCs/>
                <w:lang w:eastAsia="lv-LV"/>
              </w:rPr>
              <w:t>1</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16D04CCC" w14:textId="77777777">
            <w:pPr>
              <w:rPr>
                <w:iCs/>
                <w:lang w:eastAsia="lv-LV"/>
              </w:rPr>
            </w:pPr>
            <w:r w:rsidRPr="002C76E0">
              <w:rPr>
                <w:iCs/>
                <w:lang w:eastAsia="lv-LV"/>
              </w:rPr>
              <w:t>2</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501EE0C3" w14:textId="77777777">
            <w:pPr>
              <w:rPr>
                <w:iCs/>
                <w:lang w:eastAsia="lv-LV"/>
              </w:rPr>
            </w:pPr>
            <w:r w:rsidRPr="002C76E0">
              <w:rPr>
                <w:iCs/>
                <w:lang w:eastAsia="lv-LV"/>
              </w:rPr>
              <w:t>3</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4BA16A96" w14:textId="77777777">
            <w:pPr>
              <w:rPr>
                <w:iCs/>
                <w:lang w:eastAsia="lv-LV"/>
              </w:rPr>
            </w:pPr>
            <w:r w:rsidRPr="002C76E0">
              <w:rPr>
                <w:iCs/>
                <w:lang w:eastAsia="lv-LV"/>
              </w:rPr>
              <w:t>4</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0A82DCDB" w14:textId="77777777">
            <w:pPr>
              <w:rPr>
                <w:iCs/>
                <w:lang w:eastAsia="lv-LV"/>
              </w:rPr>
            </w:pPr>
            <w:r w:rsidRPr="002C76E0">
              <w:rPr>
                <w:iCs/>
                <w:lang w:eastAsia="lv-LV"/>
              </w:rPr>
              <w:t>5</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595F614C" w14:textId="77777777">
            <w:pPr>
              <w:rPr>
                <w:iCs/>
                <w:lang w:eastAsia="lv-LV"/>
              </w:rPr>
            </w:pPr>
            <w:r w:rsidRPr="002C76E0">
              <w:rPr>
                <w:iCs/>
                <w:lang w:eastAsia="lv-LV"/>
              </w:rPr>
              <w:t>6</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3B24931A" w14:textId="77777777">
            <w:pPr>
              <w:rPr>
                <w:iCs/>
                <w:lang w:eastAsia="lv-LV"/>
              </w:rPr>
            </w:pPr>
            <w:r w:rsidRPr="002C76E0">
              <w:rPr>
                <w:iCs/>
                <w:lang w:eastAsia="lv-LV"/>
              </w:rPr>
              <w:t>7</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F4B8C" w:rsidP="00E607AD" w:rsidRDefault="00FF4B8C" w14:paraId="052C14E8" w14:textId="77777777">
            <w:pPr>
              <w:rPr>
                <w:iCs/>
                <w:lang w:eastAsia="lv-LV"/>
              </w:rPr>
            </w:pPr>
            <w:r w:rsidRPr="002C76E0">
              <w:rPr>
                <w:iCs/>
                <w:lang w:eastAsia="lv-LV"/>
              </w:rPr>
              <w:t>8</w:t>
            </w:r>
          </w:p>
        </w:tc>
      </w:tr>
      <w:tr w:rsidRPr="002C76E0" w:rsidR="006627E6" w:rsidTr="00310B63" w14:paraId="104BE343"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6627E6" w:rsidP="006627E6" w:rsidRDefault="006627E6" w14:paraId="0B698A8F" w14:textId="77777777">
            <w:pPr>
              <w:rPr>
                <w:iCs/>
                <w:lang w:eastAsia="lv-LV"/>
              </w:rPr>
            </w:pPr>
            <w:r w:rsidRPr="002C76E0">
              <w:rPr>
                <w:iCs/>
                <w:lang w:eastAsia="lv-LV"/>
              </w:rPr>
              <w:t>1. Budžeta ieņēmumi</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6AF553FB" w14:textId="78A666BC">
            <w:pPr>
              <w:rPr>
                <w:iCs/>
                <w:sz w:val="18"/>
                <w:szCs w:val="18"/>
                <w:lang w:eastAsia="lv-LV"/>
              </w:rPr>
            </w:pPr>
            <w:r w:rsidRPr="007D26B4">
              <w:rPr>
                <w:iCs/>
                <w:sz w:val="18"/>
                <w:szCs w:val="18"/>
                <w:lang w:eastAsia="lv-LV"/>
              </w:rPr>
              <w:t> </w:t>
            </w:r>
            <w:r>
              <w:rPr>
                <w:iCs/>
                <w:sz w:val="18"/>
                <w:szCs w:val="18"/>
                <w:lang w:eastAsia="lv-LV"/>
              </w:rPr>
              <w:t>122 559 000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60A3C1B0" w14:textId="7D3EA392">
            <w:pPr>
              <w:rPr>
                <w:iCs/>
                <w:sz w:val="18"/>
                <w:szCs w:val="18"/>
                <w:lang w:eastAsia="lv-LV"/>
              </w:rPr>
            </w:pPr>
            <w:r w:rsidRPr="007D26B4">
              <w:rPr>
                <w:iCs/>
                <w:sz w:val="18"/>
                <w:szCs w:val="18"/>
                <w:lang w:eastAsia="lv-LV"/>
              </w:rPr>
              <w:t> </w:t>
            </w:r>
            <w:r>
              <w:rPr>
                <w:iCs/>
                <w:sz w:val="18"/>
                <w:szCs w:val="18"/>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054A605F" w14:textId="49BD9AB0">
            <w:pPr>
              <w:rPr>
                <w:iCs/>
                <w:sz w:val="18"/>
                <w:szCs w:val="18"/>
                <w:lang w:eastAsia="lv-LV"/>
              </w:rPr>
            </w:pPr>
            <w:r w:rsidRPr="007D26B4">
              <w:rPr>
                <w:iCs/>
                <w:sz w:val="18"/>
                <w:szCs w:val="18"/>
                <w:lang w:eastAsia="lv-LV"/>
              </w:rPr>
              <w:t> </w:t>
            </w:r>
            <w:r>
              <w:rPr>
                <w:iCs/>
                <w:sz w:val="18"/>
                <w:szCs w:val="18"/>
                <w:lang w:eastAsia="lv-LV"/>
              </w:rPr>
              <w:t>125 817 000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115FD16A" w14:textId="48F91399">
            <w:pPr>
              <w:rPr>
                <w:iCs/>
                <w:sz w:val="18"/>
                <w:szCs w:val="18"/>
                <w:lang w:eastAsia="lv-LV"/>
              </w:rPr>
            </w:pPr>
            <w:r>
              <w:rPr>
                <w:iCs/>
                <w:sz w:val="18"/>
                <w:szCs w:val="18"/>
                <w:lang w:eastAsia="lv-LV"/>
              </w:rPr>
              <w:t xml:space="preserve">6 319 908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23F18C20" w14:textId="7945B32A">
            <w:pPr>
              <w:rPr>
                <w:iCs/>
                <w:sz w:val="18"/>
                <w:szCs w:val="18"/>
                <w:lang w:eastAsia="lv-LV"/>
              </w:rPr>
            </w:pPr>
            <w:r>
              <w:rPr>
                <w:iCs/>
                <w:sz w:val="18"/>
                <w:szCs w:val="18"/>
                <w:lang w:eastAsia="lv-LV"/>
              </w:rPr>
              <w:t>129 556 000</w:t>
            </w:r>
          </w:p>
        </w:tc>
        <w:tc>
          <w:tcPr>
            <w:tcW w:w="1014" w:type="dxa"/>
            <w:tcBorders>
              <w:top w:val="outset" w:color="auto" w:sz="6" w:space="0"/>
              <w:left w:val="outset" w:color="auto" w:sz="6" w:space="0"/>
              <w:bottom w:val="outset" w:color="auto" w:sz="6" w:space="0"/>
              <w:right w:val="outset" w:color="auto" w:sz="6" w:space="0"/>
            </w:tcBorders>
            <w:hideMark/>
          </w:tcPr>
          <w:p w:rsidR="00570104" w:rsidP="006627E6" w:rsidRDefault="00570104" w14:paraId="75815CF0" w14:textId="77777777">
            <w:pPr>
              <w:rPr>
                <w:iCs/>
                <w:sz w:val="18"/>
                <w:szCs w:val="18"/>
                <w:lang w:eastAsia="lv-LV"/>
              </w:rPr>
            </w:pPr>
            <w:r>
              <w:rPr>
                <w:iCs/>
                <w:sz w:val="18"/>
                <w:szCs w:val="18"/>
                <w:lang w:eastAsia="lv-LV"/>
              </w:rPr>
              <w:t xml:space="preserve"> </w:t>
            </w:r>
          </w:p>
          <w:p w:rsidRPr="007D26B4" w:rsidR="006627E6" w:rsidP="006627E6" w:rsidRDefault="006627E6" w14:paraId="04997F72" w14:textId="59BE52F5">
            <w:pPr>
              <w:rPr>
                <w:iCs/>
                <w:sz w:val="18"/>
                <w:szCs w:val="18"/>
                <w:lang w:eastAsia="lv-LV"/>
              </w:rPr>
            </w:pPr>
            <w:r w:rsidRPr="00BE4990">
              <w:rPr>
                <w:iCs/>
                <w:sz w:val="18"/>
                <w:szCs w:val="18"/>
                <w:lang w:eastAsia="lv-LV"/>
              </w:rPr>
              <w:t xml:space="preserve">6 319 908 </w:t>
            </w:r>
          </w:p>
        </w:tc>
        <w:tc>
          <w:tcPr>
            <w:tcW w:w="993" w:type="dxa"/>
            <w:tcBorders>
              <w:top w:val="outset" w:color="auto" w:sz="6" w:space="0"/>
              <w:left w:val="outset" w:color="auto" w:sz="6" w:space="0"/>
              <w:bottom w:val="outset" w:color="auto" w:sz="6" w:space="0"/>
              <w:right w:val="outset" w:color="auto" w:sz="6" w:space="0"/>
            </w:tcBorders>
            <w:hideMark/>
          </w:tcPr>
          <w:p w:rsidR="00570104" w:rsidP="006627E6" w:rsidRDefault="00570104" w14:paraId="2751ED8F" w14:textId="77777777">
            <w:pPr>
              <w:rPr>
                <w:iCs/>
                <w:sz w:val="18"/>
                <w:szCs w:val="18"/>
                <w:lang w:eastAsia="lv-LV"/>
              </w:rPr>
            </w:pPr>
          </w:p>
          <w:p w:rsidRPr="007D26B4" w:rsidR="006627E6" w:rsidP="006627E6" w:rsidRDefault="006627E6" w14:paraId="0FBAE766" w14:textId="7ED75E84">
            <w:pPr>
              <w:rPr>
                <w:iCs/>
                <w:sz w:val="18"/>
                <w:szCs w:val="18"/>
                <w:lang w:eastAsia="lv-LV"/>
              </w:rPr>
            </w:pPr>
            <w:r w:rsidRPr="00BE4990">
              <w:rPr>
                <w:iCs/>
                <w:sz w:val="18"/>
                <w:szCs w:val="18"/>
                <w:lang w:eastAsia="lv-LV"/>
              </w:rPr>
              <w:t xml:space="preserve">6 319 908 </w:t>
            </w:r>
          </w:p>
        </w:tc>
      </w:tr>
      <w:tr w:rsidRPr="002C76E0" w:rsidR="006627E6" w:rsidTr="00310B63" w14:paraId="186303D1"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6627E6" w:rsidP="006627E6" w:rsidRDefault="006627E6" w14:paraId="4A5A4573" w14:textId="77777777">
            <w:pPr>
              <w:rPr>
                <w:iCs/>
                <w:lang w:eastAsia="lv-LV"/>
              </w:rPr>
            </w:pPr>
            <w:r w:rsidRPr="002C76E0">
              <w:rPr>
                <w:iCs/>
                <w:lang w:eastAsia="lv-LV"/>
              </w:rPr>
              <w:t>1.1. valsts pamatbudžets, tai skaitā ieņēmumi no maksas pakalpojumiem un citi pašu ieņēmumi</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04272AE4" w14:textId="2D8EF72F">
            <w:pPr>
              <w:rPr>
                <w:iCs/>
                <w:sz w:val="18"/>
                <w:szCs w:val="18"/>
                <w:lang w:eastAsia="lv-LV"/>
              </w:rPr>
            </w:pPr>
            <w:r w:rsidRPr="007D26B4">
              <w:rPr>
                <w:iCs/>
                <w:sz w:val="18"/>
                <w:szCs w:val="18"/>
                <w:lang w:eastAsia="lv-LV"/>
              </w:rPr>
              <w:t> </w:t>
            </w:r>
            <w:r>
              <w:rPr>
                <w:iCs/>
                <w:sz w:val="18"/>
                <w:szCs w:val="18"/>
                <w:lang w:eastAsia="lv-LV"/>
              </w:rPr>
              <w:t>122 559 000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6DA525B2" w14:textId="67162487">
            <w:pPr>
              <w:rPr>
                <w:iCs/>
                <w:sz w:val="18"/>
                <w:szCs w:val="18"/>
                <w:lang w:eastAsia="lv-LV"/>
              </w:rPr>
            </w:pPr>
            <w:r w:rsidRPr="007D26B4">
              <w:rPr>
                <w:iCs/>
                <w:sz w:val="18"/>
                <w:szCs w:val="18"/>
                <w:lang w:eastAsia="lv-LV"/>
              </w:rPr>
              <w:t> </w:t>
            </w:r>
            <w:r>
              <w:rPr>
                <w:iCs/>
                <w:sz w:val="18"/>
                <w:szCs w:val="18"/>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73A418B2" w14:textId="5E8611B1">
            <w:pPr>
              <w:rPr>
                <w:iCs/>
                <w:sz w:val="18"/>
                <w:szCs w:val="18"/>
                <w:lang w:eastAsia="lv-LV"/>
              </w:rPr>
            </w:pPr>
            <w:r w:rsidRPr="007D26B4">
              <w:rPr>
                <w:iCs/>
                <w:sz w:val="18"/>
                <w:szCs w:val="18"/>
                <w:lang w:eastAsia="lv-LV"/>
              </w:rPr>
              <w:t> </w:t>
            </w:r>
            <w:r>
              <w:rPr>
                <w:iCs/>
                <w:sz w:val="18"/>
                <w:szCs w:val="18"/>
                <w:lang w:eastAsia="lv-LV"/>
              </w:rPr>
              <w:t>125 817 000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79544864" w14:textId="193919E2">
            <w:pPr>
              <w:rPr>
                <w:iCs/>
                <w:sz w:val="18"/>
                <w:szCs w:val="18"/>
                <w:lang w:eastAsia="lv-LV"/>
              </w:rPr>
            </w:pPr>
            <w:r>
              <w:rPr>
                <w:iCs/>
                <w:sz w:val="18"/>
                <w:szCs w:val="18"/>
                <w:lang w:eastAsia="lv-LV"/>
              </w:rPr>
              <w:t xml:space="preserve">6 319 608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7D26B4" w:rsidR="006627E6" w:rsidP="006627E6" w:rsidRDefault="006627E6" w14:paraId="316A1B8A" w14:textId="37A3A307">
            <w:pPr>
              <w:rPr>
                <w:iCs/>
                <w:sz w:val="18"/>
                <w:szCs w:val="18"/>
                <w:lang w:eastAsia="lv-LV"/>
              </w:rPr>
            </w:pPr>
            <w:r w:rsidRPr="007D26B4">
              <w:rPr>
                <w:iCs/>
                <w:sz w:val="18"/>
                <w:szCs w:val="18"/>
                <w:lang w:eastAsia="lv-LV"/>
              </w:rPr>
              <w:t> </w:t>
            </w:r>
            <w:r>
              <w:rPr>
                <w:iCs/>
                <w:sz w:val="18"/>
                <w:szCs w:val="18"/>
                <w:lang w:eastAsia="lv-LV"/>
              </w:rPr>
              <w:t>129 556</w:t>
            </w:r>
            <w:r w:rsidR="00570104">
              <w:rPr>
                <w:iCs/>
                <w:sz w:val="18"/>
                <w:szCs w:val="18"/>
                <w:lang w:eastAsia="lv-LV"/>
              </w:rPr>
              <w:t> </w:t>
            </w:r>
            <w:r>
              <w:rPr>
                <w:iCs/>
                <w:sz w:val="18"/>
                <w:szCs w:val="18"/>
                <w:lang w:eastAsia="lv-LV"/>
              </w:rPr>
              <w:t>000</w:t>
            </w:r>
          </w:p>
        </w:tc>
        <w:tc>
          <w:tcPr>
            <w:tcW w:w="1014" w:type="dxa"/>
            <w:tcBorders>
              <w:top w:val="outset" w:color="auto" w:sz="6" w:space="0"/>
              <w:left w:val="outset" w:color="auto" w:sz="6" w:space="0"/>
              <w:bottom w:val="outset" w:color="auto" w:sz="6" w:space="0"/>
              <w:right w:val="outset" w:color="auto" w:sz="6" w:space="0"/>
            </w:tcBorders>
            <w:hideMark/>
          </w:tcPr>
          <w:p w:rsidR="00570104" w:rsidP="006627E6" w:rsidRDefault="00570104" w14:paraId="184F6A9C" w14:textId="77777777">
            <w:pPr>
              <w:rPr>
                <w:iCs/>
                <w:sz w:val="18"/>
                <w:szCs w:val="18"/>
                <w:lang w:eastAsia="lv-LV"/>
              </w:rPr>
            </w:pPr>
          </w:p>
          <w:p w:rsidR="00570104" w:rsidP="006627E6" w:rsidRDefault="00570104" w14:paraId="1EDC0BD3" w14:textId="77777777">
            <w:pPr>
              <w:rPr>
                <w:iCs/>
                <w:sz w:val="18"/>
                <w:szCs w:val="18"/>
                <w:lang w:eastAsia="lv-LV"/>
              </w:rPr>
            </w:pPr>
          </w:p>
          <w:p w:rsidR="00570104" w:rsidP="006627E6" w:rsidRDefault="00570104" w14:paraId="7593CA1E" w14:textId="77777777">
            <w:pPr>
              <w:rPr>
                <w:iCs/>
                <w:sz w:val="18"/>
                <w:szCs w:val="18"/>
                <w:lang w:eastAsia="lv-LV"/>
              </w:rPr>
            </w:pPr>
          </w:p>
          <w:p w:rsidR="00570104" w:rsidP="006627E6" w:rsidRDefault="00570104" w14:paraId="2C4EF5BF" w14:textId="77777777">
            <w:pPr>
              <w:rPr>
                <w:iCs/>
                <w:sz w:val="18"/>
                <w:szCs w:val="18"/>
                <w:lang w:eastAsia="lv-LV"/>
              </w:rPr>
            </w:pPr>
          </w:p>
          <w:p w:rsidR="00570104" w:rsidP="006627E6" w:rsidRDefault="00570104" w14:paraId="7DDF9890" w14:textId="77777777">
            <w:pPr>
              <w:rPr>
                <w:iCs/>
                <w:sz w:val="18"/>
                <w:szCs w:val="18"/>
                <w:lang w:eastAsia="lv-LV"/>
              </w:rPr>
            </w:pPr>
          </w:p>
          <w:p w:rsidR="00570104" w:rsidP="006627E6" w:rsidRDefault="00570104" w14:paraId="66F90683" w14:textId="77777777">
            <w:pPr>
              <w:rPr>
                <w:iCs/>
                <w:sz w:val="18"/>
                <w:szCs w:val="18"/>
                <w:lang w:eastAsia="lv-LV"/>
              </w:rPr>
            </w:pPr>
          </w:p>
          <w:p w:rsidRPr="007D26B4" w:rsidR="006627E6" w:rsidP="006627E6" w:rsidRDefault="006627E6" w14:paraId="4EAF56AC" w14:textId="05ECC2C7">
            <w:pPr>
              <w:rPr>
                <w:iCs/>
                <w:sz w:val="18"/>
                <w:szCs w:val="18"/>
                <w:lang w:eastAsia="lv-LV"/>
              </w:rPr>
            </w:pPr>
            <w:r w:rsidRPr="00BE4990">
              <w:rPr>
                <w:iCs/>
                <w:sz w:val="18"/>
                <w:szCs w:val="18"/>
                <w:lang w:eastAsia="lv-LV"/>
              </w:rPr>
              <w:t xml:space="preserve">6 319 908 </w:t>
            </w:r>
          </w:p>
        </w:tc>
        <w:tc>
          <w:tcPr>
            <w:tcW w:w="993" w:type="dxa"/>
            <w:tcBorders>
              <w:top w:val="outset" w:color="auto" w:sz="6" w:space="0"/>
              <w:left w:val="outset" w:color="auto" w:sz="6" w:space="0"/>
              <w:bottom w:val="outset" w:color="auto" w:sz="6" w:space="0"/>
              <w:right w:val="outset" w:color="auto" w:sz="6" w:space="0"/>
            </w:tcBorders>
            <w:hideMark/>
          </w:tcPr>
          <w:p w:rsidR="00570104" w:rsidP="00570104" w:rsidRDefault="00570104" w14:paraId="2CEAAA45" w14:textId="77777777">
            <w:pPr>
              <w:rPr>
                <w:iCs/>
                <w:sz w:val="18"/>
                <w:szCs w:val="18"/>
                <w:lang w:eastAsia="lv-LV"/>
              </w:rPr>
            </w:pPr>
          </w:p>
          <w:p w:rsidR="00570104" w:rsidP="00570104" w:rsidRDefault="00570104" w14:paraId="3B051C68" w14:textId="77777777">
            <w:pPr>
              <w:rPr>
                <w:iCs/>
                <w:sz w:val="18"/>
                <w:szCs w:val="18"/>
                <w:lang w:eastAsia="lv-LV"/>
              </w:rPr>
            </w:pPr>
          </w:p>
          <w:p w:rsidR="00570104" w:rsidP="00570104" w:rsidRDefault="00570104" w14:paraId="2B744D86" w14:textId="77777777">
            <w:pPr>
              <w:rPr>
                <w:iCs/>
                <w:sz w:val="18"/>
                <w:szCs w:val="18"/>
                <w:lang w:eastAsia="lv-LV"/>
              </w:rPr>
            </w:pPr>
          </w:p>
          <w:p w:rsidR="00570104" w:rsidP="00570104" w:rsidRDefault="00570104" w14:paraId="4697B65E" w14:textId="77777777">
            <w:pPr>
              <w:rPr>
                <w:iCs/>
                <w:sz w:val="18"/>
                <w:szCs w:val="18"/>
                <w:lang w:eastAsia="lv-LV"/>
              </w:rPr>
            </w:pPr>
          </w:p>
          <w:p w:rsidR="00570104" w:rsidP="00570104" w:rsidRDefault="00570104" w14:paraId="2E7B175B" w14:textId="77777777">
            <w:pPr>
              <w:rPr>
                <w:iCs/>
                <w:sz w:val="18"/>
                <w:szCs w:val="18"/>
                <w:lang w:eastAsia="lv-LV"/>
              </w:rPr>
            </w:pPr>
          </w:p>
          <w:p w:rsidR="00570104" w:rsidP="00570104" w:rsidRDefault="00570104" w14:paraId="682CF75D" w14:textId="77777777">
            <w:pPr>
              <w:rPr>
                <w:iCs/>
                <w:sz w:val="18"/>
                <w:szCs w:val="18"/>
                <w:lang w:eastAsia="lv-LV"/>
              </w:rPr>
            </w:pPr>
          </w:p>
          <w:p w:rsidRPr="007D26B4" w:rsidR="006627E6" w:rsidP="00570104" w:rsidRDefault="006627E6" w14:paraId="379CE0A6" w14:textId="433BCCCF">
            <w:pPr>
              <w:rPr>
                <w:iCs/>
                <w:sz w:val="18"/>
                <w:szCs w:val="18"/>
                <w:lang w:eastAsia="lv-LV"/>
              </w:rPr>
            </w:pPr>
            <w:r w:rsidRPr="00BE4990">
              <w:rPr>
                <w:iCs/>
                <w:sz w:val="18"/>
                <w:szCs w:val="18"/>
                <w:lang w:eastAsia="lv-LV"/>
              </w:rPr>
              <w:t xml:space="preserve">6 319 908 </w:t>
            </w:r>
          </w:p>
        </w:tc>
      </w:tr>
      <w:tr w:rsidRPr="002C76E0" w:rsidR="00FA179E" w:rsidTr="005C764F" w14:paraId="3A9F3F81"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299635A7" w14:textId="77777777">
            <w:pPr>
              <w:rPr>
                <w:iCs/>
                <w:lang w:eastAsia="lv-LV"/>
              </w:rPr>
            </w:pPr>
            <w:r w:rsidRPr="002C76E0">
              <w:rPr>
                <w:iCs/>
                <w:lang w:eastAsia="lv-LV"/>
              </w:rPr>
              <w:t>1.2. valsts speciālais 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2952183"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E3349E6" w14:textId="7B43AF2B">
            <w:pPr>
              <w:rPr>
                <w:iCs/>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0A6D5F3"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B6A8A25" w14:textId="0CF012B1">
            <w:pPr>
              <w:rPr>
                <w:iCs/>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61427021" w14:textId="77777777">
            <w:pPr>
              <w:rPr>
                <w:iCs/>
                <w:lang w:eastAsia="lv-LV"/>
              </w:rPr>
            </w:pPr>
            <w:r w:rsidRPr="002C76E0">
              <w:rPr>
                <w:iCs/>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CD47A4A" w14:textId="53656048">
            <w:pPr>
              <w:rPr>
                <w:iCs/>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E645861" w14:textId="2E89A975">
            <w:pPr>
              <w:rPr>
                <w:iCs/>
                <w:lang w:eastAsia="lv-LV"/>
              </w:rPr>
            </w:pPr>
            <w:r w:rsidRPr="002C76E0">
              <w:rPr>
                <w:iCs/>
                <w:lang w:eastAsia="lv-LV"/>
              </w:rPr>
              <w:t> </w:t>
            </w:r>
            <w:r>
              <w:rPr>
                <w:iCs/>
                <w:lang w:eastAsia="lv-LV"/>
              </w:rPr>
              <w:t>0</w:t>
            </w:r>
          </w:p>
        </w:tc>
      </w:tr>
      <w:tr w:rsidRPr="002C76E0" w:rsidR="00FA179E" w:rsidTr="005C764F" w14:paraId="0CE7BE7E"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0A540F88" w14:textId="77777777">
            <w:pPr>
              <w:rPr>
                <w:iCs/>
                <w:lang w:eastAsia="lv-LV"/>
              </w:rPr>
            </w:pPr>
            <w:r w:rsidRPr="002C76E0">
              <w:rPr>
                <w:iCs/>
                <w:lang w:eastAsia="lv-LV"/>
              </w:rPr>
              <w:t>1.3. pašvaldību 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5E49BD0"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E3A5860" w14:textId="6EA3FFB0">
            <w:pPr>
              <w:rPr>
                <w:iCs/>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F5D1E3C"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25DC8F4" w14:textId="21491CB4">
            <w:pPr>
              <w:rPr>
                <w:iCs/>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2F2F45C" w14:textId="77777777">
            <w:pPr>
              <w:rPr>
                <w:iCs/>
                <w:lang w:eastAsia="lv-LV"/>
              </w:rPr>
            </w:pPr>
            <w:r w:rsidRPr="002C76E0">
              <w:rPr>
                <w:iCs/>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D953E59" w14:textId="69E6431D">
            <w:pPr>
              <w:rPr>
                <w:iCs/>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1859667" w14:textId="387F242E">
            <w:pPr>
              <w:rPr>
                <w:iCs/>
                <w:lang w:eastAsia="lv-LV"/>
              </w:rPr>
            </w:pPr>
            <w:r w:rsidRPr="002C76E0">
              <w:rPr>
                <w:iCs/>
                <w:lang w:eastAsia="lv-LV"/>
              </w:rPr>
              <w:t> </w:t>
            </w:r>
            <w:r>
              <w:rPr>
                <w:iCs/>
                <w:lang w:eastAsia="lv-LV"/>
              </w:rPr>
              <w:t>0</w:t>
            </w:r>
          </w:p>
        </w:tc>
      </w:tr>
      <w:tr w:rsidRPr="002C76E0" w:rsidR="00FA179E" w:rsidTr="005C764F" w14:paraId="76BD0B04"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3183AFC8" w14:textId="77777777">
            <w:pPr>
              <w:rPr>
                <w:iCs/>
                <w:lang w:eastAsia="lv-LV"/>
              </w:rPr>
            </w:pPr>
            <w:r w:rsidRPr="002C76E0">
              <w:rPr>
                <w:iCs/>
                <w:lang w:eastAsia="lv-LV"/>
              </w:rPr>
              <w:t>2. Budžeta izdevumi</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3FB547D"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BE5082A" w14:textId="0C7AD0B5">
            <w:pPr>
              <w:rPr>
                <w:iCs/>
                <w:sz w:val="20"/>
                <w:szCs w:val="20"/>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C771B69" w14:textId="77777777">
            <w:pPr>
              <w:rPr>
                <w:iCs/>
                <w:sz w:val="20"/>
                <w:szCs w:val="20"/>
                <w:lang w:eastAsia="lv-LV"/>
              </w:rPr>
            </w:pPr>
            <w:r w:rsidRPr="002C76E0">
              <w:rPr>
                <w:iCs/>
                <w:sz w:val="20"/>
                <w:szCs w:val="20"/>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0635134" w14:textId="6117D5EF">
            <w:pPr>
              <w:rPr>
                <w:iCs/>
                <w:sz w:val="20"/>
                <w:szCs w:val="20"/>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D2F0B5D" w14:textId="77777777">
            <w:pPr>
              <w:rPr>
                <w:iCs/>
                <w:sz w:val="20"/>
                <w:szCs w:val="20"/>
                <w:lang w:eastAsia="lv-LV"/>
              </w:rPr>
            </w:pPr>
            <w:r w:rsidRPr="002C76E0">
              <w:rPr>
                <w:iCs/>
                <w:sz w:val="20"/>
                <w:szCs w:val="20"/>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0D3AF99" w14:textId="234F53C9">
            <w:pPr>
              <w:rPr>
                <w:iCs/>
                <w:sz w:val="20"/>
                <w:szCs w:val="20"/>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4045EFE" w14:textId="7242DB6A">
            <w:pPr>
              <w:rPr>
                <w:iCs/>
                <w:sz w:val="20"/>
                <w:szCs w:val="20"/>
                <w:lang w:eastAsia="lv-LV"/>
              </w:rPr>
            </w:pPr>
            <w:r w:rsidRPr="002C76E0">
              <w:rPr>
                <w:iCs/>
                <w:lang w:eastAsia="lv-LV"/>
              </w:rPr>
              <w:t> </w:t>
            </w:r>
            <w:r>
              <w:rPr>
                <w:iCs/>
                <w:lang w:eastAsia="lv-LV"/>
              </w:rPr>
              <w:t>0</w:t>
            </w:r>
          </w:p>
        </w:tc>
      </w:tr>
      <w:tr w:rsidRPr="002C76E0" w:rsidR="00FA179E" w:rsidTr="005C764F" w14:paraId="4688FA2B"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4D5C8300" w14:textId="77777777">
            <w:pPr>
              <w:rPr>
                <w:iCs/>
                <w:lang w:eastAsia="lv-LV"/>
              </w:rPr>
            </w:pPr>
            <w:r w:rsidRPr="002C76E0">
              <w:rPr>
                <w:iCs/>
                <w:lang w:eastAsia="lv-LV"/>
              </w:rPr>
              <w:t>2.1. valsts pamatbudžets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11A7C3A"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01CA61F" w14:textId="082A93A3">
            <w:pPr>
              <w:rPr>
                <w:iCs/>
                <w:sz w:val="20"/>
                <w:szCs w:val="20"/>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61DC038" w14:textId="77777777">
            <w:pPr>
              <w:rPr>
                <w:iCs/>
                <w:sz w:val="20"/>
                <w:szCs w:val="20"/>
                <w:lang w:eastAsia="lv-LV"/>
              </w:rPr>
            </w:pPr>
            <w:r w:rsidRPr="002C76E0">
              <w:rPr>
                <w:iCs/>
                <w:sz w:val="20"/>
                <w:szCs w:val="20"/>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E63C65D" w14:textId="74E78057">
            <w:pPr>
              <w:rPr>
                <w:iCs/>
                <w:sz w:val="20"/>
                <w:szCs w:val="20"/>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4BDA319" w14:textId="77777777">
            <w:pPr>
              <w:rPr>
                <w:iCs/>
                <w:sz w:val="20"/>
                <w:szCs w:val="20"/>
                <w:lang w:eastAsia="lv-LV"/>
              </w:rPr>
            </w:pPr>
            <w:r w:rsidRPr="002C76E0">
              <w:rPr>
                <w:iCs/>
                <w:sz w:val="20"/>
                <w:szCs w:val="20"/>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A26AA3B" w14:textId="0EFB65B0">
            <w:pPr>
              <w:rPr>
                <w:iCs/>
                <w:sz w:val="20"/>
                <w:szCs w:val="20"/>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85D8375" w14:textId="31939C1E">
            <w:pPr>
              <w:rPr>
                <w:iCs/>
                <w:sz w:val="20"/>
                <w:szCs w:val="20"/>
                <w:lang w:eastAsia="lv-LV"/>
              </w:rPr>
            </w:pPr>
            <w:r w:rsidRPr="002C76E0">
              <w:rPr>
                <w:iCs/>
                <w:lang w:eastAsia="lv-LV"/>
              </w:rPr>
              <w:t> </w:t>
            </w:r>
            <w:r>
              <w:rPr>
                <w:iCs/>
                <w:lang w:eastAsia="lv-LV"/>
              </w:rPr>
              <w:t>0</w:t>
            </w:r>
          </w:p>
        </w:tc>
      </w:tr>
      <w:tr w:rsidRPr="002C76E0" w:rsidR="00FA179E" w:rsidTr="005C764F" w14:paraId="0889A4F0"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0FF21539" w14:textId="77777777">
            <w:pPr>
              <w:rPr>
                <w:iCs/>
                <w:lang w:eastAsia="lv-LV"/>
              </w:rPr>
            </w:pPr>
            <w:r w:rsidRPr="002C76E0">
              <w:rPr>
                <w:iCs/>
                <w:lang w:eastAsia="lv-LV"/>
              </w:rPr>
              <w:t>2.2. valsts speciālais 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524D7C4"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1764C8E" w14:textId="59DFA80C">
            <w:pPr>
              <w:rPr>
                <w:iCs/>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263889A" w14:textId="22BC3711">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F7C4B72" w14:textId="7682E94D">
            <w:pPr>
              <w:rPr>
                <w:iCs/>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E672F0A" w14:textId="22055A90">
            <w:pPr>
              <w:rPr>
                <w:iCs/>
                <w:lang w:eastAsia="lv-LV"/>
              </w:rPr>
            </w:pPr>
            <w:r w:rsidRPr="002C76E0">
              <w:rPr>
                <w:iCs/>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678473ED" w14:textId="7C16F38F">
            <w:pPr>
              <w:rPr>
                <w:iCs/>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F6032CC" w14:textId="4B6FDCAC">
            <w:pPr>
              <w:rPr>
                <w:iCs/>
                <w:lang w:eastAsia="lv-LV"/>
              </w:rPr>
            </w:pPr>
            <w:r w:rsidRPr="002C76E0">
              <w:rPr>
                <w:iCs/>
                <w:lang w:eastAsia="lv-LV"/>
              </w:rPr>
              <w:t> </w:t>
            </w:r>
            <w:r>
              <w:rPr>
                <w:iCs/>
                <w:lang w:eastAsia="lv-LV"/>
              </w:rPr>
              <w:t>0</w:t>
            </w:r>
          </w:p>
        </w:tc>
      </w:tr>
      <w:tr w:rsidRPr="002C76E0" w:rsidR="00FA179E" w:rsidTr="005C764F" w14:paraId="7F06DD2B"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23894316" w14:textId="77777777">
            <w:pPr>
              <w:rPr>
                <w:iCs/>
                <w:lang w:eastAsia="lv-LV"/>
              </w:rPr>
            </w:pPr>
            <w:r w:rsidRPr="002C76E0">
              <w:rPr>
                <w:iCs/>
                <w:lang w:eastAsia="lv-LV"/>
              </w:rPr>
              <w:lastRenderedPageBreak/>
              <w:t>2.3. pašvaldību 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63DF69CC"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CEAA9E7" w14:textId="4423442D">
            <w:pPr>
              <w:rPr>
                <w:iCs/>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184C0E3" w14:textId="1FB7B2D3">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CE88041" w14:textId="667CFBCC">
            <w:pPr>
              <w:rPr>
                <w:iCs/>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E8D3BDD" w14:textId="7387918D">
            <w:pPr>
              <w:rPr>
                <w:iCs/>
                <w:lang w:eastAsia="lv-LV"/>
              </w:rPr>
            </w:pPr>
            <w:r w:rsidRPr="002C76E0">
              <w:rPr>
                <w:iCs/>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B3E900A" w14:textId="3C1E4FE7">
            <w:pPr>
              <w:rPr>
                <w:iCs/>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A2881C2" w14:textId="2920F251">
            <w:pPr>
              <w:rPr>
                <w:iCs/>
                <w:lang w:eastAsia="lv-LV"/>
              </w:rPr>
            </w:pPr>
            <w:r w:rsidRPr="002C76E0">
              <w:rPr>
                <w:iCs/>
                <w:lang w:eastAsia="lv-LV"/>
              </w:rPr>
              <w:t> </w:t>
            </w:r>
            <w:r>
              <w:rPr>
                <w:iCs/>
                <w:lang w:eastAsia="lv-LV"/>
              </w:rPr>
              <w:t>0</w:t>
            </w:r>
          </w:p>
        </w:tc>
      </w:tr>
      <w:tr w:rsidRPr="002C76E0" w:rsidR="006627E6" w:rsidTr="00310B63" w14:paraId="51C81035"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6627E6" w:rsidP="006627E6" w:rsidRDefault="006627E6" w14:paraId="455FB7D4" w14:textId="77777777">
            <w:pPr>
              <w:rPr>
                <w:iCs/>
                <w:lang w:eastAsia="lv-LV"/>
              </w:rPr>
            </w:pPr>
            <w:r w:rsidRPr="002C76E0">
              <w:rPr>
                <w:iCs/>
                <w:lang w:eastAsia="lv-LV"/>
              </w:rPr>
              <w:t>3. Finansiālā ietekme</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6627E6" w:rsidP="006627E6" w:rsidRDefault="006627E6" w14:paraId="041C0793" w14:textId="05A612F3">
            <w:pPr>
              <w:rPr>
                <w:iCs/>
                <w:lang w:eastAsia="lv-LV"/>
              </w:rPr>
            </w:pPr>
            <w:r w:rsidRPr="007D26B4">
              <w:rPr>
                <w:iCs/>
                <w:sz w:val="18"/>
                <w:szCs w:val="18"/>
                <w:lang w:eastAsia="lv-LV"/>
              </w:rPr>
              <w:t> </w:t>
            </w:r>
            <w:r>
              <w:rPr>
                <w:iCs/>
                <w:sz w:val="18"/>
                <w:szCs w:val="18"/>
                <w:lang w:eastAsia="lv-LV"/>
              </w:rPr>
              <w:t>122 559 000</w:t>
            </w:r>
          </w:p>
        </w:tc>
        <w:tc>
          <w:tcPr>
            <w:tcW w:w="1104" w:type="dxa"/>
            <w:tcBorders>
              <w:top w:val="outset" w:color="auto" w:sz="6" w:space="0"/>
              <w:left w:val="outset" w:color="auto" w:sz="6" w:space="0"/>
              <w:bottom w:val="outset" w:color="auto" w:sz="6" w:space="0"/>
              <w:right w:val="outset" w:color="auto" w:sz="6" w:space="0"/>
            </w:tcBorders>
            <w:vAlign w:val="center"/>
          </w:tcPr>
          <w:p w:rsidRPr="002C76E0" w:rsidR="006627E6" w:rsidP="006627E6" w:rsidRDefault="006627E6" w14:paraId="425B57C9" w14:textId="57843F0F">
            <w:pPr>
              <w:rPr>
                <w:iCs/>
                <w:lang w:eastAsia="lv-LV"/>
              </w:rPr>
            </w:pP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6627E6" w:rsidP="006627E6" w:rsidRDefault="006627E6" w14:paraId="45439B80" w14:textId="3977C515">
            <w:pPr>
              <w:rPr>
                <w:iCs/>
                <w:lang w:eastAsia="lv-LV"/>
              </w:rPr>
            </w:pPr>
            <w:r w:rsidRPr="007D26B4">
              <w:rPr>
                <w:iCs/>
                <w:sz w:val="18"/>
                <w:szCs w:val="18"/>
                <w:lang w:eastAsia="lv-LV"/>
              </w:rPr>
              <w:t> </w:t>
            </w:r>
            <w:r>
              <w:rPr>
                <w:iCs/>
                <w:sz w:val="18"/>
                <w:szCs w:val="18"/>
                <w:lang w:eastAsia="lv-LV"/>
              </w:rPr>
              <w:t>125 817</w:t>
            </w:r>
            <w:r w:rsidR="00570104">
              <w:rPr>
                <w:iCs/>
                <w:sz w:val="18"/>
                <w:szCs w:val="18"/>
                <w:lang w:eastAsia="lv-LV"/>
              </w:rPr>
              <w:t> </w:t>
            </w:r>
            <w:r>
              <w:rPr>
                <w:iCs/>
                <w:sz w:val="18"/>
                <w:szCs w:val="18"/>
                <w:lang w:eastAsia="lv-LV"/>
              </w:rPr>
              <w:t>000</w:t>
            </w:r>
          </w:p>
        </w:tc>
        <w:tc>
          <w:tcPr>
            <w:tcW w:w="1104" w:type="dxa"/>
            <w:tcBorders>
              <w:top w:val="outset" w:color="auto" w:sz="6" w:space="0"/>
              <w:left w:val="outset" w:color="auto" w:sz="6" w:space="0"/>
              <w:bottom w:val="outset" w:color="auto" w:sz="6" w:space="0"/>
              <w:right w:val="outset" w:color="auto" w:sz="6" w:space="0"/>
            </w:tcBorders>
          </w:tcPr>
          <w:p w:rsidR="00570104" w:rsidP="006627E6" w:rsidRDefault="00570104" w14:paraId="57850EC8" w14:textId="77777777">
            <w:pPr>
              <w:rPr>
                <w:iCs/>
                <w:sz w:val="18"/>
                <w:szCs w:val="18"/>
                <w:lang w:eastAsia="lv-LV"/>
              </w:rPr>
            </w:pPr>
          </w:p>
          <w:p w:rsidRPr="002C76E0" w:rsidR="006627E6" w:rsidP="006627E6" w:rsidRDefault="006627E6" w14:paraId="4DB16367" w14:textId="2694E6D9">
            <w:pPr>
              <w:rPr>
                <w:iCs/>
                <w:lang w:eastAsia="lv-LV"/>
              </w:rPr>
            </w:pPr>
            <w:r w:rsidRPr="00753B45">
              <w:rPr>
                <w:iCs/>
                <w:sz w:val="18"/>
                <w:szCs w:val="18"/>
                <w:lang w:eastAsia="lv-LV"/>
              </w:rPr>
              <w:t xml:space="preserve">6 319 908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6627E6" w:rsidP="006627E6" w:rsidRDefault="006627E6" w14:paraId="293F4175" w14:textId="38D7199F">
            <w:pPr>
              <w:rPr>
                <w:iCs/>
                <w:lang w:eastAsia="lv-LV"/>
              </w:rPr>
            </w:pPr>
            <w:r w:rsidRPr="007D26B4">
              <w:rPr>
                <w:iCs/>
                <w:sz w:val="18"/>
                <w:szCs w:val="18"/>
                <w:lang w:eastAsia="lv-LV"/>
              </w:rPr>
              <w:t> </w:t>
            </w:r>
            <w:r>
              <w:rPr>
                <w:iCs/>
                <w:sz w:val="18"/>
                <w:szCs w:val="18"/>
                <w:lang w:eastAsia="lv-LV"/>
              </w:rPr>
              <w:t>129 556</w:t>
            </w:r>
            <w:r w:rsidR="00570104">
              <w:rPr>
                <w:iCs/>
                <w:sz w:val="18"/>
                <w:szCs w:val="18"/>
                <w:lang w:eastAsia="lv-LV"/>
              </w:rPr>
              <w:t> </w:t>
            </w:r>
            <w:r>
              <w:rPr>
                <w:iCs/>
                <w:sz w:val="18"/>
                <w:szCs w:val="18"/>
                <w:lang w:eastAsia="lv-LV"/>
              </w:rPr>
              <w:t>000</w:t>
            </w:r>
          </w:p>
        </w:tc>
        <w:tc>
          <w:tcPr>
            <w:tcW w:w="1014" w:type="dxa"/>
            <w:tcBorders>
              <w:top w:val="outset" w:color="auto" w:sz="6" w:space="0"/>
              <w:left w:val="outset" w:color="auto" w:sz="6" w:space="0"/>
              <w:bottom w:val="outset" w:color="auto" w:sz="6" w:space="0"/>
              <w:right w:val="outset" w:color="auto" w:sz="6" w:space="0"/>
            </w:tcBorders>
          </w:tcPr>
          <w:p w:rsidR="00570104" w:rsidP="006627E6" w:rsidRDefault="00570104" w14:paraId="7C7CB6A2" w14:textId="77777777">
            <w:pPr>
              <w:rPr>
                <w:iCs/>
                <w:sz w:val="18"/>
                <w:szCs w:val="18"/>
                <w:lang w:eastAsia="lv-LV"/>
              </w:rPr>
            </w:pPr>
          </w:p>
          <w:p w:rsidRPr="002C76E0" w:rsidR="006627E6" w:rsidP="006627E6" w:rsidRDefault="006627E6" w14:paraId="7ABEF393" w14:textId="2EFEB544">
            <w:pPr>
              <w:rPr>
                <w:iCs/>
                <w:lang w:eastAsia="lv-LV"/>
              </w:rPr>
            </w:pPr>
            <w:r w:rsidRPr="00123C84">
              <w:rPr>
                <w:iCs/>
                <w:sz w:val="18"/>
                <w:szCs w:val="18"/>
                <w:lang w:eastAsia="lv-LV"/>
              </w:rPr>
              <w:t xml:space="preserve">6 319 908 </w:t>
            </w:r>
          </w:p>
        </w:tc>
        <w:tc>
          <w:tcPr>
            <w:tcW w:w="993" w:type="dxa"/>
            <w:tcBorders>
              <w:top w:val="outset" w:color="auto" w:sz="6" w:space="0"/>
              <w:left w:val="outset" w:color="auto" w:sz="6" w:space="0"/>
              <w:bottom w:val="outset" w:color="auto" w:sz="6" w:space="0"/>
              <w:right w:val="outset" w:color="auto" w:sz="6" w:space="0"/>
            </w:tcBorders>
          </w:tcPr>
          <w:p w:rsidR="00570104" w:rsidP="006627E6" w:rsidRDefault="00570104" w14:paraId="1B0D9498" w14:textId="77777777">
            <w:pPr>
              <w:rPr>
                <w:iCs/>
                <w:sz w:val="18"/>
                <w:szCs w:val="18"/>
                <w:lang w:eastAsia="lv-LV"/>
              </w:rPr>
            </w:pPr>
          </w:p>
          <w:p w:rsidRPr="002C76E0" w:rsidR="006627E6" w:rsidP="006627E6" w:rsidRDefault="006627E6" w14:paraId="0A9358F3" w14:textId="57776940">
            <w:pPr>
              <w:rPr>
                <w:iCs/>
                <w:lang w:eastAsia="lv-LV"/>
              </w:rPr>
            </w:pPr>
            <w:r w:rsidRPr="00123C84">
              <w:rPr>
                <w:iCs/>
                <w:sz w:val="18"/>
                <w:szCs w:val="18"/>
                <w:lang w:eastAsia="lv-LV"/>
              </w:rPr>
              <w:t xml:space="preserve">6 319 908 </w:t>
            </w:r>
          </w:p>
        </w:tc>
      </w:tr>
      <w:tr w:rsidRPr="002C76E0" w:rsidR="006627E6" w:rsidTr="00310B63" w14:paraId="17E28CE2"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6627E6" w:rsidP="006627E6" w:rsidRDefault="006627E6" w14:paraId="0322A85C" w14:textId="77777777">
            <w:pPr>
              <w:rPr>
                <w:iCs/>
                <w:lang w:eastAsia="lv-LV"/>
              </w:rPr>
            </w:pPr>
            <w:r w:rsidRPr="002C76E0">
              <w:rPr>
                <w:iCs/>
                <w:lang w:eastAsia="lv-LV"/>
              </w:rPr>
              <w:t>3.1. valsts pamatbudžets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6627E6" w:rsidP="006627E6" w:rsidRDefault="006627E6" w14:paraId="63A18280" w14:textId="3B593512">
            <w:pPr>
              <w:rPr>
                <w:iCs/>
                <w:lang w:eastAsia="lv-LV"/>
              </w:rPr>
            </w:pPr>
            <w:r w:rsidRPr="007D26B4">
              <w:rPr>
                <w:iCs/>
                <w:sz w:val="18"/>
                <w:szCs w:val="18"/>
                <w:lang w:eastAsia="lv-LV"/>
              </w:rPr>
              <w:t> </w:t>
            </w:r>
            <w:r>
              <w:rPr>
                <w:iCs/>
                <w:sz w:val="18"/>
                <w:szCs w:val="18"/>
                <w:lang w:eastAsia="lv-LV"/>
              </w:rPr>
              <w:t>122 559 000</w:t>
            </w:r>
          </w:p>
        </w:tc>
        <w:tc>
          <w:tcPr>
            <w:tcW w:w="1104" w:type="dxa"/>
            <w:tcBorders>
              <w:top w:val="outset" w:color="auto" w:sz="6" w:space="0"/>
              <w:left w:val="outset" w:color="auto" w:sz="6" w:space="0"/>
              <w:bottom w:val="outset" w:color="auto" w:sz="6" w:space="0"/>
              <w:right w:val="outset" w:color="auto" w:sz="6" w:space="0"/>
            </w:tcBorders>
            <w:vAlign w:val="center"/>
          </w:tcPr>
          <w:p w:rsidRPr="002C76E0" w:rsidR="006627E6" w:rsidP="006627E6" w:rsidRDefault="006627E6" w14:paraId="4618415E" w14:textId="0774117F">
            <w:pPr>
              <w:rPr>
                <w:iCs/>
                <w:lang w:eastAsia="lv-LV"/>
              </w:rPr>
            </w:pP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6627E6" w:rsidP="006627E6" w:rsidRDefault="006627E6" w14:paraId="2B908DF7" w14:textId="6BF71A1E">
            <w:pPr>
              <w:rPr>
                <w:iCs/>
                <w:lang w:eastAsia="lv-LV"/>
              </w:rPr>
            </w:pPr>
            <w:r w:rsidRPr="007D26B4">
              <w:rPr>
                <w:iCs/>
                <w:sz w:val="18"/>
                <w:szCs w:val="18"/>
                <w:lang w:eastAsia="lv-LV"/>
              </w:rPr>
              <w:t> </w:t>
            </w:r>
            <w:r>
              <w:rPr>
                <w:iCs/>
                <w:sz w:val="18"/>
                <w:szCs w:val="18"/>
                <w:lang w:eastAsia="lv-LV"/>
              </w:rPr>
              <w:t>125 817</w:t>
            </w:r>
            <w:r w:rsidR="00570104">
              <w:rPr>
                <w:iCs/>
                <w:sz w:val="18"/>
                <w:szCs w:val="18"/>
                <w:lang w:eastAsia="lv-LV"/>
              </w:rPr>
              <w:t> </w:t>
            </w:r>
            <w:r>
              <w:rPr>
                <w:iCs/>
                <w:sz w:val="18"/>
                <w:szCs w:val="18"/>
                <w:lang w:eastAsia="lv-LV"/>
              </w:rPr>
              <w:t>000</w:t>
            </w:r>
          </w:p>
        </w:tc>
        <w:tc>
          <w:tcPr>
            <w:tcW w:w="1104" w:type="dxa"/>
            <w:tcBorders>
              <w:top w:val="outset" w:color="auto" w:sz="6" w:space="0"/>
              <w:left w:val="outset" w:color="auto" w:sz="6" w:space="0"/>
              <w:bottom w:val="outset" w:color="auto" w:sz="6" w:space="0"/>
              <w:right w:val="outset" w:color="auto" w:sz="6" w:space="0"/>
            </w:tcBorders>
          </w:tcPr>
          <w:p w:rsidR="00570104" w:rsidP="006627E6" w:rsidRDefault="00570104" w14:paraId="1FA1250B" w14:textId="77777777">
            <w:pPr>
              <w:rPr>
                <w:iCs/>
                <w:sz w:val="18"/>
                <w:szCs w:val="18"/>
                <w:lang w:eastAsia="lv-LV"/>
              </w:rPr>
            </w:pPr>
          </w:p>
          <w:p w:rsidRPr="002C76E0" w:rsidR="006627E6" w:rsidP="006627E6" w:rsidRDefault="006627E6" w14:paraId="63A2F5E6" w14:textId="01B1DE13">
            <w:pPr>
              <w:rPr>
                <w:iCs/>
                <w:lang w:eastAsia="lv-LV"/>
              </w:rPr>
            </w:pPr>
            <w:r w:rsidRPr="00753B45">
              <w:rPr>
                <w:iCs/>
                <w:sz w:val="18"/>
                <w:szCs w:val="18"/>
                <w:lang w:eastAsia="lv-LV"/>
              </w:rPr>
              <w:t xml:space="preserve">6 319 908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6627E6" w:rsidP="006627E6" w:rsidRDefault="006627E6" w14:paraId="7DC06918" w14:textId="7C002E7F">
            <w:pPr>
              <w:rPr>
                <w:iCs/>
                <w:lang w:eastAsia="lv-LV"/>
              </w:rPr>
            </w:pPr>
            <w:r w:rsidRPr="007D26B4">
              <w:rPr>
                <w:iCs/>
                <w:sz w:val="18"/>
                <w:szCs w:val="18"/>
                <w:lang w:eastAsia="lv-LV"/>
              </w:rPr>
              <w:t> </w:t>
            </w:r>
            <w:r>
              <w:rPr>
                <w:iCs/>
                <w:sz w:val="18"/>
                <w:szCs w:val="18"/>
                <w:lang w:eastAsia="lv-LV"/>
              </w:rPr>
              <w:t>129 556</w:t>
            </w:r>
            <w:r w:rsidR="00570104">
              <w:rPr>
                <w:iCs/>
                <w:sz w:val="18"/>
                <w:szCs w:val="18"/>
                <w:lang w:eastAsia="lv-LV"/>
              </w:rPr>
              <w:t> </w:t>
            </w:r>
            <w:r>
              <w:rPr>
                <w:iCs/>
                <w:sz w:val="18"/>
                <w:szCs w:val="18"/>
                <w:lang w:eastAsia="lv-LV"/>
              </w:rPr>
              <w:t>000</w:t>
            </w:r>
          </w:p>
        </w:tc>
        <w:tc>
          <w:tcPr>
            <w:tcW w:w="1014" w:type="dxa"/>
            <w:tcBorders>
              <w:top w:val="outset" w:color="auto" w:sz="6" w:space="0"/>
              <w:left w:val="outset" w:color="auto" w:sz="6" w:space="0"/>
              <w:bottom w:val="outset" w:color="auto" w:sz="6" w:space="0"/>
              <w:right w:val="outset" w:color="auto" w:sz="6" w:space="0"/>
            </w:tcBorders>
          </w:tcPr>
          <w:p w:rsidR="00570104" w:rsidP="006627E6" w:rsidRDefault="00570104" w14:paraId="056EB3B8" w14:textId="77777777">
            <w:pPr>
              <w:rPr>
                <w:iCs/>
                <w:sz w:val="18"/>
                <w:szCs w:val="18"/>
                <w:lang w:eastAsia="lv-LV"/>
              </w:rPr>
            </w:pPr>
          </w:p>
          <w:p w:rsidRPr="002C76E0" w:rsidR="006627E6" w:rsidP="006627E6" w:rsidRDefault="006627E6" w14:paraId="598CB72D" w14:textId="2E04B3B3">
            <w:pPr>
              <w:rPr>
                <w:iCs/>
                <w:lang w:eastAsia="lv-LV"/>
              </w:rPr>
            </w:pPr>
            <w:r w:rsidRPr="00123C84">
              <w:rPr>
                <w:iCs/>
                <w:sz w:val="18"/>
                <w:szCs w:val="18"/>
                <w:lang w:eastAsia="lv-LV"/>
              </w:rPr>
              <w:t xml:space="preserve">6 319 908 </w:t>
            </w:r>
          </w:p>
        </w:tc>
        <w:tc>
          <w:tcPr>
            <w:tcW w:w="993" w:type="dxa"/>
            <w:tcBorders>
              <w:top w:val="outset" w:color="auto" w:sz="6" w:space="0"/>
              <w:left w:val="outset" w:color="auto" w:sz="6" w:space="0"/>
              <w:bottom w:val="outset" w:color="auto" w:sz="6" w:space="0"/>
              <w:right w:val="outset" w:color="auto" w:sz="6" w:space="0"/>
            </w:tcBorders>
          </w:tcPr>
          <w:p w:rsidR="00570104" w:rsidP="006627E6" w:rsidRDefault="00570104" w14:paraId="009FD867" w14:textId="77777777">
            <w:pPr>
              <w:rPr>
                <w:iCs/>
                <w:sz w:val="18"/>
                <w:szCs w:val="18"/>
                <w:lang w:eastAsia="lv-LV"/>
              </w:rPr>
            </w:pPr>
          </w:p>
          <w:p w:rsidRPr="002C76E0" w:rsidR="006627E6" w:rsidP="006627E6" w:rsidRDefault="006627E6" w14:paraId="065C2420" w14:textId="02F15D95">
            <w:pPr>
              <w:rPr>
                <w:iCs/>
                <w:lang w:eastAsia="lv-LV"/>
              </w:rPr>
            </w:pPr>
            <w:r w:rsidRPr="00123C84">
              <w:rPr>
                <w:iCs/>
                <w:sz w:val="18"/>
                <w:szCs w:val="18"/>
                <w:lang w:eastAsia="lv-LV"/>
              </w:rPr>
              <w:t xml:space="preserve">6 319 908 </w:t>
            </w:r>
          </w:p>
        </w:tc>
      </w:tr>
      <w:tr w:rsidRPr="002C76E0" w:rsidR="00FA179E" w:rsidTr="005C764F" w14:paraId="0AFF20B2"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694388D9" w14:textId="77777777">
            <w:pPr>
              <w:rPr>
                <w:iCs/>
                <w:lang w:eastAsia="lv-LV"/>
              </w:rPr>
            </w:pPr>
            <w:r w:rsidRPr="002C76E0">
              <w:rPr>
                <w:iCs/>
                <w:lang w:eastAsia="lv-LV"/>
              </w:rPr>
              <w:t>3.2. speciālais 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EE5E95C"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5366A48" w14:textId="297C4485">
            <w:pPr>
              <w:rPr>
                <w:iCs/>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398094D" w14:textId="6042DE45">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AA98AD6" w14:textId="7C32E522">
            <w:pPr>
              <w:rPr>
                <w:iCs/>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54038F7" w14:textId="12E125FF">
            <w:pPr>
              <w:rPr>
                <w:iCs/>
                <w:lang w:eastAsia="lv-LV"/>
              </w:rPr>
            </w:pPr>
            <w:r w:rsidRPr="002C76E0">
              <w:rPr>
                <w:iCs/>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BD63413" w14:textId="3406BAD1">
            <w:pPr>
              <w:rPr>
                <w:iCs/>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398764D" w14:textId="1DB94AD2">
            <w:pPr>
              <w:rPr>
                <w:iCs/>
                <w:lang w:eastAsia="lv-LV"/>
              </w:rPr>
            </w:pPr>
            <w:r w:rsidRPr="002C76E0">
              <w:rPr>
                <w:iCs/>
                <w:lang w:eastAsia="lv-LV"/>
              </w:rPr>
              <w:t> </w:t>
            </w:r>
            <w:r>
              <w:rPr>
                <w:iCs/>
                <w:lang w:eastAsia="lv-LV"/>
              </w:rPr>
              <w:t>0</w:t>
            </w:r>
          </w:p>
        </w:tc>
      </w:tr>
      <w:tr w:rsidRPr="002C76E0" w:rsidR="00FA179E" w:rsidTr="005C764F" w14:paraId="1EED675B"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78961365" w14:textId="77777777">
            <w:pPr>
              <w:rPr>
                <w:iCs/>
                <w:lang w:eastAsia="lv-LV"/>
              </w:rPr>
            </w:pPr>
            <w:r w:rsidRPr="002C76E0">
              <w:rPr>
                <w:iCs/>
                <w:lang w:eastAsia="lv-LV"/>
              </w:rPr>
              <w:t>3.3. pašvaldību budžets</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072F584" w14:textId="77777777">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5418B1D" w14:textId="610E115E">
            <w:pPr>
              <w:rPr>
                <w:iCs/>
                <w:lang w:eastAsia="lv-LV"/>
              </w:rPr>
            </w:pPr>
            <w:r w:rsidRPr="002C76E0">
              <w:rPr>
                <w:iCs/>
                <w:lang w:eastAsia="lv-LV"/>
              </w:rPr>
              <w:t> </w:t>
            </w:r>
            <w:r>
              <w:rPr>
                <w:iCs/>
                <w:lang w:eastAsia="lv-LV"/>
              </w:rPr>
              <w:t>0</w:t>
            </w: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E82C048" w14:textId="394A44DE">
            <w:pPr>
              <w:rPr>
                <w:iCs/>
                <w:lang w:eastAsia="lv-LV"/>
              </w:rPr>
            </w:pPr>
            <w:r w:rsidRPr="002C76E0">
              <w:rPr>
                <w:iCs/>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91787CF" w14:textId="5D50E8AB">
            <w:pPr>
              <w:rPr>
                <w:iCs/>
                <w:lang w:eastAsia="lv-LV"/>
              </w:rPr>
            </w:pPr>
            <w:r w:rsidRPr="002C76E0">
              <w:rPr>
                <w:iCs/>
                <w:lang w:eastAsia="lv-LV"/>
              </w:rPr>
              <w:t> </w:t>
            </w:r>
            <w:r>
              <w:rPr>
                <w:iCs/>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6C20192" w14:textId="49652435">
            <w:pPr>
              <w:rPr>
                <w:iCs/>
                <w:lang w:eastAsia="lv-LV"/>
              </w:rPr>
            </w:pPr>
            <w:r w:rsidRPr="002C76E0">
              <w:rPr>
                <w:iCs/>
                <w:lang w:eastAsia="lv-LV"/>
              </w:rPr>
              <w:t> </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BC2EAC6" w14:textId="2F2DB3DC">
            <w:pPr>
              <w:rPr>
                <w:iCs/>
                <w:lang w:eastAsia="lv-LV"/>
              </w:rPr>
            </w:pPr>
            <w:r w:rsidRPr="002C76E0">
              <w:rPr>
                <w:iCs/>
                <w:lang w:eastAsia="lv-LV"/>
              </w:rPr>
              <w:t> </w:t>
            </w:r>
            <w:r>
              <w:rPr>
                <w:iCs/>
                <w:lang w:eastAsia="lv-LV"/>
              </w:rPr>
              <w:t>0</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6FB57243" w14:textId="192EACEF">
            <w:pPr>
              <w:rPr>
                <w:iCs/>
                <w:lang w:eastAsia="lv-LV"/>
              </w:rPr>
            </w:pPr>
            <w:r w:rsidRPr="002C76E0">
              <w:rPr>
                <w:iCs/>
                <w:lang w:eastAsia="lv-LV"/>
              </w:rPr>
              <w:t> </w:t>
            </w:r>
            <w:r>
              <w:rPr>
                <w:iCs/>
                <w:lang w:eastAsia="lv-LV"/>
              </w:rPr>
              <w:t>0</w:t>
            </w:r>
          </w:p>
        </w:tc>
      </w:tr>
      <w:tr w:rsidRPr="002C76E0" w:rsidR="00FA179E" w:rsidTr="005C764F" w14:paraId="13BC16AD"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14A2E102" w14:textId="77777777">
            <w:pPr>
              <w:rPr>
                <w:iCs/>
                <w:lang w:eastAsia="lv-LV"/>
              </w:rPr>
            </w:pPr>
            <w:r w:rsidRPr="002C76E0">
              <w:rPr>
                <w:iCs/>
                <w:lang w:eastAsia="lv-LV"/>
              </w:rPr>
              <w:t>4. Finanšu līdzekļi papildu izdevumu finansēšanai (kompensējošu izdevumu samazinājumu norāda ar "+" zīmi)</w:t>
            </w:r>
          </w:p>
        </w:tc>
        <w:tc>
          <w:tcPr>
            <w:tcW w:w="1097" w:type="dxa"/>
            <w:gridSpan w:val="2"/>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79EC020" w14:textId="77777777">
            <w:pPr>
              <w:jc w:val="center"/>
              <w:rPr>
                <w:iCs/>
                <w:lang w:eastAsia="lv-LV"/>
              </w:rPr>
            </w:pPr>
            <w:r w:rsidRPr="002C76E0">
              <w:rPr>
                <w:iCs/>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03D6085" w14:textId="77777777">
            <w:pPr>
              <w:jc w:val="center"/>
              <w:rPr>
                <w:iCs/>
                <w:lang w:eastAsia="lv-LV"/>
              </w:rPr>
            </w:pPr>
          </w:p>
        </w:tc>
        <w:tc>
          <w:tcPr>
            <w:tcW w:w="1246"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DACA070" w14:textId="77777777">
            <w:pPr>
              <w:jc w:val="center"/>
              <w:rPr>
                <w:iCs/>
                <w:lang w:eastAsia="lv-LV"/>
              </w:rPr>
            </w:pPr>
            <w:r w:rsidRPr="002C76E0">
              <w:rPr>
                <w:iCs/>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293C587" w14:textId="77777777">
            <w:pPr>
              <w:jc w:val="center"/>
              <w:rPr>
                <w:iCs/>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A0D818B" w14:textId="77777777">
            <w:pPr>
              <w:jc w:val="center"/>
              <w:rPr>
                <w:iCs/>
                <w:lang w:eastAsia="lv-LV"/>
              </w:rPr>
            </w:pPr>
            <w:r w:rsidRPr="002C76E0">
              <w:rPr>
                <w:iCs/>
                <w:lang w:eastAsia="lv-LV"/>
              </w:rPr>
              <w:t>X</w:t>
            </w: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32F7F80" w14:textId="77777777">
            <w:pPr>
              <w:rPr>
                <w:iCs/>
                <w:lang w:eastAsia="lv-LV"/>
              </w:rPr>
            </w:pPr>
            <w:r w:rsidRPr="002C76E0">
              <w:rPr>
                <w:iCs/>
                <w:lang w:eastAsia="lv-LV"/>
              </w:rPr>
              <w:t> </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03B085A" w14:textId="77777777">
            <w:pPr>
              <w:rPr>
                <w:iCs/>
                <w:lang w:eastAsia="lv-LV"/>
              </w:rPr>
            </w:pPr>
            <w:r w:rsidRPr="002C76E0">
              <w:rPr>
                <w:iCs/>
                <w:lang w:eastAsia="lv-LV"/>
              </w:rPr>
              <w:t> </w:t>
            </w:r>
          </w:p>
        </w:tc>
      </w:tr>
      <w:tr w:rsidRPr="002C76E0" w:rsidR="00FA179E" w:rsidTr="005C764F" w14:paraId="4E8BFFAF"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31BEA43E" w14:textId="77777777">
            <w:pPr>
              <w:rPr>
                <w:iCs/>
                <w:lang w:eastAsia="lv-LV"/>
              </w:rPr>
            </w:pPr>
            <w:r w:rsidRPr="002C76E0">
              <w:rPr>
                <w:iCs/>
                <w:lang w:eastAsia="lv-LV"/>
              </w:rPr>
              <w:t>5. Precizēta finansiālā ietekme</w:t>
            </w:r>
          </w:p>
        </w:tc>
        <w:tc>
          <w:tcPr>
            <w:tcW w:w="1097"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9AFBD9B" w14:textId="77777777">
            <w:pPr>
              <w:jc w:val="center"/>
              <w:rPr>
                <w:iCs/>
                <w:lang w:eastAsia="lv-LV"/>
              </w:rPr>
            </w:pPr>
          </w:p>
          <w:p w:rsidRPr="002C76E0" w:rsidR="00FA179E" w:rsidP="00FA179E" w:rsidRDefault="00FA179E" w14:paraId="6609D067" w14:textId="77777777">
            <w:pPr>
              <w:jc w:val="center"/>
              <w:rPr>
                <w:iCs/>
                <w:lang w:eastAsia="lv-LV"/>
              </w:rPr>
            </w:pPr>
          </w:p>
          <w:p w:rsidRPr="002C76E0" w:rsidR="00FA179E" w:rsidP="00FA179E" w:rsidRDefault="00FA179E" w14:paraId="218CEB3E" w14:textId="77777777">
            <w:pPr>
              <w:jc w:val="center"/>
              <w:rPr>
                <w:iCs/>
                <w:lang w:eastAsia="lv-LV"/>
              </w:rPr>
            </w:pPr>
          </w:p>
          <w:p w:rsidRPr="002C76E0" w:rsidR="00FA179E" w:rsidP="00FA179E" w:rsidRDefault="00FA179E" w14:paraId="36296B9C" w14:textId="77777777">
            <w:pPr>
              <w:jc w:val="center"/>
              <w:rPr>
                <w:iCs/>
                <w:lang w:eastAsia="lv-LV"/>
              </w:rPr>
            </w:pPr>
          </w:p>
          <w:p w:rsidRPr="002C76E0" w:rsidR="00FA179E" w:rsidP="00FA179E" w:rsidRDefault="00FA179E" w14:paraId="6E122173" w14:textId="77777777">
            <w:pPr>
              <w:jc w:val="center"/>
              <w:rPr>
                <w:iCs/>
                <w:lang w:eastAsia="lv-LV"/>
              </w:rPr>
            </w:pPr>
          </w:p>
          <w:p w:rsidRPr="002C76E0" w:rsidR="00FA179E" w:rsidP="00FA179E" w:rsidRDefault="00FA179E" w14:paraId="489A3A8E" w14:textId="77777777">
            <w:pPr>
              <w:jc w:val="center"/>
              <w:rPr>
                <w:iCs/>
                <w:lang w:eastAsia="lv-LV"/>
              </w:rPr>
            </w:pPr>
            <w:r w:rsidRPr="002C76E0">
              <w:rPr>
                <w:iCs/>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5FC52423" w14:textId="436F5901">
            <w:pPr>
              <w:jc w:val="center"/>
              <w:rPr>
                <w:iCs/>
                <w:sz w:val="18"/>
                <w:szCs w:val="18"/>
                <w:lang w:eastAsia="lv-LV"/>
              </w:rPr>
            </w:pPr>
          </w:p>
        </w:tc>
        <w:tc>
          <w:tcPr>
            <w:tcW w:w="1246" w:type="dxa"/>
            <w:vMerge w:val="restart"/>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3EF57E62" w14:textId="072F7A31">
            <w:pPr>
              <w:jc w:val="center"/>
              <w:rPr>
                <w:iCs/>
                <w:sz w:val="18"/>
                <w:szCs w:val="18"/>
                <w:lang w:eastAsia="lv-LV"/>
              </w:rPr>
            </w:pPr>
          </w:p>
        </w:tc>
        <w:tc>
          <w:tcPr>
            <w:tcW w:w="1104"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6AFE3C08" w14:textId="4F4E3AB8">
            <w:pPr>
              <w:jc w:val="center"/>
              <w:rPr>
                <w:iCs/>
                <w:sz w:val="18"/>
                <w:szCs w:val="18"/>
                <w:lang w:eastAsia="lv-LV"/>
              </w:rPr>
            </w:pPr>
          </w:p>
        </w:tc>
        <w:tc>
          <w:tcPr>
            <w:tcW w:w="1104" w:type="dxa"/>
            <w:vMerge w:val="restart"/>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134545C2" w14:textId="46FC1213">
            <w:pPr>
              <w:jc w:val="center"/>
              <w:rPr>
                <w:iCs/>
                <w:sz w:val="18"/>
                <w:szCs w:val="18"/>
                <w:lang w:eastAsia="lv-LV"/>
              </w:rPr>
            </w:pPr>
          </w:p>
        </w:tc>
        <w:tc>
          <w:tcPr>
            <w:tcW w:w="1014"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6391EEC7" w14:textId="33A7C9F9">
            <w:pPr>
              <w:rPr>
                <w:iCs/>
                <w:sz w:val="18"/>
                <w:szCs w:val="18"/>
                <w:lang w:eastAsia="lv-LV"/>
              </w:rPr>
            </w:pPr>
          </w:p>
        </w:tc>
        <w:tc>
          <w:tcPr>
            <w:tcW w:w="993"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7082372F" w14:textId="486DB439">
            <w:pPr>
              <w:rPr>
                <w:iCs/>
                <w:sz w:val="18"/>
                <w:szCs w:val="18"/>
                <w:lang w:eastAsia="lv-LV"/>
              </w:rPr>
            </w:pPr>
          </w:p>
        </w:tc>
      </w:tr>
      <w:tr w:rsidRPr="002C76E0" w:rsidR="00FA179E" w:rsidTr="005C764F" w14:paraId="307F897D"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6BDCAEEB" w14:textId="77777777">
            <w:pPr>
              <w:rPr>
                <w:iCs/>
                <w:lang w:eastAsia="lv-LV"/>
              </w:rPr>
            </w:pPr>
            <w:r w:rsidRPr="002C76E0">
              <w:rPr>
                <w:iCs/>
                <w:lang w:eastAsia="lv-LV"/>
              </w:rPr>
              <w:t>5.1. valsts pamatbudžets</w:t>
            </w:r>
          </w:p>
        </w:tc>
        <w:tc>
          <w:tcPr>
            <w:tcW w:w="1097" w:type="dxa"/>
            <w:gridSpan w:val="2"/>
            <w:vMerge/>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C2F5F1E" w14:textId="77777777">
            <w:pPr>
              <w:rPr>
                <w:iCs/>
                <w:lang w:eastAsia="lv-LV"/>
              </w:rPr>
            </w:pPr>
          </w:p>
        </w:tc>
        <w:tc>
          <w:tcPr>
            <w:tcW w:w="1104"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1060AB30" w14:textId="775712B4">
            <w:pPr>
              <w:rPr>
                <w:iCs/>
                <w:sz w:val="18"/>
                <w:szCs w:val="18"/>
                <w:lang w:eastAsia="lv-LV"/>
              </w:rPr>
            </w:pPr>
          </w:p>
        </w:tc>
        <w:tc>
          <w:tcPr>
            <w:tcW w:w="1246" w:type="dxa"/>
            <w:vMerge/>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67940722" w14:textId="77777777">
            <w:pPr>
              <w:rPr>
                <w:iCs/>
                <w:sz w:val="18"/>
                <w:szCs w:val="18"/>
                <w:lang w:eastAsia="lv-LV"/>
              </w:rPr>
            </w:pPr>
          </w:p>
        </w:tc>
        <w:tc>
          <w:tcPr>
            <w:tcW w:w="1104"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34E2941F" w14:textId="21C0AA6E">
            <w:pPr>
              <w:rPr>
                <w:iCs/>
                <w:sz w:val="18"/>
                <w:szCs w:val="18"/>
                <w:lang w:eastAsia="lv-LV"/>
              </w:rPr>
            </w:pPr>
          </w:p>
        </w:tc>
        <w:tc>
          <w:tcPr>
            <w:tcW w:w="1104" w:type="dxa"/>
            <w:vMerge/>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73592AE5" w14:textId="77777777">
            <w:pPr>
              <w:rPr>
                <w:iCs/>
                <w:sz w:val="18"/>
                <w:szCs w:val="18"/>
                <w:lang w:eastAsia="lv-LV"/>
              </w:rPr>
            </w:pPr>
          </w:p>
        </w:tc>
        <w:tc>
          <w:tcPr>
            <w:tcW w:w="1014"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3ECF97E4" w14:textId="6D6DA0DA">
            <w:pPr>
              <w:rPr>
                <w:iCs/>
                <w:sz w:val="18"/>
                <w:szCs w:val="18"/>
                <w:lang w:eastAsia="lv-LV"/>
              </w:rPr>
            </w:pPr>
          </w:p>
        </w:tc>
        <w:tc>
          <w:tcPr>
            <w:tcW w:w="993" w:type="dxa"/>
            <w:tcBorders>
              <w:top w:val="outset" w:color="auto" w:sz="6" w:space="0"/>
              <w:left w:val="outset" w:color="auto" w:sz="6" w:space="0"/>
              <w:bottom w:val="outset" w:color="auto" w:sz="6" w:space="0"/>
              <w:right w:val="outset" w:color="auto" w:sz="6" w:space="0"/>
            </w:tcBorders>
            <w:vAlign w:val="center"/>
          </w:tcPr>
          <w:p w:rsidRPr="007D26B4" w:rsidR="00FA179E" w:rsidP="00FA179E" w:rsidRDefault="00FA179E" w14:paraId="3D02D3AE" w14:textId="21B665D7">
            <w:pPr>
              <w:rPr>
                <w:iCs/>
                <w:sz w:val="18"/>
                <w:szCs w:val="18"/>
                <w:lang w:eastAsia="lv-LV"/>
              </w:rPr>
            </w:pPr>
          </w:p>
        </w:tc>
      </w:tr>
      <w:tr w:rsidRPr="002C76E0" w:rsidR="00FA179E" w:rsidTr="005C764F" w14:paraId="2B02D45A"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27CA3AA2" w14:textId="77777777">
            <w:pPr>
              <w:rPr>
                <w:iCs/>
                <w:lang w:eastAsia="lv-LV"/>
              </w:rPr>
            </w:pPr>
            <w:r w:rsidRPr="002C76E0">
              <w:rPr>
                <w:iCs/>
                <w:lang w:eastAsia="lv-LV"/>
              </w:rPr>
              <w:t>5.2. speciālais budžets</w:t>
            </w:r>
          </w:p>
        </w:tc>
        <w:tc>
          <w:tcPr>
            <w:tcW w:w="1097" w:type="dxa"/>
            <w:gridSpan w:val="2"/>
            <w:vMerge/>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14381180" w14:textId="77777777">
            <w:pPr>
              <w:rPr>
                <w:iCs/>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6041B44" w14:textId="77777777">
            <w:pPr>
              <w:rPr>
                <w:iCs/>
                <w:lang w:eastAsia="lv-LV"/>
              </w:rPr>
            </w:pPr>
            <w:r w:rsidRPr="002C76E0">
              <w:rPr>
                <w:iCs/>
                <w:lang w:eastAsia="lv-LV"/>
              </w:rPr>
              <w:t> </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2696C949" w14:textId="77777777">
            <w:pPr>
              <w:rPr>
                <w:iCs/>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1B4B73C" w14:textId="77777777">
            <w:pPr>
              <w:rPr>
                <w:iCs/>
                <w:lang w:eastAsia="lv-LV"/>
              </w:rPr>
            </w:pPr>
            <w:r w:rsidRPr="002C76E0">
              <w:rPr>
                <w:iCs/>
                <w:lang w:eastAsia="lv-LV"/>
              </w:rPr>
              <w:t> </w:t>
            </w:r>
          </w:p>
        </w:tc>
        <w:tc>
          <w:tcPr>
            <w:tcW w:w="1104" w:type="dxa"/>
            <w:vMerge/>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0CE637BD" w14:textId="77777777">
            <w:pPr>
              <w:rPr>
                <w:iCs/>
                <w:lang w:eastAsia="lv-LV"/>
              </w:rPr>
            </w:pP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6F51750" w14:textId="77777777">
            <w:pPr>
              <w:rPr>
                <w:iCs/>
                <w:lang w:eastAsia="lv-LV"/>
              </w:rPr>
            </w:pPr>
            <w:r w:rsidRPr="002C76E0">
              <w:rPr>
                <w:iCs/>
                <w:lang w:eastAsia="lv-LV"/>
              </w:rPr>
              <w:t> </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38C5E1A" w14:textId="77777777">
            <w:pPr>
              <w:rPr>
                <w:iCs/>
                <w:lang w:eastAsia="lv-LV"/>
              </w:rPr>
            </w:pPr>
            <w:r w:rsidRPr="002C76E0">
              <w:rPr>
                <w:iCs/>
                <w:lang w:eastAsia="lv-LV"/>
              </w:rPr>
              <w:t> </w:t>
            </w:r>
          </w:p>
        </w:tc>
      </w:tr>
      <w:tr w:rsidRPr="002C76E0" w:rsidR="00FA179E" w:rsidTr="005C764F" w14:paraId="5724F53F"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2699506C" w14:textId="77777777">
            <w:pPr>
              <w:rPr>
                <w:iCs/>
                <w:lang w:eastAsia="lv-LV"/>
              </w:rPr>
            </w:pPr>
            <w:r w:rsidRPr="002C76E0">
              <w:rPr>
                <w:iCs/>
                <w:lang w:eastAsia="lv-LV"/>
              </w:rPr>
              <w:t>5.3. pašvaldību budžets</w:t>
            </w:r>
          </w:p>
        </w:tc>
        <w:tc>
          <w:tcPr>
            <w:tcW w:w="1097" w:type="dxa"/>
            <w:gridSpan w:val="2"/>
            <w:vMerge/>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62AEFCE6" w14:textId="77777777">
            <w:pPr>
              <w:rPr>
                <w:iCs/>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6E28F033" w14:textId="77777777">
            <w:pPr>
              <w:rPr>
                <w:iCs/>
                <w:lang w:eastAsia="lv-LV"/>
              </w:rPr>
            </w:pPr>
            <w:r w:rsidRPr="002C76E0">
              <w:rPr>
                <w:iCs/>
                <w:lang w:eastAsia="lv-LV"/>
              </w:rPr>
              <w:t> </w:t>
            </w:r>
          </w:p>
        </w:tc>
        <w:tc>
          <w:tcPr>
            <w:tcW w:w="1246" w:type="dxa"/>
            <w:vMerge/>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3393BCE7" w14:textId="77777777">
            <w:pPr>
              <w:rPr>
                <w:iCs/>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5C2C4CE" w14:textId="77777777">
            <w:pPr>
              <w:rPr>
                <w:iCs/>
                <w:lang w:eastAsia="lv-LV"/>
              </w:rPr>
            </w:pPr>
            <w:r w:rsidRPr="002C76E0">
              <w:rPr>
                <w:iCs/>
                <w:lang w:eastAsia="lv-LV"/>
              </w:rPr>
              <w:t> </w:t>
            </w:r>
          </w:p>
        </w:tc>
        <w:tc>
          <w:tcPr>
            <w:tcW w:w="1104" w:type="dxa"/>
            <w:vMerge/>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5C04F956" w14:textId="77777777">
            <w:pPr>
              <w:rPr>
                <w:iCs/>
                <w:lang w:eastAsia="lv-LV"/>
              </w:rPr>
            </w:pPr>
          </w:p>
        </w:tc>
        <w:tc>
          <w:tcPr>
            <w:tcW w:w="1014"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45DE44AA" w14:textId="77777777">
            <w:pPr>
              <w:rPr>
                <w:iCs/>
                <w:lang w:eastAsia="lv-LV"/>
              </w:rPr>
            </w:pPr>
            <w:r w:rsidRPr="002C76E0">
              <w:rPr>
                <w:iCs/>
                <w:lang w:eastAsia="lv-LV"/>
              </w:rPr>
              <w:t> </w:t>
            </w:r>
          </w:p>
        </w:tc>
        <w:tc>
          <w:tcPr>
            <w:tcW w:w="993" w:type="dxa"/>
            <w:tcBorders>
              <w:top w:val="outset" w:color="auto" w:sz="6" w:space="0"/>
              <w:left w:val="outset" w:color="auto" w:sz="6" w:space="0"/>
              <w:bottom w:val="outset" w:color="auto" w:sz="6" w:space="0"/>
              <w:right w:val="outset" w:color="auto" w:sz="6" w:space="0"/>
            </w:tcBorders>
            <w:vAlign w:val="center"/>
            <w:hideMark/>
          </w:tcPr>
          <w:p w:rsidRPr="002C76E0" w:rsidR="00FA179E" w:rsidP="00FA179E" w:rsidRDefault="00FA179E" w14:paraId="7AFD013A" w14:textId="77777777">
            <w:pPr>
              <w:rPr>
                <w:iCs/>
                <w:lang w:eastAsia="lv-LV"/>
              </w:rPr>
            </w:pPr>
            <w:r w:rsidRPr="002C76E0">
              <w:rPr>
                <w:iCs/>
                <w:lang w:eastAsia="lv-LV"/>
              </w:rPr>
              <w:t> </w:t>
            </w:r>
          </w:p>
        </w:tc>
      </w:tr>
      <w:tr w:rsidRPr="002C76E0" w:rsidR="00FA179E" w:rsidTr="005C764F" w14:paraId="2974F923"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3FE1505F" w14:textId="77777777">
            <w:pPr>
              <w:rPr>
                <w:iCs/>
                <w:lang w:eastAsia="lv-LV"/>
              </w:rPr>
            </w:pPr>
            <w:r w:rsidRPr="002C76E0">
              <w:rPr>
                <w:iCs/>
                <w:lang w:eastAsia="lv-LV"/>
              </w:rPr>
              <w:t xml:space="preserve">6. Detalizēts ieņēmumu un izdevumu </w:t>
            </w:r>
            <w:r w:rsidRPr="002C76E0">
              <w:rPr>
                <w:iCs/>
                <w:lang w:eastAsia="lv-LV"/>
              </w:rPr>
              <w:lastRenderedPageBreak/>
              <w:t>aprēķins (ja nepieciešams, detalizētu ieņēmumu un izdevumu aprēķinu var pievienot anotācijas pielikumā)</w:t>
            </w:r>
          </w:p>
        </w:tc>
        <w:tc>
          <w:tcPr>
            <w:tcW w:w="7842" w:type="dxa"/>
            <w:gridSpan w:val="8"/>
            <w:vMerge w:val="restart"/>
            <w:tcBorders>
              <w:top w:val="outset" w:color="auto" w:sz="6" w:space="0"/>
              <w:left w:val="outset" w:color="auto" w:sz="6" w:space="0"/>
              <w:bottom w:val="outset" w:color="auto" w:sz="6" w:space="0"/>
              <w:right w:val="outset" w:color="auto" w:sz="6" w:space="0"/>
            </w:tcBorders>
            <w:vAlign w:val="center"/>
            <w:hideMark/>
          </w:tcPr>
          <w:p w:rsidRPr="004D3C5C" w:rsidR="00FA179E" w:rsidP="00FA179E" w:rsidRDefault="00FA179E" w14:paraId="2B385AE3" w14:textId="0E005B97">
            <w:pPr>
              <w:jc w:val="both"/>
              <w:rPr>
                <w:iCs/>
                <w:lang w:eastAsia="lv-LV"/>
              </w:rPr>
            </w:pPr>
            <w:r w:rsidRPr="004D3C5C">
              <w:rPr>
                <w:iCs/>
                <w:lang w:eastAsia="lv-LV"/>
              </w:rPr>
              <w:lastRenderedPageBreak/>
              <w:t xml:space="preserve">1. Kopējais prognozētais transportlīdzekļa ekspluatācijas nodokļa ieņēmumu pieaugums 2021. gadā ir </w:t>
            </w:r>
            <w:r w:rsidR="006627E6">
              <w:rPr>
                <w:iCs/>
                <w:lang w:eastAsia="lv-LV"/>
              </w:rPr>
              <w:t>4 619 908</w:t>
            </w:r>
            <w:r w:rsidRPr="004D3C5C">
              <w:rPr>
                <w:i/>
                <w:lang w:eastAsia="lv-LV"/>
              </w:rPr>
              <w:t xml:space="preserve"> </w:t>
            </w:r>
            <w:proofErr w:type="spellStart"/>
            <w:r w:rsidRPr="004D3C5C">
              <w:rPr>
                <w:i/>
                <w:lang w:eastAsia="lv-LV"/>
              </w:rPr>
              <w:t>euro</w:t>
            </w:r>
            <w:proofErr w:type="spellEnd"/>
            <w:r w:rsidRPr="004D3C5C">
              <w:rPr>
                <w:iCs/>
                <w:lang w:eastAsia="lv-LV"/>
              </w:rPr>
              <w:t xml:space="preserve">,  2022. gadā ir </w:t>
            </w:r>
            <w:r w:rsidR="006627E6">
              <w:rPr>
                <w:iCs/>
                <w:lang w:eastAsia="lv-LV"/>
              </w:rPr>
              <w:t>4 619 908</w:t>
            </w:r>
            <w:r w:rsidRPr="004D3C5C">
              <w:rPr>
                <w:i/>
                <w:lang w:eastAsia="lv-LV"/>
              </w:rPr>
              <w:t xml:space="preserve"> </w:t>
            </w:r>
            <w:proofErr w:type="spellStart"/>
            <w:r w:rsidRPr="004D3C5C">
              <w:rPr>
                <w:i/>
                <w:lang w:eastAsia="lv-LV"/>
              </w:rPr>
              <w:t>euro</w:t>
            </w:r>
            <w:proofErr w:type="spellEnd"/>
            <w:r w:rsidRPr="004D3C5C">
              <w:rPr>
                <w:iCs/>
                <w:lang w:eastAsia="lv-LV"/>
              </w:rPr>
              <w:t xml:space="preserve">, 2023. gadā ir </w:t>
            </w:r>
            <w:r w:rsidR="006627E6">
              <w:rPr>
                <w:iCs/>
                <w:lang w:eastAsia="lv-LV"/>
              </w:rPr>
              <w:t>4 619 908</w:t>
            </w:r>
            <w:r w:rsidRPr="004D3C5C">
              <w:rPr>
                <w:iCs/>
                <w:lang w:eastAsia="lv-LV"/>
              </w:rPr>
              <w:t xml:space="preserve"> </w:t>
            </w:r>
            <w:proofErr w:type="spellStart"/>
            <w:r w:rsidRPr="004D3C5C">
              <w:rPr>
                <w:i/>
                <w:lang w:eastAsia="lv-LV"/>
              </w:rPr>
              <w:t>euro</w:t>
            </w:r>
            <w:proofErr w:type="spellEnd"/>
            <w:r w:rsidRPr="004D3C5C">
              <w:rPr>
                <w:iCs/>
                <w:lang w:eastAsia="lv-LV"/>
              </w:rPr>
              <w:t xml:space="preserve"> gadā.</w:t>
            </w:r>
          </w:p>
          <w:p w:rsidRPr="004D3C5C" w:rsidR="00FA179E" w:rsidP="00FA179E" w:rsidRDefault="00FA179E" w14:paraId="2C037422" w14:textId="2D323597">
            <w:pPr>
              <w:jc w:val="both"/>
              <w:rPr>
                <w:iCs/>
                <w:lang w:eastAsia="lv-LV"/>
              </w:rPr>
            </w:pPr>
            <w:r w:rsidRPr="004D3C5C">
              <w:rPr>
                <w:iCs/>
                <w:lang w:eastAsia="lv-LV"/>
              </w:rPr>
              <w:t xml:space="preserve">Aprēķinot fiskālo ietekmi uz valsts budžetu, nosakot transportlīdzekļa </w:t>
            </w:r>
            <w:r w:rsidRPr="00310B63" w:rsidR="00310B63">
              <w:rPr>
                <w:iCs/>
                <w:lang w:eastAsia="lv-LV"/>
              </w:rPr>
              <w:t>ekspluatācijas</w:t>
            </w:r>
            <w:r w:rsidRPr="00310B63">
              <w:rPr>
                <w:iCs/>
                <w:lang w:eastAsia="lv-LV"/>
              </w:rPr>
              <w:t xml:space="preserve"> nodokļa likmes kravas transportlīdzekļiem ar pilnu masu līdz 3500 </w:t>
            </w:r>
            <w:r w:rsidRPr="00310B63">
              <w:rPr>
                <w:iCs/>
                <w:lang w:eastAsia="lv-LV"/>
              </w:rPr>
              <w:lastRenderedPageBreak/>
              <w:t>kg, no 3500 kg līdz</w:t>
            </w:r>
            <w:r w:rsidRPr="004D3C5C">
              <w:rPr>
                <w:iCs/>
                <w:lang w:eastAsia="lv-LV"/>
              </w:rPr>
              <w:t xml:space="preserve"> 12000 kg, virs 12000kg; seglu vilcējiem; autobusiem ar pilnu masu virs 3500 kg, ņemti vērā šādi faktori: aktuālais attiecīgajā segmentā reģistrēto transportlīdzekļu skaits sadalījumā pēc likumā noteiktajiem kritērijiem, prognozētais attiecīgajā segmentā reģistrēto transportlīdzekļu skaits sadalījumā pēc likumprojektā noteiktajiem kritērijiem,</w:t>
            </w:r>
            <w:r w:rsidRPr="004D3C5C">
              <w:t xml:space="preserve"> </w:t>
            </w:r>
            <w:r w:rsidRPr="004D3C5C">
              <w:rPr>
                <w:iCs/>
                <w:lang w:eastAsia="lv-LV"/>
              </w:rPr>
              <w:t xml:space="preserve">prognozētais transportlīdzekļu skaita samazinājums/pieaugums (prognožu novirze līdz 5%) attiecībā uz transportlīdzekļu segmentu grupām. </w:t>
            </w:r>
          </w:p>
          <w:p w:rsidRPr="004D3C5C" w:rsidR="00FA179E" w:rsidP="00FA179E" w:rsidRDefault="00FA179E" w14:paraId="1B8B02A3" w14:textId="77777777">
            <w:pPr>
              <w:jc w:val="both"/>
              <w:rPr>
                <w:iCs/>
                <w:lang w:eastAsia="lv-LV"/>
              </w:rPr>
            </w:pPr>
            <w:r w:rsidRPr="004D3C5C">
              <w:rPr>
                <w:iCs/>
                <w:lang w:eastAsia="lv-LV"/>
              </w:rPr>
              <w:t xml:space="preserve">Prognozētais transportlīdzekļa ekspluatācijas nodokļa ieņēmumu pieaugums:  </w:t>
            </w:r>
          </w:p>
          <w:p w:rsidRPr="004D3C5C" w:rsidR="00FA179E" w:rsidP="00FA179E" w:rsidRDefault="00FA179E" w14:paraId="3EF0E93A" w14:textId="22335F24">
            <w:pPr>
              <w:pStyle w:val="ListParagraph"/>
              <w:numPr>
                <w:ilvl w:val="0"/>
                <w:numId w:val="2"/>
              </w:numPr>
              <w:jc w:val="both"/>
              <w:rPr>
                <w:iCs/>
                <w:lang w:eastAsia="lv-LV"/>
              </w:rPr>
            </w:pPr>
            <w:r w:rsidRPr="004D3C5C">
              <w:rPr>
                <w:iCs/>
                <w:lang w:eastAsia="lv-LV"/>
              </w:rPr>
              <w:t xml:space="preserve">Par motocikliem, tricikliem un kvadricikliem 2021. gadā 30 000 </w:t>
            </w:r>
            <w:proofErr w:type="spellStart"/>
            <w:r w:rsidRPr="004D3C5C">
              <w:rPr>
                <w:i/>
                <w:lang w:eastAsia="lv-LV"/>
              </w:rPr>
              <w:t>euro</w:t>
            </w:r>
            <w:proofErr w:type="spellEnd"/>
            <w:r w:rsidRPr="004D3C5C">
              <w:rPr>
                <w:iCs/>
                <w:lang w:eastAsia="lv-LV"/>
              </w:rPr>
              <w:t xml:space="preserve">; 2022. gadā 30 000 </w:t>
            </w:r>
            <w:proofErr w:type="spellStart"/>
            <w:r w:rsidRPr="004D3C5C">
              <w:rPr>
                <w:i/>
                <w:lang w:eastAsia="lv-LV"/>
              </w:rPr>
              <w:t>euro</w:t>
            </w:r>
            <w:proofErr w:type="spellEnd"/>
            <w:r w:rsidRPr="004D3C5C">
              <w:rPr>
                <w:iCs/>
                <w:lang w:eastAsia="lv-LV"/>
              </w:rPr>
              <w:t xml:space="preserve">; 2023. gadā 30 000 </w:t>
            </w:r>
            <w:proofErr w:type="spellStart"/>
            <w:r w:rsidRPr="004D3C5C">
              <w:rPr>
                <w:i/>
                <w:lang w:eastAsia="lv-LV"/>
              </w:rPr>
              <w:t>euro</w:t>
            </w:r>
            <w:proofErr w:type="spellEnd"/>
            <w:r w:rsidRPr="004D3C5C">
              <w:rPr>
                <w:iCs/>
                <w:lang w:eastAsia="lv-LV"/>
              </w:rPr>
              <w:t>;</w:t>
            </w:r>
          </w:p>
          <w:p w:rsidRPr="004D3C5C" w:rsidR="00FA179E" w:rsidP="00FA179E" w:rsidRDefault="00FA179E" w14:paraId="3B3030E2" w14:textId="77777777">
            <w:pPr>
              <w:pStyle w:val="ListParagraph"/>
              <w:numPr>
                <w:ilvl w:val="0"/>
                <w:numId w:val="2"/>
              </w:numPr>
              <w:jc w:val="both"/>
              <w:rPr>
                <w:iCs/>
                <w:lang w:eastAsia="lv-LV"/>
              </w:rPr>
            </w:pPr>
            <w:r w:rsidRPr="004D3C5C">
              <w:rPr>
                <w:iCs/>
                <w:lang w:eastAsia="lv-LV"/>
              </w:rPr>
              <w:t xml:space="preserve">Par kravas transportlīdzekļiem no 3500 kg līdz 12000 kg, kravas transportlīdzekļiem virs 12000 kg, seglu vilcējiem 2021. gadā 4 280 824 </w:t>
            </w:r>
            <w:proofErr w:type="spellStart"/>
            <w:r w:rsidRPr="004D3C5C">
              <w:rPr>
                <w:i/>
                <w:lang w:eastAsia="lv-LV"/>
              </w:rPr>
              <w:t>euro</w:t>
            </w:r>
            <w:proofErr w:type="spellEnd"/>
            <w:r w:rsidRPr="004D3C5C">
              <w:rPr>
                <w:iCs/>
                <w:lang w:eastAsia="lv-LV"/>
              </w:rPr>
              <w:t xml:space="preserve">, 2022. gadā 4 280 824 </w:t>
            </w:r>
            <w:proofErr w:type="spellStart"/>
            <w:r w:rsidRPr="004D3C5C">
              <w:rPr>
                <w:i/>
                <w:lang w:eastAsia="lv-LV"/>
              </w:rPr>
              <w:t>euro</w:t>
            </w:r>
            <w:proofErr w:type="spellEnd"/>
            <w:r w:rsidRPr="004D3C5C">
              <w:rPr>
                <w:iCs/>
                <w:lang w:eastAsia="lv-LV"/>
              </w:rPr>
              <w:t xml:space="preserve">, 2023. gadā 4 280 824 </w:t>
            </w:r>
            <w:proofErr w:type="spellStart"/>
            <w:r w:rsidRPr="004D3C5C">
              <w:rPr>
                <w:i/>
                <w:lang w:eastAsia="lv-LV"/>
              </w:rPr>
              <w:t>euro</w:t>
            </w:r>
            <w:proofErr w:type="spellEnd"/>
            <w:r w:rsidRPr="004D3C5C">
              <w:rPr>
                <w:iCs/>
                <w:lang w:eastAsia="lv-LV"/>
              </w:rPr>
              <w:t>;</w:t>
            </w:r>
          </w:p>
          <w:p w:rsidRPr="004D3C5C" w:rsidR="00FA179E" w:rsidP="00FA179E" w:rsidRDefault="00FA179E" w14:paraId="42D02DA3" w14:textId="77777777">
            <w:pPr>
              <w:pStyle w:val="ListParagraph"/>
              <w:numPr>
                <w:ilvl w:val="0"/>
                <w:numId w:val="2"/>
              </w:numPr>
              <w:jc w:val="both"/>
              <w:rPr>
                <w:iCs/>
                <w:lang w:eastAsia="lv-LV"/>
              </w:rPr>
            </w:pPr>
            <w:r w:rsidRPr="004D3C5C">
              <w:rPr>
                <w:iCs/>
                <w:lang w:eastAsia="lv-LV"/>
              </w:rPr>
              <w:t xml:space="preserve">Par autobusiem ar pilnu masu virs 3500 kg 2021. gadā 309 084 </w:t>
            </w:r>
            <w:proofErr w:type="spellStart"/>
            <w:r w:rsidRPr="004D3C5C">
              <w:rPr>
                <w:i/>
                <w:lang w:eastAsia="lv-LV"/>
              </w:rPr>
              <w:t>euro</w:t>
            </w:r>
            <w:proofErr w:type="spellEnd"/>
            <w:r w:rsidRPr="004D3C5C">
              <w:rPr>
                <w:iCs/>
                <w:lang w:eastAsia="lv-LV"/>
              </w:rPr>
              <w:t xml:space="preserve">, 2022. gadā 309 084 </w:t>
            </w:r>
            <w:proofErr w:type="spellStart"/>
            <w:r w:rsidRPr="004D3C5C">
              <w:rPr>
                <w:i/>
                <w:lang w:eastAsia="lv-LV"/>
              </w:rPr>
              <w:t>euro</w:t>
            </w:r>
            <w:proofErr w:type="spellEnd"/>
            <w:r w:rsidRPr="004D3C5C">
              <w:rPr>
                <w:iCs/>
                <w:lang w:eastAsia="lv-LV"/>
              </w:rPr>
              <w:t xml:space="preserve">, 2023. gadā 309 084 </w:t>
            </w:r>
            <w:proofErr w:type="spellStart"/>
            <w:r w:rsidRPr="004D3C5C">
              <w:rPr>
                <w:i/>
                <w:lang w:eastAsia="lv-LV"/>
              </w:rPr>
              <w:t>euro</w:t>
            </w:r>
            <w:proofErr w:type="spellEnd"/>
            <w:r w:rsidRPr="004D3C5C">
              <w:rPr>
                <w:iCs/>
                <w:lang w:eastAsia="lv-LV"/>
              </w:rPr>
              <w:t>;</w:t>
            </w:r>
          </w:p>
          <w:p w:rsidRPr="004D3C5C" w:rsidR="00FA179E" w:rsidP="00FA179E" w:rsidRDefault="00FA179E" w14:paraId="2B55BEFA" w14:textId="77777777">
            <w:pPr>
              <w:rPr>
                <w:iCs/>
                <w:lang w:eastAsia="lv-LV"/>
              </w:rPr>
            </w:pPr>
          </w:p>
          <w:p w:rsidRPr="004D3C5C" w:rsidR="00FA179E" w:rsidP="00FA179E" w:rsidRDefault="00FA179E" w14:paraId="2487DB2F" w14:textId="136793F9">
            <w:pPr>
              <w:jc w:val="both"/>
              <w:rPr>
                <w:rFonts w:eastAsia="Calibri"/>
              </w:rPr>
            </w:pPr>
            <w:r w:rsidRPr="004D3C5C">
              <w:rPr>
                <w:iCs/>
                <w:lang w:eastAsia="lv-LV"/>
              </w:rPr>
              <w:t xml:space="preserve">2. </w:t>
            </w:r>
            <w:r w:rsidRPr="004D3C5C" w:rsidR="00947B76">
              <w:rPr>
                <w:iCs/>
                <w:lang w:eastAsia="lv-LV"/>
              </w:rPr>
              <w:t xml:space="preserve">Kopējais prognozētais UVTN ieņēmumu pieaugums 2021. gadā ir 1 700 000 </w:t>
            </w:r>
            <w:proofErr w:type="spellStart"/>
            <w:r w:rsidRPr="004D3C5C" w:rsidR="00947B76">
              <w:rPr>
                <w:iCs/>
                <w:lang w:eastAsia="lv-LV"/>
              </w:rPr>
              <w:t>euro</w:t>
            </w:r>
            <w:proofErr w:type="spellEnd"/>
            <w:r w:rsidRPr="004D3C5C" w:rsidR="00947B76">
              <w:rPr>
                <w:iCs/>
                <w:lang w:eastAsia="lv-LV"/>
              </w:rPr>
              <w:t xml:space="preserve">,  2022. gadā ir 1 700 000 </w:t>
            </w:r>
            <w:proofErr w:type="spellStart"/>
            <w:r w:rsidRPr="004D3C5C" w:rsidR="00947B76">
              <w:rPr>
                <w:iCs/>
                <w:lang w:eastAsia="lv-LV"/>
              </w:rPr>
              <w:t>euro</w:t>
            </w:r>
            <w:proofErr w:type="spellEnd"/>
            <w:r w:rsidRPr="004D3C5C" w:rsidR="00947B76">
              <w:rPr>
                <w:iCs/>
                <w:lang w:eastAsia="lv-LV"/>
              </w:rPr>
              <w:t xml:space="preserve">, 2023. gadā ir 1 700 000 </w:t>
            </w:r>
            <w:proofErr w:type="spellStart"/>
            <w:r w:rsidRPr="004D3C5C" w:rsidR="00947B76">
              <w:rPr>
                <w:iCs/>
                <w:lang w:eastAsia="lv-LV"/>
              </w:rPr>
              <w:t>euro</w:t>
            </w:r>
            <w:proofErr w:type="spellEnd"/>
            <w:r w:rsidRPr="004D3C5C" w:rsidR="00947B76">
              <w:rPr>
                <w:iCs/>
                <w:lang w:eastAsia="lv-LV"/>
              </w:rPr>
              <w:t xml:space="preserve"> gadā. I</w:t>
            </w:r>
            <w:r w:rsidRPr="004D3C5C">
              <w:rPr>
                <w:iCs/>
                <w:lang w:eastAsia="lv-LV"/>
              </w:rPr>
              <w:t>etekmes uz valsts budžetu a</w:t>
            </w:r>
            <w:r w:rsidRPr="004D3C5C">
              <w:rPr>
                <w:rFonts w:eastAsia="Calibri"/>
              </w:rPr>
              <w:t xml:space="preserve">prēķinā tika ņemtas vērā patēriņa cenu indeksa izmaiņas no 2017. gada janvāra līdz 2019. gada decembrim, kas pēc Centrālās statistikas pārvaldes mājas lapā sniegtās informācijas ir 7,0%. </w:t>
            </w:r>
          </w:p>
          <w:p w:rsidRPr="004D3C5C" w:rsidR="00FA179E" w:rsidP="00FA179E" w:rsidRDefault="00FA179E" w14:paraId="0AF04F47" w14:textId="77777777">
            <w:pPr>
              <w:jc w:val="both"/>
              <w:rPr>
                <w:rFonts w:eastAsia="Calibri"/>
              </w:rPr>
            </w:pPr>
          </w:p>
          <w:p w:rsidRPr="004D3C5C" w:rsidR="00FA179E" w:rsidP="00FA179E" w:rsidRDefault="00FA179E" w14:paraId="401E08EC" w14:textId="77777777">
            <w:pPr>
              <w:jc w:val="both"/>
            </w:pPr>
            <w:r w:rsidRPr="004D3C5C">
              <w:rPr>
                <w:rFonts w:eastAsia="Calibri"/>
              </w:rPr>
              <w:t>Aprēķinātas likmes pēc motora tilpuma ir norādītas zemāk tabulā:</w:t>
            </w:r>
          </w:p>
          <w:tbl>
            <w:tblPr>
              <w:tblW w:w="7312" w:type="dxa"/>
              <w:tblLayout w:type="fixed"/>
              <w:tblLook w:val="04A0" w:firstRow="1" w:lastRow="0" w:firstColumn="1" w:lastColumn="0" w:noHBand="0" w:noVBand="1"/>
            </w:tblPr>
            <w:tblGrid>
              <w:gridCol w:w="3343"/>
              <w:gridCol w:w="1985"/>
              <w:gridCol w:w="1984"/>
            </w:tblGrid>
            <w:tr w:rsidRPr="004D3C5C" w:rsidR="004D3C5C" w:rsidTr="00AD089F" w14:paraId="316B6E92" w14:textId="77777777">
              <w:trPr>
                <w:trHeight w:val="600"/>
              </w:trPr>
              <w:tc>
                <w:tcPr>
                  <w:tcW w:w="3343" w:type="dxa"/>
                  <w:vMerge w:val="restart"/>
                  <w:tcBorders>
                    <w:top w:val="single" w:color="auto" w:sz="4" w:space="0"/>
                    <w:left w:val="single" w:color="auto" w:sz="4" w:space="0"/>
                    <w:right w:val="single" w:color="auto" w:sz="4" w:space="0"/>
                  </w:tcBorders>
                  <w:shd w:val="clear" w:color="auto" w:fill="auto"/>
                  <w:noWrap/>
                  <w:vAlign w:val="bottom"/>
                  <w:hideMark/>
                </w:tcPr>
                <w:p w:rsidRPr="004D3C5C" w:rsidR="00FA179E" w:rsidP="00FA179E" w:rsidRDefault="00FA179E" w14:paraId="1C871C05" w14:textId="77777777">
                  <w:pPr>
                    <w:rPr>
                      <w:lang w:eastAsia="lv-LV"/>
                    </w:rPr>
                  </w:pPr>
                  <w:r w:rsidRPr="004D3C5C">
                    <w:rPr>
                      <w:lang w:eastAsia="lv-LV"/>
                    </w:rPr>
                    <w:t> </w:t>
                  </w:r>
                </w:p>
              </w:tc>
              <w:tc>
                <w:tcPr>
                  <w:tcW w:w="1985" w:type="dxa"/>
                  <w:tcBorders>
                    <w:top w:val="single" w:color="auto" w:sz="4" w:space="0"/>
                    <w:left w:val="nil"/>
                    <w:bottom w:val="single" w:color="auto" w:sz="4" w:space="0"/>
                    <w:right w:val="single" w:color="auto" w:sz="4" w:space="0"/>
                  </w:tcBorders>
                  <w:shd w:val="clear" w:color="auto" w:fill="auto"/>
                  <w:vAlign w:val="bottom"/>
                  <w:hideMark/>
                </w:tcPr>
                <w:p w:rsidRPr="004D3C5C" w:rsidR="00FA179E" w:rsidP="00FA179E" w:rsidRDefault="00FA179E" w14:paraId="064AB34D" w14:textId="77777777">
                  <w:pPr>
                    <w:jc w:val="center"/>
                    <w:rPr>
                      <w:lang w:eastAsia="lv-LV"/>
                    </w:rPr>
                  </w:pPr>
                  <w:r w:rsidRPr="004D3C5C">
                    <w:rPr>
                      <w:lang w:eastAsia="lv-LV"/>
                    </w:rPr>
                    <w:t xml:space="preserve">UVTN likme, </w:t>
                  </w:r>
                  <w:proofErr w:type="spellStart"/>
                  <w:r w:rsidRPr="004D3C5C">
                    <w:rPr>
                      <w:i/>
                      <w:lang w:eastAsia="lv-LV"/>
                    </w:rPr>
                    <w:t>euro</w:t>
                  </w:r>
                  <w:proofErr w:type="spellEnd"/>
                  <w:r w:rsidRPr="004D3C5C">
                    <w:rPr>
                      <w:lang w:eastAsia="lv-LV"/>
                    </w:rPr>
                    <w:t xml:space="preserve"> mēnesī</w:t>
                  </w:r>
                </w:p>
              </w:tc>
              <w:tc>
                <w:tcPr>
                  <w:tcW w:w="1984" w:type="dxa"/>
                  <w:tcBorders>
                    <w:top w:val="single" w:color="auto" w:sz="4" w:space="0"/>
                    <w:left w:val="nil"/>
                    <w:bottom w:val="single" w:color="auto" w:sz="4" w:space="0"/>
                    <w:right w:val="single" w:color="auto" w:sz="4" w:space="0"/>
                  </w:tcBorders>
                  <w:shd w:val="clear" w:color="auto" w:fill="auto"/>
                  <w:vAlign w:val="bottom"/>
                  <w:hideMark/>
                </w:tcPr>
                <w:p w:rsidRPr="004D3C5C" w:rsidR="00FA179E" w:rsidP="00FA179E" w:rsidRDefault="00FA179E" w14:paraId="7ACD4F62" w14:textId="77777777">
                  <w:pPr>
                    <w:jc w:val="center"/>
                    <w:rPr>
                      <w:lang w:eastAsia="lv-LV"/>
                    </w:rPr>
                  </w:pPr>
                  <w:r w:rsidRPr="004D3C5C">
                    <w:rPr>
                      <w:lang w:eastAsia="lv-LV"/>
                    </w:rPr>
                    <w:t xml:space="preserve">UVTN likme, </w:t>
                  </w:r>
                  <w:proofErr w:type="spellStart"/>
                  <w:r w:rsidRPr="004D3C5C">
                    <w:rPr>
                      <w:i/>
                      <w:lang w:eastAsia="lv-LV"/>
                    </w:rPr>
                    <w:t>euro</w:t>
                  </w:r>
                  <w:proofErr w:type="spellEnd"/>
                  <w:r w:rsidRPr="004D3C5C">
                    <w:rPr>
                      <w:lang w:eastAsia="lv-LV"/>
                    </w:rPr>
                    <w:t xml:space="preserve"> mēnesī</w:t>
                  </w:r>
                </w:p>
              </w:tc>
            </w:tr>
            <w:tr w:rsidRPr="004D3C5C" w:rsidR="004D3C5C" w:rsidTr="00AD089F" w14:paraId="4F24FB46" w14:textId="77777777">
              <w:trPr>
                <w:trHeight w:val="600"/>
              </w:trPr>
              <w:tc>
                <w:tcPr>
                  <w:tcW w:w="3343" w:type="dxa"/>
                  <w:vMerge/>
                  <w:tcBorders>
                    <w:left w:val="single" w:color="auto" w:sz="4" w:space="0"/>
                    <w:bottom w:val="single" w:color="auto" w:sz="4" w:space="0"/>
                    <w:right w:val="single" w:color="auto" w:sz="4" w:space="0"/>
                  </w:tcBorders>
                  <w:shd w:val="clear" w:color="auto" w:fill="auto"/>
                  <w:noWrap/>
                  <w:vAlign w:val="bottom"/>
                </w:tcPr>
                <w:p w:rsidRPr="004D3C5C" w:rsidR="00FA179E" w:rsidP="00FA179E" w:rsidRDefault="00FA179E" w14:paraId="017D9635" w14:textId="77777777">
                  <w:pPr>
                    <w:rPr>
                      <w:lang w:eastAsia="lv-LV"/>
                    </w:rPr>
                  </w:pPr>
                </w:p>
              </w:tc>
              <w:tc>
                <w:tcPr>
                  <w:tcW w:w="1985" w:type="dxa"/>
                  <w:tcBorders>
                    <w:top w:val="single" w:color="auto" w:sz="4" w:space="0"/>
                    <w:left w:val="nil"/>
                    <w:bottom w:val="single" w:color="auto" w:sz="4" w:space="0"/>
                    <w:right w:val="single" w:color="auto" w:sz="4" w:space="0"/>
                  </w:tcBorders>
                  <w:shd w:val="clear" w:color="auto" w:fill="auto"/>
                  <w:vAlign w:val="center"/>
                </w:tcPr>
                <w:p w:rsidRPr="004D3C5C" w:rsidR="00FA179E" w:rsidP="00FA179E" w:rsidRDefault="00FA179E" w14:paraId="49F82773" w14:textId="77777777">
                  <w:pPr>
                    <w:jc w:val="center"/>
                    <w:rPr>
                      <w:lang w:eastAsia="lv-LV"/>
                    </w:rPr>
                  </w:pPr>
                  <w:r w:rsidRPr="004D3C5C">
                    <w:rPr>
                      <w:lang w:eastAsia="lv-LV"/>
                    </w:rPr>
                    <w:t>Patreiz spēkā esoša</w:t>
                  </w:r>
                </w:p>
              </w:tc>
              <w:tc>
                <w:tcPr>
                  <w:tcW w:w="1984" w:type="dxa"/>
                  <w:tcBorders>
                    <w:top w:val="single" w:color="auto" w:sz="4" w:space="0"/>
                    <w:left w:val="nil"/>
                    <w:bottom w:val="single" w:color="auto" w:sz="4" w:space="0"/>
                    <w:right w:val="single" w:color="auto" w:sz="4" w:space="0"/>
                  </w:tcBorders>
                  <w:shd w:val="clear" w:color="auto" w:fill="auto"/>
                  <w:vAlign w:val="center"/>
                </w:tcPr>
                <w:p w:rsidRPr="004D3C5C" w:rsidR="00FA179E" w:rsidP="00FA179E" w:rsidRDefault="00FA179E" w14:paraId="500E4975" w14:textId="77777777">
                  <w:pPr>
                    <w:jc w:val="center"/>
                    <w:rPr>
                      <w:lang w:eastAsia="lv-LV"/>
                    </w:rPr>
                  </w:pPr>
                  <w:r w:rsidRPr="004D3C5C">
                    <w:rPr>
                      <w:lang w:eastAsia="lv-LV"/>
                    </w:rPr>
                    <w:t>Ar 2021. gada 1.janvāri</w:t>
                  </w:r>
                </w:p>
              </w:tc>
            </w:tr>
            <w:tr w:rsidRPr="004D3C5C" w:rsidR="004D3C5C" w:rsidTr="00AD089F" w14:paraId="50A95DB2" w14:textId="77777777">
              <w:trPr>
                <w:trHeight w:val="300"/>
              </w:trPr>
              <w:tc>
                <w:tcPr>
                  <w:tcW w:w="3343" w:type="dxa"/>
                  <w:tcBorders>
                    <w:top w:val="nil"/>
                    <w:left w:val="single" w:color="auto" w:sz="4" w:space="0"/>
                    <w:bottom w:val="single" w:color="auto" w:sz="4" w:space="0"/>
                    <w:right w:val="single" w:color="auto" w:sz="4" w:space="0"/>
                  </w:tcBorders>
                  <w:shd w:val="clear" w:color="auto" w:fill="auto"/>
                  <w:noWrap/>
                  <w:vAlign w:val="bottom"/>
                  <w:hideMark/>
                </w:tcPr>
                <w:p w:rsidRPr="004D3C5C" w:rsidR="00FA179E" w:rsidP="00FA179E" w:rsidRDefault="00FA179E" w14:paraId="58C88A3D" w14:textId="77777777">
                  <w:pPr>
                    <w:rPr>
                      <w:lang w:eastAsia="lv-LV"/>
                    </w:rPr>
                  </w:pPr>
                  <w:r w:rsidRPr="004D3C5C">
                    <w:rPr>
                      <w:lang w:eastAsia="lv-LV"/>
                    </w:rPr>
                    <w:t>Motora tilpums:</w:t>
                  </w:r>
                </w:p>
              </w:tc>
              <w:tc>
                <w:tcPr>
                  <w:tcW w:w="1985"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206C2FE3" w14:textId="77777777">
                  <w:pPr>
                    <w:jc w:val="center"/>
                    <w:rPr>
                      <w:lang w:eastAsia="lv-LV"/>
                    </w:rPr>
                  </w:pPr>
                </w:p>
              </w:tc>
              <w:tc>
                <w:tcPr>
                  <w:tcW w:w="1984"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7175D641" w14:textId="77777777">
                  <w:pPr>
                    <w:jc w:val="center"/>
                    <w:rPr>
                      <w:lang w:eastAsia="lv-LV"/>
                    </w:rPr>
                  </w:pPr>
                </w:p>
              </w:tc>
            </w:tr>
            <w:tr w:rsidRPr="004D3C5C" w:rsidR="004D3C5C" w:rsidTr="00AD089F" w14:paraId="40DD9932" w14:textId="77777777">
              <w:trPr>
                <w:trHeight w:val="300"/>
              </w:trPr>
              <w:tc>
                <w:tcPr>
                  <w:tcW w:w="3343" w:type="dxa"/>
                  <w:tcBorders>
                    <w:top w:val="nil"/>
                    <w:left w:val="single" w:color="auto" w:sz="4" w:space="0"/>
                    <w:bottom w:val="single" w:color="auto" w:sz="4" w:space="0"/>
                    <w:right w:val="single" w:color="auto" w:sz="4" w:space="0"/>
                  </w:tcBorders>
                  <w:shd w:val="clear" w:color="auto" w:fill="auto"/>
                  <w:noWrap/>
                  <w:vAlign w:val="bottom"/>
                  <w:hideMark/>
                </w:tcPr>
                <w:p w:rsidRPr="004D3C5C" w:rsidR="00FA179E" w:rsidP="00FA179E" w:rsidRDefault="00FA179E" w14:paraId="0C7C46AA" w14:textId="77777777">
                  <w:pPr>
                    <w:rPr>
                      <w:lang w:eastAsia="lv-LV"/>
                    </w:rPr>
                  </w:pPr>
                  <w:r w:rsidRPr="004D3C5C">
                    <w:rPr>
                      <w:lang w:eastAsia="lv-LV"/>
                    </w:rPr>
                    <w:t>Līdz 2000 cm</w:t>
                  </w:r>
                  <w:r w:rsidRPr="004D3C5C">
                    <w:rPr>
                      <w:rFonts w:eastAsia="Calibri"/>
                      <w:vertAlign w:val="superscript"/>
                    </w:rPr>
                    <w:t>3</w:t>
                  </w:r>
                </w:p>
              </w:tc>
              <w:tc>
                <w:tcPr>
                  <w:tcW w:w="1985"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16AFA8CC" w14:textId="77777777">
                  <w:pPr>
                    <w:jc w:val="right"/>
                    <w:rPr>
                      <w:lang w:eastAsia="lv-LV"/>
                    </w:rPr>
                  </w:pPr>
                  <w:r w:rsidRPr="004D3C5C">
                    <w:rPr>
                      <w:lang w:eastAsia="lv-LV"/>
                    </w:rPr>
                    <w:t>29</w:t>
                  </w:r>
                </w:p>
              </w:tc>
              <w:tc>
                <w:tcPr>
                  <w:tcW w:w="1984"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6BEB670F" w14:textId="77777777">
                  <w:pPr>
                    <w:jc w:val="right"/>
                    <w:rPr>
                      <w:b/>
                      <w:lang w:eastAsia="lv-LV"/>
                    </w:rPr>
                  </w:pPr>
                  <w:r w:rsidRPr="004D3C5C">
                    <w:rPr>
                      <w:b/>
                      <w:lang w:eastAsia="lv-LV"/>
                    </w:rPr>
                    <w:t>31</w:t>
                  </w:r>
                </w:p>
              </w:tc>
            </w:tr>
            <w:tr w:rsidRPr="004D3C5C" w:rsidR="004D3C5C" w:rsidTr="00AD089F" w14:paraId="138A6D78" w14:textId="77777777">
              <w:trPr>
                <w:trHeight w:val="300"/>
              </w:trPr>
              <w:tc>
                <w:tcPr>
                  <w:tcW w:w="3343" w:type="dxa"/>
                  <w:tcBorders>
                    <w:top w:val="nil"/>
                    <w:left w:val="single" w:color="auto" w:sz="4" w:space="0"/>
                    <w:bottom w:val="single" w:color="auto" w:sz="4" w:space="0"/>
                    <w:right w:val="single" w:color="auto" w:sz="4" w:space="0"/>
                  </w:tcBorders>
                  <w:shd w:val="clear" w:color="auto" w:fill="auto"/>
                  <w:noWrap/>
                  <w:vAlign w:val="bottom"/>
                  <w:hideMark/>
                </w:tcPr>
                <w:p w:rsidRPr="004D3C5C" w:rsidR="00FA179E" w:rsidP="00FA179E" w:rsidRDefault="00FA179E" w14:paraId="104AD8A0" w14:textId="77777777">
                  <w:pPr>
                    <w:rPr>
                      <w:lang w:eastAsia="lv-LV"/>
                    </w:rPr>
                  </w:pPr>
                  <w:r w:rsidRPr="004D3C5C">
                    <w:rPr>
                      <w:lang w:eastAsia="lv-LV"/>
                    </w:rPr>
                    <w:t>No 2001 cm</w:t>
                  </w:r>
                  <w:r w:rsidRPr="004D3C5C">
                    <w:rPr>
                      <w:rFonts w:eastAsia="Calibri"/>
                      <w:vertAlign w:val="superscript"/>
                    </w:rPr>
                    <w:t>3</w:t>
                  </w:r>
                  <w:r w:rsidRPr="004D3C5C">
                    <w:rPr>
                      <w:lang w:eastAsia="lv-LV"/>
                    </w:rPr>
                    <w:t xml:space="preserve"> līdz 2500 cm </w:t>
                  </w:r>
                  <w:r w:rsidRPr="004D3C5C">
                    <w:rPr>
                      <w:rFonts w:eastAsia="Calibri"/>
                      <w:vertAlign w:val="superscript"/>
                    </w:rPr>
                    <w:t>3</w:t>
                  </w:r>
                </w:p>
              </w:tc>
              <w:tc>
                <w:tcPr>
                  <w:tcW w:w="1985"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22653437" w14:textId="77777777">
                  <w:pPr>
                    <w:jc w:val="right"/>
                    <w:rPr>
                      <w:lang w:eastAsia="lv-LV"/>
                    </w:rPr>
                  </w:pPr>
                  <w:r w:rsidRPr="004D3C5C">
                    <w:rPr>
                      <w:lang w:eastAsia="lv-LV"/>
                    </w:rPr>
                    <w:t>46</w:t>
                  </w:r>
                </w:p>
              </w:tc>
              <w:tc>
                <w:tcPr>
                  <w:tcW w:w="1984"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1F90DD67" w14:textId="77777777">
                  <w:pPr>
                    <w:jc w:val="right"/>
                    <w:rPr>
                      <w:b/>
                      <w:lang w:eastAsia="lv-LV"/>
                    </w:rPr>
                  </w:pPr>
                  <w:r w:rsidRPr="004D3C5C">
                    <w:rPr>
                      <w:b/>
                      <w:lang w:eastAsia="lv-LV"/>
                    </w:rPr>
                    <w:t>49</w:t>
                  </w:r>
                </w:p>
              </w:tc>
            </w:tr>
            <w:tr w:rsidRPr="004D3C5C" w:rsidR="004D3C5C" w:rsidTr="00AD089F" w14:paraId="38113268" w14:textId="77777777">
              <w:trPr>
                <w:trHeight w:val="300"/>
              </w:trPr>
              <w:tc>
                <w:tcPr>
                  <w:tcW w:w="3343" w:type="dxa"/>
                  <w:tcBorders>
                    <w:top w:val="nil"/>
                    <w:left w:val="single" w:color="auto" w:sz="4" w:space="0"/>
                    <w:bottom w:val="single" w:color="auto" w:sz="4" w:space="0"/>
                    <w:right w:val="single" w:color="auto" w:sz="4" w:space="0"/>
                  </w:tcBorders>
                  <w:shd w:val="clear" w:color="auto" w:fill="auto"/>
                  <w:noWrap/>
                  <w:vAlign w:val="bottom"/>
                  <w:hideMark/>
                </w:tcPr>
                <w:p w:rsidRPr="004D3C5C" w:rsidR="00FA179E" w:rsidP="00FA179E" w:rsidRDefault="00FA179E" w14:paraId="40965F26" w14:textId="77777777">
                  <w:pPr>
                    <w:rPr>
                      <w:lang w:eastAsia="lv-LV"/>
                    </w:rPr>
                  </w:pPr>
                  <w:r w:rsidRPr="004D3C5C">
                    <w:rPr>
                      <w:lang w:eastAsia="lv-LV"/>
                    </w:rPr>
                    <w:t>No 2501 cm</w:t>
                  </w:r>
                  <w:r w:rsidRPr="004D3C5C">
                    <w:rPr>
                      <w:rFonts w:eastAsia="Calibri"/>
                      <w:vertAlign w:val="superscript"/>
                    </w:rPr>
                    <w:t>3</w:t>
                  </w:r>
                  <w:r w:rsidRPr="004D3C5C">
                    <w:rPr>
                      <w:lang w:eastAsia="lv-LV"/>
                    </w:rPr>
                    <w:t xml:space="preserve"> līdz 3000 cm</w:t>
                  </w:r>
                  <w:r w:rsidRPr="004D3C5C">
                    <w:rPr>
                      <w:rFonts w:eastAsia="Calibri"/>
                      <w:vertAlign w:val="superscript"/>
                    </w:rPr>
                    <w:t>3</w:t>
                  </w:r>
                </w:p>
              </w:tc>
              <w:tc>
                <w:tcPr>
                  <w:tcW w:w="1985"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63CD0460" w14:textId="77777777">
                  <w:pPr>
                    <w:jc w:val="right"/>
                    <w:rPr>
                      <w:lang w:eastAsia="lv-LV"/>
                    </w:rPr>
                  </w:pPr>
                  <w:r w:rsidRPr="004D3C5C">
                    <w:rPr>
                      <w:lang w:eastAsia="lv-LV"/>
                    </w:rPr>
                    <w:t>62</w:t>
                  </w:r>
                </w:p>
              </w:tc>
              <w:tc>
                <w:tcPr>
                  <w:tcW w:w="1984" w:type="dxa"/>
                  <w:tcBorders>
                    <w:top w:val="nil"/>
                    <w:left w:val="nil"/>
                    <w:bottom w:val="single" w:color="auto" w:sz="4" w:space="0"/>
                    <w:right w:val="single" w:color="auto" w:sz="4" w:space="0"/>
                  </w:tcBorders>
                  <w:shd w:val="clear" w:color="auto" w:fill="auto"/>
                  <w:noWrap/>
                  <w:vAlign w:val="bottom"/>
                  <w:hideMark/>
                </w:tcPr>
                <w:p w:rsidRPr="004D3C5C" w:rsidR="00FA179E" w:rsidP="00FA179E" w:rsidRDefault="00FA179E" w14:paraId="4B2DD355" w14:textId="77777777">
                  <w:pPr>
                    <w:jc w:val="right"/>
                    <w:rPr>
                      <w:b/>
                      <w:lang w:eastAsia="lv-LV"/>
                    </w:rPr>
                  </w:pPr>
                  <w:r w:rsidRPr="004D3C5C">
                    <w:rPr>
                      <w:b/>
                      <w:lang w:eastAsia="lv-LV"/>
                    </w:rPr>
                    <w:t>66</w:t>
                  </w:r>
                </w:p>
              </w:tc>
            </w:tr>
          </w:tbl>
          <w:p w:rsidRPr="004D3C5C" w:rsidR="00FA179E" w:rsidP="00FA179E" w:rsidRDefault="00FA179E" w14:paraId="06C7810C" w14:textId="77777777">
            <w:pPr>
              <w:jc w:val="both"/>
              <w:rPr>
                <w:rFonts w:eastAsia="Calibri"/>
              </w:rPr>
            </w:pPr>
          </w:p>
          <w:p w:rsidRPr="004D3C5C" w:rsidR="00FA179E" w:rsidP="00FA179E" w:rsidRDefault="00FA179E" w14:paraId="2EAE64DB" w14:textId="77777777">
            <w:pPr>
              <w:jc w:val="both"/>
              <w:rPr>
                <w:rFonts w:eastAsia="Calibri"/>
              </w:rPr>
            </w:pPr>
            <w:r w:rsidRPr="004D3C5C">
              <w:t xml:space="preserve">Paaugstinot  uzņēmumu vieglo transportlīdzekļu nodokļa likmes par 7,0%, un veicot likmju apaļošanu līdz veselam </w:t>
            </w:r>
            <w:proofErr w:type="spellStart"/>
            <w:r w:rsidRPr="004D3C5C">
              <w:rPr>
                <w:i/>
              </w:rPr>
              <w:t>euro</w:t>
            </w:r>
            <w:proofErr w:type="spellEnd"/>
            <w:r w:rsidRPr="004D3C5C">
              <w:t>, kā arī piemērojot jauno UVTN likmi automobiļiem ar motora tilpumu, kas pārsniedz 3000 cm</w:t>
            </w:r>
            <w:r w:rsidRPr="004D3C5C">
              <w:rPr>
                <w:rFonts w:eastAsia="Calibri"/>
                <w:vertAlign w:val="superscript"/>
              </w:rPr>
              <w:t>3</w:t>
            </w:r>
            <w:r w:rsidRPr="004D3C5C">
              <w:t>, par pamatu ņemot 2021.gadam prognozētos UVTN ieņēmumus, 2021.gadā un turpmāk veidosies pozitīva fiskālā ietekme 1,7 milj. </w:t>
            </w:r>
            <w:proofErr w:type="spellStart"/>
            <w:r w:rsidRPr="004D3C5C">
              <w:rPr>
                <w:i/>
              </w:rPr>
              <w:t>euro</w:t>
            </w:r>
            <w:proofErr w:type="spellEnd"/>
            <w:r w:rsidRPr="004D3C5C">
              <w:t xml:space="preserve"> apmērā:</w:t>
            </w:r>
          </w:p>
          <w:p w:rsidRPr="004D3C5C" w:rsidR="00FA179E" w:rsidP="00FA179E" w:rsidRDefault="00FA179E" w14:paraId="735FE193" w14:textId="77777777">
            <w:pPr>
              <w:jc w:val="both"/>
              <w:rPr>
                <w:rFonts w:eastAsia="Calibri"/>
              </w:rPr>
            </w:pPr>
          </w:p>
          <w:p w:rsidRPr="004D3C5C" w:rsidR="00FA179E" w:rsidP="00FA179E" w:rsidRDefault="00FA179E" w14:paraId="405DB133" w14:textId="77777777">
            <w:pPr>
              <w:contextualSpacing/>
              <w:jc w:val="both"/>
              <w:rPr>
                <w:rFonts w:eastAsia="Calibri"/>
              </w:rPr>
            </w:pPr>
            <w:r w:rsidRPr="004D3C5C">
              <w:rPr>
                <w:rFonts w:eastAsia="Calibri"/>
              </w:rPr>
              <w:t>1) līdz 2000 cm</w:t>
            </w:r>
            <w:r w:rsidRPr="004D3C5C">
              <w:rPr>
                <w:rFonts w:eastAsia="Calibri"/>
                <w:vertAlign w:val="superscript"/>
              </w:rPr>
              <w:t>3</w:t>
            </w:r>
            <w:r w:rsidRPr="004D3C5C">
              <w:rPr>
                <w:rFonts w:eastAsia="Calibri"/>
              </w:rPr>
              <w:t xml:space="preserve">  - 1,2 </w:t>
            </w:r>
            <w:proofErr w:type="spellStart"/>
            <w:r w:rsidRPr="004D3C5C">
              <w:rPr>
                <w:rFonts w:eastAsia="Calibri"/>
              </w:rPr>
              <w:t>milj.</w:t>
            </w:r>
            <w:r w:rsidRPr="004D3C5C">
              <w:rPr>
                <w:rFonts w:eastAsia="Calibri"/>
                <w:i/>
              </w:rPr>
              <w:t>euro</w:t>
            </w:r>
            <w:proofErr w:type="spellEnd"/>
          </w:p>
          <w:p w:rsidRPr="004D3C5C" w:rsidR="00FA179E" w:rsidP="00FA179E" w:rsidRDefault="00FA179E" w14:paraId="6563C179" w14:textId="77777777">
            <w:pPr>
              <w:contextualSpacing/>
              <w:jc w:val="both"/>
              <w:rPr>
                <w:rFonts w:eastAsia="Calibri"/>
              </w:rPr>
            </w:pPr>
            <w:r w:rsidRPr="004D3C5C">
              <w:rPr>
                <w:rFonts w:eastAsia="Calibri"/>
              </w:rPr>
              <w:t>2) no 2001 cm</w:t>
            </w:r>
            <w:r w:rsidRPr="004D3C5C">
              <w:rPr>
                <w:rFonts w:eastAsia="Calibri"/>
                <w:vertAlign w:val="superscript"/>
              </w:rPr>
              <w:t>3</w:t>
            </w:r>
            <w:r w:rsidRPr="004D3C5C">
              <w:rPr>
                <w:rFonts w:eastAsia="Calibri"/>
              </w:rPr>
              <w:t xml:space="preserve"> līdz 2500 cm</w:t>
            </w:r>
            <w:r w:rsidRPr="004D3C5C">
              <w:rPr>
                <w:rFonts w:eastAsia="Calibri"/>
                <w:vertAlign w:val="superscript"/>
              </w:rPr>
              <w:t>3</w:t>
            </w:r>
            <w:r w:rsidRPr="004D3C5C">
              <w:rPr>
                <w:rFonts w:eastAsia="Calibri"/>
              </w:rPr>
              <w:t xml:space="preserve"> – 0,1 </w:t>
            </w:r>
            <w:proofErr w:type="spellStart"/>
            <w:r w:rsidRPr="004D3C5C">
              <w:rPr>
                <w:rFonts w:eastAsia="Calibri"/>
              </w:rPr>
              <w:t>milj.</w:t>
            </w:r>
            <w:r w:rsidRPr="004D3C5C">
              <w:rPr>
                <w:rFonts w:eastAsia="Calibri"/>
                <w:i/>
              </w:rPr>
              <w:t>euro</w:t>
            </w:r>
            <w:proofErr w:type="spellEnd"/>
          </w:p>
          <w:p w:rsidRPr="004D3C5C" w:rsidR="00FA179E" w:rsidP="00FA179E" w:rsidRDefault="00FA179E" w14:paraId="3F0237E4" w14:textId="77777777">
            <w:pPr>
              <w:contextualSpacing/>
              <w:jc w:val="both"/>
              <w:rPr>
                <w:rFonts w:eastAsia="Calibri"/>
              </w:rPr>
            </w:pPr>
            <w:r w:rsidRPr="004D3C5C">
              <w:rPr>
                <w:rFonts w:eastAsia="Calibri"/>
              </w:rPr>
              <w:t>3) no 2501 cm</w:t>
            </w:r>
            <w:r w:rsidRPr="004D3C5C">
              <w:rPr>
                <w:rFonts w:eastAsia="Calibri"/>
                <w:vertAlign w:val="superscript"/>
              </w:rPr>
              <w:t>3</w:t>
            </w:r>
            <w:r w:rsidRPr="004D3C5C">
              <w:rPr>
                <w:rFonts w:eastAsia="Calibri"/>
              </w:rPr>
              <w:t xml:space="preserve"> līdz 3000 cm</w:t>
            </w:r>
            <w:r w:rsidRPr="004D3C5C">
              <w:rPr>
                <w:rFonts w:eastAsia="Calibri"/>
                <w:vertAlign w:val="superscript"/>
              </w:rPr>
              <w:t>3</w:t>
            </w:r>
            <w:r w:rsidRPr="004D3C5C">
              <w:rPr>
                <w:rFonts w:eastAsia="Calibri"/>
              </w:rPr>
              <w:t xml:space="preserve"> – 0,2 </w:t>
            </w:r>
            <w:proofErr w:type="spellStart"/>
            <w:r w:rsidRPr="004D3C5C">
              <w:rPr>
                <w:rFonts w:eastAsia="Calibri"/>
              </w:rPr>
              <w:t>milj.</w:t>
            </w:r>
            <w:r w:rsidRPr="004D3C5C">
              <w:rPr>
                <w:rFonts w:eastAsia="Calibri"/>
                <w:i/>
              </w:rPr>
              <w:t>euro</w:t>
            </w:r>
            <w:proofErr w:type="spellEnd"/>
          </w:p>
          <w:p w:rsidRPr="004D3C5C" w:rsidR="00FA179E" w:rsidP="00A62F56" w:rsidRDefault="00FA179E" w14:paraId="41D52839" w14:textId="28AC6560">
            <w:pPr>
              <w:contextualSpacing/>
              <w:jc w:val="both"/>
              <w:rPr>
                <w:iCs/>
                <w:lang w:eastAsia="lv-LV"/>
              </w:rPr>
            </w:pPr>
            <w:r w:rsidRPr="004D3C5C">
              <w:rPr>
                <w:rFonts w:eastAsia="Calibri"/>
              </w:rPr>
              <w:t>4) vairāk par 3000 cm</w:t>
            </w:r>
            <w:r w:rsidRPr="004D3C5C">
              <w:rPr>
                <w:rFonts w:eastAsia="Calibri"/>
                <w:vertAlign w:val="superscript"/>
              </w:rPr>
              <w:t>3</w:t>
            </w:r>
            <w:r w:rsidRPr="004D3C5C">
              <w:rPr>
                <w:rFonts w:eastAsia="Calibri"/>
              </w:rPr>
              <w:t xml:space="preserve"> – 0,2 </w:t>
            </w:r>
            <w:proofErr w:type="spellStart"/>
            <w:r w:rsidRPr="004D3C5C">
              <w:rPr>
                <w:rFonts w:eastAsia="Calibri"/>
              </w:rPr>
              <w:t>milj.</w:t>
            </w:r>
            <w:r w:rsidRPr="004D3C5C">
              <w:rPr>
                <w:rFonts w:eastAsia="Calibri"/>
                <w:i/>
              </w:rPr>
              <w:t>euro</w:t>
            </w:r>
            <w:proofErr w:type="spellEnd"/>
          </w:p>
        </w:tc>
      </w:tr>
      <w:tr w:rsidRPr="002C76E0" w:rsidR="00FA179E" w:rsidTr="005C764F" w14:paraId="2FBBDC67"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078672CF" w14:textId="77777777">
            <w:pPr>
              <w:rPr>
                <w:iCs/>
                <w:lang w:eastAsia="lv-LV"/>
              </w:rPr>
            </w:pPr>
            <w:r w:rsidRPr="002C76E0">
              <w:rPr>
                <w:iCs/>
                <w:lang w:eastAsia="lv-LV"/>
              </w:rPr>
              <w:lastRenderedPageBreak/>
              <w:t>6.1. detalizēts ieņēmumu aprēķins</w:t>
            </w:r>
          </w:p>
        </w:tc>
        <w:tc>
          <w:tcPr>
            <w:tcW w:w="7842" w:type="dxa"/>
            <w:gridSpan w:val="8"/>
            <w:vMerge/>
            <w:tcBorders>
              <w:top w:val="outset" w:color="auto" w:sz="6" w:space="0"/>
              <w:left w:val="outset" w:color="auto" w:sz="6" w:space="0"/>
              <w:bottom w:val="outset" w:color="auto" w:sz="6" w:space="0"/>
              <w:right w:val="outset" w:color="auto" w:sz="6" w:space="0"/>
            </w:tcBorders>
            <w:vAlign w:val="center"/>
            <w:hideMark/>
          </w:tcPr>
          <w:p w:rsidRPr="004D3C5C" w:rsidR="00FA179E" w:rsidP="00FA179E" w:rsidRDefault="00FA179E" w14:paraId="4BEF206D" w14:textId="77777777">
            <w:pPr>
              <w:rPr>
                <w:iCs/>
                <w:lang w:eastAsia="lv-LV"/>
              </w:rPr>
            </w:pPr>
          </w:p>
        </w:tc>
      </w:tr>
      <w:tr w:rsidRPr="002C76E0" w:rsidR="00FA179E" w:rsidTr="005C764F" w14:paraId="72C9FBDD"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550316FC" w14:textId="77777777">
            <w:pPr>
              <w:rPr>
                <w:iCs/>
                <w:lang w:eastAsia="lv-LV"/>
              </w:rPr>
            </w:pPr>
            <w:r w:rsidRPr="002C76E0">
              <w:rPr>
                <w:iCs/>
                <w:lang w:eastAsia="lv-LV"/>
              </w:rPr>
              <w:t>6.2. detalizēts izdevumu aprēķins</w:t>
            </w:r>
          </w:p>
        </w:tc>
        <w:tc>
          <w:tcPr>
            <w:tcW w:w="7842" w:type="dxa"/>
            <w:gridSpan w:val="8"/>
            <w:vMerge/>
            <w:tcBorders>
              <w:top w:val="outset" w:color="auto" w:sz="6" w:space="0"/>
              <w:left w:val="outset" w:color="auto" w:sz="6" w:space="0"/>
              <w:bottom w:val="outset" w:color="auto" w:sz="6" w:space="0"/>
              <w:right w:val="outset" w:color="auto" w:sz="6" w:space="0"/>
            </w:tcBorders>
            <w:vAlign w:val="center"/>
            <w:hideMark/>
          </w:tcPr>
          <w:p w:rsidRPr="004D3C5C" w:rsidR="00FA179E" w:rsidP="00FA179E" w:rsidRDefault="00FA179E" w14:paraId="7295AAE5" w14:textId="77777777">
            <w:pPr>
              <w:rPr>
                <w:iCs/>
                <w:lang w:eastAsia="lv-LV"/>
              </w:rPr>
            </w:pPr>
          </w:p>
        </w:tc>
      </w:tr>
      <w:tr w:rsidRPr="002C76E0" w:rsidR="00FA179E" w:rsidTr="005C764F" w14:paraId="0E346EAB" w14:textId="77777777">
        <w:trPr>
          <w:gridAfter w:val="1"/>
          <w:wAfter w:w="5" w:type="dxa"/>
          <w:tblCellSpacing w:w="15" w:type="dxa"/>
        </w:trPr>
        <w:tc>
          <w:tcPr>
            <w:tcW w:w="1088" w:type="dxa"/>
            <w:tcBorders>
              <w:top w:val="outset" w:color="auto" w:sz="6" w:space="0"/>
              <w:left w:val="outset" w:color="auto" w:sz="6" w:space="0"/>
              <w:bottom w:val="outset" w:color="auto" w:sz="6" w:space="0"/>
              <w:right w:val="outset" w:color="auto" w:sz="6" w:space="0"/>
            </w:tcBorders>
            <w:hideMark/>
          </w:tcPr>
          <w:p w:rsidRPr="002C76E0" w:rsidR="00FA179E" w:rsidP="00FA179E" w:rsidRDefault="00FA179E" w14:paraId="49D0440C" w14:textId="77777777">
            <w:pPr>
              <w:rPr>
                <w:iCs/>
                <w:lang w:eastAsia="lv-LV"/>
              </w:rPr>
            </w:pPr>
            <w:r w:rsidRPr="002C76E0">
              <w:rPr>
                <w:iCs/>
                <w:lang w:eastAsia="lv-LV"/>
              </w:rPr>
              <w:t>7. Amata vietu skaita izmaiņas</w:t>
            </w:r>
          </w:p>
        </w:tc>
        <w:tc>
          <w:tcPr>
            <w:tcW w:w="7842" w:type="dxa"/>
            <w:gridSpan w:val="8"/>
            <w:tcBorders>
              <w:top w:val="outset" w:color="auto" w:sz="6" w:space="0"/>
              <w:left w:val="outset" w:color="auto" w:sz="6" w:space="0"/>
              <w:bottom w:val="outset" w:color="auto" w:sz="6" w:space="0"/>
              <w:right w:val="outset" w:color="auto" w:sz="6" w:space="0"/>
            </w:tcBorders>
            <w:hideMark/>
          </w:tcPr>
          <w:p w:rsidRPr="004D3C5C" w:rsidR="00FA179E" w:rsidP="00FA179E" w:rsidRDefault="00FA179E" w14:paraId="55CF5673" w14:textId="77777777">
            <w:pPr>
              <w:spacing w:after="160" w:line="259" w:lineRule="auto"/>
              <w:rPr>
                <w:rFonts w:eastAsia="Calibri"/>
              </w:rPr>
            </w:pPr>
            <w:r w:rsidRPr="004D3C5C">
              <w:rPr>
                <w:rFonts w:eastAsia="Calibri"/>
              </w:rPr>
              <w:t>Projekts šo jomu neskar.</w:t>
            </w:r>
          </w:p>
        </w:tc>
      </w:tr>
      <w:tr w:rsidRPr="002C76E0" w:rsidR="00FA179E" w:rsidTr="00A62F56" w14:paraId="3240D8E6" w14:textId="77777777">
        <w:trPr>
          <w:gridAfter w:val="1"/>
          <w:wAfter w:w="5" w:type="dxa"/>
          <w:tblCellSpacing w:w="15" w:type="dxa"/>
        </w:trPr>
        <w:tc>
          <w:tcPr>
            <w:tcW w:w="1088" w:type="dxa"/>
            <w:tcBorders>
              <w:top w:val="outset" w:color="auto" w:sz="6" w:space="0"/>
              <w:left w:val="outset" w:color="auto" w:sz="6" w:space="0"/>
              <w:bottom w:val="single" w:color="auto" w:sz="4" w:space="0"/>
              <w:right w:val="outset" w:color="auto" w:sz="6" w:space="0"/>
            </w:tcBorders>
            <w:hideMark/>
          </w:tcPr>
          <w:p w:rsidRPr="002C76E0" w:rsidR="00FA179E" w:rsidP="00FA179E" w:rsidRDefault="00FA179E" w14:paraId="0C865763" w14:textId="77777777">
            <w:pPr>
              <w:rPr>
                <w:iCs/>
                <w:lang w:eastAsia="lv-LV"/>
              </w:rPr>
            </w:pPr>
            <w:r w:rsidRPr="002C76E0">
              <w:rPr>
                <w:iCs/>
                <w:lang w:eastAsia="lv-LV"/>
              </w:rPr>
              <w:t>8. Cita informācija</w:t>
            </w:r>
          </w:p>
        </w:tc>
        <w:tc>
          <w:tcPr>
            <w:tcW w:w="7842" w:type="dxa"/>
            <w:gridSpan w:val="8"/>
            <w:tcBorders>
              <w:top w:val="outset" w:color="auto" w:sz="6" w:space="0"/>
              <w:left w:val="outset" w:color="auto" w:sz="6" w:space="0"/>
              <w:bottom w:val="single" w:color="auto" w:sz="4" w:space="0"/>
              <w:right w:val="outset" w:color="auto" w:sz="6" w:space="0"/>
            </w:tcBorders>
            <w:hideMark/>
          </w:tcPr>
          <w:p w:rsidRPr="004D3C5C" w:rsidR="00FA179E" w:rsidP="00FA179E" w:rsidRDefault="00310B63" w14:paraId="785D66E2" w14:textId="69055460">
            <w:pPr>
              <w:spacing w:after="160" w:line="259" w:lineRule="auto"/>
              <w:jc w:val="both"/>
              <w:rPr>
                <w:rFonts w:eastAsia="Calibri"/>
              </w:rPr>
            </w:pPr>
            <w:r>
              <w:rPr>
                <w:rFonts w:eastAsia="Calibri"/>
              </w:rPr>
              <w:t>Nav.</w:t>
            </w:r>
          </w:p>
        </w:tc>
      </w:tr>
      <w:tr w:rsidRPr="00BF5673" w:rsidR="00FA179E" w:rsidTr="005C764F" w14:paraId="53F63FE7" w14:textId="77777777">
        <w:tblPrEx>
          <w:tblCellSpacing w:w="20" w:type="dxa"/>
          <w:tblBorders>
            <w:bottom w:val="inset" w:color="auto" w:sz="6" w:space="0"/>
            <w:right w:val="inset" w:color="auto" w:sz="6" w:space="0"/>
          </w:tblBorders>
        </w:tblPrEx>
        <w:trPr>
          <w:tblCellSpacing w:w="20" w:type="dxa"/>
        </w:trPr>
        <w:tc>
          <w:tcPr>
            <w:tcW w:w="8995" w:type="dxa"/>
            <w:gridSpan w:val="10"/>
            <w:vAlign w:val="center"/>
          </w:tcPr>
          <w:p w:rsidRPr="00BF5673" w:rsidR="00FA179E" w:rsidP="00FA179E" w:rsidRDefault="00FA179E" w14:paraId="0959C564" w14:textId="12FF6AD4">
            <w:pPr>
              <w:spacing w:after="120"/>
              <w:jc w:val="center"/>
              <w:rPr>
                <w:b/>
                <w:bCs/>
                <w:lang w:eastAsia="lv-LV"/>
              </w:rPr>
            </w:pPr>
            <w:r w:rsidRPr="00BF5673">
              <w:rPr>
                <w:b/>
                <w:bCs/>
                <w:lang w:eastAsia="lv-LV"/>
              </w:rPr>
              <w:lastRenderedPageBreak/>
              <w:t>IV. Tiesību akta projekta ietekme uz spēkā esošo tiesību normu sistēmu</w:t>
            </w:r>
          </w:p>
        </w:tc>
      </w:tr>
      <w:tr w:rsidRPr="00BF5673" w:rsidR="00FA179E" w:rsidTr="00310B63" w14:paraId="46D3AD31" w14:textId="77777777">
        <w:tblPrEx>
          <w:tblCellSpacing w:w="20" w:type="dxa"/>
          <w:tblBorders>
            <w:bottom w:val="inset" w:color="auto" w:sz="6" w:space="0"/>
            <w:right w:val="inset" w:color="auto" w:sz="6" w:space="0"/>
          </w:tblBorders>
        </w:tblPrEx>
        <w:trPr>
          <w:trHeight w:val="1401"/>
          <w:tblCellSpacing w:w="20" w:type="dxa"/>
        </w:trPr>
        <w:tc>
          <w:tcPr>
            <w:tcW w:w="1599" w:type="dxa"/>
            <w:gridSpan w:val="2"/>
            <w:tcBorders>
              <w:top w:val="outset" w:color="auto" w:sz="6" w:space="0"/>
              <w:left w:val="outset" w:color="auto" w:sz="6" w:space="0"/>
              <w:bottom w:val="outset" w:color="auto" w:sz="6" w:space="0"/>
              <w:right w:val="outset" w:color="auto" w:sz="6" w:space="0"/>
            </w:tcBorders>
          </w:tcPr>
          <w:p w:rsidRPr="00BF5673" w:rsidR="00FA179E" w:rsidP="00FA179E" w:rsidRDefault="00FA179E" w14:paraId="28FE7210" w14:textId="77777777">
            <w:pPr>
              <w:ind w:right="238"/>
              <w:jc w:val="both"/>
              <w:rPr>
                <w:lang w:eastAsia="lv-LV"/>
              </w:rPr>
            </w:pPr>
            <w:r w:rsidRPr="00BF5673">
              <w:rPr>
                <w:lang w:eastAsia="lv-LV"/>
              </w:rPr>
              <w:t>Saistītie tiesību aktu projekti</w:t>
            </w:r>
          </w:p>
        </w:tc>
        <w:tc>
          <w:tcPr>
            <w:tcW w:w="7366" w:type="dxa"/>
            <w:gridSpan w:val="8"/>
            <w:tcBorders>
              <w:top w:val="outset" w:color="auto" w:sz="6" w:space="0"/>
              <w:left w:val="outset" w:color="auto" w:sz="6" w:space="0"/>
              <w:bottom w:val="outset" w:color="auto" w:sz="6" w:space="0"/>
              <w:right w:val="outset" w:color="auto" w:sz="6" w:space="0"/>
            </w:tcBorders>
          </w:tcPr>
          <w:p w:rsidRPr="00F73F27" w:rsidR="00FA179E" w:rsidP="00310B63" w:rsidRDefault="00310B63" w14:paraId="446A8DEE" w14:textId="3738A138">
            <w:pPr>
              <w:jc w:val="both"/>
              <w:rPr>
                <w:bCs/>
                <w:lang w:eastAsia="lv-LV"/>
              </w:rPr>
            </w:pPr>
            <w:r w:rsidRPr="00310B63">
              <w:rPr>
                <w:bCs/>
                <w:lang w:eastAsia="lv-LV"/>
              </w:rPr>
              <w:t>P</w:t>
            </w:r>
            <w:r w:rsidRPr="00310B63" w:rsidR="00FA179E">
              <w:rPr>
                <w:bCs/>
                <w:lang w:eastAsia="lv-LV"/>
              </w:rPr>
              <w:t>ēc likumprojekta pieņemšanas nepieciešams izdarīt grozījumus</w:t>
            </w:r>
            <w:r w:rsidR="00A01B9D">
              <w:rPr>
                <w:bCs/>
                <w:lang w:eastAsia="lv-LV"/>
              </w:rPr>
              <w:t xml:space="preserve"> </w:t>
            </w:r>
            <w:r w:rsidRPr="00310B63" w:rsidR="00FA179E">
              <w:rPr>
                <w:bCs/>
                <w:lang w:eastAsia="lv-LV"/>
              </w:rPr>
              <w:t xml:space="preserve">Ministru kabineta 2012.gada 11.decembra noteikumos Nr.858 “Transportlīdzekļa ekspluatācijas nodokļa un uzņēmumu vieglo transportlīdzekļu nodokļa maksāšanas kārtība” </w:t>
            </w:r>
            <w:r w:rsidR="00A01B9D">
              <w:rPr>
                <w:bCs/>
                <w:lang w:eastAsia="lv-LV"/>
              </w:rPr>
              <w:t>.</w:t>
            </w:r>
          </w:p>
        </w:tc>
      </w:tr>
      <w:tr w:rsidRPr="00BF5673" w:rsidR="00FA179E" w:rsidTr="005C764F" w14:paraId="0193BA83" w14:textId="77777777">
        <w:tblPrEx>
          <w:tblCellSpacing w:w="20" w:type="dxa"/>
          <w:tblBorders>
            <w:bottom w:val="inset" w:color="auto" w:sz="6" w:space="0"/>
            <w:right w:val="inset" w:color="auto" w:sz="6" w:space="0"/>
          </w:tblBorders>
        </w:tblPrEx>
        <w:trPr>
          <w:tblCellSpacing w:w="20" w:type="dxa"/>
        </w:trPr>
        <w:tc>
          <w:tcPr>
            <w:tcW w:w="1599" w:type="dxa"/>
            <w:gridSpan w:val="2"/>
            <w:tcBorders>
              <w:top w:val="outset" w:color="auto" w:sz="6" w:space="0"/>
              <w:left w:val="outset" w:color="auto" w:sz="6" w:space="0"/>
              <w:bottom w:val="outset" w:color="auto" w:sz="6" w:space="0"/>
              <w:right w:val="outset" w:color="auto" w:sz="6" w:space="0"/>
            </w:tcBorders>
          </w:tcPr>
          <w:p w:rsidRPr="00BF5673" w:rsidR="00FA179E" w:rsidP="00FA179E" w:rsidRDefault="00FA179E" w14:paraId="41A80073" w14:textId="77777777">
            <w:pPr>
              <w:rPr>
                <w:lang w:eastAsia="lv-LV"/>
              </w:rPr>
            </w:pPr>
            <w:r w:rsidRPr="00BF5673">
              <w:rPr>
                <w:rFonts w:eastAsia="Calibri"/>
                <w:shd w:val="clear" w:color="auto" w:fill="FFFFFF"/>
              </w:rPr>
              <w:t>Atbildīgā institūcija</w:t>
            </w:r>
          </w:p>
        </w:tc>
        <w:tc>
          <w:tcPr>
            <w:tcW w:w="7366" w:type="dxa"/>
            <w:gridSpan w:val="8"/>
            <w:tcBorders>
              <w:top w:val="outset" w:color="auto" w:sz="6" w:space="0"/>
              <w:left w:val="outset" w:color="auto" w:sz="6" w:space="0"/>
              <w:bottom w:val="outset" w:color="auto" w:sz="6" w:space="0"/>
              <w:right w:val="outset" w:color="auto" w:sz="6" w:space="0"/>
            </w:tcBorders>
          </w:tcPr>
          <w:p w:rsidRPr="00BF5673" w:rsidR="00FA179E" w:rsidP="00FA179E" w:rsidRDefault="00FA179E" w14:paraId="652618D6" w14:textId="6FE5E876">
            <w:pPr>
              <w:spacing w:after="120"/>
              <w:jc w:val="both"/>
              <w:rPr>
                <w:lang w:eastAsia="lv-LV"/>
              </w:rPr>
            </w:pPr>
            <w:r>
              <w:rPr>
                <w:lang w:eastAsia="lv-LV"/>
              </w:rPr>
              <w:t>Satiksmes ministrija.</w:t>
            </w:r>
          </w:p>
        </w:tc>
      </w:tr>
      <w:tr w:rsidRPr="00BF5673" w:rsidR="00FA179E" w:rsidTr="005C764F" w14:paraId="76E2BF0E" w14:textId="77777777">
        <w:tblPrEx>
          <w:tblCellSpacing w:w="20" w:type="dxa"/>
          <w:tblBorders>
            <w:bottom w:val="inset" w:color="auto" w:sz="6" w:space="0"/>
            <w:right w:val="inset" w:color="auto" w:sz="6" w:space="0"/>
          </w:tblBorders>
        </w:tblPrEx>
        <w:trPr>
          <w:tblCellSpacing w:w="20" w:type="dxa"/>
        </w:trPr>
        <w:tc>
          <w:tcPr>
            <w:tcW w:w="1599" w:type="dxa"/>
            <w:gridSpan w:val="2"/>
            <w:tcBorders>
              <w:top w:val="outset" w:color="auto" w:sz="6" w:space="0"/>
              <w:left w:val="outset" w:color="auto" w:sz="6" w:space="0"/>
              <w:bottom w:val="outset" w:color="auto" w:sz="6" w:space="0"/>
              <w:right w:val="outset" w:color="auto" w:sz="6" w:space="0"/>
            </w:tcBorders>
          </w:tcPr>
          <w:p w:rsidRPr="00BF5673" w:rsidR="00FA179E" w:rsidP="00FA179E" w:rsidRDefault="00FA179E" w14:paraId="1B66F53B" w14:textId="77777777">
            <w:pPr>
              <w:spacing w:after="120"/>
              <w:rPr>
                <w:lang w:eastAsia="lv-LV"/>
              </w:rPr>
            </w:pPr>
            <w:r w:rsidRPr="00BF5673">
              <w:rPr>
                <w:lang w:eastAsia="lv-LV"/>
              </w:rPr>
              <w:t>Cita informācija</w:t>
            </w:r>
          </w:p>
        </w:tc>
        <w:tc>
          <w:tcPr>
            <w:tcW w:w="7366" w:type="dxa"/>
            <w:gridSpan w:val="8"/>
            <w:tcBorders>
              <w:top w:val="outset" w:color="auto" w:sz="6" w:space="0"/>
              <w:left w:val="outset" w:color="auto" w:sz="6" w:space="0"/>
              <w:bottom w:val="outset" w:color="auto" w:sz="6" w:space="0"/>
              <w:right w:val="outset" w:color="auto" w:sz="6" w:space="0"/>
            </w:tcBorders>
          </w:tcPr>
          <w:p w:rsidRPr="00BF5673" w:rsidR="00FA179E" w:rsidP="00FA179E" w:rsidRDefault="00FA179E" w14:paraId="57DA9068" w14:textId="5DBC163C">
            <w:pPr>
              <w:spacing w:after="120"/>
              <w:rPr>
                <w:lang w:eastAsia="lv-LV"/>
              </w:rPr>
            </w:pPr>
            <w:r w:rsidRPr="00BF5673">
              <w:rPr>
                <w:lang w:eastAsia="lv-LV"/>
              </w:rPr>
              <w:t>Nav</w:t>
            </w:r>
            <w:r>
              <w:rPr>
                <w:lang w:eastAsia="lv-LV"/>
              </w:rPr>
              <w:t>.</w:t>
            </w:r>
          </w:p>
        </w:tc>
      </w:tr>
    </w:tbl>
    <w:p w:rsidRPr="00E529E2" w:rsidR="00FF4B8C" w:rsidP="00E5323B" w:rsidRDefault="00FF4B8C" w14:paraId="359F04F6" w14:textId="77777777">
      <w:pPr>
        <w:rPr>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29E2" w:rsidR="00A13E24" w:rsidTr="00E5323B" w14:paraId="514FCC4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799E848B" w14:textId="77777777">
            <w:pPr>
              <w:jc w:val="center"/>
              <w:rPr>
                <w:b/>
                <w:bCs/>
                <w:iCs/>
                <w:lang w:eastAsia="lv-LV"/>
              </w:rPr>
            </w:pPr>
            <w:r w:rsidRPr="00E529E2">
              <w:rPr>
                <w:b/>
                <w:bCs/>
                <w:iCs/>
                <w:lang w:eastAsia="lv-LV"/>
              </w:rPr>
              <w:t>V. Tiesību akta projekta atbilstība Latvijas Republikas starptautiskajām saistībām</w:t>
            </w:r>
          </w:p>
        </w:tc>
      </w:tr>
      <w:tr w:rsidRPr="00E529E2" w:rsidR="0059578D" w:rsidTr="0059578D" w14:paraId="64F7493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29E2" w:rsidR="0059578D" w:rsidP="009B0CAD" w:rsidRDefault="0059578D" w14:paraId="1CD6513D" w14:textId="77777777">
            <w:pPr>
              <w:jc w:val="center"/>
              <w:rPr>
                <w:bCs/>
                <w:iCs/>
                <w:lang w:eastAsia="lv-LV"/>
              </w:rPr>
            </w:pPr>
            <w:r w:rsidRPr="00E529E2">
              <w:rPr>
                <w:bCs/>
                <w:iCs/>
                <w:lang w:eastAsia="lv-LV"/>
              </w:rPr>
              <w:t>Projekts šo jomu neskar.</w:t>
            </w:r>
          </w:p>
        </w:tc>
      </w:tr>
    </w:tbl>
    <w:p w:rsidR="00FC79B4" w:rsidP="00E5323B" w:rsidRDefault="00FC79B4" w14:paraId="5F5747BA" w14:textId="77777777">
      <w:pPr>
        <w:rPr>
          <w:iCs/>
          <w:lang w:eastAsia="lv-LV"/>
        </w:rPr>
      </w:pPr>
    </w:p>
    <w:tbl>
      <w:tblPr>
        <w:tblW w:w="4927"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3080"/>
        <w:gridCol w:w="5843"/>
      </w:tblGrid>
      <w:tr w:rsidRPr="0024716D" w:rsidR="00096CE5" w:rsidTr="00096CE5" w14:paraId="15DD275A" w14:textId="77777777">
        <w:trPr>
          <w:tblCellSpacing w:w="15" w:type="dxa"/>
        </w:trPr>
        <w:tc>
          <w:tcPr>
            <w:tcW w:w="4966" w:type="pct"/>
            <w:gridSpan w:val="2"/>
            <w:tcBorders>
              <w:top w:val="outset" w:color="auto" w:sz="6" w:space="0"/>
              <w:left w:val="outset" w:color="auto" w:sz="6" w:space="0"/>
              <w:bottom w:val="outset" w:color="auto" w:sz="6" w:space="0"/>
              <w:right w:val="outset" w:color="auto" w:sz="6" w:space="0"/>
            </w:tcBorders>
            <w:vAlign w:val="center"/>
            <w:hideMark/>
          </w:tcPr>
          <w:p w:rsidRPr="0024716D" w:rsidR="00096CE5" w:rsidP="000455FC" w:rsidRDefault="00096CE5" w14:paraId="2B4875D5" w14:textId="77777777">
            <w:pPr>
              <w:jc w:val="center"/>
              <w:rPr>
                <w:b/>
                <w:bCs/>
                <w:iCs/>
                <w:lang w:eastAsia="lv-LV"/>
              </w:rPr>
            </w:pPr>
            <w:r w:rsidRPr="0024716D">
              <w:rPr>
                <w:b/>
                <w:bCs/>
                <w:iCs/>
                <w:lang w:eastAsia="lv-LV"/>
              </w:rPr>
              <w:t>VI. Sabiedrības līdzdalība un komunikācijas aktivitātes</w:t>
            </w:r>
          </w:p>
        </w:tc>
      </w:tr>
      <w:tr w:rsidRPr="009C22F6" w:rsidR="00096CE5" w:rsidTr="00096CE5" w14:paraId="79608E63" w14:textId="77777777">
        <w:trPr>
          <w:tblCellSpacing w:w="15" w:type="dxa"/>
        </w:trPr>
        <w:tc>
          <w:tcPr>
            <w:tcW w:w="1706" w:type="pct"/>
            <w:tcBorders>
              <w:top w:val="outset" w:color="auto" w:sz="6" w:space="0"/>
              <w:left w:val="outset" w:color="auto" w:sz="6" w:space="0"/>
              <w:bottom w:val="outset" w:color="auto" w:sz="6" w:space="0"/>
              <w:right w:val="outset" w:color="auto" w:sz="6" w:space="0"/>
            </w:tcBorders>
            <w:hideMark/>
          </w:tcPr>
          <w:p w:rsidRPr="0024716D" w:rsidR="00096CE5" w:rsidP="000455FC" w:rsidRDefault="00096CE5" w14:paraId="603B594C" w14:textId="77777777">
            <w:pPr>
              <w:rPr>
                <w:iCs/>
                <w:lang w:eastAsia="lv-LV"/>
              </w:rPr>
            </w:pPr>
            <w:r w:rsidRPr="0024716D">
              <w:rPr>
                <w:iCs/>
                <w:lang w:eastAsia="lv-LV"/>
              </w:rPr>
              <w:t>Plānotās sabiedrības līdzdalības un komunikācijas aktivitātes saistībā ar projektu</w:t>
            </w:r>
          </w:p>
        </w:tc>
        <w:tc>
          <w:tcPr>
            <w:tcW w:w="3244" w:type="pct"/>
            <w:tcBorders>
              <w:top w:val="outset" w:color="auto" w:sz="6" w:space="0"/>
              <w:left w:val="outset" w:color="auto" w:sz="6" w:space="0"/>
              <w:bottom w:val="outset" w:color="auto" w:sz="6" w:space="0"/>
              <w:right w:val="outset" w:color="auto" w:sz="6" w:space="0"/>
            </w:tcBorders>
          </w:tcPr>
          <w:p w:rsidR="00096CE5" w:rsidP="000455FC" w:rsidRDefault="00096CE5" w14:paraId="5FDD9BE3" w14:textId="725B7745">
            <w:pPr>
              <w:spacing w:after="120"/>
              <w:ind w:left="68"/>
              <w:jc w:val="both"/>
              <w:rPr>
                <w:lang w:eastAsia="lv-LV"/>
              </w:rPr>
            </w:pPr>
            <w:r>
              <w:rPr>
                <w:lang w:eastAsia="lv-LV"/>
              </w:rPr>
              <w:t>N</w:t>
            </w:r>
            <w:r w:rsidRPr="00E93483">
              <w:rPr>
                <w:lang w:eastAsia="lv-LV"/>
              </w:rPr>
              <w:t xml:space="preserve">odokļu politikas attīstības virzieni ir izskatīti Nacionālās Trīspusējās sadarbības padomes </w:t>
            </w:r>
            <w:r w:rsidRPr="00E93483">
              <w:rPr>
                <w:bCs/>
                <w:lang w:eastAsia="lv-LV"/>
              </w:rPr>
              <w:t>2020.gada 7.jūlija</w:t>
            </w:r>
            <w:r>
              <w:rPr>
                <w:bCs/>
                <w:lang w:eastAsia="lv-LV"/>
              </w:rPr>
              <w:t>, 2. un 9.septembra</w:t>
            </w:r>
            <w:r>
              <w:rPr>
                <w:lang w:eastAsia="lv-LV"/>
              </w:rPr>
              <w:t xml:space="preserve"> sēdē, kā arī </w:t>
            </w:r>
            <w:r w:rsidRPr="00E93483">
              <w:rPr>
                <w:lang w:eastAsia="lv-LV"/>
              </w:rPr>
              <w:t xml:space="preserve">Nacionālās Trīspusējās sadarbības padomes budžeta un nodokļu </w:t>
            </w:r>
            <w:proofErr w:type="spellStart"/>
            <w:r w:rsidRPr="00E93483">
              <w:rPr>
                <w:lang w:eastAsia="lv-LV"/>
              </w:rPr>
              <w:t>apakšpadomes</w:t>
            </w:r>
            <w:proofErr w:type="spellEnd"/>
            <w:r w:rsidRPr="00E93483">
              <w:rPr>
                <w:lang w:eastAsia="lv-LV"/>
              </w:rPr>
              <w:t xml:space="preserve"> attālinātajā sēdē </w:t>
            </w:r>
            <w:r w:rsidRPr="00E93483">
              <w:rPr>
                <w:bCs/>
                <w:lang w:eastAsia="lv-LV"/>
              </w:rPr>
              <w:t>2020.gada 12.augustā</w:t>
            </w:r>
            <w:r w:rsidRPr="00E93483">
              <w:rPr>
                <w:lang w:eastAsia="lv-LV"/>
              </w:rPr>
              <w:t>.</w:t>
            </w:r>
          </w:p>
          <w:p w:rsidRPr="009C22F6" w:rsidR="00096CE5" w:rsidP="000455FC" w:rsidRDefault="00096CE5" w14:paraId="53B24727" w14:textId="77777777">
            <w:pPr>
              <w:spacing w:after="120"/>
              <w:ind w:left="68"/>
              <w:jc w:val="both"/>
              <w:rPr>
                <w:lang w:eastAsia="lv-LV"/>
              </w:rPr>
            </w:pPr>
            <w:r w:rsidRPr="00E93483">
              <w:rPr>
                <w:lang w:eastAsia="lv-LV"/>
              </w:rPr>
              <w:t xml:space="preserve">Informatīvais ziņojums </w:t>
            </w:r>
            <w:r w:rsidRPr="00E93483">
              <w:t xml:space="preserve">“Par nodokļu politikas attīstības virzieniem, valsts sociālās un veselības apdrošināšanas ilgtspējas veicināšanai” </w:t>
            </w:r>
            <w:r w:rsidRPr="00E93483">
              <w:rPr>
                <w:lang w:eastAsia="lv-LV"/>
              </w:rPr>
              <w:t xml:space="preserve"> ir nosūtīts </w:t>
            </w:r>
            <w:r w:rsidRPr="00E93483">
              <w:rPr>
                <w:bCs/>
                <w:lang w:eastAsia="lv-LV"/>
              </w:rPr>
              <w:t xml:space="preserve">2020.gada </w:t>
            </w:r>
            <w:r w:rsidRPr="00E93483">
              <w:rPr>
                <w:bCs/>
              </w:rPr>
              <w:t>11.augustā</w:t>
            </w:r>
            <w:r w:rsidRPr="00E93483">
              <w:t>  elektroniskai saskaņošanai</w:t>
            </w:r>
            <w:r w:rsidRPr="00E93483">
              <w:rPr>
                <w:lang w:eastAsia="lv-LV"/>
              </w:rPr>
              <w:t xml:space="preserve"> Tieslietu ministrijai, Labklājības ministrijai,  Veselības ministrijai, Satiksmes ministrijai, Zemkopības ministrijai, Kultūras ministrijai, Ekonomikas ministrijai un Iekšlietu ministrijai.</w:t>
            </w:r>
          </w:p>
        </w:tc>
      </w:tr>
      <w:tr w:rsidRPr="009B4473" w:rsidR="00096CE5" w:rsidTr="00096CE5" w14:paraId="39F62CB8" w14:textId="77777777">
        <w:trPr>
          <w:tblCellSpacing w:w="15" w:type="dxa"/>
        </w:trPr>
        <w:tc>
          <w:tcPr>
            <w:tcW w:w="1706" w:type="pct"/>
            <w:tcBorders>
              <w:top w:val="outset" w:color="auto" w:sz="6" w:space="0"/>
              <w:left w:val="outset" w:color="auto" w:sz="6" w:space="0"/>
              <w:bottom w:val="outset" w:color="auto" w:sz="6" w:space="0"/>
              <w:right w:val="outset" w:color="auto" w:sz="6" w:space="0"/>
            </w:tcBorders>
            <w:hideMark/>
          </w:tcPr>
          <w:p w:rsidRPr="0024716D" w:rsidR="00096CE5" w:rsidP="000455FC" w:rsidRDefault="00096CE5" w14:paraId="08436966" w14:textId="77777777">
            <w:pPr>
              <w:rPr>
                <w:iCs/>
                <w:lang w:eastAsia="lv-LV"/>
              </w:rPr>
            </w:pPr>
            <w:r w:rsidRPr="0024716D">
              <w:rPr>
                <w:iCs/>
                <w:lang w:eastAsia="lv-LV"/>
              </w:rPr>
              <w:t>Sabiedrības līdzdalība projekta izstrādē</w:t>
            </w:r>
          </w:p>
        </w:tc>
        <w:tc>
          <w:tcPr>
            <w:tcW w:w="3244" w:type="pct"/>
            <w:tcBorders>
              <w:top w:val="outset" w:color="auto" w:sz="6" w:space="0"/>
              <w:left w:val="outset" w:color="auto" w:sz="6" w:space="0"/>
              <w:bottom w:val="outset" w:color="auto" w:sz="6" w:space="0"/>
              <w:right w:val="outset" w:color="auto" w:sz="6" w:space="0"/>
            </w:tcBorders>
          </w:tcPr>
          <w:p w:rsidRPr="00355C61" w:rsidR="00096CE5" w:rsidP="000455FC" w:rsidRDefault="00096CE5" w14:paraId="1D2F243B" w14:textId="77777777">
            <w:pPr>
              <w:spacing w:after="120"/>
              <w:ind w:left="68"/>
              <w:jc w:val="both"/>
            </w:pPr>
            <w:r w:rsidRPr="00355C61">
              <w:t xml:space="preserve">Sabiedrības līdzdalība tika nodrošināta </w:t>
            </w:r>
            <w:r>
              <w:t>i</w:t>
            </w:r>
            <w:r w:rsidRPr="00E93483">
              <w:t>nformatīv</w:t>
            </w:r>
            <w:r>
              <w:t>ā</w:t>
            </w:r>
            <w:r w:rsidRPr="00E93483">
              <w:t xml:space="preserve"> ziņojum</w:t>
            </w:r>
            <w:r>
              <w:t>a</w:t>
            </w:r>
            <w:r w:rsidRPr="00E93483">
              <w:t xml:space="preserve"> “Par nodokļu politikas attīstības virzieniem, valsts sociālās un veselības apdrošināšanas ilgtspējas veicināšanai”  </w:t>
            </w:r>
            <w:r w:rsidRPr="00355C61">
              <w:t xml:space="preserve"> izstrādes gaitā.</w:t>
            </w:r>
          </w:p>
          <w:p w:rsidRPr="009B4473" w:rsidR="00096CE5" w:rsidP="000455FC" w:rsidRDefault="00096CE5" w14:paraId="348DAB6C" w14:textId="77777777">
            <w:pPr>
              <w:spacing w:after="120"/>
              <w:ind w:left="68"/>
              <w:jc w:val="both"/>
              <w:rPr>
                <w:lang w:eastAsia="lv-LV"/>
              </w:rPr>
            </w:pPr>
            <w:r w:rsidRPr="00E93483">
              <w:rPr>
                <w:lang w:eastAsia="lv-LV"/>
              </w:rPr>
              <w:t xml:space="preserve">Finanšu ministrijas izstrādātie nodokļu politikas attīstības virzieni </w:t>
            </w:r>
            <w:r>
              <w:rPr>
                <w:lang w:eastAsia="lv-LV"/>
              </w:rPr>
              <w:t>tika</w:t>
            </w:r>
            <w:r w:rsidRPr="00E93483">
              <w:rPr>
                <w:lang w:eastAsia="lv-LV"/>
              </w:rPr>
              <w:t xml:space="preserve"> izskatīti Nacionālās Trīspusējās sadarbības padomes </w:t>
            </w:r>
            <w:r w:rsidRPr="00E93483">
              <w:rPr>
                <w:bCs/>
                <w:lang w:eastAsia="lv-LV"/>
              </w:rPr>
              <w:t>2020.gada 7.jūlija</w:t>
            </w:r>
            <w:r>
              <w:rPr>
                <w:bCs/>
                <w:lang w:eastAsia="lv-LV"/>
              </w:rPr>
              <w:t>, 2. un 9.septembra</w:t>
            </w:r>
            <w:r>
              <w:rPr>
                <w:lang w:eastAsia="lv-LV"/>
              </w:rPr>
              <w:t xml:space="preserve"> sēdē, kā arī</w:t>
            </w:r>
            <w:r w:rsidRPr="001B44D1">
              <w:rPr>
                <w:sz w:val="25"/>
                <w:szCs w:val="25"/>
              </w:rPr>
              <w:t xml:space="preserve"> </w:t>
            </w:r>
            <w:r w:rsidRPr="00E93483">
              <w:rPr>
                <w:lang w:eastAsia="lv-LV"/>
              </w:rPr>
              <w:t xml:space="preserve">Nacionālās Trīspusējās sadarbības padomes budžeta un nodokļu </w:t>
            </w:r>
            <w:proofErr w:type="spellStart"/>
            <w:r w:rsidRPr="00E93483">
              <w:rPr>
                <w:lang w:eastAsia="lv-LV"/>
              </w:rPr>
              <w:t>apakšpadomes</w:t>
            </w:r>
            <w:proofErr w:type="spellEnd"/>
            <w:r w:rsidRPr="00E93483">
              <w:rPr>
                <w:lang w:eastAsia="lv-LV"/>
              </w:rPr>
              <w:t xml:space="preserve"> attālinātajā sēdē </w:t>
            </w:r>
            <w:r w:rsidRPr="00E93483">
              <w:rPr>
                <w:bCs/>
                <w:lang w:eastAsia="lv-LV"/>
              </w:rPr>
              <w:t>2020.gada 12.augustā</w:t>
            </w:r>
            <w:r>
              <w:rPr>
                <w:bCs/>
                <w:lang w:eastAsia="lv-LV"/>
              </w:rPr>
              <w:t>,</w:t>
            </w:r>
            <w:r w:rsidRPr="00355C61">
              <w:rPr>
                <w:lang w:eastAsia="lv-LV"/>
              </w:rPr>
              <w:t xml:space="preserve"> kurā</w:t>
            </w:r>
            <w:r>
              <w:rPr>
                <w:lang w:eastAsia="lv-LV"/>
              </w:rPr>
              <w:t>s</w:t>
            </w:r>
            <w:r w:rsidRPr="00355C61">
              <w:rPr>
                <w:lang w:eastAsia="lv-LV"/>
              </w:rPr>
              <w:t xml:space="preserve"> piedalījās gan valsts, gan nevalstiskā sektora pārstāvji.</w:t>
            </w:r>
          </w:p>
        </w:tc>
      </w:tr>
      <w:tr w:rsidRPr="0024716D" w:rsidR="00096CE5" w:rsidTr="00096CE5" w14:paraId="7F6F488A" w14:textId="77777777">
        <w:trPr>
          <w:tblCellSpacing w:w="15" w:type="dxa"/>
        </w:trPr>
        <w:tc>
          <w:tcPr>
            <w:tcW w:w="1706" w:type="pct"/>
            <w:tcBorders>
              <w:top w:val="outset" w:color="auto" w:sz="6" w:space="0"/>
              <w:left w:val="outset" w:color="auto" w:sz="6" w:space="0"/>
              <w:bottom w:val="outset" w:color="auto" w:sz="6" w:space="0"/>
              <w:right w:val="outset" w:color="auto" w:sz="6" w:space="0"/>
            </w:tcBorders>
            <w:hideMark/>
          </w:tcPr>
          <w:p w:rsidRPr="0024716D" w:rsidR="00096CE5" w:rsidP="000455FC" w:rsidRDefault="00096CE5" w14:paraId="341E6A8F" w14:textId="77777777">
            <w:pPr>
              <w:rPr>
                <w:iCs/>
                <w:lang w:eastAsia="lv-LV"/>
              </w:rPr>
            </w:pPr>
            <w:r w:rsidRPr="0024716D">
              <w:rPr>
                <w:iCs/>
                <w:lang w:eastAsia="lv-LV"/>
              </w:rPr>
              <w:t>Sabiedrības līdzdalības rezultāti</w:t>
            </w:r>
          </w:p>
        </w:tc>
        <w:tc>
          <w:tcPr>
            <w:tcW w:w="3244" w:type="pct"/>
            <w:tcBorders>
              <w:top w:val="outset" w:color="auto" w:sz="6" w:space="0"/>
              <w:left w:val="outset" w:color="auto" w:sz="6" w:space="0"/>
              <w:bottom w:val="outset" w:color="auto" w:sz="6" w:space="0"/>
              <w:right w:val="outset" w:color="auto" w:sz="6" w:space="0"/>
            </w:tcBorders>
          </w:tcPr>
          <w:p w:rsidRPr="0024716D" w:rsidR="00096CE5" w:rsidP="000455FC" w:rsidRDefault="00096CE5" w14:paraId="0DEAB004" w14:textId="77777777">
            <w:pPr>
              <w:pStyle w:val="naiskr"/>
              <w:spacing w:before="0" w:after="0"/>
              <w:ind w:left="57" w:right="57"/>
              <w:jc w:val="both"/>
              <w:rPr>
                <w:iCs/>
              </w:rPr>
            </w:pPr>
            <w:r w:rsidRPr="009B4473">
              <w:rPr>
                <w:rFonts w:eastAsiaTheme="minorHAnsi"/>
              </w:rPr>
              <w:t>Sabiedrības pārstāvju iebildumi un priekšlikumi nav saņemti.</w:t>
            </w:r>
          </w:p>
        </w:tc>
      </w:tr>
      <w:tr w:rsidRPr="0024716D" w:rsidR="00096CE5" w:rsidTr="00096CE5" w14:paraId="1A54CBA0" w14:textId="77777777">
        <w:trPr>
          <w:tblCellSpacing w:w="15" w:type="dxa"/>
        </w:trPr>
        <w:tc>
          <w:tcPr>
            <w:tcW w:w="1706" w:type="pct"/>
            <w:tcBorders>
              <w:top w:val="outset" w:color="auto" w:sz="6" w:space="0"/>
              <w:left w:val="outset" w:color="auto" w:sz="6" w:space="0"/>
              <w:bottom w:val="outset" w:color="auto" w:sz="6" w:space="0"/>
              <w:right w:val="outset" w:color="auto" w:sz="6" w:space="0"/>
            </w:tcBorders>
            <w:hideMark/>
          </w:tcPr>
          <w:p w:rsidRPr="0024716D" w:rsidR="00096CE5" w:rsidP="000455FC" w:rsidRDefault="00096CE5" w14:paraId="6B3ED416" w14:textId="77777777">
            <w:pPr>
              <w:rPr>
                <w:iCs/>
                <w:lang w:eastAsia="lv-LV"/>
              </w:rPr>
            </w:pPr>
            <w:r w:rsidRPr="0024716D">
              <w:rPr>
                <w:iCs/>
                <w:lang w:eastAsia="lv-LV"/>
              </w:rPr>
              <w:t>Cita informācija</w:t>
            </w:r>
          </w:p>
        </w:tc>
        <w:tc>
          <w:tcPr>
            <w:tcW w:w="3244" w:type="pct"/>
            <w:tcBorders>
              <w:top w:val="outset" w:color="auto" w:sz="6" w:space="0"/>
              <w:left w:val="outset" w:color="auto" w:sz="6" w:space="0"/>
              <w:bottom w:val="outset" w:color="auto" w:sz="6" w:space="0"/>
              <w:right w:val="outset" w:color="auto" w:sz="6" w:space="0"/>
            </w:tcBorders>
            <w:hideMark/>
          </w:tcPr>
          <w:p w:rsidRPr="0024716D" w:rsidR="00096CE5" w:rsidP="000455FC" w:rsidRDefault="00096CE5" w14:paraId="645B36DE" w14:textId="77777777">
            <w:pPr>
              <w:spacing w:before="60"/>
              <w:ind w:left="57" w:right="57"/>
              <w:rPr>
                <w:iCs/>
                <w:lang w:eastAsia="lv-LV"/>
              </w:rPr>
            </w:pPr>
            <w:r w:rsidRPr="0024716D">
              <w:rPr>
                <w:iCs/>
                <w:lang w:eastAsia="lv-LV"/>
              </w:rPr>
              <w:t>Nav</w:t>
            </w:r>
          </w:p>
        </w:tc>
      </w:tr>
    </w:tbl>
    <w:p w:rsidR="00E5323B" w:rsidP="00E5323B" w:rsidRDefault="00E5323B" w14:paraId="21BBB060" w14:textId="70913C69">
      <w:pPr>
        <w:rPr>
          <w:iCs/>
          <w:lang w:eastAsia="lv-LV"/>
        </w:rPr>
      </w:pPr>
    </w:p>
    <w:p w:rsidRPr="00E529E2" w:rsidR="009F4F85" w:rsidP="00E5323B" w:rsidRDefault="009F4F85" w14:paraId="0EC77AF0" w14:textId="77777777">
      <w:pPr>
        <w:rPr>
          <w:i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29E2" w:rsidR="00A13E24" w:rsidTr="00E5323B" w14:paraId="585CC70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29E2" w:rsidR="00655F2C" w:rsidP="00901895" w:rsidRDefault="00E5323B" w14:paraId="386A12B7" w14:textId="77777777">
            <w:pPr>
              <w:jc w:val="center"/>
              <w:rPr>
                <w:b/>
                <w:bCs/>
                <w:iCs/>
                <w:lang w:eastAsia="lv-LV"/>
              </w:rPr>
            </w:pPr>
            <w:r w:rsidRPr="00E529E2">
              <w:rPr>
                <w:b/>
                <w:bCs/>
                <w:iCs/>
                <w:lang w:eastAsia="lv-LV"/>
              </w:rPr>
              <w:lastRenderedPageBreak/>
              <w:t>VII. Tiesību akta projekta izpildes nodrošināšana un tās ietekme uz institūcijām</w:t>
            </w:r>
          </w:p>
        </w:tc>
      </w:tr>
      <w:tr w:rsidRPr="00E529E2" w:rsidR="00A13E24" w:rsidTr="00E5323B" w14:paraId="4945EDC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7A4C3B7E" w14:textId="77777777">
            <w:pPr>
              <w:rPr>
                <w:iCs/>
                <w:lang w:eastAsia="lv-LV"/>
              </w:rPr>
            </w:pPr>
            <w:r w:rsidRPr="00E529E2">
              <w:rPr>
                <w:iCs/>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7947AE" w:rsidRDefault="00E5323B" w14:paraId="59935CD0" w14:textId="77777777">
            <w:pPr>
              <w:jc w:val="both"/>
              <w:rPr>
                <w:iCs/>
                <w:lang w:eastAsia="lv-LV"/>
              </w:rPr>
            </w:pPr>
            <w:r w:rsidRPr="00E529E2">
              <w:rPr>
                <w:iCs/>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E529E2" w:rsidR="003B5A83" w:rsidP="00A935E3" w:rsidRDefault="00AB02CD" w14:paraId="055C8423" w14:textId="738E5526">
            <w:pPr>
              <w:jc w:val="both"/>
              <w:rPr>
                <w:iCs/>
                <w:lang w:eastAsia="lv-LV"/>
              </w:rPr>
            </w:pPr>
            <w:r w:rsidRPr="00AB02CD">
              <w:rPr>
                <w:iCs/>
                <w:lang w:eastAsia="lv-LV"/>
              </w:rPr>
              <w:t>Valsts ieņēmumu dienests, valsts akciju sabiedrība „Ceļu satiksmes drošības direkcija”</w:t>
            </w:r>
            <w:r w:rsidR="00232759">
              <w:rPr>
                <w:iCs/>
                <w:lang w:eastAsia="lv-LV"/>
              </w:rPr>
              <w:t>.</w:t>
            </w:r>
          </w:p>
        </w:tc>
      </w:tr>
      <w:tr w:rsidRPr="00E529E2" w:rsidR="00A13E24" w:rsidTr="00E5323B" w14:paraId="2617EBF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1ABF0A6A" w14:textId="77777777">
            <w:pPr>
              <w:rPr>
                <w:iCs/>
                <w:lang w:eastAsia="lv-LV"/>
              </w:rPr>
            </w:pPr>
            <w:r w:rsidRPr="00E529E2">
              <w:rPr>
                <w:iCs/>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7947AE" w:rsidRDefault="00E5323B" w14:paraId="2DFF3D4E" w14:textId="77777777">
            <w:pPr>
              <w:jc w:val="both"/>
              <w:rPr>
                <w:iCs/>
                <w:lang w:eastAsia="lv-LV"/>
              </w:rPr>
            </w:pPr>
            <w:r w:rsidRPr="00E529E2">
              <w:rPr>
                <w:iCs/>
                <w:lang w:eastAsia="lv-LV"/>
              </w:rPr>
              <w:t>Projekta izpildes ietekme uz pārvaldes funkcijām un institucionālo struktūru.</w:t>
            </w:r>
            <w:r w:rsidRPr="00E529E2">
              <w:rPr>
                <w:iCs/>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054A03" w:rsidRDefault="00A935E3" w14:paraId="33DFA70A" w14:textId="090C8867">
            <w:pPr>
              <w:tabs>
                <w:tab w:val="left" w:pos="3686"/>
              </w:tabs>
              <w:jc w:val="both"/>
              <w:rPr>
                <w:iCs/>
                <w:lang w:eastAsia="lv-LV"/>
              </w:rPr>
            </w:pPr>
            <w:r w:rsidRPr="00E529E2">
              <w:rPr>
                <w:iCs/>
                <w:lang w:eastAsia="lv-LV"/>
              </w:rPr>
              <w:t>Normatīvā akta izpilde tiks nodrošināta anotācijas VII sadaļas 1.punktā minēt</w:t>
            </w:r>
            <w:r w:rsidR="00F0030C">
              <w:rPr>
                <w:iCs/>
                <w:lang w:eastAsia="lv-LV"/>
              </w:rPr>
              <w:t>o</w:t>
            </w:r>
            <w:r w:rsidRPr="00E529E2">
              <w:rPr>
                <w:iCs/>
                <w:lang w:eastAsia="lv-LV"/>
              </w:rPr>
              <w:t xml:space="preserve"> institūcij</w:t>
            </w:r>
            <w:r w:rsidR="00F0030C">
              <w:rPr>
                <w:iCs/>
                <w:lang w:eastAsia="lv-LV"/>
              </w:rPr>
              <w:t>u</w:t>
            </w:r>
            <w:r w:rsidRPr="00E529E2">
              <w:rPr>
                <w:iCs/>
                <w:lang w:eastAsia="lv-LV"/>
              </w:rPr>
              <w:t xml:space="preserve"> līdzšinējo funkciju ietvaros.</w:t>
            </w:r>
            <w:r w:rsidR="00285C3B">
              <w:t xml:space="preserve"> </w:t>
            </w:r>
            <w:r w:rsidR="00285C3B">
              <w:rPr>
                <w:iCs/>
                <w:lang w:eastAsia="lv-LV"/>
              </w:rPr>
              <w:t>P</w:t>
            </w:r>
            <w:r w:rsidRPr="00285C3B" w:rsidR="00285C3B">
              <w:rPr>
                <w:iCs/>
                <w:lang w:eastAsia="lv-LV"/>
              </w:rPr>
              <w:t xml:space="preserve">rojekta izpilde </w:t>
            </w:r>
            <w:r w:rsidR="00285C3B">
              <w:rPr>
                <w:iCs/>
                <w:lang w:eastAsia="lv-LV"/>
              </w:rPr>
              <w:t>ne</w:t>
            </w:r>
            <w:r w:rsidRPr="00285C3B" w:rsidR="00285C3B">
              <w:rPr>
                <w:iCs/>
                <w:lang w:eastAsia="lv-LV"/>
              </w:rPr>
              <w:t>ietekmē</w:t>
            </w:r>
            <w:r w:rsidR="00F0030C">
              <w:rPr>
                <w:iCs/>
                <w:lang w:eastAsia="lv-LV"/>
              </w:rPr>
              <w:t>s</w:t>
            </w:r>
            <w:r w:rsidRPr="00285C3B" w:rsidR="00285C3B">
              <w:rPr>
                <w:iCs/>
                <w:lang w:eastAsia="lv-LV"/>
              </w:rPr>
              <w:t xml:space="preserve"> </w:t>
            </w:r>
            <w:r w:rsidR="00F0030C">
              <w:rPr>
                <w:iCs/>
                <w:lang w:eastAsia="lv-LV"/>
              </w:rPr>
              <w:t>minēto</w:t>
            </w:r>
            <w:r w:rsidRPr="00285C3B" w:rsidR="00285C3B">
              <w:rPr>
                <w:iCs/>
                <w:lang w:eastAsia="lv-LV"/>
              </w:rPr>
              <w:t xml:space="preserve"> institūcij</w:t>
            </w:r>
            <w:r w:rsidR="00F0030C">
              <w:rPr>
                <w:iCs/>
                <w:lang w:eastAsia="lv-LV"/>
              </w:rPr>
              <w:t>u</w:t>
            </w:r>
            <w:r w:rsidRPr="00285C3B" w:rsidR="00285C3B">
              <w:rPr>
                <w:iCs/>
                <w:lang w:eastAsia="lv-LV"/>
              </w:rPr>
              <w:t xml:space="preserve"> funkcijas un uzdevumus, institūcij</w:t>
            </w:r>
            <w:r w:rsidR="00F0030C">
              <w:rPr>
                <w:iCs/>
                <w:lang w:eastAsia="lv-LV"/>
              </w:rPr>
              <w:t>ām</w:t>
            </w:r>
            <w:r w:rsidRPr="00285C3B" w:rsidR="00285C3B">
              <w:rPr>
                <w:iCs/>
                <w:lang w:eastAsia="lv-LV"/>
              </w:rPr>
              <w:t xml:space="preserve"> pieejamos cilvēkresursus, </w:t>
            </w:r>
            <w:r w:rsidR="00285C3B">
              <w:rPr>
                <w:iCs/>
                <w:lang w:eastAsia="lv-LV"/>
              </w:rPr>
              <w:t>kā arī</w:t>
            </w:r>
            <w:r w:rsidRPr="00285C3B" w:rsidR="00285C3B">
              <w:rPr>
                <w:iCs/>
                <w:lang w:eastAsia="lv-LV"/>
              </w:rPr>
              <w:t xml:space="preserve"> saistībā ar projekta izpildi </w:t>
            </w:r>
            <w:r w:rsidR="00285C3B">
              <w:rPr>
                <w:iCs/>
                <w:lang w:eastAsia="lv-LV"/>
              </w:rPr>
              <w:t xml:space="preserve">nav </w:t>
            </w:r>
            <w:r w:rsidRPr="00285C3B" w:rsidR="00285C3B">
              <w:rPr>
                <w:iCs/>
                <w:lang w:eastAsia="lv-LV"/>
              </w:rPr>
              <w:t>nepieciešams veidot jaunas institūcijas, likvidēt vai reorganizēt esošās.</w:t>
            </w:r>
          </w:p>
        </w:tc>
      </w:tr>
      <w:tr w:rsidRPr="00E529E2" w:rsidR="00E5323B" w:rsidTr="00204958" w14:paraId="0FEF4A91" w14:textId="77777777">
        <w:trPr>
          <w:trHeight w:val="385"/>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29E2" w:rsidR="00655F2C" w:rsidP="00E5323B" w:rsidRDefault="00E5323B" w14:paraId="7EC471EA" w14:textId="77777777">
            <w:pPr>
              <w:rPr>
                <w:iCs/>
                <w:lang w:eastAsia="lv-LV"/>
              </w:rPr>
            </w:pPr>
            <w:r w:rsidRPr="00E529E2">
              <w:rPr>
                <w:iCs/>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529E2" w:rsidR="00E5323B" w:rsidP="00E5323B" w:rsidRDefault="00E5323B" w14:paraId="515322A1" w14:textId="77777777">
            <w:pPr>
              <w:rPr>
                <w:iCs/>
                <w:lang w:eastAsia="lv-LV"/>
              </w:rPr>
            </w:pPr>
            <w:r w:rsidRPr="00E529E2">
              <w:rPr>
                <w:iCs/>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E529E2" w:rsidR="00E5323B" w:rsidP="00D140E9" w:rsidRDefault="00A935E3" w14:paraId="7D6467CE" w14:textId="4884FEED">
            <w:pPr>
              <w:jc w:val="both"/>
              <w:rPr>
                <w:iCs/>
                <w:lang w:eastAsia="lv-LV"/>
              </w:rPr>
            </w:pPr>
            <w:r w:rsidRPr="00E529E2">
              <w:t>Nav.</w:t>
            </w:r>
          </w:p>
        </w:tc>
      </w:tr>
    </w:tbl>
    <w:p w:rsidR="00690A13" w:rsidP="00BD60E6" w:rsidRDefault="00690A13" w14:paraId="0DA98408" w14:textId="23AEF52A">
      <w:pPr>
        <w:pStyle w:val="StyleRight"/>
        <w:spacing w:after="0"/>
        <w:ind w:firstLine="0"/>
        <w:jc w:val="both"/>
        <w:rPr>
          <w:sz w:val="24"/>
          <w:szCs w:val="24"/>
        </w:rPr>
      </w:pPr>
    </w:p>
    <w:p w:rsidRPr="00E529E2" w:rsidR="005D2891" w:rsidP="00BD60E6" w:rsidRDefault="005D2891" w14:paraId="0A00201B" w14:textId="77777777">
      <w:pPr>
        <w:pStyle w:val="StyleRight"/>
        <w:spacing w:after="0"/>
        <w:ind w:firstLine="0"/>
        <w:jc w:val="both"/>
        <w:rPr>
          <w:sz w:val="24"/>
          <w:szCs w:val="24"/>
        </w:rPr>
      </w:pPr>
    </w:p>
    <w:p w:rsidRPr="00E529E2" w:rsidR="00894C55" w:rsidP="00BD60E6" w:rsidRDefault="00BD60E6" w14:paraId="54B84AED" w14:textId="1E571411">
      <w:pPr>
        <w:pStyle w:val="StyleRight"/>
        <w:spacing w:after="0"/>
        <w:ind w:firstLine="0"/>
        <w:jc w:val="both"/>
        <w:rPr>
          <w:sz w:val="24"/>
          <w:szCs w:val="24"/>
        </w:rPr>
      </w:pPr>
      <w:r w:rsidRPr="00E529E2">
        <w:rPr>
          <w:sz w:val="24"/>
          <w:szCs w:val="24"/>
        </w:rPr>
        <w:t xml:space="preserve">Satiksmes ministrs </w:t>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r>
      <w:r w:rsidRPr="00E529E2">
        <w:rPr>
          <w:sz w:val="24"/>
          <w:szCs w:val="24"/>
        </w:rPr>
        <w:tab/>
        <w:t xml:space="preserve">T </w:t>
      </w:r>
      <w:proofErr w:type="spellStart"/>
      <w:r w:rsidRPr="00E529E2">
        <w:rPr>
          <w:sz w:val="24"/>
          <w:szCs w:val="24"/>
        </w:rPr>
        <w:t>Linkaits</w:t>
      </w:r>
      <w:proofErr w:type="spellEnd"/>
    </w:p>
    <w:p w:rsidRPr="00E529E2" w:rsidR="00E84A0B" w:rsidP="00894C55" w:rsidRDefault="00E84A0B" w14:paraId="10A77514" w14:textId="156BC6D8">
      <w:pPr>
        <w:tabs>
          <w:tab w:val="left" w:pos="6237"/>
        </w:tabs>
      </w:pPr>
    </w:p>
    <w:p w:rsidRPr="00E529E2" w:rsidR="00FC79B4" w:rsidP="00894C55" w:rsidRDefault="00FC79B4" w14:paraId="0A4E9D7D" w14:textId="77777777">
      <w:pPr>
        <w:tabs>
          <w:tab w:val="left" w:pos="6237"/>
        </w:tabs>
      </w:pPr>
    </w:p>
    <w:p w:rsidRPr="00EB53FC" w:rsidR="00092C27" w:rsidP="00EB53FC" w:rsidRDefault="00A935E3" w14:paraId="5ED23D7C" w14:textId="4893F567">
      <w:pPr>
        <w:jc w:val="both"/>
        <w:rPr>
          <w:rFonts w:eastAsia="Calibri"/>
        </w:rPr>
      </w:pPr>
      <w:r w:rsidRPr="00E529E2">
        <w:rPr>
          <w:rFonts w:eastAsia="Calibri"/>
        </w:rPr>
        <w:t>Vīza: Valsts sekretāre</w:t>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r>
      <w:r w:rsidRPr="00E529E2">
        <w:rPr>
          <w:rFonts w:eastAsia="Calibri"/>
        </w:rPr>
        <w:tab/>
        <w:t xml:space="preserve">                       </w:t>
      </w:r>
      <w:proofErr w:type="spellStart"/>
      <w:r w:rsidRPr="00E529E2">
        <w:rPr>
          <w:rFonts w:eastAsia="Calibri"/>
        </w:rPr>
        <w:t>I.Stepanova</w:t>
      </w:r>
      <w:proofErr w:type="spellEnd"/>
    </w:p>
    <w:sectPr w:rsidRPr="00EB53FC" w:rsidR="00092C27" w:rsidSect="00EB53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EB6B" w14:textId="77777777" w:rsidR="000B7A2F" w:rsidRDefault="000B7A2F" w:rsidP="00894C55">
      <w:r>
        <w:separator/>
      </w:r>
    </w:p>
  </w:endnote>
  <w:endnote w:type="continuationSeparator" w:id="0">
    <w:p w14:paraId="401BC53B" w14:textId="77777777" w:rsidR="000B7A2F" w:rsidRDefault="000B7A2F" w:rsidP="00894C55">
      <w:r>
        <w:continuationSeparator/>
      </w:r>
    </w:p>
  </w:endnote>
  <w:endnote w:type="continuationNotice" w:id="1">
    <w:p w14:paraId="7A5DD608" w14:textId="77777777" w:rsidR="000B7A2F" w:rsidRDefault="000B7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3D1D" w14:textId="77777777" w:rsidR="00E00B2D" w:rsidRDefault="00E0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1C6F" w14:textId="446D83F4" w:rsidR="00894C55" w:rsidRPr="00B408E6" w:rsidRDefault="002A1184" w:rsidP="00405F58">
    <w:pPr>
      <w:pStyle w:val="Footer"/>
      <w:rPr>
        <w:sz w:val="20"/>
        <w:szCs w:val="20"/>
      </w:rPr>
    </w:pPr>
    <w:r w:rsidRPr="002A1184">
      <w:rPr>
        <w:sz w:val="20"/>
        <w:szCs w:val="20"/>
      </w:rPr>
      <w:t>SMAnot_</w:t>
    </w:r>
    <w:r w:rsidR="004F67F2">
      <w:rPr>
        <w:sz w:val="20"/>
        <w:szCs w:val="20"/>
      </w:rPr>
      <w:t>1</w:t>
    </w:r>
    <w:r w:rsidR="00B90628">
      <w:rPr>
        <w:sz w:val="20"/>
        <w:szCs w:val="20"/>
      </w:rPr>
      <w:t>7</w:t>
    </w:r>
    <w:r w:rsidR="004F67F2">
      <w:rPr>
        <w:sz w:val="20"/>
        <w:szCs w:val="20"/>
      </w:rPr>
      <w:t>09</w:t>
    </w:r>
    <w:r w:rsidRPr="002A1184">
      <w:rPr>
        <w:sz w:val="20"/>
        <w:szCs w:val="20"/>
      </w:rPr>
      <w:t>20_TEN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99A0" w14:textId="1856A8BB" w:rsidR="00515FD2" w:rsidRPr="00B408E6" w:rsidRDefault="002A1184" w:rsidP="00405F58">
    <w:pPr>
      <w:pStyle w:val="Footer"/>
      <w:rPr>
        <w:sz w:val="20"/>
        <w:szCs w:val="20"/>
      </w:rPr>
    </w:pPr>
    <w:r w:rsidRPr="002A1184">
      <w:rPr>
        <w:sz w:val="20"/>
        <w:szCs w:val="20"/>
      </w:rPr>
      <w:t>SMAnot_</w:t>
    </w:r>
    <w:r w:rsidR="004F67F2">
      <w:rPr>
        <w:sz w:val="20"/>
        <w:szCs w:val="20"/>
      </w:rPr>
      <w:t>1</w:t>
    </w:r>
    <w:r w:rsidR="00E00B2D">
      <w:rPr>
        <w:sz w:val="20"/>
        <w:szCs w:val="20"/>
      </w:rPr>
      <w:t>7</w:t>
    </w:r>
    <w:r w:rsidR="004F67F2">
      <w:rPr>
        <w:sz w:val="20"/>
        <w:szCs w:val="20"/>
      </w:rPr>
      <w:t>09</w:t>
    </w:r>
    <w:r w:rsidRPr="002A1184">
      <w:rPr>
        <w:sz w:val="20"/>
        <w:szCs w:val="20"/>
      </w:rPr>
      <w:t>20_TEN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BD36" w14:textId="77777777" w:rsidR="000B7A2F" w:rsidRDefault="000B7A2F" w:rsidP="00894C55">
      <w:r>
        <w:separator/>
      </w:r>
    </w:p>
  </w:footnote>
  <w:footnote w:type="continuationSeparator" w:id="0">
    <w:p w14:paraId="5548E26B" w14:textId="77777777" w:rsidR="000B7A2F" w:rsidRDefault="000B7A2F" w:rsidP="00894C55">
      <w:r>
        <w:continuationSeparator/>
      </w:r>
    </w:p>
  </w:footnote>
  <w:footnote w:type="continuationNotice" w:id="1">
    <w:p w14:paraId="23F1C503" w14:textId="77777777" w:rsidR="000B7A2F" w:rsidRDefault="000B7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B2D" w:rsidRDefault="00E00B2D" w14:paraId="0EAAA1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noProof/>
        <w:szCs w:val="20"/>
      </w:rPr>
    </w:sdtEndPr>
    <w:sdtContent>
      <w:p w:rsidRPr="00C25B49" w:rsidR="00894C55" w:rsidRDefault="00456E40" w14:paraId="61E2A499" w14:textId="77777777">
        <w:pPr>
          <w:pStyle w:val="Header"/>
          <w:jc w:val="center"/>
          <w:rPr>
            <w:szCs w:val="20"/>
          </w:rPr>
        </w:pPr>
        <w:r w:rsidRPr="00C25B49">
          <w:rPr>
            <w:szCs w:val="20"/>
          </w:rPr>
          <w:fldChar w:fldCharType="begin"/>
        </w:r>
        <w:r w:rsidRPr="00C25B49" w:rsidR="00894C55">
          <w:rPr>
            <w:szCs w:val="20"/>
          </w:rPr>
          <w:instrText xml:space="preserve"> PAGE   \* MERGEFORMAT </w:instrText>
        </w:r>
        <w:r w:rsidRPr="00C25B49">
          <w:rPr>
            <w:szCs w:val="20"/>
          </w:rPr>
          <w:fldChar w:fldCharType="separate"/>
        </w:r>
        <w:r w:rsidR="00AF1239">
          <w:rPr>
            <w:noProof/>
            <w:szCs w:val="20"/>
          </w:rPr>
          <w:t>6</w:t>
        </w:r>
        <w:r w:rsidRPr="00C25B49">
          <w:rPr>
            <w:noProof/>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0B2D" w:rsidRDefault="00E00B2D" w14:paraId="5B199E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E61"/>
    <w:multiLevelType w:val="hybridMultilevel"/>
    <w:tmpl w:val="99A602C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EB0423"/>
    <w:multiLevelType w:val="hybridMultilevel"/>
    <w:tmpl w:val="3FE20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8BA"/>
    <w:rsid w:val="000078A4"/>
    <w:rsid w:val="00017C39"/>
    <w:rsid w:val="00027969"/>
    <w:rsid w:val="00027D68"/>
    <w:rsid w:val="0003501D"/>
    <w:rsid w:val="0003627B"/>
    <w:rsid w:val="00041696"/>
    <w:rsid w:val="00043360"/>
    <w:rsid w:val="00043AAE"/>
    <w:rsid w:val="00045936"/>
    <w:rsid w:val="00046247"/>
    <w:rsid w:val="00051841"/>
    <w:rsid w:val="00054A03"/>
    <w:rsid w:val="00056D29"/>
    <w:rsid w:val="000577E4"/>
    <w:rsid w:val="0006131B"/>
    <w:rsid w:val="00065CAB"/>
    <w:rsid w:val="00066B55"/>
    <w:rsid w:val="00066ECA"/>
    <w:rsid w:val="00072016"/>
    <w:rsid w:val="00072DF3"/>
    <w:rsid w:val="0007538B"/>
    <w:rsid w:val="00075DCD"/>
    <w:rsid w:val="00076314"/>
    <w:rsid w:val="000820BC"/>
    <w:rsid w:val="0008483F"/>
    <w:rsid w:val="00086B42"/>
    <w:rsid w:val="00091B85"/>
    <w:rsid w:val="00092C27"/>
    <w:rsid w:val="00094BCD"/>
    <w:rsid w:val="00096CE5"/>
    <w:rsid w:val="00097CF7"/>
    <w:rsid w:val="000A2058"/>
    <w:rsid w:val="000B37BE"/>
    <w:rsid w:val="000B38F2"/>
    <w:rsid w:val="000B7A2F"/>
    <w:rsid w:val="000C08A7"/>
    <w:rsid w:val="000C21B7"/>
    <w:rsid w:val="000C242A"/>
    <w:rsid w:val="000C4E5E"/>
    <w:rsid w:val="000D1BED"/>
    <w:rsid w:val="000D3308"/>
    <w:rsid w:val="000D4FF4"/>
    <w:rsid w:val="000E6D3C"/>
    <w:rsid w:val="000E7CC9"/>
    <w:rsid w:val="000F08AE"/>
    <w:rsid w:val="000F0BB5"/>
    <w:rsid w:val="00101126"/>
    <w:rsid w:val="001033CC"/>
    <w:rsid w:val="00106132"/>
    <w:rsid w:val="001309F8"/>
    <w:rsid w:val="0013274F"/>
    <w:rsid w:val="00132B43"/>
    <w:rsid w:val="00132E83"/>
    <w:rsid w:val="00136761"/>
    <w:rsid w:val="0014157C"/>
    <w:rsid w:val="00142A5C"/>
    <w:rsid w:val="001454B4"/>
    <w:rsid w:val="00145616"/>
    <w:rsid w:val="00157758"/>
    <w:rsid w:val="0016173C"/>
    <w:rsid w:val="00167334"/>
    <w:rsid w:val="00170B1D"/>
    <w:rsid w:val="0017413D"/>
    <w:rsid w:val="001773C9"/>
    <w:rsid w:val="00183F33"/>
    <w:rsid w:val="00190C11"/>
    <w:rsid w:val="0019152A"/>
    <w:rsid w:val="001937A3"/>
    <w:rsid w:val="001A0702"/>
    <w:rsid w:val="001A35D8"/>
    <w:rsid w:val="001A5268"/>
    <w:rsid w:val="001A7B68"/>
    <w:rsid w:val="001B135F"/>
    <w:rsid w:val="001B6B93"/>
    <w:rsid w:val="001C223A"/>
    <w:rsid w:val="001C5054"/>
    <w:rsid w:val="001C68E4"/>
    <w:rsid w:val="001C6FDC"/>
    <w:rsid w:val="001C7885"/>
    <w:rsid w:val="001D08B1"/>
    <w:rsid w:val="001E0711"/>
    <w:rsid w:val="001E5DDF"/>
    <w:rsid w:val="001F09F5"/>
    <w:rsid w:val="001F2496"/>
    <w:rsid w:val="001F3CDB"/>
    <w:rsid w:val="00202F60"/>
    <w:rsid w:val="00204958"/>
    <w:rsid w:val="002058FF"/>
    <w:rsid w:val="00205F11"/>
    <w:rsid w:val="0020689A"/>
    <w:rsid w:val="002178D6"/>
    <w:rsid w:val="00217F53"/>
    <w:rsid w:val="00220A9E"/>
    <w:rsid w:val="002213F8"/>
    <w:rsid w:val="00227A95"/>
    <w:rsid w:val="002319B3"/>
    <w:rsid w:val="00232759"/>
    <w:rsid w:val="00233010"/>
    <w:rsid w:val="00234290"/>
    <w:rsid w:val="00237BB1"/>
    <w:rsid w:val="0024229F"/>
    <w:rsid w:val="00243426"/>
    <w:rsid w:val="0024354E"/>
    <w:rsid w:val="00244AAC"/>
    <w:rsid w:val="0024596B"/>
    <w:rsid w:val="00245EDE"/>
    <w:rsid w:val="002607D0"/>
    <w:rsid w:val="002620B3"/>
    <w:rsid w:val="002643C9"/>
    <w:rsid w:val="00273920"/>
    <w:rsid w:val="002748BB"/>
    <w:rsid w:val="0027773F"/>
    <w:rsid w:val="0028038C"/>
    <w:rsid w:val="00282268"/>
    <w:rsid w:val="00283771"/>
    <w:rsid w:val="00285C3B"/>
    <w:rsid w:val="00287724"/>
    <w:rsid w:val="002879C7"/>
    <w:rsid w:val="00291F0B"/>
    <w:rsid w:val="00293123"/>
    <w:rsid w:val="002933D6"/>
    <w:rsid w:val="00293A30"/>
    <w:rsid w:val="002946A8"/>
    <w:rsid w:val="00295806"/>
    <w:rsid w:val="002A1184"/>
    <w:rsid w:val="002A1CAC"/>
    <w:rsid w:val="002A6A48"/>
    <w:rsid w:val="002A7B53"/>
    <w:rsid w:val="002B2DBD"/>
    <w:rsid w:val="002B442F"/>
    <w:rsid w:val="002B5524"/>
    <w:rsid w:val="002C67D6"/>
    <w:rsid w:val="002C6AB2"/>
    <w:rsid w:val="002D2F3F"/>
    <w:rsid w:val="002D3B76"/>
    <w:rsid w:val="002E1C05"/>
    <w:rsid w:val="002E67F8"/>
    <w:rsid w:val="002E7883"/>
    <w:rsid w:val="002F2D76"/>
    <w:rsid w:val="002F372C"/>
    <w:rsid w:val="002F5263"/>
    <w:rsid w:val="002F5389"/>
    <w:rsid w:val="002F7069"/>
    <w:rsid w:val="00301417"/>
    <w:rsid w:val="0030318E"/>
    <w:rsid w:val="00310B63"/>
    <w:rsid w:val="00311E9B"/>
    <w:rsid w:val="00321818"/>
    <w:rsid w:val="00324410"/>
    <w:rsid w:val="003255A5"/>
    <w:rsid w:val="00325CC0"/>
    <w:rsid w:val="00332F2C"/>
    <w:rsid w:val="0033338A"/>
    <w:rsid w:val="00334F07"/>
    <w:rsid w:val="00335657"/>
    <w:rsid w:val="00344DFC"/>
    <w:rsid w:val="00350BAA"/>
    <w:rsid w:val="00350C8C"/>
    <w:rsid w:val="003526F9"/>
    <w:rsid w:val="00355ED6"/>
    <w:rsid w:val="00356CFA"/>
    <w:rsid w:val="003634BE"/>
    <w:rsid w:val="0036556C"/>
    <w:rsid w:val="0036690F"/>
    <w:rsid w:val="00372DDB"/>
    <w:rsid w:val="00373268"/>
    <w:rsid w:val="00373D15"/>
    <w:rsid w:val="003767EB"/>
    <w:rsid w:val="00382D51"/>
    <w:rsid w:val="003842ED"/>
    <w:rsid w:val="003859FD"/>
    <w:rsid w:val="0038719E"/>
    <w:rsid w:val="00390CF7"/>
    <w:rsid w:val="003910D5"/>
    <w:rsid w:val="00392782"/>
    <w:rsid w:val="003A2760"/>
    <w:rsid w:val="003A3719"/>
    <w:rsid w:val="003A37A0"/>
    <w:rsid w:val="003A5CB9"/>
    <w:rsid w:val="003A6B5B"/>
    <w:rsid w:val="003B0BF9"/>
    <w:rsid w:val="003B25A1"/>
    <w:rsid w:val="003B4917"/>
    <w:rsid w:val="003B5A83"/>
    <w:rsid w:val="003B5E93"/>
    <w:rsid w:val="003B7608"/>
    <w:rsid w:val="003C6AE8"/>
    <w:rsid w:val="003D3782"/>
    <w:rsid w:val="003D5B86"/>
    <w:rsid w:val="003E0791"/>
    <w:rsid w:val="003F28AC"/>
    <w:rsid w:val="003F2FE4"/>
    <w:rsid w:val="003F41EA"/>
    <w:rsid w:val="00405F58"/>
    <w:rsid w:val="00406B1E"/>
    <w:rsid w:val="0042265E"/>
    <w:rsid w:val="004269AC"/>
    <w:rsid w:val="00427844"/>
    <w:rsid w:val="00436D5C"/>
    <w:rsid w:val="004437D2"/>
    <w:rsid w:val="00444134"/>
    <w:rsid w:val="004454FE"/>
    <w:rsid w:val="00447062"/>
    <w:rsid w:val="00451261"/>
    <w:rsid w:val="00451A9F"/>
    <w:rsid w:val="00456E40"/>
    <w:rsid w:val="0046068A"/>
    <w:rsid w:val="00464A85"/>
    <w:rsid w:val="0046703A"/>
    <w:rsid w:val="00471F27"/>
    <w:rsid w:val="00475915"/>
    <w:rsid w:val="00476D91"/>
    <w:rsid w:val="004772AC"/>
    <w:rsid w:val="004814E0"/>
    <w:rsid w:val="004829C0"/>
    <w:rsid w:val="0048495A"/>
    <w:rsid w:val="00487F3D"/>
    <w:rsid w:val="004930E9"/>
    <w:rsid w:val="004A107A"/>
    <w:rsid w:val="004A268D"/>
    <w:rsid w:val="004B431D"/>
    <w:rsid w:val="004B4FB2"/>
    <w:rsid w:val="004C1097"/>
    <w:rsid w:val="004C36C2"/>
    <w:rsid w:val="004D3177"/>
    <w:rsid w:val="004D357A"/>
    <w:rsid w:val="004D3C5C"/>
    <w:rsid w:val="004D598B"/>
    <w:rsid w:val="004E4887"/>
    <w:rsid w:val="004E4E1B"/>
    <w:rsid w:val="004E6813"/>
    <w:rsid w:val="004E78DA"/>
    <w:rsid w:val="004E7B20"/>
    <w:rsid w:val="004F1729"/>
    <w:rsid w:val="004F24E8"/>
    <w:rsid w:val="004F67F2"/>
    <w:rsid w:val="0050046E"/>
    <w:rsid w:val="0050178F"/>
    <w:rsid w:val="0050336C"/>
    <w:rsid w:val="005039BB"/>
    <w:rsid w:val="00504049"/>
    <w:rsid w:val="00510924"/>
    <w:rsid w:val="00511248"/>
    <w:rsid w:val="00515FD2"/>
    <w:rsid w:val="00516244"/>
    <w:rsid w:val="00522832"/>
    <w:rsid w:val="0052726D"/>
    <w:rsid w:val="0053255F"/>
    <w:rsid w:val="00533F88"/>
    <w:rsid w:val="00536722"/>
    <w:rsid w:val="00541DDE"/>
    <w:rsid w:val="0054339D"/>
    <w:rsid w:val="005515D9"/>
    <w:rsid w:val="00553D73"/>
    <w:rsid w:val="0055509A"/>
    <w:rsid w:val="00556260"/>
    <w:rsid w:val="00556373"/>
    <w:rsid w:val="00570104"/>
    <w:rsid w:val="00575D05"/>
    <w:rsid w:val="00582B66"/>
    <w:rsid w:val="0059443F"/>
    <w:rsid w:val="0059578D"/>
    <w:rsid w:val="00597115"/>
    <w:rsid w:val="005A0384"/>
    <w:rsid w:val="005A0B23"/>
    <w:rsid w:val="005A5739"/>
    <w:rsid w:val="005B7247"/>
    <w:rsid w:val="005C0304"/>
    <w:rsid w:val="005C1816"/>
    <w:rsid w:val="005C1962"/>
    <w:rsid w:val="005C66AB"/>
    <w:rsid w:val="005C764F"/>
    <w:rsid w:val="005D2891"/>
    <w:rsid w:val="005E3A47"/>
    <w:rsid w:val="005E757A"/>
    <w:rsid w:val="005F0411"/>
    <w:rsid w:val="005F0D2D"/>
    <w:rsid w:val="00601A94"/>
    <w:rsid w:val="00604E94"/>
    <w:rsid w:val="00605610"/>
    <w:rsid w:val="006068EC"/>
    <w:rsid w:val="00607429"/>
    <w:rsid w:val="00607CB0"/>
    <w:rsid w:val="0061202B"/>
    <w:rsid w:val="00630CBF"/>
    <w:rsid w:val="006313F8"/>
    <w:rsid w:val="00631E2C"/>
    <w:rsid w:val="00634092"/>
    <w:rsid w:val="00634878"/>
    <w:rsid w:val="006439BF"/>
    <w:rsid w:val="0064785F"/>
    <w:rsid w:val="006511D3"/>
    <w:rsid w:val="00651FA4"/>
    <w:rsid w:val="00654D4E"/>
    <w:rsid w:val="006552ED"/>
    <w:rsid w:val="00655F2C"/>
    <w:rsid w:val="0065620A"/>
    <w:rsid w:val="006627E6"/>
    <w:rsid w:val="00666C1D"/>
    <w:rsid w:val="0067265E"/>
    <w:rsid w:val="006746E2"/>
    <w:rsid w:val="00676D8F"/>
    <w:rsid w:val="00680723"/>
    <w:rsid w:val="00686540"/>
    <w:rsid w:val="00686605"/>
    <w:rsid w:val="00690A13"/>
    <w:rsid w:val="006915D0"/>
    <w:rsid w:val="00695A42"/>
    <w:rsid w:val="006B3D32"/>
    <w:rsid w:val="006B65D3"/>
    <w:rsid w:val="006B6907"/>
    <w:rsid w:val="006C533D"/>
    <w:rsid w:val="006C657A"/>
    <w:rsid w:val="006C7359"/>
    <w:rsid w:val="006C7A95"/>
    <w:rsid w:val="006D62FD"/>
    <w:rsid w:val="006E03B2"/>
    <w:rsid w:val="006E1081"/>
    <w:rsid w:val="006E1149"/>
    <w:rsid w:val="006E1C21"/>
    <w:rsid w:val="006E221F"/>
    <w:rsid w:val="006E3956"/>
    <w:rsid w:val="00706475"/>
    <w:rsid w:val="007100B9"/>
    <w:rsid w:val="007119E7"/>
    <w:rsid w:val="00711C66"/>
    <w:rsid w:val="007139C1"/>
    <w:rsid w:val="00717C2E"/>
    <w:rsid w:val="00720585"/>
    <w:rsid w:val="00720AAF"/>
    <w:rsid w:val="00722D60"/>
    <w:rsid w:val="00730667"/>
    <w:rsid w:val="007345A2"/>
    <w:rsid w:val="007359DC"/>
    <w:rsid w:val="007367D4"/>
    <w:rsid w:val="007377CD"/>
    <w:rsid w:val="00740175"/>
    <w:rsid w:val="00742E9B"/>
    <w:rsid w:val="00744A7A"/>
    <w:rsid w:val="00752C59"/>
    <w:rsid w:val="00753574"/>
    <w:rsid w:val="00757062"/>
    <w:rsid w:val="007617CE"/>
    <w:rsid w:val="00761DD0"/>
    <w:rsid w:val="007649D2"/>
    <w:rsid w:val="00767500"/>
    <w:rsid w:val="007676F7"/>
    <w:rsid w:val="00773AF6"/>
    <w:rsid w:val="00782F33"/>
    <w:rsid w:val="00782FDD"/>
    <w:rsid w:val="00783FC6"/>
    <w:rsid w:val="00786160"/>
    <w:rsid w:val="007871FE"/>
    <w:rsid w:val="007901D8"/>
    <w:rsid w:val="0079045B"/>
    <w:rsid w:val="00790B23"/>
    <w:rsid w:val="007937A1"/>
    <w:rsid w:val="007947AE"/>
    <w:rsid w:val="00795548"/>
    <w:rsid w:val="00795F71"/>
    <w:rsid w:val="00796E48"/>
    <w:rsid w:val="007A6D34"/>
    <w:rsid w:val="007B02B3"/>
    <w:rsid w:val="007C30C5"/>
    <w:rsid w:val="007C63A7"/>
    <w:rsid w:val="007D26B4"/>
    <w:rsid w:val="007D3760"/>
    <w:rsid w:val="007D4200"/>
    <w:rsid w:val="007D4CDB"/>
    <w:rsid w:val="007D5ED8"/>
    <w:rsid w:val="007E5F7A"/>
    <w:rsid w:val="007E73AB"/>
    <w:rsid w:val="007F1C70"/>
    <w:rsid w:val="007F1F5B"/>
    <w:rsid w:val="00801529"/>
    <w:rsid w:val="00806B59"/>
    <w:rsid w:val="00812635"/>
    <w:rsid w:val="0081555C"/>
    <w:rsid w:val="00816C11"/>
    <w:rsid w:val="008274FB"/>
    <w:rsid w:val="0083118D"/>
    <w:rsid w:val="00836C3A"/>
    <w:rsid w:val="00842CCF"/>
    <w:rsid w:val="00850FA1"/>
    <w:rsid w:val="00852630"/>
    <w:rsid w:val="008576FB"/>
    <w:rsid w:val="008627CF"/>
    <w:rsid w:val="00865CCA"/>
    <w:rsid w:val="008669E9"/>
    <w:rsid w:val="0087160D"/>
    <w:rsid w:val="00875ED5"/>
    <w:rsid w:val="00876645"/>
    <w:rsid w:val="00882CBF"/>
    <w:rsid w:val="008908F2"/>
    <w:rsid w:val="00891D32"/>
    <w:rsid w:val="00894C55"/>
    <w:rsid w:val="00894D37"/>
    <w:rsid w:val="00895ECC"/>
    <w:rsid w:val="008A1CD7"/>
    <w:rsid w:val="008A5016"/>
    <w:rsid w:val="008A6247"/>
    <w:rsid w:val="008B124B"/>
    <w:rsid w:val="008B12BB"/>
    <w:rsid w:val="008B139E"/>
    <w:rsid w:val="008B4AF6"/>
    <w:rsid w:val="008B500F"/>
    <w:rsid w:val="008C345A"/>
    <w:rsid w:val="008D19F0"/>
    <w:rsid w:val="008D631D"/>
    <w:rsid w:val="008D68F3"/>
    <w:rsid w:val="008E1BAC"/>
    <w:rsid w:val="008E2D91"/>
    <w:rsid w:val="008E687D"/>
    <w:rsid w:val="008F01D0"/>
    <w:rsid w:val="008F0CBD"/>
    <w:rsid w:val="008F11BF"/>
    <w:rsid w:val="008F655F"/>
    <w:rsid w:val="00900464"/>
    <w:rsid w:val="00901895"/>
    <w:rsid w:val="00901A50"/>
    <w:rsid w:val="0090225B"/>
    <w:rsid w:val="0091008A"/>
    <w:rsid w:val="00910159"/>
    <w:rsid w:val="00910C93"/>
    <w:rsid w:val="00917811"/>
    <w:rsid w:val="009227F6"/>
    <w:rsid w:val="009230D3"/>
    <w:rsid w:val="0092350A"/>
    <w:rsid w:val="009236CC"/>
    <w:rsid w:val="00925A2C"/>
    <w:rsid w:val="009331EE"/>
    <w:rsid w:val="00933450"/>
    <w:rsid w:val="00942263"/>
    <w:rsid w:val="00944078"/>
    <w:rsid w:val="00947B76"/>
    <w:rsid w:val="00947F13"/>
    <w:rsid w:val="00952384"/>
    <w:rsid w:val="00954432"/>
    <w:rsid w:val="00956E15"/>
    <w:rsid w:val="00961D6D"/>
    <w:rsid w:val="0096640E"/>
    <w:rsid w:val="009666A6"/>
    <w:rsid w:val="009669D3"/>
    <w:rsid w:val="00967E2E"/>
    <w:rsid w:val="00972714"/>
    <w:rsid w:val="009729BD"/>
    <w:rsid w:val="009748D0"/>
    <w:rsid w:val="00977095"/>
    <w:rsid w:val="00981628"/>
    <w:rsid w:val="00985352"/>
    <w:rsid w:val="00985795"/>
    <w:rsid w:val="0098590F"/>
    <w:rsid w:val="00992677"/>
    <w:rsid w:val="00993851"/>
    <w:rsid w:val="00996DDF"/>
    <w:rsid w:val="00997109"/>
    <w:rsid w:val="009A2654"/>
    <w:rsid w:val="009A6371"/>
    <w:rsid w:val="009B0856"/>
    <w:rsid w:val="009C2496"/>
    <w:rsid w:val="009C73B3"/>
    <w:rsid w:val="009D05E1"/>
    <w:rsid w:val="009D715A"/>
    <w:rsid w:val="009E375C"/>
    <w:rsid w:val="009E39E7"/>
    <w:rsid w:val="009E6B85"/>
    <w:rsid w:val="009E715B"/>
    <w:rsid w:val="009F186A"/>
    <w:rsid w:val="009F1DA3"/>
    <w:rsid w:val="009F4F85"/>
    <w:rsid w:val="009F7552"/>
    <w:rsid w:val="00A01B9D"/>
    <w:rsid w:val="00A01C24"/>
    <w:rsid w:val="00A10FC3"/>
    <w:rsid w:val="00A13E24"/>
    <w:rsid w:val="00A15068"/>
    <w:rsid w:val="00A17217"/>
    <w:rsid w:val="00A2004F"/>
    <w:rsid w:val="00A2038F"/>
    <w:rsid w:val="00A20C12"/>
    <w:rsid w:val="00A27005"/>
    <w:rsid w:val="00A31623"/>
    <w:rsid w:val="00A34E19"/>
    <w:rsid w:val="00A405DF"/>
    <w:rsid w:val="00A42888"/>
    <w:rsid w:val="00A45BB9"/>
    <w:rsid w:val="00A510BF"/>
    <w:rsid w:val="00A524B1"/>
    <w:rsid w:val="00A53DDE"/>
    <w:rsid w:val="00A541C2"/>
    <w:rsid w:val="00A57E63"/>
    <w:rsid w:val="00A6073E"/>
    <w:rsid w:val="00A62F56"/>
    <w:rsid w:val="00A6454D"/>
    <w:rsid w:val="00A667AE"/>
    <w:rsid w:val="00A71428"/>
    <w:rsid w:val="00A7160A"/>
    <w:rsid w:val="00A76EE4"/>
    <w:rsid w:val="00A81853"/>
    <w:rsid w:val="00A83967"/>
    <w:rsid w:val="00A85BD7"/>
    <w:rsid w:val="00A874FC"/>
    <w:rsid w:val="00A87907"/>
    <w:rsid w:val="00A91224"/>
    <w:rsid w:val="00A935E3"/>
    <w:rsid w:val="00A937DD"/>
    <w:rsid w:val="00A97257"/>
    <w:rsid w:val="00A97CB3"/>
    <w:rsid w:val="00AA2568"/>
    <w:rsid w:val="00AA30A9"/>
    <w:rsid w:val="00AA38D7"/>
    <w:rsid w:val="00AA4AC9"/>
    <w:rsid w:val="00AA5400"/>
    <w:rsid w:val="00AA5699"/>
    <w:rsid w:val="00AA6934"/>
    <w:rsid w:val="00AA75DC"/>
    <w:rsid w:val="00AB0265"/>
    <w:rsid w:val="00AB02CD"/>
    <w:rsid w:val="00AB18CD"/>
    <w:rsid w:val="00AB3859"/>
    <w:rsid w:val="00AB548D"/>
    <w:rsid w:val="00AB79F3"/>
    <w:rsid w:val="00AC361E"/>
    <w:rsid w:val="00AC5BEB"/>
    <w:rsid w:val="00AC7993"/>
    <w:rsid w:val="00AD0591"/>
    <w:rsid w:val="00AD453A"/>
    <w:rsid w:val="00AD7609"/>
    <w:rsid w:val="00AE14F8"/>
    <w:rsid w:val="00AE5567"/>
    <w:rsid w:val="00AE7547"/>
    <w:rsid w:val="00AE7D2B"/>
    <w:rsid w:val="00AF1239"/>
    <w:rsid w:val="00AF410F"/>
    <w:rsid w:val="00AF435A"/>
    <w:rsid w:val="00AF4A30"/>
    <w:rsid w:val="00AF6D3F"/>
    <w:rsid w:val="00B01472"/>
    <w:rsid w:val="00B1345E"/>
    <w:rsid w:val="00B14B40"/>
    <w:rsid w:val="00B14E9A"/>
    <w:rsid w:val="00B15297"/>
    <w:rsid w:val="00B15491"/>
    <w:rsid w:val="00B15F58"/>
    <w:rsid w:val="00B16480"/>
    <w:rsid w:val="00B2165C"/>
    <w:rsid w:val="00B22063"/>
    <w:rsid w:val="00B27EFF"/>
    <w:rsid w:val="00B30896"/>
    <w:rsid w:val="00B31A18"/>
    <w:rsid w:val="00B40064"/>
    <w:rsid w:val="00B408BD"/>
    <w:rsid w:val="00B408E6"/>
    <w:rsid w:val="00B40EF1"/>
    <w:rsid w:val="00B50D28"/>
    <w:rsid w:val="00B54BFE"/>
    <w:rsid w:val="00B54E1A"/>
    <w:rsid w:val="00B567F5"/>
    <w:rsid w:val="00B66E37"/>
    <w:rsid w:val="00B731A0"/>
    <w:rsid w:val="00B74C3D"/>
    <w:rsid w:val="00B81CFC"/>
    <w:rsid w:val="00B821D3"/>
    <w:rsid w:val="00B82FD8"/>
    <w:rsid w:val="00B83FF1"/>
    <w:rsid w:val="00B90384"/>
    <w:rsid w:val="00B90628"/>
    <w:rsid w:val="00B949AC"/>
    <w:rsid w:val="00B97BAF"/>
    <w:rsid w:val="00BA20AA"/>
    <w:rsid w:val="00BA340D"/>
    <w:rsid w:val="00BA4008"/>
    <w:rsid w:val="00BA7247"/>
    <w:rsid w:val="00BB0361"/>
    <w:rsid w:val="00BB0A79"/>
    <w:rsid w:val="00BB7507"/>
    <w:rsid w:val="00BC3FBF"/>
    <w:rsid w:val="00BD2C12"/>
    <w:rsid w:val="00BD4425"/>
    <w:rsid w:val="00BD4E39"/>
    <w:rsid w:val="00BD60E6"/>
    <w:rsid w:val="00BD7383"/>
    <w:rsid w:val="00BE133C"/>
    <w:rsid w:val="00BE32C0"/>
    <w:rsid w:val="00BE723E"/>
    <w:rsid w:val="00BF145E"/>
    <w:rsid w:val="00BF6064"/>
    <w:rsid w:val="00BF6282"/>
    <w:rsid w:val="00C00C34"/>
    <w:rsid w:val="00C02454"/>
    <w:rsid w:val="00C0519E"/>
    <w:rsid w:val="00C07E6C"/>
    <w:rsid w:val="00C21B08"/>
    <w:rsid w:val="00C251CA"/>
    <w:rsid w:val="00C25B49"/>
    <w:rsid w:val="00C41408"/>
    <w:rsid w:val="00C4240E"/>
    <w:rsid w:val="00C42992"/>
    <w:rsid w:val="00C4408A"/>
    <w:rsid w:val="00C52A56"/>
    <w:rsid w:val="00C53D4C"/>
    <w:rsid w:val="00C543E7"/>
    <w:rsid w:val="00C5589D"/>
    <w:rsid w:val="00C57F8A"/>
    <w:rsid w:val="00C63ED2"/>
    <w:rsid w:val="00C64686"/>
    <w:rsid w:val="00C67398"/>
    <w:rsid w:val="00C7055F"/>
    <w:rsid w:val="00C7089F"/>
    <w:rsid w:val="00C712E4"/>
    <w:rsid w:val="00C71DDE"/>
    <w:rsid w:val="00C76A32"/>
    <w:rsid w:val="00C777F0"/>
    <w:rsid w:val="00C9188E"/>
    <w:rsid w:val="00C929EE"/>
    <w:rsid w:val="00C97B8A"/>
    <w:rsid w:val="00CA0075"/>
    <w:rsid w:val="00CA1487"/>
    <w:rsid w:val="00CA3D37"/>
    <w:rsid w:val="00CA5298"/>
    <w:rsid w:val="00CA7EC9"/>
    <w:rsid w:val="00CB19B1"/>
    <w:rsid w:val="00CB4F03"/>
    <w:rsid w:val="00CB6DB1"/>
    <w:rsid w:val="00CC0D2D"/>
    <w:rsid w:val="00CC1F02"/>
    <w:rsid w:val="00CC403B"/>
    <w:rsid w:val="00CC7B51"/>
    <w:rsid w:val="00CD35C3"/>
    <w:rsid w:val="00CD4343"/>
    <w:rsid w:val="00CE28C4"/>
    <w:rsid w:val="00CE422B"/>
    <w:rsid w:val="00CE44A2"/>
    <w:rsid w:val="00CE47E0"/>
    <w:rsid w:val="00CE5657"/>
    <w:rsid w:val="00CE763B"/>
    <w:rsid w:val="00CE7FE6"/>
    <w:rsid w:val="00CF0CD4"/>
    <w:rsid w:val="00CF1972"/>
    <w:rsid w:val="00CF2AEA"/>
    <w:rsid w:val="00CF5557"/>
    <w:rsid w:val="00D000F2"/>
    <w:rsid w:val="00D074AE"/>
    <w:rsid w:val="00D12177"/>
    <w:rsid w:val="00D133F8"/>
    <w:rsid w:val="00D13BB2"/>
    <w:rsid w:val="00D140E9"/>
    <w:rsid w:val="00D14A3E"/>
    <w:rsid w:val="00D1537F"/>
    <w:rsid w:val="00D153D8"/>
    <w:rsid w:val="00D2152A"/>
    <w:rsid w:val="00D22FB5"/>
    <w:rsid w:val="00D257F2"/>
    <w:rsid w:val="00D2728F"/>
    <w:rsid w:val="00D3331C"/>
    <w:rsid w:val="00D33469"/>
    <w:rsid w:val="00D35250"/>
    <w:rsid w:val="00D36507"/>
    <w:rsid w:val="00D41129"/>
    <w:rsid w:val="00D41446"/>
    <w:rsid w:val="00D4592A"/>
    <w:rsid w:val="00D578C4"/>
    <w:rsid w:val="00D61091"/>
    <w:rsid w:val="00D7424F"/>
    <w:rsid w:val="00D80392"/>
    <w:rsid w:val="00D82C9C"/>
    <w:rsid w:val="00D91CDD"/>
    <w:rsid w:val="00D96D7F"/>
    <w:rsid w:val="00DA717D"/>
    <w:rsid w:val="00DA7CF6"/>
    <w:rsid w:val="00DB3C7F"/>
    <w:rsid w:val="00DC0136"/>
    <w:rsid w:val="00DC0499"/>
    <w:rsid w:val="00DC17C4"/>
    <w:rsid w:val="00DE0832"/>
    <w:rsid w:val="00DE202A"/>
    <w:rsid w:val="00DE2818"/>
    <w:rsid w:val="00DE4367"/>
    <w:rsid w:val="00DE7353"/>
    <w:rsid w:val="00DF0DE5"/>
    <w:rsid w:val="00DF3E03"/>
    <w:rsid w:val="00E00B2D"/>
    <w:rsid w:val="00E04465"/>
    <w:rsid w:val="00E064ED"/>
    <w:rsid w:val="00E07B12"/>
    <w:rsid w:val="00E11D0F"/>
    <w:rsid w:val="00E21087"/>
    <w:rsid w:val="00E21503"/>
    <w:rsid w:val="00E23018"/>
    <w:rsid w:val="00E234D2"/>
    <w:rsid w:val="00E264A3"/>
    <w:rsid w:val="00E26AD3"/>
    <w:rsid w:val="00E27ED4"/>
    <w:rsid w:val="00E3716B"/>
    <w:rsid w:val="00E41067"/>
    <w:rsid w:val="00E42232"/>
    <w:rsid w:val="00E45DF4"/>
    <w:rsid w:val="00E50C9F"/>
    <w:rsid w:val="00E529E2"/>
    <w:rsid w:val="00E53130"/>
    <w:rsid w:val="00E5323B"/>
    <w:rsid w:val="00E5640A"/>
    <w:rsid w:val="00E57944"/>
    <w:rsid w:val="00E57B90"/>
    <w:rsid w:val="00E616FF"/>
    <w:rsid w:val="00E61D25"/>
    <w:rsid w:val="00E6201E"/>
    <w:rsid w:val="00E631BF"/>
    <w:rsid w:val="00E70AE3"/>
    <w:rsid w:val="00E71420"/>
    <w:rsid w:val="00E7150E"/>
    <w:rsid w:val="00E742DB"/>
    <w:rsid w:val="00E74904"/>
    <w:rsid w:val="00E74D65"/>
    <w:rsid w:val="00E7614A"/>
    <w:rsid w:val="00E848DE"/>
    <w:rsid w:val="00E84A0B"/>
    <w:rsid w:val="00E8749E"/>
    <w:rsid w:val="00E9072E"/>
    <w:rsid w:val="00E90C01"/>
    <w:rsid w:val="00E910DC"/>
    <w:rsid w:val="00E9145D"/>
    <w:rsid w:val="00E957A8"/>
    <w:rsid w:val="00EA2301"/>
    <w:rsid w:val="00EA3C4A"/>
    <w:rsid w:val="00EA486E"/>
    <w:rsid w:val="00EA60F3"/>
    <w:rsid w:val="00EA7460"/>
    <w:rsid w:val="00EB1B6C"/>
    <w:rsid w:val="00EB272A"/>
    <w:rsid w:val="00EB2DB8"/>
    <w:rsid w:val="00EB53FC"/>
    <w:rsid w:val="00EC544B"/>
    <w:rsid w:val="00EC6A0C"/>
    <w:rsid w:val="00ED1B2E"/>
    <w:rsid w:val="00ED1CA4"/>
    <w:rsid w:val="00ED3272"/>
    <w:rsid w:val="00ED4706"/>
    <w:rsid w:val="00EE0031"/>
    <w:rsid w:val="00EF232E"/>
    <w:rsid w:val="00EF2ED2"/>
    <w:rsid w:val="00EF3A8E"/>
    <w:rsid w:val="00EF420A"/>
    <w:rsid w:val="00EF690D"/>
    <w:rsid w:val="00F0030C"/>
    <w:rsid w:val="00F01358"/>
    <w:rsid w:val="00F0348B"/>
    <w:rsid w:val="00F03DDC"/>
    <w:rsid w:val="00F05737"/>
    <w:rsid w:val="00F10D4C"/>
    <w:rsid w:val="00F17501"/>
    <w:rsid w:val="00F20065"/>
    <w:rsid w:val="00F251B5"/>
    <w:rsid w:val="00F273FF"/>
    <w:rsid w:val="00F30AF7"/>
    <w:rsid w:val="00F30DD9"/>
    <w:rsid w:val="00F43869"/>
    <w:rsid w:val="00F4405B"/>
    <w:rsid w:val="00F44F2F"/>
    <w:rsid w:val="00F52EE5"/>
    <w:rsid w:val="00F5543B"/>
    <w:rsid w:val="00F55786"/>
    <w:rsid w:val="00F57B0C"/>
    <w:rsid w:val="00F6033D"/>
    <w:rsid w:val="00F62F35"/>
    <w:rsid w:val="00F66D16"/>
    <w:rsid w:val="00F71108"/>
    <w:rsid w:val="00F72A1A"/>
    <w:rsid w:val="00F73F27"/>
    <w:rsid w:val="00F93263"/>
    <w:rsid w:val="00F96AA9"/>
    <w:rsid w:val="00FA179E"/>
    <w:rsid w:val="00FA2428"/>
    <w:rsid w:val="00FA7161"/>
    <w:rsid w:val="00FB11FE"/>
    <w:rsid w:val="00FC0B0C"/>
    <w:rsid w:val="00FC33FB"/>
    <w:rsid w:val="00FC7006"/>
    <w:rsid w:val="00FC745F"/>
    <w:rsid w:val="00FC79B4"/>
    <w:rsid w:val="00FD3392"/>
    <w:rsid w:val="00FD4D02"/>
    <w:rsid w:val="00FE1676"/>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8428E"/>
  <w15:docId w15:val="{D878F8D8-D350-4A48-9AA8-1C7F5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879C7"/>
    <w:pPr>
      <w:jc w:val="both"/>
    </w:pPr>
    <w:rPr>
      <w:rFonts w:eastAsia="Calibri"/>
      <w:sz w:val="20"/>
      <w:szCs w:val="20"/>
    </w:rPr>
  </w:style>
  <w:style w:type="character" w:customStyle="1" w:styleId="FootnoteTextChar">
    <w:name w:val="Footnote Text Char"/>
    <w:basedOn w:val="DefaultParagraphFont"/>
    <w:link w:val="FootnoteText"/>
    <w:uiPriority w:val="99"/>
    <w:semiHidden/>
    <w:rsid w:val="002879C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879C7"/>
    <w:rPr>
      <w:vertAlign w:val="superscript"/>
    </w:rPr>
  </w:style>
  <w:style w:type="paragraph" w:customStyle="1" w:styleId="tv213">
    <w:name w:val="tv213"/>
    <w:basedOn w:val="Normal"/>
    <w:rsid w:val="00EF2ED2"/>
    <w:pPr>
      <w:spacing w:before="100" w:beforeAutospacing="1" w:after="100" w:afterAutospacing="1"/>
    </w:pPr>
  </w:style>
  <w:style w:type="paragraph" w:styleId="NormalWeb">
    <w:name w:val="Normal (Web)"/>
    <w:basedOn w:val="Normal"/>
    <w:uiPriority w:val="99"/>
    <w:semiHidden/>
    <w:unhideWhenUsed/>
    <w:rsid w:val="00E45DF4"/>
    <w:pPr>
      <w:spacing w:before="100" w:beforeAutospacing="1" w:after="100" w:afterAutospacing="1"/>
    </w:pPr>
  </w:style>
  <w:style w:type="character" w:styleId="UnresolvedMention">
    <w:name w:val="Unresolved Mention"/>
    <w:basedOn w:val="DefaultParagraphFont"/>
    <w:uiPriority w:val="99"/>
    <w:semiHidden/>
    <w:unhideWhenUsed/>
    <w:rsid w:val="00BE723E"/>
    <w:rPr>
      <w:color w:val="605E5C"/>
      <w:shd w:val="clear" w:color="auto" w:fill="E1DFDD"/>
    </w:rPr>
  </w:style>
  <w:style w:type="paragraph" w:customStyle="1" w:styleId="StyleRight">
    <w:name w:val="Style Right"/>
    <w:basedOn w:val="Normal"/>
    <w:rsid w:val="00AC361E"/>
    <w:pPr>
      <w:spacing w:after="120"/>
      <w:ind w:firstLine="720"/>
      <w:jc w:val="right"/>
    </w:pPr>
    <w:rPr>
      <w:sz w:val="28"/>
      <w:szCs w:val="28"/>
    </w:rPr>
  </w:style>
  <w:style w:type="character" w:styleId="CommentReference">
    <w:name w:val="annotation reference"/>
    <w:basedOn w:val="DefaultParagraphFont"/>
    <w:uiPriority w:val="99"/>
    <w:semiHidden/>
    <w:unhideWhenUsed/>
    <w:rsid w:val="002319B3"/>
    <w:rPr>
      <w:sz w:val="16"/>
      <w:szCs w:val="16"/>
    </w:rPr>
  </w:style>
  <w:style w:type="paragraph" w:styleId="CommentText">
    <w:name w:val="annotation text"/>
    <w:basedOn w:val="Normal"/>
    <w:link w:val="CommentTextChar"/>
    <w:uiPriority w:val="99"/>
    <w:semiHidden/>
    <w:unhideWhenUsed/>
    <w:rsid w:val="002319B3"/>
    <w:rPr>
      <w:sz w:val="20"/>
      <w:szCs w:val="20"/>
    </w:rPr>
  </w:style>
  <w:style w:type="character" w:customStyle="1" w:styleId="CommentTextChar">
    <w:name w:val="Comment Text Char"/>
    <w:basedOn w:val="DefaultParagraphFont"/>
    <w:link w:val="CommentText"/>
    <w:uiPriority w:val="99"/>
    <w:semiHidden/>
    <w:rsid w:val="002319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9B3"/>
    <w:rPr>
      <w:b/>
      <w:bCs/>
    </w:rPr>
  </w:style>
  <w:style w:type="character" w:customStyle="1" w:styleId="CommentSubjectChar">
    <w:name w:val="Comment Subject Char"/>
    <w:basedOn w:val="CommentTextChar"/>
    <w:link w:val="CommentSubject"/>
    <w:uiPriority w:val="99"/>
    <w:semiHidden/>
    <w:rsid w:val="002319B3"/>
    <w:rPr>
      <w:rFonts w:ascii="Times New Roman" w:eastAsia="Times New Roman" w:hAnsi="Times New Roman" w:cs="Times New Roman"/>
      <w:b/>
      <w:bCs/>
      <w:sz w:val="20"/>
      <w:szCs w:val="20"/>
    </w:rPr>
  </w:style>
  <w:style w:type="paragraph" w:styleId="ListParagraph">
    <w:name w:val="List Paragraph"/>
    <w:basedOn w:val="Normal"/>
    <w:uiPriority w:val="34"/>
    <w:qFormat/>
    <w:rsid w:val="00895ECC"/>
    <w:pPr>
      <w:ind w:left="720"/>
      <w:contextualSpacing/>
    </w:pPr>
  </w:style>
  <w:style w:type="paragraph" w:customStyle="1" w:styleId="naiskr">
    <w:name w:val="naiskr"/>
    <w:basedOn w:val="Normal"/>
    <w:rsid w:val="00096CE5"/>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876281">
      <w:bodyDiv w:val="1"/>
      <w:marLeft w:val="0"/>
      <w:marRight w:val="0"/>
      <w:marTop w:val="0"/>
      <w:marBottom w:val="0"/>
      <w:divBdr>
        <w:top w:val="none" w:sz="0" w:space="0" w:color="auto"/>
        <w:left w:val="none" w:sz="0" w:space="0" w:color="auto"/>
        <w:bottom w:val="none" w:sz="0" w:space="0" w:color="auto"/>
        <w:right w:val="none" w:sz="0" w:space="0" w:color="auto"/>
      </w:divBdr>
    </w:div>
    <w:div w:id="374043951">
      <w:bodyDiv w:val="1"/>
      <w:marLeft w:val="0"/>
      <w:marRight w:val="0"/>
      <w:marTop w:val="0"/>
      <w:marBottom w:val="0"/>
      <w:divBdr>
        <w:top w:val="none" w:sz="0" w:space="0" w:color="auto"/>
        <w:left w:val="none" w:sz="0" w:space="0" w:color="auto"/>
        <w:bottom w:val="none" w:sz="0" w:space="0" w:color="auto"/>
        <w:right w:val="none" w:sz="0" w:space="0" w:color="auto"/>
      </w:divBdr>
    </w:div>
    <w:div w:id="606356218">
      <w:bodyDiv w:val="1"/>
      <w:marLeft w:val="0"/>
      <w:marRight w:val="0"/>
      <w:marTop w:val="0"/>
      <w:marBottom w:val="0"/>
      <w:divBdr>
        <w:top w:val="none" w:sz="0" w:space="0" w:color="auto"/>
        <w:left w:val="none" w:sz="0" w:space="0" w:color="auto"/>
        <w:bottom w:val="none" w:sz="0" w:space="0" w:color="auto"/>
        <w:right w:val="none" w:sz="0" w:space="0" w:color="auto"/>
      </w:divBdr>
    </w:div>
    <w:div w:id="936062266">
      <w:bodyDiv w:val="1"/>
      <w:marLeft w:val="0"/>
      <w:marRight w:val="0"/>
      <w:marTop w:val="0"/>
      <w:marBottom w:val="0"/>
      <w:divBdr>
        <w:top w:val="none" w:sz="0" w:space="0" w:color="auto"/>
        <w:left w:val="none" w:sz="0" w:space="0" w:color="auto"/>
        <w:bottom w:val="none" w:sz="0" w:space="0" w:color="auto"/>
        <w:right w:val="none" w:sz="0" w:space="0" w:color="auto"/>
      </w:divBdr>
    </w:div>
    <w:div w:id="1012875010">
      <w:bodyDiv w:val="1"/>
      <w:marLeft w:val="0"/>
      <w:marRight w:val="0"/>
      <w:marTop w:val="0"/>
      <w:marBottom w:val="0"/>
      <w:divBdr>
        <w:top w:val="none" w:sz="0" w:space="0" w:color="auto"/>
        <w:left w:val="none" w:sz="0" w:space="0" w:color="auto"/>
        <w:bottom w:val="none" w:sz="0" w:space="0" w:color="auto"/>
        <w:right w:val="none" w:sz="0" w:space="0" w:color="auto"/>
      </w:divBdr>
    </w:div>
    <w:div w:id="1104499468">
      <w:bodyDiv w:val="1"/>
      <w:marLeft w:val="0"/>
      <w:marRight w:val="0"/>
      <w:marTop w:val="0"/>
      <w:marBottom w:val="0"/>
      <w:divBdr>
        <w:top w:val="none" w:sz="0" w:space="0" w:color="auto"/>
        <w:left w:val="none" w:sz="0" w:space="0" w:color="auto"/>
        <w:bottom w:val="none" w:sz="0" w:space="0" w:color="auto"/>
        <w:right w:val="none" w:sz="0" w:space="0" w:color="auto"/>
      </w:divBdr>
    </w:div>
    <w:div w:id="1205941946">
      <w:bodyDiv w:val="1"/>
      <w:marLeft w:val="0"/>
      <w:marRight w:val="0"/>
      <w:marTop w:val="0"/>
      <w:marBottom w:val="0"/>
      <w:divBdr>
        <w:top w:val="none" w:sz="0" w:space="0" w:color="auto"/>
        <w:left w:val="none" w:sz="0" w:space="0" w:color="auto"/>
        <w:bottom w:val="none" w:sz="0" w:space="0" w:color="auto"/>
        <w:right w:val="none" w:sz="0" w:space="0" w:color="auto"/>
      </w:divBdr>
      <w:divsChild>
        <w:div w:id="35349276">
          <w:marLeft w:val="0"/>
          <w:marRight w:val="0"/>
          <w:marTop w:val="0"/>
          <w:marBottom w:val="0"/>
          <w:divBdr>
            <w:top w:val="none" w:sz="0" w:space="0" w:color="auto"/>
            <w:left w:val="none" w:sz="0" w:space="0" w:color="auto"/>
            <w:bottom w:val="none" w:sz="0" w:space="0" w:color="auto"/>
            <w:right w:val="none" w:sz="0" w:space="0" w:color="auto"/>
          </w:divBdr>
          <w:divsChild>
            <w:div w:id="560141700">
              <w:marLeft w:val="0"/>
              <w:marRight w:val="0"/>
              <w:marTop w:val="0"/>
              <w:marBottom w:val="0"/>
              <w:divBdr>
                <w:top w:val="none" w:sz="0" w:space="0" w:color="auto"/>
                <w:left w:val="none" w:sz="0" w:space="0" w:color="auto"/>
                <w:bottom w:val="none" w:sz="0" w:space="0" w:color="auto"/>
                <w:right w:val="none" w:sz="0" w:space="0" w:color="auto"/>
              </w:divBdr>
              <w:divsChild>
                <w:div w:id="545725286">
                  <w:marLeft w:val="0"/>
                  <w:marRight w:val="0"/>
                  <w:marTop w:val="0"/>
                  <w:marBottom w:val="0"/>
                  <w:divBdr>
                    <w:top w:val="none" w:sz="0" w:space="0" w:color="auto"/>
                    <w:left w:val="none" w:sz="0" w:space="0" w:color="auto"/>
                    <w:bottom w:val="none" w:sz="0" w:space="0" w:color="auto"/>
                    <w:right w:val="none" w:sz="0" w:space="0" w:color="auto"/>
                  </w:divBdr>
                  <w:divsChild>
                    <w:div w:id="1309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19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76F8-3E02-4C13-AEF5-EAFCA7AA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11338</Words>
  <Characters>6464</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Transportlīdzekļa ekspluatācijas nodokļa un uzņēmumu vieglo transportlīdzekļu nodokļa likumā” sākotnējās ietekmes novērtējuma ziņojums (anotācija)</vt:lpstr>
      <vt:lpstr>Ministru kabineta noteikumu projekta "Noteikumi par īpašas formas apliecinājumu administratīvā pārkāpuma procesā" sākotnējās ietekmes novērtējuma ziņojums (anotācija)</vt:lpstr>
    </vt:vector>
  </TitlesOfParts>
  <Company>Tieslietu ministrija</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Transportlīdzekļa ekspluatācijas nodokļa un uzņēmumu vieglo transportlīdzekļu nodokļa likumā” sākotnējās ietekmes novērtējuma ziņojums (anotācija)</dc:title>
  <dc:subject>Anotācija</dc:subject>
  <dc:creator>Lauris.Mikelsons@sam.gov.lv</dc:creator>
  <cp:keywords/>
  <dc:description/>
  <cp:lastModifiedBy>Baiba Jirgena</cp:lastModifiedBy>
  <cp:revision>10</cp:revision>
  <cp:lastPrinted>2020-09-18T06:20:00Z</cp:lastPrinted>
  <dcterms:created xsi:type="dcterms:W3CDTF">2020-10-09T08:36:00Z</dcterms:created>
  <dcterms:modified xsi:type="dcterms:W3CDTF">2020-10-09T09:49:00Z</dcterms:modified>
</cp:coreProperties>
</file>