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12EE" w:rsidR="00195A92" w:rsidP="002257B5" w:rsidRDefault="00DA116F" w14:paraId="068CC2DA" w14:textId="398FDEE6"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lv-LV"/>
        </w:rPr>
      </w:pPr>
      <w:r w:rsidRPr="008F12EE">
        <w:rPr>
          <w:rFonts w:ascii="Times New Roman" w:hAnsi="Times New Roman" w:eastAsia="Times New Roman"/>
          <w:b/>
          <w:sz w:val="24"/>
          <w:szCs w:val="24"/>
          <w:lang w:eastAsia="lv-LV"/>
        </w:rPr>
        <w:t xml:space="preserve">Ministru kabineta </w:t>
      </w:r>
      <w:r w:rsidRPr="008F12EE" w:rsidR="000B11C5">
        <w:rPr>
          <w:rFonts w:ascii="Times New Roman" w:hAnsi="Times New Roman" w:eastAsia="Times New Roman"/>
          <w:b/>
          <w:sz w:val="24"/>
          <w:szCs w:val="24"/>
          <w:lang w:eastAsia="lv-LV"/>
        </w:rPr>
        <w:t xml:space="preserve">rīkojuma </w:t>
      </w:r>
      <w:r w:rsidRPr="008F12EE">
        <w:rPr>
          <w:rFonts w:ascii="Times New Roman" w:hAnsi="Times New Roman" w:eastAsia="Times New Roman"/>
          <w:b/>
          <w:sz w:val="24"/>
          <w:szCs w:val="24"/>
          <w:lang w:eastAsia="lv-LV"/>
        </w:rPr>
        <w:t>projekta</w:t>
      </w:r>
      <w:r w:rsidRPr="008F12EE" w:rsidR="00E03D92">
        <w:rPr>
          <w:rFonts w:ascii="Times New Roman" w:hAnsi="Times New Roman"/>
          <w:b/>
          <w:sz w:val="24"/>
          <w:szCs w:val="24"/>
        </w:rPr>
        <w:t xml:space="preserve"> </w:t>
      </w:r>
      <w:r w:rsidRPr="008F12EE" w:rsidR="000B11C5">
        <w:rPr>
          <w:rFonts w:ascii="Times New Roman" w:hAnsi="Times New Roman"/>
          <w:b/>
          <w:sz w:val="24"/>
          <w:szCs w:val="24"/>
        </w:rPr>
        <w:t>“Grozījumi Ministru kabineta 2018.</w:t>
      </w:r>
      <w:r w:rsidR="008B3FF7">
        <w:rPr>
          <w:rFonts w:ascii="Times New Roman" w:hAnsi="Times New Roman"/>
          <w:b/>
          <w:sz w:val="24"/>
          <w:szCs w:val="24"/>
        </w:rPr>
        <w:t> </w:t>
      </w:r>
      <w:r w:rsidRPr="008F12EE" w:rsidR="000B11C5">
        <w:rPr>
          <w:rFonts w:ascii="Times New Roman" w:hAnsi="Times New Roman"/>
          <w:b/>
          <w:sz w:val="24"/>
          <w:szCs w:val="24"/>
        </w:rPr>
        <w:t>gada 15.</w:t>
      </w:r>
      <w:r w:rsidR="008B3FF7">
        <w:rPr>
          <w:rFonts w:ascii="Times New Roman" w:hAnsi="Times New Roman"/>
          <w:b/>
          <w:sz w:val="24"/>
          <w:szCs w:val="24"/>
        </w:rPr>
        <w:t> </w:t>
      </w:r>
      <w:r w:rsidRPr="008F12EE" w:rsidR="000B11C5">
        <w:rPr>
          <w:rFonts w:ascii="Times New Roman" w:hAnsi="Times New Roman"/>
          <w:b/>
          <w:sz w:val="24"/>
          <w:szCs w:val="24"/>
        </w:rPr>
        <w:t>maija rīkojumā Nr.</w:t>
      </w:r>
      <w:r w:rsidR="008B3FF7">
        <w:rPr>
          <w:rFonts w:ascii="Times New Roman" w:hAnsi="Times New Roman"/>
          <w:b/>
          <w:sz w:val="24"/>
          <w:szCs w:val="24"/>
        </w:rPr>
        <w:t> </w:t>
      </w:r>
      <w:r w:rsidRPr="008F12EE" w:rsidR="000B11C5">
        <w:rPr>
          <w:rFonts w:ascii="Times New Roman" w:hAnsi="Times New Roman"/>
          <w:b/>
          <w:sz w:val="24"/>
          <w:szCs w:val="24"/>
        </w:rPr>
        <w:t>215 “Par publiskās lietošanas dzelzceļa infrastruktūras statusa piešķiršanu””</w:t>
      </w:r>
      <w:r w:rsidRPr="008F12EE" w:rsidR="0024095F">
        <w:rPr>
          <w:rFonts w:ascii="Times New Roman" w:hAnsi="Times New Roman" w:eastAsia="Times New Roman"/>
          <w:b/>
          <w:iCs/>
          <w:sz w:val="24"/>
          <w:szCs w:val="24"/>
          <w:lang w:eastAsia="lv-LV"/>
        </w:rPr>
        <w:t xml:space="preserve"> </w:t>
      </w:r>
      <w:r w:rsidRPr="008F12EE" w:rsidR="0024095F">
        <w:rPr>
          <w:rFonts w:ascii="Times New Roman" w:hAnsi="Times New Roman" w:eastAsia="Times New Roman"/>
          <w:b/>
          <w:sz w:val="24"/>
          <w:szCs w:val="24"/>
          <w:lang w:eastAsia="lv-LV"/>
        </w:rPr>
        <w:t>sākotnējās ietekmes novērtējuma ziņojums (anotācija)</w:t>
      </w:r>
    </w:p>
    <w:p w:rsidRPr="008F12EE" w:rsidR="002257B5" w:rsidP="002257B5" w:rsidRDefault="002257B5" w14:paraId="630C29B5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lv-LV"/>
        </w:rPr>
      </w:pPr>
    </w:p>
    <w:tbl>
      <w:tblPr>
        <w:tblW w:w="5319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Pr="008F12EE" w:rsidR="00313745" w:rsidTr="008A150A" w14:paraId="03CA165E" w14:textId="77777777">
        <w:trPr>
          <w:cantSplit/>
          <w:trHeight w:val="407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8F12EE" w:rsidR="00313745" w:rsidRDefault="00313745" w14:paraId="611BD513" w14:textId="77777777"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</w:rPr>
            </w:pPr>
            <w:r w:rsidRPr="008F12EE">
              <w:rPr>
                <w:rFonts w:ascii="Times New Roman" w:hAnsi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Pr="008F12EE" w:rsidR="00313745" w:rsidTr="008B3FF7" w14:paraId="69950568" w14:textId="77777777">
        <w:trPr>
          <w:cantSplit/>
          <w:trHeight w:val="2814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F12EE" w:rsidR="00313745" w:rsidP="0053011D" w:rsidRDefault="00313745" w14:paraId="7AC8CD2A" w14:textId="1406F6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F12EE">
              <w:rPr>
                <w:rFonts w:ascii="Times New Roman" w:hAnsi="Times New Roman"/>
                <w:iCs/>
                <w:sz w:val="24"/>
                <w:szCs w:val="24"/>
              </w:rPr>
              <w:t>Mērķis, risinājums un projekta spēkā stāšanās laiks</w:t>
            </w:r>
            <w:r w:rsidR="008B3FF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0479B6" w:rsidR="000479B6" w:rsidP="000479B6" w:rsidRDefault="002347A7" w14:paraId="63F04CBB" w14:textId="48FE6224">
            <w:pPr>
              <w:pStyle w:val="NoSpacing"/>
              <w:ind w:right="118" w:firstLine="393"/>
              <w:jc w:val="both"/>
              <w:rPr>
                <w:b/>
              </w:rPr>
            </w:pPr>
            <w:r w:rsidRPr="008F12EE">
              <w:t>Ministru kabineta rīkojuma projekts “Grozījumi Ministru kabineta 2018.</w:t>
            </w:r>
            <w:r w:rsidR="008B3FF7">
              <w:t> </w:t>
            </w:r>
            <w:r w:rsidRPr="008F12EE">
              <w:t>gada 15.</w:t>
            </w:r>
            <w:r w:rsidR="008B3FF7">
              <w:t> m</w:t>
            </w:r>
            <w:r w:rsidRPr="008F12EE">
              <w:t xml:space="preserve">aija rīkojumā Nr.215 “Par publiskās lietošanas dzelzceļa infrastruktūras statusa piešķiršanu”” (turpmāk – </w:t>
            </w:r>
            <w:r w:rsidRPr="008F12EE" w:rsidR="00CA29AD">
              <w:t>P</w:t>
            </w:r>
            <w:r w:rsidRPr="008F12EE" w:rsidR="001E2EBD">
              <w:t>rojekts</w:t>
            </w:r>
            <w:r w:rsidRPr="008F12EE">
              <w:t>)</w:t>
            </w:r>
            <w:r w:rsidRPr="008F12EE" w:rsidR="001E2EBD">
              <w:t xml:space="preserve"> izstrādāts, lai piešķirtu </w:t>
            </w:r>
            <w:r w:rsidRPr="008F12EE" w:rsidR="001E2EBD">
              <w:rPr>
                <w:shd w:val="clear" w:color="auto" w:fill="FFFFFF"/>
              </w:rPr>
              <w:t xml:space="preserve">publiskās lietošanas dzelzceļa infrastruktūras </w:t>
            </w:r>
            <w:r w:rsidRPr="00B1003C" w:rsidR="001E2EBD">
              <w:rPr>
                <w:shd w:val="clear" w:color="auto" w:fill="FFFFFF"/>
              </w:rPr>
              <w:t>statusu</w:t>
            </w:r>
            <w:r w:rsidRPr="00B1003C" w:rsidR="001E2EBD">
              <w:t xml:space="preserve"> Rīgas brīvostas pārvaldes īpašumā esošajai dzelzceļ</w:t>
            </w:r>
            <w:r w:rsidRPr="00B1003C" w:rsidR="000479B6">
              <w:t>a infrastruktūrai “Kundziņsala”, kā arī, lai aktualizētu dzelzceļa iecirkni Rīga Preču</w:t>
            </w:r>
            <w:r w:rsidR="008B3FF7">
              <w:t> </w:t>
            </w:r>
            <w:r w:rsidRPr="00B1003C" w:rsidR="000479B6">
              <w:t>–</w:t>
            </w:r>
            <w:r w:rsidR="008B3FF7">
              <w:t> </w:t>
            </w:r>
            <w:r w:rsidRPr="00B1003C" w:rsidR="000479B6">
              <w:t>Ērgļi atbilstoši pašreizējai situācijai.</w:t>
            </w:r>
          </w:p>
          <w:p w:rsidRPr="008F12EE" w:rsidR="001E2EBD" w:rsidP="009733D6" w:rsidRDefault="002347A7" w14:paraId="0473CD3B" w14:textId="5DDE9BEB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R</w:t>
            </w:r>
            <w:r w:rsidRPr="008F12EE" w:rsidR="001E2EBD">
              <w:rPr>
                <w:rFonts w:ascii="Times New Roman" w:hAnsi="Times New Roman"/>
                <w:sz w:val="24"/>
                <w:szCs w:val="24"/>
              </w:rPr>
              <w:t>īkojum</w:t>
            </w:r>
            <w:r w:rsidRPr="008F12EE" w:rsidR="00CA29A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F12EE" w:rsidR="001E2EBD">
              <w:rPr>
                <w:rFonts w:ascii="Times New Roman" w:hAnsi="Times New Roman"/>
                <w:sz w:val="24"/>
                <w:szCs w:val="24"/>
              </w:rPr>
              <w:t xml:space="preserve">stāsies spēkā </w:t>
            </w:r>
            <w:r w:rsidRPr="008F12EE" w:rsidR="001C445A">
              <w:rPr>
                <w:rFonts w:ascii="Times New Roman" w:hAnsi="Times New Roman"/>
                <w:sz w:val="24"/>
                <w:szCs w:val="24"/>
                <w:lang w:eastAsia="lv-LV"/>
              </w:rPr>
              <w:t>spēkā Oficiālo publikāciju un tiesiskās informācijas likuma noteiktajā kārtībā.</w:t>
            </w:r>
          </w:p>
        </w:tc>
      </w:tr>
    </w:tbl>
    <w:p w:rsidRPr="008F12EE" w:rsidR="00727AA6" w:rsidP="0024095F" w:rsidRDefault="00727AA6" w14:paraId="14FD50BC" w14:textId="77777777">
      <w:pPr>
        <w:widowControl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665"/>
        <w:gridCol w:w="6378"/>
      </w:tblGrid>
      <w:tr w:rsidRPr="008F12EE" w:rsidR="0024095F" w:rsidTr="00F7031E" w14:paraId="38259B35" w14:textId="77777777">
        <w:trPr>
          <w:trHeight w:val="419"/>
        </w:trPr>
        <w:tc>
          <w:tcPr>
            <w:tcW w:w="9634" w:type="dxa"/>
            <w:gridSpan w:val="3"/>
          </w:tcPr>
          <w:p w:rsidRPr="008F12EE" w:rsidR="0024095F" w:rsidP="00895E3C" w:rsidRDefault="0024095F" w14:paraId="550EE9A1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8F12EE" w:rsidR="0024095F" w:rsidTr="00E04796" w14:paraId="7E228EF3" w14:textId="77777777">
        <w:trPr>
          <w:trHeight w:val="736"/>
        </w:trPr>
        <w:tc>
          <w:tcPr>
            <w:tcW w:w="591" w:type="dxa"/>
          </w:tcPr>
          <w:p w:rsidRPr="008F12EE" w:rsidR="0024095F" w:rsidP="00895E3C" w:rsidRDefault="0024095F" w14:paraId="15C0124E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Pr="008F12EE" w:rsidR="0024095F" w:rsidP="006432B0" w:rsidRDefault="0024095F" w14:paraId="048AE9D8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Pamatojums</w:t>
            </w:r>
          </w:p>
        </w:tc>
        <w:tc>
          <w:tcPr>
            <w:tcW w:w="6378" w:type="dxa"/>
          </w:tcPr>
          <w:p w:rsidRPr="008F12EE" w:rsidR="00E360D2" w:rsidP="002347A7" w:rsidRDefault="00040B0A" w14:paraId="4030347E" w14:textId="16B43617">
            <w:pPr>
              <w:spacing w:after="0" w:line="240" w:lineRule="auto"/>
              <w:ind w:right="133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Dzelzceļa likuma 5.</w:t>
            </w:r>
            <w:r w:rsidR="008B3FF7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 </w:t>
            </w: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panta pirmās daļas 1.</w:t>
            </w:r>
            <w:r w:rsidR="008B3FF7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 </w:t>
            </w: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punkts</w:t>
            </w:r>
            <w:r w:rsidRPr="008F12EE" w:rsidR="00E360D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  <w:p w:rsidRPr="008F12EE" w:rsidR="00B1003C" w:rsidP="00E360D2" w:rsidRDefault="00040B0A" w14:paraId="0A51C5EB" w14:textId="10E3C801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12EE">
              <w:rPr>
                <w:rFonts w:ascii="Times New Roman" w:hAnsi="Times New Roman"/>
                <w:iCs/>
                <w:sz w:val="24"/>
                <w:szCs w:val="24"/>
              </w:rPr>
              <w:t>Satiksmes ministrijas</w:t>
            </w:r>
            <w:r w:rsidRPr="008F12EE" w:rsidR="008432F2">
              <w:rPr>
                <w:rFonts w:ascii="Times New Roman" w:hAnsi="Times New Roman"/>
                <w:iCs/>
                <w:sz w:val="24"/>
                <w:szCs w:val="24"/>
              </w:rPr>
              <w:t>, VAS “Latvijas dzelzceļš”</w:t>
            </w:r>
            <w:r w:rsidRPr="008F12EE" w:rsidR="001C4917">
              <w:rPr>
                <w:rFonts w:ascii="Times New Roman" w:hAnsi="Times New Roman"/>
                <w:iCs/>
                <w:sz w:val="24"/>
                <w:szCs w:val="24"/>
              </w:rPr>
              <w:t xml:space="preserve"> un Rīgas brīvostas pārvaldes</w:t>
            </w:r>
            <w:r w:rsidRPr="008F12EE">
              <w:rPr>
                <w:rFonts w:ascii="Times New Roman" w:hAnsi="Times New Roman"/>
                <w:iCs/>
                <w:sz w:val="24"/>
                <w:szCs w:val="24"/>
              </w:rPr>
              <w:t xml:space="preserve"> iniciatīva.</w:t>
            </w:r>
          </w:p>
        </w:tc>
      </w:tr>
      <w:tr w:rsidRPr="008F12EE" w:rsidR="00426C3F" w:rsidTr="009446E0" w14:paraId="3F446F1B" w14:textId="77777777">
        <w:trPr>
          <w:trHeight w:val="3954"/>
        </w:trPr>
        <w:tc>
          <w:tcPr>
            <w:tcW w:w="591" w:type="dxa"/>
          </w:tcPr>
          <w:p w:rsidRPr="006F412C" w:rsidR="0024095F" w:rsidP="00895E3C" w:rsidRDefault="0024095F" w14:paraId="0ED30487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Pr="008F12EE" w:rsidR="00003AC0" w:rsidP="00016B00" w:rsidRDefault="0024095F" w14:paraId="50617972" w14:textId="77777777">
            <w:pPr>
              <w:widowControl/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Pr="008F12EE" w:rsidR="00003AC0" w:rsidP="00016B00" w:rsidRDefault="00003AC0" w14:paraId="467CF26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426CAAD8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5DE2EE3E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65DAAF31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117FCF82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6F48667F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4790FFC9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20B1A05B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32B0" w:rsidRDefault="00003AC0" w14:paraId="596190D5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003AC0" w:rsidP="00647807" w:rsidRDefault="00647807" w14:paraId="0EFE2A0D" w14:textId="77777777">
            <w:pPr>
              <w:tabs>
                <w:tab w:val="left" w:pos="300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  <w:p w:rsidRPr="008F12EE" w:rsidR="00003AC0" w:rsidP="006432B0" w:rsidRDefault="00003AC0" w14:paraId="479FF310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24095F" w:rsidP="006432B0" w:rsidRDefault="00003AC0" w14:paraId="5E3C8B72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ab/>
            </w:r>
          </w:p>
          <w:p w:rsidRPr="008F12EE" w:rsidR="00B10EE5" w:rsidP="00B10EE5" w:rsidRDefault="00B10EE5" w14:paraId="53BE7E1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B10EE5" w:rsidP="00B10EE5" w:rsidRDefault="00B10EE5" w14:paraId="4DF709F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8F12EE" w:rsidR="00B10EE5" w:rsidP="00B555E5" w:rsidRDefault="00B10EE5" w14:paraId="194761D7" w14:textId="77777777">
            <w:pPr>
              <w:ind w:firstLine="72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Pr="00B1003C" w:rsidR="001937CB" w:rsidP="002347A7" w:rsidRDefault="001937CB" w14:paraId="01E105FF" w14:textId="61A14E37">
            <w:pPr>
              <w:pStyle w:val="NoSpacing"/>
              <w:ind w:right="132" w:firstLine="430"/>
              <w:jc w:val="both"/>
            </w:pPr>
            <w:r w:rsidRPr="00B1003C">
              <w:lastRenderedPageBreak/>
              <w:t>Satiksmes ministrija saņēm</w:t>
            </w:r>
            <w:r w:rsidRPr="00B1003C" w:rsidR="002347A7">
              <w:t>a</w:t>
            </w:r>
            <w:r w:rsidRPr="00B1003C">
              <w:t xml:space="preserve"> Rīgas brīvostas pārvaldes 2015.</w:t>
            </w:r>
            <w:r w:rsidR="008B3FF7">
              <w:t> </w:t>
            </w:r>
            <w:r w:rsidRPr="00B1003C">
              <w:t>gada 12.</w:t>
            </w:r>
            <w:r w:rsidR="008B3FF7">
              <w:t> </w:t>
            </w:r>
            <w:r w:rsidRPr="00B1003C">
              <w:t>augusta vēstul</w:t>
            </w:r>
            <w:r w:rsidRPr="00B1003C" w:rsidR="002347A7">
              <w:t>i</w:t>
            </w:r>
            <w:r w:rsidRPr="00B1003C">
              <w:t xml:space="preserve"> Nr.</w:t>
            </w:r>
            <w:r w:rsidR="008B3FF7">
              <w:t> </w:t>
            </w:r>
            <w:r w:rsidRPr="00B1003C">
              <w:t>1-11/227</w:t>
            </w:r>
            <w:r w:rsidRPr="00B1003C" w:rsidR="002347A7">
              <w:t>,</w:t>
            </w:r>
            <w:r w:rsidRPr="00B1003C">
              <w:t xml:space="preserve"> 2015</w:t>
            </w:r>
            <w:r w:rsidRPr="00B1003C" w:rsidR="00B1003C">
              <w:t>.</w:t>
            </w:r>
            <w:r w:rsidR="008B3FF7">
              <w:t> </w:t>
            </w:r>
            <w:r w:rsidRPr="00B1003C">
              <w:t>gada 27.</w:t>
            </w:r>
            <w:r w:rsidR="008B3FF7">
              <w:t> </w:t>
            </w:r>
            <w:r w:rsidRPr="00B1003C">
              <w:t>oktobra vēstul</w:t>
            </w:r>
            <w:r w:rsidRPr="00B1003C" w:rsidR="002347A7">
              <w:t>i</w:t>
            </w:r>
            <w:r w:rsidRPr="00B1003C">
              <w:t xml:space="preserve"> Nr.</w:t>
            </w:r>
            <w:r w:rsidR="008B3FF7">
              <w:t> </w:t>
            </w:r>
            <w:r w:rsidRPr="00B1003C">
              <w:t>1-11/1597</w:t>
            </w:r>
            <w:r w:rsidRPr="00B1003C" w:rsidR="002347A7">
              <w:t>,</w:t>
            </w:r>
            <w:r w:rsidRPr="00B1003C">
              <w:t xml:space="preserve"> 2015.</w:t>
            </w:r>
            <w:r w:rsidR="008B3FF7">
              <w:t> </w:t>
            </w:r>
            <w:r w:rsidRPr="00B1003C">
              <w:t>gada 3.</w:t>
            </w:r>
            <w:r w:rsidR="008B3FF7">
              <w:t> </w:t>
            </w:r>
            <w:r w:rsidRPr="00B1003C">
              <w:t>novembra vēstul</w:t>
            </w:r>
            <w:r w:rsidRPr="00B1003C" w:rsidR="002347A7">
              <w:t>i</w:t>
            </w:r>
            <w:r w:rsidRPr="00B1003C">
              <w:t xml:space="preserve"> Nr.</w:t>
            </w:r>
            <w:r w:rsidRPr="00B1003C" w:rsidR="00B1003C">
              <w:t> </w:t>
            </w:r>
            <w:r w:rsidRPr="00B1003C">
              <w:t>1-11/1631</w:t>
            </w:r>
            <w:r w:rsidRPr="00B1003C" w:rsidR="002347A7">
              <w:t>,</w:t>
            </w:r>
            <w:r w:rsidRPr="00B1003C">
              <w:t xml:space="preserve"> 2016.</w:t>
            </w:r>
            <w:r w:rsidRPr="00B1003C" w:rsidR="00B1003C">
              <w:t xml:space="preserve"> </w:t>
            </w:r>
            <w:r w:rsidRPr="00B1003C">
              <w:t>gada 16.</w:t>
            </w:r>
            <w:r w:rsidRPr="00B1003C" w:rsidR="00B1003C">
              <w:t xml:space="preserve"> </w:t>
            </w:r>
            <w:r w:rsidRPr="00B1003C">
              <w:t>marta vēstul</w:t>
            </w:r>
            <w:r w:rsidRPr="00B1003C" w:rsidR="002347A7">
              <w:t>i</w:t>
            </w:r>
            <w:r w:rsidRPr="00B1003C">
              <w:t xml:space="preserve"> Nr.</w:t>
            </w:r>
            <w:r w:rsidRPr="00B1003C" w:rsidR="00B1003C">
              <w:t> </w:t>
            </w:r>
            <w:r w:rsidRPr="00B1003C">
              <w:t>1-11/477</w:t>
            </w:r>
            <w:r w:rsidRPr="00B1003C" w:rsidR="002347A7">
              <w:t>,</w:t>
            </w:r>
            <w:r w:rsidRPr="00B1003C">
              <w:t xml:space="preserve"> 2019.</w:t>
            </w:r>
            <w:r w:rsidRPr="00B1003C" w:rsidR="00B1003C">
              <w:t> </w:t>
            </w:r>
            <w:r w:rsidRPr="00B1003C">
              <w:t>gada 26.</w:t>
            </w:r>
            <w:r w:rsidRPr="00B1003C" w:rsidR="00B1003C">
              <w:t> </w:t>
            </w:r>
            <w:r w:rsidRPr="00B1003C">
              <w:t>septembra vēstul</w:t>
            </w:r>
            <w:r w:rsidRPr="00B1003C" w:rsidR="002347A7">
              <w:t>i</w:t>
            </w:r>
            <w:r w:rsidRPr="00B1003C">
              <w:t xml:space="preserve"> Nr.</w:t>
            </w:r>
            <w:r w:rsidRPr="00B1003C" w:rsidR="00B1003C">
              <w:t> </w:t>
            </w:r>
            <w:r w:rsidRPr="00B1003C">
              <w:t xml:space="preserve">1-11/1190, kurās Rīgas brīvostas pārvalde lūdz piešķirt publiskās lietošanas dzelzceļa infrastruktūras statusu dzelzceļa parkam “Kundziņsala”. </w:t>
            </w:r>
          </w:p>
          <w:p w:rsidRPr="00B1003C" w:rsidR="00F65DEE" w:rsidP="00B1003C" w:rsidRDefault="00F65DEE" w14:paraId="42D37823" w14:textId="7191B1CE">
            <w:pPr>
              <w:pStyle w:val="NoSpacing"/>
              <w:ind w:right="133" w:firstLine="430"/>
              <w:jc w:val="both"/>
            </w:pPr>
            <w:r w:rsidRPr="00B1003C">
              <w:t>Satiksmes ministrija saņēm</w:t>
            </w:r>
            <w:r w:rsidRPr="00B1003C" w:rsidR="002347A7">
              <w:t>a</w:t>
            </w:r>
            <w:r w:rsidRPr="00B1003C">
              <w:t xml:space="preserve"> VAS “Latvijas dzelzceļš” </w:t>
            </w:r>
            <w:r w:rsidRPr="00B1003C" w:rsidR="002549C8">
              <w:t>2020.</w:t>
            </w:r>
            <w:r w:rsidRPr="00B1003C" w:rsidR="00B1003C">
              <w:t> </w:t>
            </w:r>
            <w:r w:rsidRPr="00B1003C" w:rsidR="002549C8">
              <w:t xml:space="preserve">gada </w:t>
            </w:r>
            <w:r w:rsidRPr="00B1003C" w:rsidR="00A577E4">
              <w:t>22</w:t>
            </w:r>
            <w:r w:rsidRPr="00B1003C" w:rsidR="002549C8">
              <w:t>.</w:t>
            </w:r>
            <w:r w:rsidRPr="00B1003C" w:rsidR="00B1003C">
              <w:t> </w:t>
            </w:r>
            <w:r w:rsidRPr="00B1003C" w:rsidR="002549C8">
              <w:t>janvāra</w:t>
            </w:r>
            <w:r w:rsidRPr="00B1003C" w:rsidR="00A577E4">
              <w:t xml:space="preserve"> vēstul</w:t>
            </w:r>
            <w:r w:rsidRPr="00B1003C" w:rsidR="002347A7">
              <w:t>i</w:t>
            </w:r>
            <w:r w:rsidRPr="00B1003C" w:rsidR="00A577E4">
              <w:t xml:space="preserve"> Nr.</w:t>
            </w:r>
            <w:r w:rsidR="008B3FF7">
              <w:t> </w:t>
            </w:r>
            <w:r w:rsidRPr="00B1003C" w:rsidR="00A577E4">
              <w:t>D-6.4.1./41-2020 “Par publiskās lietošanas dzelzceļa infrastruktūras statusa piešķiršanu”, kurā saskaņā ar Rīgas Brīvostas pārvald</w:t>
            </w:r>
            <w:r w:rsidRPr="00B1003C" w:rsidR="00AB4435">
              <w:t>e</w:t>
            </w:r>
            <w:r w:rsidRPr="00B1003C" w:rsidR="00A577E4">
              <w:t>s ierosinājumu piešķirt Rīgas brīvostas pārvaldei piederoš</w:t>
            </w:r>
            <w:r w:rsidRPr="00B1003C" w:rsidR="00BF7C68">
              <w:t>aj</w:t>
            </w:r>
            <w:r w:rsidRPr="00B1003C" w:rsidR="00A577E4">
              <w:t>a</w:t>
            </w:r>
            <w:r w:rsidRPr="00B1003C" w:rsidR="008F12EE">
              <w:t>m dzelzceļa parkam</w:t>
            </w:r>
            <w:r w:rsidRPr="00B1003C" w:rsidR="00A577E4">
              <w:t xml:space="preserve"> </w:t>
            </w:r>
            <w:r w:rsidRPr="00B1003C" w:rsidR="008F12EE">
              <w:t>“</w:t>
            </w:r>
            <w:r w:rsidRPr="00B1003C" w:rsidR="008C231B">
              <w:t>Kundziņsala</w:t>
            </w:r>
            <w:r w:rsidRPr="00B1003C" w:rsidR="008F12EE">
              <w:t>”</w:t>
            </w:r>
            <w:r w:rsidRPr="00B1003C" w:rsidR="00A577E4">
              <w:t>, ka</w:t>
            </w:r>
            <w:r w:rsidRPr="00B1003C" w:rsidR="002347A7">
              <w:t>s</w:t>
            </w:r>
            <w:r w:rsidRPr="00B1003C" w:rsidR="00A577E4">
              <w:t xml:space="preserve"> savienojas ar VAS “Latvijas dzelzceļš</w:t>
            </w:r>
            <w:r w:rsidRPr="00B1003C" w:rsidR="00D01E38">
              <w:t>”</w:t>
            </w:r>
            <w:r w:rsidRPr="00B1003C" w:rsidR="00A577E4">
              <w:t xml:space="preserve"> </w:t>
            </w:r>
            <w:r w:rsidRPr="00B1003C" w:rsidR="002347A7">
              <w:t>c</w:t>
            </w:r>
            <w:r w:rsidRPr="00B1003C" w:rsidR="00A577E4">
              <w:t>eļa poste</w:t>
            </w:r>
            <w:r w:rsidRPr="00B1003C" w:rsidR="00BF7C68">
              <w:t>ņa</w:t>
            </w:r>
            <w:r w:rsidRPr="00B1003C" w:rsidR="00A577E4">
              <w:t xml:space="preserve"> 3.</w:t>
            </w:r>
            <w:r w:rsidR="008B3FF7">
              <w:t> </w:t>
            </w:r>
            <w:r w:rsidRPr="00B1003C" w:rsidR="00A577E4">
              <w:t>km stacijas ceļiem (reģistrācijas apliecība Nr.</w:t>
            </w:r>
            <w:r w:rsidR="008B3FF7">
              <w:t> </w:t>
            </w:r>
            <w:r w:rsidRPr="00B1003C" w:rsidR="00A577E4">
              <w:t>2297), pamatojoties uz Dzelzceļa likuma 5.</w:t>
            </w:r>
            <w:r w:rsidR="008B3FF7">
              <w:t> </w:t>
            </w:r>
            <w:r w:rsidRPr="00B1003C" w:rsidR="00A577E4">
              <w:t>panta pirmās daļas 1.</w:t>
            </w:r>
            <w:r w:rsidR="008B3FF7">
              <w:t> </w:t>
            </w:r>
            <w:r w:rsidRPr="00B1003C" w:rsidR="00A577E4">
              <w:t>punktu, lūdz piešķirt publiskās lietošanas statusu dzelzceļa iecirknim “</w:t>
            </w:r>
            <w:r w:rsidRPr="00B1003C" w:rsidR="008C231B">
              <w:t xml:space="preserve">ceļa </w:t>
            </w:r>
            <w:r w:rsidRPr="00B1003C" w:rsidR="00A577E4">
              <w:t>postenis 3.</w:t>
            </w:r>
            <w:r w:rsidR="008B3FF7">
              <w:t> </w:t>
            </w:r>
            <w:r w:rsidRPr="00B1003C" w:rsidR="00A577E4">
              <w:t>km – Kundziņsala”.</w:t>
            </w:r>
          </w:p>
          <w:p w:rsidRPr="00B1003C" w:rsidR="00986691" w:rsidP="002347A7" w:rsidRDefault="008F12EE" w14:paraId="10C3D28B" w14:textId="1108C567">
            <w:pPr>
              <w:pStyle w:val="NoSpacing"/>
              <w:ind w:right="133" w:firstLine="430"/>
              <w:jc w:val="both"/>
            </w:pPr>
            <w:r w:rsidRPr="00B1003C">
              <w:t xml:space="preserve">Dzelzceļa parks “Kundziņsala” </w:t>
            </w:r>
            <w:r w:rsidRPr="00B1003C" w:rsidR="00986691">
              <w:t>pieder Rīgas brīvostas pārvaldei un ir reģistrēt</w:t>
            </w:r>
            <w:r w:rsidRPr="00B1003C">
              <w:t>s</w:t>
            </w:r>
            <w:r w:rsidRPr="00B1003C" w:rsidR="00986691">
              <w:t xml:space="preserve"> Dzelzceļa infrastruktūras (sliežu ceļu) valsts reģistrā ar privātās lietošanas statusu. Reģistrācijas apliecība Nr.</w:t>
            </w:r>
            <w:r w:rsidR="008B3FF7">
              <w:t> </w:t>
            </w:r>
            <w:r w:rsidRPr="00B1003C" w:rsidR="00986691">
              <w:t>2097, valsts reģistrācijas indekss 236, sliežu ceļu skaits</w:t>
            </w:r>
            <w:r w:rsidRPr="00B1003C" w:rsidR="001A7442">
              <w:t xml:space="preserve"> -</w:t>
            </w:r>
            <w:r w:rsidRPr="00B1003C" w:rsidR="00986691">
              <w:t xml:space="preserve"> 42, sliežu ceļu garums</w:t>
            </w:r>
            <w:r w:rsidRPr="00B1003C" w:rsidR="001A7442">
              <w:t xml:space="preserve"> -</w:t>
            </w:r>
            <w:r w:rsidRPr="00B1003C" w:rsidR="00986691">
              <w:t xml:space="preserve"> 25,14 km. </w:t>
            </w:r>
            <w:r w:rsidRPr="00B1003C">
              <w:t xml:space="preserve">Dzelzceļa parka “Kundziņsala” </w:t>
            </w:r>
            <w:r w:rsidRPr="00B1003C" w:rsidR="00986691">
              <w:t>pārvaldītājs ir SIA ,,RĪGAS BRĪVOSTAS FLOTE’’ (2019.</w:t>
            </w:r>
            <w:r w:rsidR="00394D51">
              <w:t> </w:t>
            </w:r>
            <w:r w:rsidRPr="00B1003C" w:rsidR="00986691">
              <w:t>gada 2.</w:t>
            </w:r>
            <w:r w:rsidR="00394D51">
              <w:t> </w:t>
            </w:r>
            <w:r w:rsidRPr="00B1003C" w:rsidR="00986691">
              <w:t>aprīļa Drošības apliecība Nr.</w:t>
            </w:r>
            <w:r w:rsidR="00394D51">
              <w:t> </w:t>
            </w:r>
            <w:r w:rsidRPr="00B1003C" w:rsidR="00986691">
              <w:t>LV2320190022).</w:t>
            </w:r>
          </w:p>
          <w:p w:rsidRPr="00B1003C" w:rsidR="00A30A59" w:rsidP="00B1003C" w:rsidRDefault="008F12EE" w14:paraId="355092CB" w14:textId="741ADD21">
            <w:pPr>
              <w:pStyle w:val="NoSpacing"/>
              <w:ind w:right="133" w:firstLine="572"/>
              <w:jc w:val="both"/>
            </w:pPr>
            <w:r w:rsidRPr="00B1003C">
              <w:t xml:space="preserve">Dzelzceļa parka “Kundziņsala” </w:t>
            </w:r>
            <w:r w:rsidRPr="00B1003C" w:rsidR="00301AB2">
              <w:t>būvniecības gaita:</w:t>
            </w:r>
            <w:r w:rsidRPr="00B1003C" w:rsidR="00A30A59">
              <w:t xml:space="preserve"> </w:t>
            </w:r>
            <w:r w:rsidRPr="00B1003C" w:rsidR="003878B7">
              <w:t>2010.</w:t>
            </w:r>
            <w:r w:rsidR="00394D51">
              <w:t> </w:t>
            </w:r>
            <w:r w:rsidRPr="00B1003C" w:rsidR="003878B7">
              <w:t xml:space="preserve">gadā – </w:t>
            </w:r>
            <w:r w:rsidRPr="00B1003C" w:rsidR="008C231B">
              <w:t>”Kundziņsalas</w:t>
            </w:r>
            <w:r w:rsidRPr="00B1003C" w:rsidR="00301AB2">
              <w:t xml:space="preserve"> renovācija un būvniecība</w:t>
            </w:r>
            <w:r w:rsidRPr="00B1003C" w:rsidR="002347A7">
              <w:t>”</w:t>
            </w:r>
            <w:r w:rsidRPr="00B1003C" w:rsidR="00301AB2">
              <w:t xml:space="preserve"> </w:t>
            </w:r>
            <w:r w:rsidRPr="00B1003C" w:rsidR="0079155C">
              <w:t xml:space="preserve">pirmais </w:t>
            </w:r>
            <w:r w:rsidRPr="00B1003C" w:rsidR="00301AB2">
              <w:lastRenderedPageBreak/>
              <w:t>posms, kā ietvaros tika izbūvēti s</w:t>
            </w:r>
            <w:r w:rsidRPr="00B1003C" w:rsidR="00A30A59">
              <w:t>liežu ceļi 4,571 km garumā</w:t>
            </w:r>
            <w:r w:rsidRPr="00B1003C" w:rsidR="00D45084">
              <w:t xml:space="preserve"> (pieņemts ekspluatācijā 2010.</w:t>
            </w:r>
            <w:r w:rsidRPr="00B1003C" w:rsidR="00B1003C">
              <w:t> </w:t>
            </w:r>
            <w:r w:rsidRPr="00B1003C" w:rsidR="00D45084">
              <w:t>gada 17.</w:t>
            </w:r>
            <w:r w:rsidRPr="00B1003C" w:rsidR="00B1003C">
              <w:t> </w:t>
            </w:r>
            <w:r w:rsidRPr="00B1003C" w:rsidR="00D45084">
              <w:t>decembrī</w:t>
            </w:r>
            <w:r w:rsidRPr="00B1003C" w:rsidR="006104F6">
              <w:t>)</w:t>
            </w:r>
            <w:r w:rsidRPr="00B1003C" w:rsidR="00A30A59">
              <w:t xml:space="preserve">; </w:t>
            </w:r>
          </w:p>
          <w:p w:rsidRPr="00B1003C" w:rsidR="00A30A59" w:rsidP="002347A7" w:rsidRDefault="00301AB2" w14:paraId="6F1C4BB0" w14:textId="27ACC895">
            <w:pPr>
              <w:pStyle w:val="NoSpacing"/>
              <w:ind w:right="133" w:firstLine="288"/>
              <w:jc w:val="both"/>
            </w:pPr>
            <w:r w:rsidRPr="00B1003C">
              <w:t>2012.</w:t>
            </w:r>
            <w:r w:rsidR="00394D51">
              <w:t> </w:t>
            </w:r>
            <w:r w:rsidRPr="00B1003C">
              <w:t xml:space="preserve">gadā </w:t>
            </w:r>
            <w:r w:rsidRPr="00B1003C" w:rsidR="002347A7">
              <w:t xml:space="preserve">- </w:t>
            </w:r>
            <w:r w:rsidRPr="00B1003C" w:rsidR="008C231B">
              <w:t>”Kundziņsalas</w:t>
            </w:r>
            <w:r w:rsidRPr="00B1003C" w:rsidR="003878B7">
              <w:t xml:space="preserve"> renovācija un būvniecība”</w:t>
            </w:r>
            <w:r w:rsidRPr="00B1003C">
              <w:t xml:space="preserve"> </w:t>
            </w:r>
            <w:r w:rsidRPr="00B1003C" w:rsidR="001937CB">
              <w:t xml:space="preserve">otrais </w:t>
            </w:r>
            <w:r w:rsidRPr="00B1003C">
              <w:t xml:space="preserve">posms, </w:t>
            </w:r>
            <w:r w:rsidRPr="00B1003C" w:rsidR="001937CB">
              <w:t xml:space="preserve">pirmā </w:t>
            </w:r>
            <w:r w:rsidRPr="00B1003C">
              <w:t xml:space="preserve">būvniecības kārta, kā ietvaros tika veikta </w:t>
            </w:r>
            <w:r w:rsidRPr="00B1003C" w:rsidR="00D3105E">
              <w:t>“</w:t>
            </w:r>
            <w:r w:rsidRPr="00B1003C">
              <w:t>Elektriskās centralizācijas posteņa ē</w:t>
            </w:r>
            <w:r w:rsidRPr="00B1003C" w:rsidR="00A30A59">
              <w:t>kas renovācija</w:t>
            </w:r>
            <w:r w:rsidRPr="00B1003C" w:rsidR="00D3105E">
              <w:t>”</w:t>
            </w:r>
            <w:r w:rsidRPr="00B1003C" w:rsidR="006104F6">
              <w:t xml:space="preserve"> (pieņemts ekspluatācijā 2012.</w:t>
            </w:r>
            <w:r w:rsidR="00394D51">
              <w:t> </w:t>
            </w:r>
            <w:r w:rsidRPr="00B1003C" w:rsidR="006104F6">
              <w:t>gada 18.</w:t>
            </w:r>
            <w:r w:rsidR="00394D51">
              <w:t> </w:t>
            </w:r>
            <w:r w:rsidRPr="00B1003C" w:rsidR="006104F6">
              <w:t>maijā)</w:t>
            </w:r>
            <w:r w:rsidRPr="00B1003C" w:rsidR="00A30A59">
              <w:t>;</w:t>
            </w:r>
          </w:p>
          <w:p w:rsidRPr="00B1003C" w:rsidR="00A30A59" w:rsidP="00394D51" w:rsidRDefault="00301AB2" w14:paraId="2B9085E4" w14:textId="34FE6C55">
            <w:pPr>
              <w:pStyle w:val="NoSpacing"/>
              <w:ind w:right="133" w:firstLine="148"/>
              <w:jc w:val="both"/>
            </w:pPr>
            <w:r w:rsidRPr="00B1003C">
              <w:t>2014.</w:t>
            </w:r>
            <w:r w:rsidR="00394D51">
              <w:t> </w:t>
            </w:r>
            <w:r w:rsidRPr="00B1003C">
              <w:t xml:space="preserve">gadā - </w:t>
            </w:r>
            <w:r w:rsidRPr="00B1003C" w:rsidR="008C231B">
              <w:t>”Kundziņsalas</w:t>
            </w:r>
            <w:r w:rsidRPr="00B1003C">
              <w:t xml:space="preserve"> renovācija un būvniecība</w:t>
            </w:r>
            <w:r w:rsidRPr="00B1003C" w:rsidR="003878B7">
              <w:t>”</w:t>
            </w:r>
            <w:r w:rsidRPr="00B1003C">
              <w:t xml:space="preserve"> </w:t>
            </w:r>
            <w:r w:rsidRPr="00B1003C" w:rsidR="001937CB">
              <w:t xml:space="preserve">otrais </w:t>
            </w:r>
            <w:r w:rsidRPr="00B1003C">
              <w:t xml:space="preserve">posms, </w:t>
            </w:r>
            <w:r w:rsidRPr="00B1003C" w:rsidR="001937CB">
              <w:t xml:space="preserve">otra </w:t>
            </w:r>
            <w:r w:rsidRPr="00B1003C">
              <w:t xml:space="preserve">būvniecības kārta, kā ietvaros </w:t>
            </w:r>
            <w:r w:rsidRPr="00B1003C" w:rsidR="00A30A59">
              <w:t>dzelzceļa</w:t>
            </w:r>
            <w:r w:rsidRPr="00B1003C">
              <w:t xml:space="preserve"> parks „Kundziņsala</w:t>
            </w:r>
            <w:r w:rsidRPr="00B1003C" w:rsidR="003878B7">
              <w:t>”</w:t>
            </w:r>
            <w:r w:rsidRPr="00B1003C">
              <w:t xml:space="preserve"> tika aprīkots ar signalizācijas un telekomunikācijas ierīcēm</w:t>
            </w:r>
            <w:r w:rsidRPr="00B1003C" w:rsidR="00817EBC">
              <w:t xml:space="preserve"> </w:t>
            </w:r>
            <w:r w:rsidRPr="00B1003C" w:rsidR="006104F6">
              <w:t>(pieņemts ekspluatācijā 201</w:t>
            </w:r>
            <w:r w:rsidRPr="00B1003C" w:rsidR="00817EBC">
              <w:t>4</w:t>
            </w:r>
            <w:r w:rsidRPr="00B1003C" w:rsidR="006104F6">
              <w:t>.</w:t>
            </w:r>
            <w:r w:rsidR="00394D51">
              <w:t> </w:t>
            </w:r>
            <w:r w:rsidRPr="00B1003C" w:rsidR="006104F6">
              <w:t xml:space="preserve">gada </w:t>
            </w:r>
            <w:r w:rsidRPr="00B1003C" w:rsidR="00817EBC">
              <w:t>13</w:t>
            </w:r>
            <w:r w:rsidRPr="00B1003C" w:rsidR="006104F6">
              <w:t>.</w:t>
            </w:r>
            <w:r w:rsidR="00394D51">
              <w:t> </w:t>
            </w:r>
            <w:r w:rsidRPr="00B1003C" w:rsidR="00817EBC">
              <w:t>maijā</w:t>
            </w:r>
            <w:r w:rsidRPr="00B1003C" w:rsidR="006104F6">
              <w:t>)</w:t>
            </w:r>
            <w:r w:rsidRPr="00B1003C">
              <w:t xml:space="preserve">. </w:t>
            </w:r>
          </w:p>
          <w:p w:rsidRPr="00B1003C" w:rsidR="00301AB2" w:rsidP="002347A7" w:rsidRDefault="008F36D9" w14:paraId="626D457B" w14:textId="2CBC5DA5">
            <w:pPr>
              <w:pStyle w:val="NoSpacing"/>
              <w:ind w:left="5" w:right="133" w:firstLine="419"/>
              <w:jc w:val="both"/>
            </w:pPr>
            <w:r w:rsidRPr="00B1003C">
              <w:t xml:space="preserve">Papildus </w:t>
            </w:r>
            <w:r w:rsidRPr="00B1003C" w:rsidR="00D3105E">
              <w:t>tika</w:t>
            </w:r>
            <w:r w:rsidRPr="00B1003C">
              <w:t xml:space="preserve"> veikti </w:t>
            </w:r>
            <w:r w:rsidRPr="00B1003C" w:rsidR="008F12EE">
              <w:t xml:space="preserve">dzelzceļa parka “Kundziņsala” </w:t>
            </w:r>
            <w:r w:rsidRPr="00B1003C">
              <w:t>kapitālā remonta darbi atseviš</w:t>
            </w:r>
            <w:r w:rsidRPr="00B1003C" w:rsidR="003C09BE">
              <w:t>ķos posmos.</w:t>
            </w:r>
          </w:p>
          <w:p w:rsidRPr="00B1003C" w:rsidR="006D405D" w:rsidP="002347A7" w:rsidRDefault="00986691" w14:paraId="3E5ECA6F" w14:textId="16815D2B">
            <w:pPr>
              <w:pStyle w:val="NoSpacing"/>
              <w:ind w:left="5" w:right="133" w:firstLine="419"/>
              <w:jc w:val="both"/>
            </w:pPr>
            <w:r w:rsidRPr="00B1003C">
              <w:rPr>
                <w:color w:val="000000"/>
              </w:rPr>
              <w:t>Atbilstoši Ministru kabineta 2010.</w:t>
            </w:r>
            <w:r w:rsidR="00394D51">
              <w:rPr>
                <w:color w:val="000000"/>
              </w:rPr>
              <w:t> </w:t>
            </w:r>
            <w:r w:rsidRPr="00B1003C">
              <w:rPr>
                <w:color w:val="000000"/>
              </w:rPr>
              <w:t>gada 3.</w:t>
            </w:r>
            <w:r w:rsidR="00394D51">
              <w:rPr>
                <w:color w:val="000000"/>
              </w:rPr>
              <w:t> </w:t>
            </w:r>
            <w:r w:rsidRPr="00B1003C">
              <w:rPr>
                <w:color w:val="000000"/>
              </w:rPr>
              <w:t>augusta noteikumu Nr</w:t>
            </w:r>
            <w:r w:rsidRPr="00B1003C" w:rsidR="00B1003C">
              <w:rPr>
                <w:color w:val="000000"/>
              </w:rPr>
              <w:t>.</w:t>
            </w:r>
            <w:r w:rsidR="00394D51">
              <w:rPr>
                <w:color w:val="000000"/>
              </w:rPr>
              <w:t> </w:t>
            </w:r>
            <w:r w:rsidRPr="00B1003C">
              <w:rPr>
                <w:color w:val="000000"/>
              </w:rPr>
              <w:t>724 “Dzelzceļa tehniskās ekspluatācijas noteikumi” 2.13.</w:t>
            </w:r>
            <w:r w:rsidR="00394D51">
              <w:rPr>
                <w:color w:val="000000"/>
              </w:rPr>
              <w:t> </w:t>
            </w:r>
            <w:r w:rsidRPr="00B1003C" w:rsidR="002347A7">
              <w:rPr>
                <w:color w:val="000000"/>
              </w:rPr>
              <w:t>apakš</w:t>
            </w:r>
            <w:r w:rsidRPr="00B1003C">
              <w:rPr>
                <w:color w:val="000000"/>
              </w:rPr>
              <w:t>punkta</w:t>
            </w:r>
            <w:r w:rsidR="003E2335">
              <w:rPr>
                <w:color w:val="000000"/>
              </w:rPr>
              <w:t>m</w:t>
            </w:r>
            <w:r w:rsidRPr="00B1003C" w:rsidR="00BF7C68">
              <w:rPr>
                <w:color w:val="000000"/>
              </w:rPr>
              <w:t xml:space="preserve"> dzelzceļa infrastruktūras </w:t>
            </w:r>
            <w:r w:rsidRPr="00B1003C">
              <w:rPr>
                <w:color w:val="000000"/>
              </w:rPr>
              <w:t xml:space="preserve">iecirknis </w:t>
            </w:r>
            <w:r w:rsidRPr="00B1003C" w:rsidR="00BF7C68">
              <w:rPr>
                <w:color w:val="000000"/>
              </w:rPr>
              <w:t>ir</w:t>
            </w:r>
            <w:r w:rsidRPr="00B1003C">
              <w:rPr>
                <w:color w:val="000000"/>
              </w:rPr>
              <w:t xml:space="preserve"> funkcionālu saistītu staciju un posmu ceļu teritoriālais kopums</w:t>
            </w:r>
            <w:r w:rsidRPr="00B1003C" w:rsidR="00BF7C68">
              <w:rPr>
                <w:color w:val="000000"/>
              </w:rPr>
              <w:t>.</w:t>
            </w:r>
            <w:r w:rsidRPr="00B1003C">
              <w:rPr>
                <w:color w:val="000000"/>
              </w:rPr>
              <w:t xml:space="preserve"> </w:t>
            </w:r>
            <w:r w:rsidRPr="00B1003C" w:rsidR="00BF7C68">
              <w:rPr>
                <w:color w:val="000000"/>
              </w:rPr>
              <w:t>Ievērojot</w:t>
            </w:r>
            <w:r w:rsidRPr="00B1003C">
              <w:t xml:space="preserve"> minēto, publiskās lietošanas dzelzceļa infrastruktūras statuss tiek noteikts dzelzceļa infrastruktūras iecirknim.</w:t>
            </w:r>
          </w:p>
          <w:p w:rsidRPr="00B1003C" w:rsidR="008A150A" w:rsidP="00CA29AD" w:rsidRDefault="00986691" w14:paraId="468E10B0" w14:textId="56D157EF">
            <w:pPr>
              <w:pStyle w:val="NoSpacing"/>
              <w:ind w:left="5" w:right="133" w:firstLine="419"/>
              <w:jc w:val="both"/>
            </w:pPr>
            <w:r w:rsidRPr="00B1003C">
              <w:t xml:space="preserve">Iepriekš publiskās lietošanas statusa piešķiršanu </w:t>
            </w:r>
            <w:r w:rsidRPr="00B1003C" w:rsidR="008F12EE">
              <w:t xml:space="preserve">dzelzceļa parkam “Kundziņsala” </w:t>
            </w:r>
            <w:r w:rsidRPr="00B1003C">
              <w:t xml:space="preserve">apgrūtināja tas, ka </w:t>
            </w:r>
            <w:r w:rsidRPr="00B1003C" w:rsidR="008C231B">
              <w:t>tā</w:t>
            </w:r>
            <w:r w:rsidRPr="00B1003C">
              <w:t xml:space="preserve"> nebija tieši savienota ar publiskās lietošanas dzelzceļa infrastruktūru un vilcien</w:t>
            </w:r>
            <w:r w:rsidRPr="00B1003C" w:rsidR="00BF7C68">
              <w:t>u</w:t>
            </w:r>
            <w:r w:rsidRPr="00B1003C">
              <w:t xml:space="preserve"> kustība uz </w:t>
            </w:r>
            <w:r w:rsidRPr="00B1003C" w:rsidR="008F12EE">
              <w:t xml:space="preserve">dzelzceļa parku “Kundziņsala” </w:t>
            </w:r>
            <w:r w:rsidRPr="00B1003C">
              <w:t xml:space="preserve">tika organizēta pa trešajai personai piederošajiem privātās lietošanas </w:t>
            </w:r>
            <w:r w:rsidRPr="00B1003C" w:rsidR="00B40266">
              <w:t>d</w:t>
            </w:r>
            <w:r w:rsidRPr="00B1003C">
              <w:t>zelzceļa infrastruktūras sliežu ceļiem (Nr.</w:t>
            </w:r>
            <w:r w:rsidR="00394D51">
              <w:t> </w:t>
            </w:r>
            <w:r w:rsidRPr="00B1003C">
              <w:t>301, Nr</w:t>
            </w:r>
            <w:r w:rsidRPr="00B1003C" w:rsidR="00E04796">
              <w:t>.</w:t>
            </w:r>
            <w:r w:rsidR="00394D51">
              <w:t> </w:t>
            </w:r>
            <w:r w:rsidRPr="00B1003C">
              <w:t>302, Nr.</w:t>
            </w:r>
            <w:r w:rsidR="00394D51">
              <w:t> </w:t>
            </w:r>
            <w:r w:rsidRPr="00B1003C">
              <w:t xml:space="preserve">303). </w:t>
            </w:r>
          </w:p>
          <w:p w:rsidRPr="00B1003C" w:rsidR="00986691" w:rsidP="00CA29AD" w:rsidRDefault="00986691" w14:paraId="68CB6B57" w14:textId="76FD10C4">
            <w:pPr>
              <w:pStyle w:val="NoSpacing"/>
              <w:ind w:left="5" w:right="133" w:firstLine="284"/>
              <w:jc w:val="both"/>
            </w:pPr>
            <w:r w:rsidRPr="00B1003C">
              <w:t xml:space="preserve">Šobrīd </w:t>
            </w:r>
            <w:r w:rsidRPr="00B1003C" w:rsidR="00B40266">
              <w:t>d</w:t>
            </w:r>
            <w:r w:rsidRPr="00B1003C">
              <w:t>zelzceļa infrastruktūra (sliežu ceļi Nr.</w:t>
            </w:r>
            <w:r w:rsidR="00394D51">
              <w:t xml:space="preserve"> </w:t>
            </w:r>
            <w:r w:rsidRPr="00B1003C">
              <w:t>301., Nr.</w:t>
            </w:r>
            <w:r w:rsidR="00394D51">
              <w:t> </w:t>
            </w:r>
            <w:r w:rsidRPr="00B1003C">
              <w:t>302. un Nr.</w:t>
            </w:r>
            <w:r w:rsidR="00394D51">
              <w:t> </w:t>
            </w:r>
            <w:r w:rsidRPr="00B1003C">
              <w:t>303</w:t>
            </w:r>
            <w:r w:rsidRPr="00B1003C" w:rsidR="00E04796">
              <w:t>.</w:t>
            </w:r>
            <w:r w:rsidRPr="00B1003C">
              <w:t xml:space="preserve"> un pārmijas Nr.</w:t>
            </w:r>
            <w:r w:rsidR="00394D51">
              <w:t> </w:t>
            </w:r>
            <w:r w:rsidRPr="00B1003C">
              <w:t>320, Nr.</w:t>
            </w:r>
            <w:r w:rsidR="00394D51">
              <w:t> </w:t>
            </w:r>
            <w:r w:rsidRPr="00B1003C">
              <w:t>322 un Nr.</w:t>
            </w:r>
            <w:r w:rsidR="00394D51">
              <w:t> </w:t>
            </w:r>
            <w:r w:rsidRPr="00B1003C">
              <w:t>328) ir VAS “Latvijas dzelzceļš” īpašumā</w:t>
            </w:r>
            <w:r w:rsidRPr="00B1003C" w:rsidR="00E04796">
              <w:t xml:space="preserve"> un tiem ir </w:t>
            </w:r>
            <w:r w:rsidRPr="00B1003C" w:rsidR="00B40266">
              <w:t>publiskās lietošanas status</w:t>
            </w:r>
            <w:r w:rsidRPr="00B1003C" w:rsidR="00E04796">
              <w:t>s</w:t>
            </w:r>
            <w:r w:rsidRPr="00B1003C" w:rsidR="00B40266">
              <w:t>.</w:t>
            </w:r>
          </w:p>
          <w:p w:rsidRPr="00B1003C" w:rsidR="00986691" w:rsidP="00CA29AD" w:rsidRDefault="00986691" w14:paraId="5EE1D33A" w14:textId="3D52D61C">
            <w:pPr>
              <w:pStyle w:val="NoSpacing"/>
              <w:ind w:left="5" w:right="133" w:firstLine="284"/>
              <w:jc w:val="both"/>
            </w:pPr>
            <w:r w:rsidRPr="00B1003C">
              <w:t>Ņemot vērā minēto un Dzelzceļa likuma 5.</w:t>
            </w:r>
            <w:r w:rsidR="00394D51">
              <w:t> </w:t>
            </w:r>
            <w:r w:rsidRPr="00B1003C">
              <w:t>panta pirmās daļas 1.</w:t>
            </w:r>
            <w:r w:rsidR="00394D51">
              <w:t> </w:t>
            </w:r>
            <w:r w:rsidRPr="00B1003C">
              <w:t>punktā noteikto, ka publiskās lietošanas dzelzceļa infrastruktūras statuss tiek piešķirts ar Ministru kabineta rīkojumu,</w:t>
            </w:r>
            <w:r w:rsidRPr="00B1003C" w:rsidR="00B40266">
              <w:t xml:space="preserve"> ja </w:t>
            </w:r>
            <w:r w:rsidRPr="00B1003C">
              <w:t xml:space="preserve"> dzelzceļa infrastruktūra ir atklāta kravu un pasažieru pārvadājumiem vai tehnoloģisko procesu nodrošināšanai, ievērojot vienlīdzības principu</w:t>
            </w:r>
            <w:r w:rsidRPr="00B1003C" w:rsidR="00E04796">
              <w:t>, a</w:t>
            </w:r>
            <w:r w:rsidRPr="00B1003C">
              <w:t xml:space="preserve">r </w:t>
            </w:r>
            <w:r w:rsidRPr="00B1003C" w:rsidR="00D22342">
              <w:t>P</w:t>
            </w:r>
            <w:r w:rsidRPr="00B1003C">
              <w:t xml:space="preserve">rojektu paredzēts </w:t>
            </w:r>
            <w:r w:rsidRPr="00B1003C" w:rsidR="008F12EE">
              <w:t xml:space="preserve">dzelzceļa parkam “Kundziņsala” </w:t>
            </w:r>
            <w:r w:rsidRPr="00B1003C">
              <w:t>piešķirt publiskās lietošanas</w:t>
            </w:r>
            <w:r w:rsidRPr="00B1003C" w:rsidR="008C231B">
              <w:t xml:space="preserve"> dzelzceļa unfrastruktūras</w:t>
            </w:r>
            <w:r w:rsidRPr="00B1003C">
              <w:t xml:space="preserve"> statusu.</w:t>
            </w:r>
          </w:p>
          <w:p w:rsidRPr="00B1003C" w:rsidR="00986691" w:rsidP="00CA29AD" w:rsidRDefault="00986691" w14:paraId="1871441F" w14:textId="24969FBA">
            <w:pPr>
              <w:pStyle w:val="NoSpacing"/>
              <w:ind w:right="133" w:firstLine="424"/>
              <w:jc w:val="both"/>
            </w:pPr>
            <w:r w:rsidRPr="00B1003C">
              <w:t xml:space="preserve">Pēc publiskās lietošanas dzelzceļa infrastruktūras statusa piešķiršanas </w:t>
            </w:r>
            <w:r w:rsidRPr="00B1003C" w:rsidR="008F12EE">
              <w:t xml:space="preserve">dzelzceļa parkā “Kundziņsala” </w:t>
            </w:r>
            <w:r w:rsidRPr="00B1003C">
              <w:t>saskaņā ar Ministru kabineta 2016.</w:t>
            </w:r>
            <w:r w:rsidR="00394D51">
              <w:t> </w:t>
            </w:r>
            <w:r w:rsidRPr="00B1003C">
              <w:t>gada 29.</w:t>
            </w:r>
            <w:r w:rsidR="00394D51">
              <w:t> </w:t>
            </w:r>
            <w:r w:rsidRPr="00B1003C">
              <w:t>augusta noteikumiem Nr.</w:t>
            </w:r>
            <w:r w:rsidR="00394D51">
              <w:t> </w:t>
            </w:r>
            <w:r w:rsidRPr="00B1003C">
              <w:t>712 ,,Dzelzceļa staciju, izmaiņas punktu un pieturas punktu – publiskās lietošanas dzelzceļa infrastruktūras objektu – atklāšanas, slēgšanas un nosaukumu piešķiršanas kārtība</w:t>
            </w:r>
            <w:r w:rsidRPr="00B1003C" w:rsidR="00E04796">
              <w:t>”</w:t>
            </w:r>
            <w:r w:rsidRPr="00B1003C">
              <w:t xml:space="preserve"> paredzēts atklāt dzelzceļa  staciju  ar  nosaukumu  “Kundziņsala”. Saskaņā ar Dzelzceļa likuma 19.</w:t>
            </w:r>
            <w:r w:rsidR="00394D51">
              <w:t> </w:t>
            </w:r>
            <w:r w:rsidRPr="00B1003C">
              <w:t>panta pirmo daļu stacija nodrošina dzelzceļa pārvadājuma operāciju veikšanu.</w:t>
            </w:r>
          </w:p>
          <w:p w:rsidRPr="00B1003C" w:rsidR="00986691" w:rsidP="00CA29AD" w:rsidRDefault="00986691" w14:paraId="4C4F09E4" w14:textId="3069AFB1">
            <w:pPr>
              <w:pStyle w:val="NoSpacing"/>
              <w:ind w:left="5" w:right="133" w:firstLine="284"/>
              <w:jc w:val="both"/>
            </w:pPr>
            <w:r w:rsidRPr="00B1003C">
              <w:t xml:space="preserve">Pēc publiskās lietošanas dzelzceļa infrastruktūras statusa piešķiršanas un stacijas atklāšanas dzelzceļa kravu pārvadājumi, </w:t>
            </w:r>
            <w:r w:rsidRPr="00B1003C" w:rsidR="00CA29AD">
              <w:lastRenderedPageBreak/>
              <w:t>tostarp</w:t>
            </w:r>
            <w:r w:rsidRPr="00B1003C">
              <w:t xml:space="preserve"> </w:t>
            </w:r>
            <w:r w:rsidRPr="00B1003C" w:rsidR="00191FBA">
              <w:t>tranzīta</w:t>
            </w:r>
            <w:r w:rsidRPr="00B1003C">
              <w:t xml:space="preserve"> kravu pārvadājumi, tiks veikti līdz stacijai ,,Kundziņsala”. </w:t>
            </w:r>
          </w:p>
          <w:p w:rsidRPr="00B1003C" w:rsidR="00BE6316" w:rsidP="00CA29AD" w:rsidRDefault="00BE6316" w14:paraId="6A091F6C" w14:textId="323253D7">
            <w:pPr>
              <w:pStyle w:val="NoSpacing"/>
              <w:ind w:left="5" w:right="133" w:firstLine="419"/>
              <w:jc w:val="both"/>
            </w:pPr>
            <w:r w:rsidRPr="00B1003C">
              <w:t>Plānotā stacija ,,Kundziņsala” atr</w:t>
            </w:r>
            <w:r w:rsidRPr="00B1003C" w:rsidR="000B1790">
              <w:t>adīsies</w:t>
            </w:r>
            <w:r w:rsidRPr="00B1003C">
              <w:t xml:space="preserve"> tuvāk </w:t>
            </w:r>
            <w:r w:rsidRPr="00B1003C" w:rsidR="001A0165">
              <w:t>Kundzi</w:t>
            </w:r>
            <w:r w:rsidRPr="00B1003C" w:rsidR="000B1790">
              <w:t>ņsalā</w:t>
            </w:r>
            <w:r w:rsidRPr="00B1003C">
              <w:t xml:space="preserve"> esošajiem ostas termināliem nekā VAS ,,Latvijas dzelzceļš</w:t>
            </w:r>
            <w:r w:rsidRPr="00B1003C" w:rsidR="00CA29AD">
              <w:t>”</w:t>
            </w:r>
            <w:r w:rsidRPr="00B1003C">
              <w:t xml:space="preserve"> pārvaldījumā esošā stacija ,,</w:t>
            </w:r>
            <w:r w:rsidRPr="00B1003C" w:rsidR="002F3ECB">
              <w:t>Zemitāni</w:t>
            </w:r>
            <w:r w:rsidRPr="00B1003C" w:rsidR="00CA29AD">
              <w:t>”</w:t>
            </w:r>
            <w:r w:rsidRPr="00B1003C">
              <w:t>. Tāpēc kravas nogādāšana stacijā ,,K</w:t>
            </w:r>
            <w:r w:rsidRPr="00B1003C" w:rsidR="002F3ECB">
              <w:t xml:space="preserve">undziņsala” </w:t>
            </w:r>
            <w:r w:rsidRPr="00B1003C">
              <w:t>samazinās attālumu pēc tam veicamajām vagonu padošanas un novākšanas operācijām, lai krava tiktu nogādāta uz K</w:t>
            </w:r>
            <w:r w:rsidRPr="00B1003C" w:rsidR="00BD52BC">
              <w:t xml:space="preserve">undziņsalas </w:t>
            </w:r>
            <w:r w:rsidRPr="00B1003C">
              <w:t xml:space="preserve">termināliem pārkraušanai kuģos, sekmējot Rīgas </w:t>
            </w:r>
            <w:r w:rsidRPr="00B1003C" w:rsidR="008F12EE">
              <w:t>brīv</w:t>
            </w:r>
            <w:r w:rsidRPr="00B1003C">
              <w:t>ostas turpmāko attīstību</w:t>
            </w:r>
            <w:r w:rsidRPr="00B1003C" w:rsidR="00BD52BC">
              <w:t xml:space="preserve"> un</w:t>
            </w:r>
            <w:r w:rsidRPr="00B1003C">
              <w:t xml:space="preserve"> tranzīta kravu plūsmu</w:t>
            </w:r>
            <w:r w:rsidRPr="00B1003C" w:rsidR="00BD52BC">
              <w:t>.</w:t>
            </w:r>
          </w:p>
          <w:p w:rsidRPr="00B1003C" w:rsidR="001937CB" w:rsidP="00CA29AD" w:rsidRDefault="001937CB" w14:paraId="4CB518DD" w14:textId="417A6A0D">
            <w:pPr>
              <w:pStyle w:val="NoSpacing"/>
              <w:ind w:left="5" w:right="133" w:firstLine="419"/>
              <w:jc w:val="both"/>
            </w:pPr>
            <w:r w:rsidRPr="00B1003C">
              <w:t xml:space="preserve">Piešķirot publiskās lietošanas dzelzceļa infrastruktūras statusu </w:t>
            </w:r>
            <w:r w:rsidRPr="00B1003C" w:rsidR="008F12EE">
              <w:t>dzelzceļa parkam “Kundziņsala”</w:t>
            </w:r>
            <w:r w:rsidRPr="00B1003C">
              <w:t>, nepieciešams izveidot jaunu dzelzceļa iecirkni “</w:t>
            </w:r>
            <w:r w:rsidRPr="00B1003C" w:rsidR="00CA29AD">
              <w:t>c</w:t>
            </w:r>
            <w:r w:rsidRPr="00B1003C" w:rsidR="001E1B7C">
              <w:t>eļa postenis 3.</w:t>
            </w:r>
            <w:r w:rsidR="00394D51">
              <w:t> </w:t>
            </w:r>
            <w:r w:rsidRPr="00B1003C" w:rsidR="001E1B7C">
              <w:t>km –</w:t>
            </w:r>
            <w:r w:rsidRPr="00B1003C">
              <w:t xml:space="preserve"> Kundziņsala”</w:t>
            </w:r>
            <w:r w:rsidRPr="00B1003C" w:rsidR="00DB2A2A">
              <w:t xml:space="preserve">, kas savienos VAS “Latvijas dzelzceļš” īpašumā esošo dzelzceļa infrastruktūru ar Rīgas brīvostas pārvaldes īpašumā esošo </w:t>
            </w:r>
            <w:r w:rsidRPr="00B1003C" w:rsidR="008F12EE">
              <w:t>dzelzceļa parku “Kundziņsala”</w:t>
            </w:r>
            <w:r w:rsidRPr="00B1003C" w:rsidR="00DB2A2A">
              <w:t>.</w:t>
            </w:r>
          </w:p>
          <w:p w:rsidRPr="00B1003C" w:rsidR="009733D6" w:rsidP="000479B6" w:rsidRDefault="00BD496E" w14:paraId="7D7C5C06" w14:textId="7BDFF2AA">
            <w:pPr>
              <w:pStyle w:val="NoSpacing"/>
              <w:ind w:right="133" w:firstLine="284"/>
              <w:jc w:val="both"/>
              <w:rPr>
                <w:rFonts w:eastAsiaTheme="minorHAnsi"/>
              </w:rPr>
            </w:pPr>
            <w:bookmarkStart w:name="_Hlk29552219" w:id="0"/>
            <w:r w:rsidRPr="00B1003C">
              <w:rPr>
                <w:rFonts w:eastAsiaTheme="minorHAnsi"/>
              </w:rPr>
              <w:t xml:space="preserve">Pēc </w:t>
            </w:r>
            <w:r w:rsidRPr="00B1003C" w:rsidR="00CA29AD">
              <w:rPr>
                <w:rFonts w:eastAsiaTheme="minorHAnsi"/>
              </w:rPr>
              <w:t>P</w:t>
            </w:r>
            <w:r w:rsidRPr="00B1003C">
              <w:rPr>
                <w:rFonts w:eastAsiaTheme="minorHAnsi"/>
              </w:rPr>
              <w:t xml:space="preserve">rojekta apstiprināšanas Ministru kabinetā Rīgas brīvostas pārvaldei </w:t>
            </w:r>
            <w:r w:rsidRPr="00B1003C" w:rsidR="008F12EE">
              <w:rPr>
                <w:rFonts w:eastAsiaTheme="minorHAnsi"/>
              </w:rPr>
              <w:t xml:space="preserve">būs </w:t>
            </w:r>
            <w:r w:rsidRPr="00B1003C">
              <w:rPr>
                <w:rFonts w:eastAsiaTheme="minorHAnsi"/>
              </w:rPr>
              <w:t xml:space="preserve">nepieciešams laiks infrastruktūras nodošanai pārvaldīšanā un apsaimniekošanā, jaunas infrastruktūras aprēķinu shēmas noteikšanai atbilstoši jauniegūtajam publiskās lietošanas dzelzceļa infrastruktūras statusam, tādēļ Projekts paredz, ka </w:t>
            </w:r>
            <w:r w:rsidRPr="00B1003C" w:rsidR="001C445A">
              <w:t xml:space="preserve">publiskās lietošanas dzelzceļa infrastruktūras statusu dzelzceļa infrastruktūrai “Kundziņsala”  piešķir ar </w:t>
            </w:r>
            <w:r w:rsidRPr="00B1003C">
              <w:rPr>
                <w:rFonts w:eastAsiaTheme="minorHAnsi"/>
              </w:rPr>
              <w:t>2020.</w:t>
            </w:r>
            <w:r w:rsidR="00394D51">
              <w:rPr>
                <w:rFonts w:eastAsiaTheme="minorHAnsi"/>
              </w:rPr>
              <w:t> </w:t>
            </w:r>
            <w:r w:rsidRPr="00B1003C">
              <w:rPr>
                <w:rFonts w:eastAsiaTheme="minorHAnsi"/>
              </w:rPr>
              <w:t>gada 1.</w:t>
            </w:r>
            <w:bookmarkEnd w:id="0"/>
            <w:r w:rsidR="009D7FEF">
              <w:rPr>
                <w:rFonts w:eastAsiaTheme="minorHAnsi"/>
              </w:rPr>
              <w:t> oktobri</w:t>
            </w:r>
            <w:r w:rsidRPr="00B1003C" w:rsidR="001C445A">
              <w:rPr>
                <w:rFonts w:eastAsiaTheme="minorHAnsi"/>
              </w:rPr>
              <w:t>.</w:t>
            </w:r>
          </w:p>
          <w:p w:rsidRPr="00B1003C" w:rsidR="00FB6A8C" w:rsidP="00FB6A8C" w:rsidRDefault="000479B6" w14:paraId="67624BBD" w14:textId="148B6AEB">
            <w:pPr>
              <w:pStyle w:val="NoSpacing"/>
              <w:ind w:right="133" w:firstLine="284"/>
              <w:jc w:val="both"/>
              <w:rPr>
                <w:rFonts w:eastAsiaTheme="minorHAnsi"/>
              </w:rPr>
            </w:pPr>
            <w:r w:rsidRPr="00B1003C">
              <w:rPr>
                <w:rFonts w:eastAsiaTheme="minorHAnsi"/>
              </w:rPr>
              <w:t>Satiksmes ministrija saņēma 2020.</w:t>
            </w:r>
            <w:r w:rsidR="00394D51">
              <w:rPr>
                <w:rFonts w:eastAsiaTheme="minorHAnsi"/>
              </w:rPr>
              <w:t> </w:t>
            </w:r>
            <w:r w:rsidRPr="00B1003C">
              <w:rPr>
                <w:rFonts w:eastAsiaTheme="minorHAnsi"/>
              </w:rPr>
              <w:t>gada 6.</w:t>
            </w:r>
            <w:r w:rsidR="00394D51">
              <w:rPr>
                <w:rFonts w:eastAsiaTheme="minorHAnsi"/>
              </w:rPr>
              <w:t> </w:t>
            </w:r>
            <w:r w:rsidRPr="00B1003C">
              <w:rPr>
                <w:rFonts w:eastAsiaTheme="minorHAnsi"/>
              </w:rPr>
              <w:t xml:space="preserve">maija </w:t>
            </w:r>
            <w:r w:rsidRPr="00B1003C" w:rsidR="00D64781">
              <w:rPr>
                <w:rFonts w:eastAsiaTheme="minorHAnsi"/>
              </w:rPr>
              <w:t>Ogres novada pašvaldības</w:t>
            </w:r>
            <w:r w:rsidRPr="00B1003C" w:rsidR="00C764A7">
              <w:rPr>
                <w:rFonts w:eastAsiaTheme="minorHAnsi"/>
              </w:rPr>
              <w:t xml:space="preserve"> (turpmāk – Pašvaldība)</w:t>
            </w:r>
            <w:r w:rsidRPr="00B1003C" w:rsidR="00D64781">
              <w:rPr>
                <w:rFonts w:eastAsiaTheme="minorHAnsi"/>
              </w:rPr>
              <w:t xml:space="preserve"> </w:t>
            </w:r>
            <w:r w:rsidRPr="00B1003C">
              <w:rPr>
                <w:rFonts w:eastAsiaTheme="minorHAnsi"/>
              </w:rPr>
              <w:t>vēstuli Nr.</w:t>
            </w:r>
            <w:r w:rsidR="00394D51">
              <w:rPr>
                <w:rFonts w:eastAsiaTheme="minorHAnsi"/>
              </w:rPr>
              <w:t> </w:t>
            </w:r>
            <w:r w:rsidRPr="00B1003C">
              <w:rPr>
                <w:rFonts w:eastAsiaTheme="minorHAnsi"/>
              </w:rPr>
              <w:t>2-</w:t>
            </w:r>
            <w:r w:rsidRPr="00B1003C" w:rsidR="00D64781">
              <w:rPr>
                <w:rFonts w:eastAsiaTheme="minorHAnsi"/>
              </w:rPr>
              <w:t>5.1/1720 “Par bijušās līnijas Rīga Preču – Ērgļi sliežu ceļa posma, kas atrodas Ogres novada administratīvajā teritorijā, pārņemšanu īpašumā”, ar kuru</w:t>
            </w:r>
            <w:r w:rsidRPr="00B1003C" w:rsidR="008A0DF0">
              <w:rPr>
                <w:rFonts w:eastAsiaTheme="minorHAnsi"/>
              </w:rPr>
              <w:t xml:space="preserve"> </w:t>
            </w:r>
            <w:r w:rsidRPr="00B1003C" w:rsidR="00C764A7">
              <w:rPr>
                <w:rFonts w:eastAsiaTheme="minorHAnsi"/>
              </w:rPr>
              <w:t>P</w:t>
            </w:r>
            <w:r w:rsidRPr="00B1003C" w:rsidR="008A0DF0">
              <w:rPr>
                <w:rFonts w:eastAsiaTheme="minorHAnsi"/>
              </w:rPr>
              <w:t>ašvaldība</w:t>
            </w:r>
            <w:r w:rsidRPr="00B1003C" w:rsidR="00D64781">
              <w:rPr>
                <w:rFonts w:eastAsiaTheme="minorHAnsi"/>
              </w:rPr>
              <w:t xml:space="preserve"> lūdz Satiksmes ministriju slēgt dzelzceļa iecirkņa Rīga Preču – Ērgļi posmu Saurieši – Ērg</w:t>
            </w:r>
            <w:r w:rsidRPr="00B1003C" w:rsidR="008A0DF0">
              <w:rPr>
                <w:rFonts w:eastAsiaTheme="minorHAnsi"/>
              </w:rPr>
              <w:t>ļi un nodot</w:t>
            </w:r>
            <w:r w:rsidRPr="00B1003C" w:rsidR="00C764A7">
              <w:rPr>
                <w:rFonts w:eastAsiaTheme="minorHAnsi"/>
              </w:rPr>
              <w:t xml:space="preserve"> nekustamos īpašumus – zemes vienības un inženierbūves – ēkas, tiltus, sliežu ceļus, kas nav demontēti, caurtekas un ceļa klātnes uzbērumus</w:t>
            </w:r>
            <w:r w:rsidRPr="00B1003C" w:rsidR="008A0DF0">
              <w:rPr>
                <w:rFonts w:eastAsiaTheme="minorHAnsi"/>
              </w:rPr>
              <w:t xml:space="preserve"> bez atlīdzības </w:t>
            </w:r>
            <w:r w:rsidRPr="00B1003C" w:rsidR="00C764A7">
              <w:rPr>
                <w:rFonts w:eastAsiaTheme="minorHAnsi"/>
              </w:rPr>
              <w:t>P</w:t>
            </w:r>
            <w:r w:rsidRPr="00B1003C" w:rsidR="008A0DF0">
              <w:rPr>
                <w:rFonts w:eastAsiaTheme="minorHAnsi"/>
              </w:rPr>
              <w:t>ašvaldības īpašumā, pamatojoties uz</w:t>
            </w:r>
            <w:r w:rsidRPr="00B1003C" w:rsidR="00D64781">
              <w:rPr>
                <w:rFonts w:eastAsiaTheme="minorHAnsi"/>
              </w:rPr>
              <w:t xml:space="preserve"> </w:t>
            </w:r>
            <w:r w:rsidRPr="00B1003C" w:rsidR="00C764A7">
              <w:rPr>
                <w:rFonts w:eastAsiaTheme="minorHAnsi"/>
              </w:rPr>
              <w:t>P</w:t>
            </w:r>
            <w:r w:rsidRPr="00B1003C" w:rsidR="00D64781">
              <w:rPr>
                <w:rFonts w:eastAsiaTheme="minorHAnsi"/>
              </w:rPr>
              <w:t xml:space="preserve">ašvaldības domes </w:t>
            </w:r>
            <w:r w:rsidRPr="00B1003C" w:rsidR="003E2335">
              <w:rPr>
                <w:rFonts w:eastAsiaTheme="minorHAnsi"/>
              </w:rPr>
              <w:t xml:space="preserve">2020 gada 19. marta </w:t>
            </w:r>
            <w:r w:rsidRPr="00B1003C" w:rsidR="00D64781">
              <w:rPr>
                <w:rFonts w:eastAsiaTheme="minorHAnsi"/>
              </w:rPr>
              <w:t xml:space="preserve">lēmumā “Par valstij piederošo zemju un inženierbūvju pārņemšanu Ogres novada pašvaldības īpašumā” </w:t>
            </w:r>
            <w:r w:rsidRPr="00B1003C" w:rsidR="008A0DF0">
              <w:rPr>
                <w:rFonts w:eastAsiaTheme="minorHAnsi"/>
              </w:rPr>
              <w:t>noteikto.</w:t>
            </w:r>
            <w:r w:rsidRPr="00B1003C" w:rsidR="00FB6A8C">
              <w:rPr>
                <w:rFonts w:eastAsiaTheme="minorHAnsi"/>
              </w:rPr>
              <w:t xml:space="preserve"> Bijušo dzelzceļa līniju plān</w:t>
            </w:r>
            <w:r w:rsidRPr="00B1003C" w:rsidR="00C764A7">
              <w:rPr>
                <w:rFonts w:eastAsiaTheme="minorHAnsi"/>
              </w:rPr>
              <w:t xml:space="preserve">ots izmantot tūrisma mērķiem, veicināt iedzīvotāju veselīgu dzīvesveidu un sportu, </w:t>
            </w:r>
            <w:r w:rsidR="003E2335">
              <w:rPr>
                <w:rFonts w:eastAsiaTheme="minorHAnsi"/>
              </w:rPr>
              <w:t>tostarp</w:t>
            </w:r>
            <w:r w:rsidRPr="00B1003C" w:rsidR="00FB6A8C">
              <w:rPr>
                <w:rFonts w:eastAsiaTheme="minorHAnsi"/>
              </w:rPr>
              <w:t xml:space="preserve">, </w:t>
            </w:r>
            <w:r w:rsidRPr="00B1003C" w:rsidR="00D01D46">
              <w:rPr>
                <w:rFonts w:eastAsiaTheme="minorHAnsi"/>
              </w:rPr>
              <w:t>īstenot</w:t>
            </w:r>
            <w:r w:rsidRPr="00B1003C" w:rsidR="00FB6A8C">
              <w:rPr>
                <w:rFonts w:eastAsiaTheme="minorHAnsi"/>
              </w:rPr>
              <w:t xml:space="preserve"> zaļo dzelzceļu projektu, kā arī nodrošin</w:t>
            </w:r>
            <w:r w:rsidRPr="00B1003C" w:rsidR="00D01D46">
              <w:rPr>
                <w:rFonts w:eastAsiaTheme="minorHAnsi"/>
              </w:rPr>
              <w:t xml:space="preserve">āt </w:t>
            </w:r>
            <w:r w:rsidRPr="00B1003C" w:rsidR="00FB6A8C">
              <w:rPr>
                <w:rFonts w:eastAsiaTheme="minorHAnsi"/>
              </w:rPr>
              <w:t xml:space="preserve">vietējo iedzīvotāju drošību un labiekārtošanas pasākumus. </w:t>
            </w:r>
            <w:r w:rsidRPr="00B1003C" w:rsidR="00C764A7">
              <w:rPr>
                <w:rFonts w:eastAsiaTheme="minorHAnsi"/>
              </w:rPr>
              <w:t>Jau šobrīd Ķeipenes pagasta zemes vienībās un ēkā bijušajā Ķeipenes dzelzceļa stacijā ir ieguldīti ievērojami Pašvaldības līdzekļi, Eiropas Savienības finanšu līdzekļi, teritorijā plānots veikt pasākumus un būvniecības darbus projektu ietvaros.</w:t>
            </w:r>
          </w:p>
          <w:p w:rsidRPr="00B1003C" w:rsidR="000479B6" w:rsidP="00FB6A8C" w:rsidRDefault="00FB6A8C" w14:paraId="48625C96" w14:textId="11A9E00B">
            <w:pPr>
              <w:pStyle w:val="NoSpacing"/>
              <w:ind w:right="133" w:firstLine="284"/>
              <w:jc w:val="both"/>
              <w:rPr>
                <w:rFonts w:eastAsiaTheme="minorHAnsi"/>
              </w:rPr>
            </w:pPr>
            <w:r w:rsidRPr="00B1003C">
              <w:rPr>
                <w:rFonts w:eastAsiaTheme="minorHAnsi"/>
              </w:rPr>
              <w:t>Satiksmes ministrija</w:t>
            </w:r>
            <w:r w:rsidRPr="00B1003C" w:rsidR="008A0DF0">
              <w:rPr>
                <w:rFonts w:eastAsiaTheme="minorHAnsi"/>
              </w:rPr>
              <w:t xml:space="preserve"> ar</w:t>
            </w:r>
            <w:r w:rsidRPr="00B1003C">
              <w:rPr>
                <w:rFonts w:eastAsiaTheme="minorHAnsi"/>
              </w:rPr>
              <w:t xml:space="preserve"> 2020.</w:t>
            </w:r>
            <w:r w:rsidR="00394D51">
              <w:rPr>
                <w:rFonts w:eastAsiaTheme="minorHAnsi"/>
              </w:rPr>
              <w:t> </w:t>
            </w:r>
            <w:r w:rsidRPr="00B1003C">
              <w:rPr>
                <w:rFonts w:eastAsiaTheme="minorHAnsi"/>
              </w:rPr>
              <w:t>gada 20.</w:t>
            </w:r>
            <w:r w:rsidR="00394D51">
              <w:rPr>
                <w:rFonts w:eastAsiaTheme="minorHAnsi"/>
              </w:rPr>
              <w:t> </w:t>
            </w:r>
            <w:r w:rsidRPr="00B1003C">
              <w:rPr>
                <w:rFonts w:eastAsiaTheme="minorHAnsi"/>
              </w:rPr>
              <w:t>februāra vēstul</w:t>
            </w:r>
            <w:r w:rsidRPr="00B1003C" w:rsidR="008A0DF0">
              <w:rPr>
                <w:rFonts w:eastAsiaTheme="minorHAnsi"/>
              </w:rPr>
              <w:t>i</w:t>
            </w:r>
            <w:r w:rsidRPr="00B1003C">
              <w:rPr>
                <w:rFonts w:eastAsiaTheme="minorHAnsi"/>
              </w:rPr>
              <w:t xml:space="preserve"> atbalsta nekustamā īpašuma dzelzceļa līnijas Rīga Preču - Ērgļi posma Saurieši - Ērgļi nodošanu</w:t>
            </w:r>
            <w:r w:rsidRPr="00B1003C" w:rsidR="008A0DF0">
              <w:rPr>
                <w:rFonts w:eastAsiaTheme="minorHAnsi"/>
              </w:rPr>
              <w:t xml:space="preserve"> bez atlīdzības</w:t>
            </w:r>
            <w:r w:rsidRPr="00B1003C">
              <w:rPr>
                <w:rFonts w:eastAsiaTheme="minorHAnsi"/>
              </w:rPr>
              <w:t xml:space="preserve"> </w:t>
            </w:r>
            <w:r w:rsidRPr="00B1003C" w:rsidR="00C764A7">
              <w:rPr>
                <w:rFonts w:eastAsiaTheme="minorHAnsi"/>
              </w:rPr>
              <w:t>P</w:t>
            </w:r>
            <w:r w:rsidRPr="00B1003C">
              <w:rPr>
                <w:rFonts w:eastAsiaTheme="minorHAnsi"/>
              </w:rPr>
              <w:t xml:space="preserve">ašvaldības īpašumā. </w:t>
            </w:r>
          </w:p>
          <w:p w:rsidRPr="00B1003C" w:rsidR="00FB6A8C" w:rsidP="00394D51" w:rsidRDefault="00FB6A8C" w14:paraId="49972D63" w14:textId="3F243EA5">
            <w:pPr>
              <w:pStyle w:val="NoSpacing"/>
              <w:ind w:right="133" w:firstLine="284"/>
              <w:jc w:val="both"/>
              <w:rPr>
                <w:rFonts w:eastAsiaTheme="minorHAnsi"/>
              </w:rPr>
            </w:pPr>
            <w:r w:rsidRPr="00B1003C">
              <w:rPr>
                <w:rFonts w:eastAsiaTheme="minorHAnsi"/>
              </w:rPr>
              <w:t>Dzelzceļa iecirknī Rīga Preču – Ērgļi posmā Saurieši – Ērgļi vilcienu kustība ir ilgstoši slēgta u</w:t>
            </w:r>
            <w:r w:rsidRPr="00B1003C" w:rsidR="00D01D46">
              <w:rPr>
                <w:rFonts w:eastAsiaTheme="minorHAnsi"/>
              </w:rPr>
              <w:t>n</w:t>
            </w:r>
            <w:r w:rsidRPr="00B1003C">
              <w:rPr>
                <w:rFonts w:eastAsiaTheme="minorHAnsi"/>
              </w:rPr>
              <w:t xml:space="preserve"> dzelzceļa virsbūves materiāli, </w:t>
            </w:r>
            <w:r w:rsidR="00A94FF1">
              <w:rPr>
                <w:rFonts w:eastAsiaTheme="minorHAnsi"/>
              </w:rPr>
              <w:t>tostarp</w:t>
            </w:r>
            <w:r w:rsidRPr="00B1003C">
              <w:rPr>
                <w:rFonts w:eastAsiaTheme="minorHAnsi"/>
              </w:rPr>
              <w:t xml:space="preserve"> arī sliedes, ir demontēti. </w:t>
            </w:r>
            <w:r w:rsidRPr="00B1003C" w:rsidR="00D01D46">
              <w:rPr>
                <w:rFonts w:eastAsiaTheme="minorHAnsi"/>
              </w:rPr>
              <w:t>Indikatīv</w:t>
            </w:r>
            <w:r w:rsidRPr="00B1003C" w:rsidR="000855EB">
              <w:rPr>
                <w:rFonts w:eastAsiaTheme="minorHAnsi"/>
              </w:rPr>
              <w:t>ajā</w:t>
            </w:r>
            <w:r w:rsidRPr="00B1003C" w:rsidR="00D01D46">
              <w:rPr>
                <w:rFonts w:eastAsiaTheme="minorHAnsi"/>
              </w:rPr>
              <w:t xml:space="preserve"> dzelzceļa infrastruktūras attīstības plān</w:t>
            </w:r>
            <w:r w:rsidRPr="00B1003C" w:rsidR="000855EB">
              <w:rPr>
                <w:rFonts w:eastAsiaTheme="minorHAnsi"/>
              </w:rPr>
              <w:t>ā</w:t>
            </w:r>
            <w:r w:rsidRPr="00B1003C" w:rsidR="00D01D46">
              <w:rPr>
                <w:rFonts w:eastAsiaTheme="minorHAnsi"/>
              </w:rPr>
              <w:t xml:space="preserve"> 2018.</w:t>
            </w:r>
            <w:r w:rsidR="00394D51">
              <w:rPr>
                <w:rFonts w:eastAsiaTheme="minorHAnsi"/>
              </w:rPr>
              <w:t> </w:t>
            </w:r>
            <w:r w:rsidRPr="00B1003C" w:rsidR="00D01D46">
              <w:rPr>
                <w:rFonts w:eastAsiaTheme="minorHAnsi"/>
              </w:rPr>
              <w:t>-</w:t>
            </w:r>
            <w:r w:rsidR="00394D51">
              <w:rPr>
                <w:rFonts w:eastAsiaTheme="minorHAnsi"/>
              </w:rPr>
              <w:t> </w:t>
            </w:r>
            <w:r w:rsidRPr="00B1003C" w:rsidR="00D01D46">
              <w:rPr>
                <w:rFonts w:eastAsiaTheme="minorHAnsi"/>
              </w:rPr>
              <w:t>2022.</w:t>
            </w:r>
            <w:r w:rsidR="00394D51">
              <w:rPr>
                <w:rFonts w:eastAsiaTheme="minorHAnsi"/>
              </w:rPr>
              <w:t> </w:t>
            </w:r>
            <w:r w:rsidRPr="00B1003C" w:rsidR="00D01D46">
              <w:rPr>
                <w:rFonts w:eastAsiaTheme="minorHAnsi"/>
              </w:rPr>
              <w:t>gadam</w:t>
            </w:r>
            <w:r w:rsidRPr="00B1003C" w:rsidR="000855EB">
              <w:rPr>
                <w:rFonts w:eastAsiaTheme="minorHAnsi"/>
              </w:rPr>
              <w:t xml:space="preserve"> </w:t>
            </w:r>
            <w:r w:rsidRPr="00B1003C" w:rsidR="008A0DF0">
              <w:rPr>
                <w:rFonts w:eastAsiaTheme="minorHAnsi"/>
              </w:rPr>
              <w:t xml:space="preserve"> </w:t>
            </w:r>
            <w:r w:rsidRPr="00B1003C" w:rsidR="000855EB">
              <w:rPr>
                <w:rFonts w:eastAsiaTheme="minorHAnsi"/>
              </w:rPr>
              <w:t xml:space="preserve">noteikts </w:t>
            </w:r>
            <w:r w:rsidRPr="00B1003C" w:rsidR="000855EB">
              <w:rPr>
                <w:rFonts w:eastAsiaTheme="minorHAnsi"/>
              </w:rPr>
              <w:lastRenderedPageBreak/>
              <w:t>uzdevums izvērtēt sliežu ceļa posmu, kuros nenotiek vilcienu kustība, nākotnes nepieciešamīb</w:t>
            </w:r>
            <w:r w:rsidR="009446E0">
              <w:rPr>
                <w:rFonts w:eastAsiaTheme="minorHAnsi"/>
              </w:rPr>
              <w:t>u</w:t>
            </w:r>
            <w:r w:rsidRPr="00B1003C" w:rsidR="000855EB">
              <w:rPr>
                <w:rFonts w:eastAsiaTheme="minorHAnsi"/>
              </w:rPr>
              <w:t>. V</w:t>
            </w:r>
            <w:r w:rsidRPr="00B1003C">
              <w:rPr>
                <w:rFonts w:eastAsiaTheme="minorHAnsi"/>
              </w:rPr>
              <w:t>ilcienu kustību dzelzceļa līnijā Rīga Preču – Ērgļi nav plānots atjaunot.</w:t>
            </w:r>
          </w:p>
          <w:p w:rsidRPr="00B1003C" w:rsidR="00D26FEE" w:rsidP="00394D51" w:rsidRDefault="00A758B8" w14:paraId="3BDA42E0" w14:textId="5F524339">
            <w:pPr>
              <w:pStyle w:val="NoSpacing"/>
              <w:ind w:right="133" w:firstLine="284"/>
              <w:jc w:val="both"/>
              <w:rPr>
                <w:rFonts w:eastAsiaTheme="minorHAnsi"/>
              </w:rPr>
            </w:pPr>
            <w:r w:rsidRPr="00B1003C">
              <w:rPr>
                <w:rFonts w:eastAsiaTheme="minorHAnsi"/>
              </w:rPr>
              <w:t xml:space="preserve">Lai </w:t>
            </w:r>
            <w:r w:rsidRPr="00B1003C" w:rsidR="00696FFB">
              <w:rPr>
                <w:rFonts w:eastAsiaTheme="minorHAnsi"/>
              </w:rPr>
              <w:t>iepriekš</w:t>
            </w:r>
            <w:r w:rsidRPr="00B1003C">
              <w:rPr>
                <w:rFonts w:eastAsiaTheme="minorHAnsi"/>
              </w:rPr>
              <w:t xml:space="preserve">minēto nekustamo īpašumu varētu nodot </w:t>
            </w:r>
            <w:r w:rsidRPr="00B1003C" w:rsidR="00C764A7">
              <w:rPr>
                <w:rFonts w:eastAsiaTheme="minorHAnsi"/>
              </w:rPr>
              <w:t>P</w:t>
            </w:r>
            <w:r w:rsidRPr="00B1003C">
              <w:rPr>
                <w:rFonts w:eastAsiaTheme="minorHAnsi"/>
              </w:rPr>
              <w:t xml:space="preserve">ašvaldības īpašumā, vispirms nepieciešams slēgt dzelzceļa līniju Rīga Preču – Ērgļi posmā Saurieši – Ērgļi, </w:t>
            </w:r>
            <w:r w:rsidRPr="00B1003C" w:rsidR="00696FFB">
              <w:rPr>
                <w:rFonts w:eastAsiaTheme="minorHAnsi"/>
              </w:rPr>
              <w:t>līdz ar to, nepieciešams noņemt publiskās lietošanas dzelzceļa infrastruktūras statusu publiskās lietošanas dzelzceļa infrastruktūrai posmā Saurieši – Ērgļi,</w:t>
            </w:r>
            <w:r w:rsidRPr="00B1003C" w:rsidR="008A0DF0">
              <w:rPr>
                <w:rFonts w:eastAsiaTheme="minorHAnsi"/>
              </w:rPr>
              <w:t xml:space="preserve"> tādēļ nepieciešams veikt grozījumus </w:t>
            </w:r>
            <w:r w:rsidRPr="00B1003C" w:rsidR="00D01D46">
              <w:t>Ministru kabineta 2018.</w:t>
            </w:r>
            <w:r w:rsidR="00394D51">
              <w:t> </w:t>
            </w:r>
            <w:r w:rsidRPr="00B1003C" w:rsidR="00D01D46">
              <w:t>gada 15.</w:t>
            </w:r>
            <w:r w:rsidR="00394D51">
              <w:t> </w:t>
            </w:r>
            <w:r w:rsidRPr="00B1003C" w:rsidR="00D01D46">
              <w:t>maija rīkojumā Nr.</w:t>
            </w:r>
            <w:r w:rsidR="00394D51">
              <w:t> </w:t>
            </w:r>
            <w:r w:rsidRPr="00B1003C" w:rsidR="00D01D46">
              <w:t>215 “Par publiskās lietošanas dzelzceļa infrastruktūras statusa piešķiršanu”” (turpmāk – Rīkojums)</w:t>
            </w:r>
            <w:r w:rsidRPr="00B1003C" w:rsidR="008A0DF0">
              <w:rPr>
                <w:rFonts w:eastAsiaTheme="minorHAnsi"/>
              </w:rPr>
              <w:t xml:space="preserve">, </w:t>
            </w:r>
            <w:r w:rsidRPr="00B1003C" w:rsidR="00696FFB">
              <w:rPr>
                <w:rFonts w:eastAsiaTheme="minorHAnsi"/>
              </w:rPr>
              <w:t>preciz</w:t>
            </w:r>
            <w:r w:rsidRPr="00B1003C" w:rsidR="008A0DF0">
              <w:rPr>
                <w:rFonts w:eastAsiaTheme="minorHAnsi"/>
              </w:rPr>
              <w:t>ē</w:t>
            </w:r>
            <w:r w:rsidRPr="00B1003C" w:rsidR="00C764A7">
              <w:rPr>
                <w:rFonts w:eastAsiaTheme="minorHAnsi"/>
              </w:rPr>
              <w:t>t</w:t>
            </w:r>
            <w:r w:rsidRPr="00B1003C" w:rsidR="00696FFB">
              <w:rPr>
                <w:rFonts w:eastAsiaTheme="minorHAnsi"/>
              </w:rPr>
              <w:t xml:space="preserve"> šobrīd Rīkojumā noteikto publiskās lietošanas dzelzceļa infrastruktūras iecirkni Rīga Preču</w:t>
            </w:r>
            <w:r w:rsidRPr="00B1003C" w:rsidR="008A0DF0">
              <w:rPr>
                <w:rFonts w:eastAsiaTheme="minorHAnsi"/>
              </w:rPr>
              <w:t xml:space="preserve"> </w:t>
            </w:r>
            <w:r w:rsidRPr="00B1003C" w:rsidR="00696FFB">
              <w:rPr>
                <w:rFonts w:eastAsiaTheme="minorHAnsi"/>
              </w:rPr>
              <w:t>- Ērgļi, aizstāj</w:t>
            </w:r>
            <w:r w:rsidRPr="00B1003C" w:rsidR="00C764A7">
              <w:rPr>
                <w:rFonts w:eastAsiaTheme="minorHAnsi"/>
              </w:rPr>
              <w:t xml:space="preserve">ot tā galapunktā esošo </w:t>
            </w:r>
            <w:r w:rsidRPr="00B1003C" w:rsidR="00696FFB">
              <w:rPr>
                <w:rFonts w:eastAsiaTheme="minorHAnsi"/>
              </w:rPr>
              <w:t xml:space="preserve">staciju Ērgļi </w:t>
            </w:r>
            <w:r w:rsidRPr="00B1003C" w:rsidR="00C764A7">
              <w:rPr>
                <w:rFonts w:eastAsiaTheme="minorHAnsi"/>
              </w:rPr>
              <w:t xml:space="preserve">ar </w:t>
            </w:r>
            <w:r w:rsidRPr="00B1003C" w:rsidR="00696FFB">
              <w:rPr>
                <w:rFonts w:eastAsiaTheme="minorHAnsi"/>
              </w:rPr>
              <w:t>staciju  - Saurieši.</w:t>
            </w:r>
          </w:p>
        </w:tc>
      </w:tr>
      <w:tr w:rsidRPr="008F12EE" w:rsidR="00426C3F" w:rsidTr="00E04796" w14:paraId="411E8C93" w14:textId="77777777">
        <w:trPr>
          <w:trHeight w:val="476"/>
        </w:trPr>
        <w:tc>
          <w:tcPr>
            <w:tcW w:w="591" w:type="dxa"/>
          </w:tcPr>
          <w:p w:rsidRPr="008F12EE" w:rsidR="0024095F" w:rsidP="00895E3C" w:rsidRDefault="0024095F" w14:paraId="3F672F95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5" w:type="dxa"/>
          </w:tcPr>
          <w:p w:rsidRPr="008F12EE" w:rsidR="0024095F" w:rsidP="00895E3C" w:rsidRDefault="00DB0CD5" w14:paraId="7499399F" w14:textId="77777777">
            <w:pPr>
              <w:widowControl/>
              <w:spacing w:after="0" w:line="240" w:lineRule="auto"/>
              <w:ind w:left="57" w:right="5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8" w:type="dxa"/>
          </w:tcPr>
          <w:p w:rsidRPr="00B1003C" w:rsidR="0008688D" w:rsidP="00426C3F" w:rsidRDefault="00464229" w14:paraId="35448871" w14:textId="62544E9A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Satiksmes ministrija, </w:t>
            </w:r>
            <w:r w:rsidRPr="008F12EE" w:rsidR="000B11C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Rīgas b</w:t>
            </w:r>
            <w:r w:rsidRPr="008F12EE" w:rsidR="00183A1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rīvostas pārvalde</w:t>
            </w:r>
            <w:r w:rsidR="008A0DF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, VAS “Latvijas dzelzceļš”, </w:t>
            </w:r>
            <w:r w:rsidRPr="00B1003C" w:rsidR="008A0DF0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Valsts dzelzceļa administrācija.</w:t>
            </w:r>
          </w:p>
          <w:p w:rsidRPr="008F12EE" w:rsidR="0024095F" w:rsidP="00426C3F" w:rsidRDefault="0024095F" w14:paraId="21331E4F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</w:tr>
      <w:tr w:rsidRPr="008F12EE" w:rsidR="00426C3F" w:rsidTr="00E04796" w14:paraId="5BE5E834" w14:textId="77777777">
        <w:tc>
          <w:tcPr>
            <w:tcW w:w="591" w:type="dxa"/>
          </w:tcPr>
          <w:p w:rsidRPr="008F12EE" w:rsidR="0024095F" w:rsidP="00895E3C" w:rsidRDefault="0024095F" w14:paraId="4C03AF01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Pr="008F12EE" w:rsidR="0024095F" w:rsidP="00895E3C" w:rsidRDefault="0024095F" w14:paraId="445D9DC4" w14:textId="77777777">
            <w:pPr>
              <w:widowControl/>
              <w:spacing w:after="0" w:line="240" w:lineRule="auto"/>
              <w:ind w:left="57" w:right="57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Cita informācija</w:t>
            </w:r>
          </w:p>
        </w:tc>
        <w:tc>
          <w:tcPr>
            <w:tcW w:w="6378" w:type="dxa"/>
          </w:tcPr>
          <w:p w:rsidRPr="008F12EE" w:rsidR="00195A92" w:rsidP="00426C3F" w:rsidRDefault="0024095F" w14:paraId="567A5154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Nav</w:t>
            </w:r>
            <w:r w:rsidRPr="008F12EE" w:rsidR="006658B1"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  <w:p w:rsidRPr="008F12EE" w:rsidR="00195A92" w:rsidP="00426C3F" w:rsidRDefault="00195A92" w14:paraId="2D8ED749" w14:textId="77777777">
            <w:pPr>
              <w:widowControl/>
              <w:spacing w:after="0" w:line="240" w:lineRule="auto"/>
              <w:ind w:left="4" w:right="142" w:hanging="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6F412C" w:rsidR="0024095F" w:rsidP="0024095F" w:rsidRDefault="0024095F" w14:paraId="1E0A072F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eastAsia="lv-LV"/>
        </w:rPr>
      </w:pPr>
    </w:p>
    <w:tbl>
      <w:tblPr>
        <w:tblW w:w="963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2630"/>
        <w:gridCol w:w="6378"/>
      </w:tblGrid>
      <w:tr w:rsidRPr="008F12EE" w:rsidR="00426C3F" w:rsidTr="00E04796" w14:paraId="15027E1B" w14:textId="77777777">
        <w:trPr>
          <w:trHeight w:val="710"/>
        </w:trPr>
        <w:tc>
          <w:tcPr>
            <w:tcW w:w="9634" w:type="dxa"/>
            <w:gridSpan w:val="3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</w:tcPr>
          <w:p w:rsidRPr="008F12EE" w:rsidR="00E04796" w:rsidP="00E04796" w:rsidRDefault="0024095F" w14:paraId="01C245F5" w14:textId="4080138F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 xml:space="preserve">II. </w:t>
            </w:r>
            <w:r w:rsidRPr="008F12EE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Pr="008F12EE" w:rsidR="00426C3F" w:rsidTr="00E04796" w14:paraId="266FEDDA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895E3C" w:rsidRDefault="0024095F" w14:paraId="1BAC8AD5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6432B0" w:rsidRDefault="0024095F" w14:paraId="4556E0A0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B1003C" w:rsidR="00946504" w:rsidP="00946504" w:rsidRDefault="004D3161" w14:paraId="30F42C66" w14:textId="459CE240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</w:t>
            </w:r>
            <w:r w:rsidRPr="008F12EE" w:rsidR="0094650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ārvadātāji,</w:t>
            </w: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kas izmantos attiecīgo dzelzceļa infrastruktūru,</w:t>
            </w:r>
            <w:r w:rsidR="008A0DF0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kravas saņēmēji, </w:t>
            </w:r>
            <w:r w:rsidRPr="00B1003C" w:rsidR="008A0DF0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nosūtītāji, Ogres novada pašvaldība.</w:t>
            </w:r>
          </w:p>
          <w:p w:rsidRPr="008F12EE" w:rsidR="00195A92" w:rsidP="006432B0" w:rsidRDefault="00195A92" w14:paraId="22580977" w14:textId="77777777">
            <w:pPr>
              <w:widowControl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</w:tr>
      <w:tr w:rsidRPr="008F12EE" w:rsidR="00426C3F" w:rsidTr="00E04796" w14:paraId="2207FBC5" w14:textId="77777777">
        <w:trPr>
          <w:trHeight w:val="1300"/>
        </w:trPr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895E3C" w:rsidRDefault="0024095F" w14:paraId="2F0492F2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6432B0" w:rsidRDefault="0024095F" w14:paraId="5D862415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6432B0" w:rsidRDefault="0024095F" w14:paraId="7E230F1E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8F12EE" w:rsidR="006658B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8F12EE" w:rsidR="00426C3F" w:rsidTr="00E04796" w14:paraId="3285F287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895E3C" w:rsidRDefault="0024095F" w14:paraId="2752707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6432B0" w:rsidRDefault="0024095F" w14:paraId="20B0313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6432B0" w:rsidRDefault="0024095F" w14:paraId="225BB044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8F12EE" w:rsidR="006658B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8F12EE" w:rsidR="00426C3F" w:rsidTr="00E04796" w14:paraId="2129C2C6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895E3C" w:rsidRDefault="0024095F" w14:paraId="57B5E601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24095F" w:rsidP="006432B0" w:rsidRDefault="0024095F" w14:paraId="7845A0B5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 </w:t>
            </w:r>
            <w:r w:rsidRPr="008F12EE" w:rsidR="00A530F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195A92" w:rsidP="00B8582A" w:rsidRDefault="00B8582A" w14:paraId="2233329F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8F12EE" w:rsidR="00426C3F" w:rsidTr="00E04796" w14:paraId="06D268D9" w14:textId="77777777"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A530F5" w:rsidP="00895E3C" w:rsidRDefault="00A530F5" w14:paraId="5A21E492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A530F5" w:rsidP="006432B0" w:rsidRDefault="00A530F5" w14:paraId="614A892F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A530F5" w:rsidP="00B8582A" w:rsidRDefault="00A530F5" w14:paraId="549DF190" w14:textId="77777777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Nav</w:t>
            </w:r>
            <w:r w:rsidRPr="008F12EE" w:rsidR="006658B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</w:p>
          <w:p w:rsidRPr="008F12EE" w:rsidR="003F3461" w:rsidP="00B8582A" w:rsidRDefault="003F3461" w14:paraId="037DA93E" w14:textId="2F1BB28F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</w:tr>
    </w:tbl>
    <w:p w:rsidRPr="006F412C" w:rsidR="00D57CDD" w:rsidP="0024095F" w:rsidRDefault="00D57CDD" w14:paraId="60666F3D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Pr="008F12EE" w:rsidR="00426C3F" w:rsidTr="00F7031E" w14:paraId="6FE19A6A" w14:textId="77777777">
        <w:trPr>
          <w:trHeight w:val="372"/>
        </w:trPr>
        <w:tc>
          <w:tcPr>
            <w:tcW w:w="9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8F12EE" w:rsidR="00E40127" w:rsidP="00895E3C" w:rsidRDefault="00A35B4B" w14:paraId="7A8F8B58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8F12EE" w:rsidR="00426C3F" w:rsidTr="00F7031E" w14:paraId="0803BE87" w14:textId="77777777">
        <w:trPr>
          <w:trHeight w:val="302"/>
        </w:trPr>
        <w:tc>
          <w:tcPr>
            <w:tcW w:w="9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8F12EE" w:rsidR="00E40127" w:rsidP="00895E3C" w:rsidRDefault="00E40127" w14:paraId="3CEDC0A1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8F12EE" w:rsidR="00DE6F50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B1003C" w:rsidP="0024095F" w:rsidRDefault="00B1003C" w14:paraId="5AED1CF7" w14:textId="68BFE1B1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eastAsia="lv-LV"/>
        </w:rPr>
      </w:pPr>
    </w:p>
    <w:p w:rsidRPr="008F12EE" w:rsidR="009446E0" w:rsidP="0024095F" w:rsidRDefault="009446E0" w14:paraId="24424168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2972"/>
        <w:gridCol w:w="6041"/>
      </w:tblGrid>
      <w:tr w:rsidRPr="008F12EE" w:rsidR="00426C3F" w:rsidTr="00F7031E" w14:paraId="23BF0A99" w14:textId="77777777">
        <w:trPr>
          <w:trHeight w:val="372"/>
        </w:trPr>
        <w:tc>
          <w:tcPr>
            <w:tcW w:w="96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45A60" w:rsidR="006840F4" w:rsidP="00A577E4" w:rsidRDefault="00A577E4" w14:paraId="296506B5" w14:textId="35D8B816">
            <w:pPr>
              <w:widowControl/>
              <w:tabs>
                <w:tab w:val="left" w:pos="1110"/>
                <w:tab w:val="center" w:pos="4789"/>
              </w:tabs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ab/>
            </w:r>
            <w:r w:rsidRPr="00C45A60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ab/>
            </w:r>
            <w:r w:rsidRPr="00C45A60" w:rsidR="006840F4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F12EE" w:rsidR="00946504" w:rsidTr="009B21B7" w14:paraId="3231F5BC" w14:textId="77777777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730655F0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551BC788" w14:textId="77777777">
            <w:pPr>
              <w:widowControl/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/>
                <w:bCs/>
                <w:sz w:val="24"/>
                <w:szCs w:val="24"/>
              </w:rPr>
              <w:t>Saistītie tiesību aktu projekti</w:t>
            </w:r>
          </w:p>
        </w:tc>
        <w:tc>
          <w:tcPr>
            <w:tcW w:w="6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1170AD" w:rsidP="008B1260" w:rsidRDefault="00F64A1A" w14:paraId="25C28340" w14:textId="7929C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>Nepieciešam</w:t>
            </w:r>
            <w:r w:rsidRPr="008B1260" w:rsidR="009446E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 xml:space="preserve"> grozījum</w:t>
            </w:r>
            <w:r w:rsidRPr="008B1260" w:rsidR="009446E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 xml:space="preserve"> Ministru kabineta 2016.</w:t>
            </w:r>
            <w:r w:rsidRPr="008B1260" w:rsidR="00394D5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>gada 19.</w:t>
            </w:r>
            <w:r w:rsidRPr="008B1260" w:rsidR="00394D5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>aprīļa noteikumos Nr.</w:t>
            </w:r>
            <w:r w:rsidRPr="008B1260" w:rsidR="00394D5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>244 “Noteikumi par publiskās lietošanas dzelzceļa infrastruktūras tīkla pārskata saturu”</w:t>
            </w:r>
            <w:r w:rsidRPr="008B1260" w:rsidR="008B1260">
              <w:rPr>
                <w:rFonts w:ascii="Times New Roman" w:hAnsi="Times New Roman"/>
                <w:bCs/>
                <w:sz w:val="24"/>
                <w:szCs w:val="24"/>
              </w:rPr>
              <w:t xml:space="preserve">, jo 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 xml:space="preserve">pēc Projekta spēkā stāšanās, publiskās lietošanas dzelzceļa infrastruktūras tīkla pārskatā būs nepieciešams publicēt divas jaunas </w:t>
            </w:r>
            <w:r w:rsidRPr="008B1260" w:rsidR="008B1260">
              <w:rPr>
                <w:rFonts w:ascii="Times New Roman" w:hAnsi="Times New Roman"/>
                <w:bCs/>
                <w:sz w:val="24"/>
                <w:szCs w:val="24"/>
              </w:rPr>
              <w:t>VAS “Latvijas dzelzceļš”</w:t>
            </w:r>
            <w:r w:rsidRPr="008B1260">
              <w:rPr>
                <w:rFonts w:ascii="Times New Roman" w:hAnsi="Times New Roman"/>
                <w:bCs/>
                <w:sz w:val="24"/>
                <w:szCs w:val="24"/>
              </w:rPr>
              <w:t xml:space="preserve"> izstrādātas kārtības</w:t>
            </w:r>
            <w:r w:rsidRPr="008B1260" w:rsidR="008B12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Pr="008F12EE" w:rsidR="00946504" w:rsidTr="00F7031E" w14:paraId="1AE00D13" w14:textId="77777777">
        <w:tblPrEx>
          <w:tblLook w:val="0000" w:firstRow="0" w:lastRow="0" w:firstColumn="0" w:lastColumn="0" w:noHBand="0" w:noVBand="0"/>
        </w:tblPrEx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41ACEBB6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21DB8AB9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/>
                <w:bCs/>
                <w:sz w:val="24"/>
                <w:szCs w:val="24"/>
              </w:rPr>
              <w:t>Atbildīgā institūcija</w:t>
            </w:r>
          </w:p>
        </w:tc>
        <w:tc>
          <w:tcPr>
            <w:tcW w:w="6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7E659A5E" w14:textId="71D30B93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/>
                <w:bCs/>
                <w:sz w:val="24"/>
                <w:szCs w:val="24"/>
              </w:rPr>
              <w:t>Satiksmes ministrija.</w:t>
            </w:r>
          </w:p>
        </w:tc>
      </w:tr>
      <w:tr w:rsidRPr="008F12EE" w:rsidR="00946504" w:rsidTr="00C45A60" w14:paraId="0504F6E8" w14:textId="77777777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20624E5F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946504" w:rsidP="00946504" w:rsidRDefault="00946504" w14:paraId="76655C63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6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C45A60" w:rsidR="001170AD" w:rsidP="00946504" w:rsidRDefault="001170AD" w14:paraId="299645EA" w14:textId="39415EF1">
            <w:pPr>
              <w:widowControl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</w:pPr>
            <w:r w:rsidRPr="00C45A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>Satiksmes ministrija izstrādā</w:t>
            </w:r>
            <w:r w:rsidR="008B12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>ja</w:t>
            </w:r>
            <w:r w:rsidRPr="00C45A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 xml:space="preserve"> grozījum</w:t>
            </w:r>
            <w:r w:rsidR="008B12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>us</w:t>
            </w:r>
            <w:r w:rsidRPr="00C45A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C45A60" w:rsidR="00F64A1A">
              <w:rPr>
                <w:rFonts w:ascii="Times New Roman" w:hAnsi="Times New Roman"/>
                <w:bCs/>
                <w:sz w:val="24"/>
                <w:szCs w:val="24"/>
              </w:rPr>
              <w:t>Ministru kabineta 2016.</w:t>
            </w:r>
            <w:r w:rsidR="00394D5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45A60" w:rsidR="00F64A1A">
              <w:rPr>
                <w:rFonts w:ascii="Times New Roman" w:hAnsi="Times New Roman"/>
                <w:bCs/>
                <w:sz w:val="24"/>
                <w:szCs w:val="24"/>
              </w:rPr>
              <w:t>gada 19.</w:t>
            </w:r>
            <w:r w:rsidR="00394D5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45A60" w:rsidR="00F64A1A">
              <w:rPr>
                <w:rFonts w:ascii="Times New Roman" w:hAnsi="Times New Roman"/>
                <w:bCs/>
                <w:sz w:val="24"/>
                <w:szCs w:val="24"/>
              </w:rPr>
              <w:t>aprīļa noteikumos Nr.</w:t>
            </w:r>
            <w:r w:rsidR="00394D5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45A60" w:rsidR="00F64A1A">
              <w:rPr>
                <w:rFonts w:ascii="Times New Roman" w:hAnsi="Times New Roman"/>
                <w:bCs/>
                <w:sz w:val="24"/>
                <w:szCs w:val="24"/>
              </w:rPr>
              <w:t>244 “Noteikumi par publiskās lietošanas dzelzceļa infrastruktūras tīkla pārskata saturu”</w:t>
            </w:r>
            <w:r w:rsidRPr="00C45A60" w:rsidR="008916A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45A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 xml:space="preserve"> kas </w:t>
            </w:r>
            <w:r w:rsidRPr="00C45A60" w:rsidR="00F64A1A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>tiks</w:t>
            </w:r>
            <w:r w:rsidRPr="00C45A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 xml:space="preserve"> virzīt</w:t>
            </w:r>
            <w:r w:rsidR="008B12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Pr="00C45A60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C45A60" w:rsidR="00F64A1A">
              <w:rPr>
                <w:rFonts w:ascii="Times New Roman" w:hAnsi="Times New Roman"/>
                <w:bCs/>
                <w:iCs/>
                <w:sz w:val="24"/>
                <w:szCs w:val="24"/>
                <w:lang w:eastAsia="lv-LV"/>
              </w:rPr>
              <w:t>noteiktajā kārtībā.</w:t>
            </w:r>
          </w:p>
        </w:tc>
      </w:tr>
    </w:tbl>
    <w:p w:rsidRPr="006F412C" w:rsidR="0024095F" w:rsidP="0024095F" w:rsidRDefault="0024095F" w14:paraId="2A80CE0A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eastAsia="lv-LV"/>
        </w:rPr>
      </w:pPr>
    </w:p>
    <w:tbl>
      <w:tblPr>
        <w:tblW w:w="9639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Pr="008F12EE" w:rsidR="00426C3F" w:rsidTr="00F7031E" w14:paraId="3A360175" w14:textId="77777777">
        <w:trPr>
          <w:trHeight w:val="372"/>
        </w:trPr>
        <w:tc>
          <w:tcPr>
            <w:tcW w:w="9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8F12EE" w:rsidR="0024095F" w:rsidP="00895E3C" w:rsidRDefault="0024095F" w14:paraId="2A6D3278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8F12EE" w:rsidR="00426C3F" w:rsidTr="00F7031E" w14:paraId="480D3913" w14:textId="77777777">
        <w:trPr>
          <w:trHeight w:val="372"/>
        </w:trPr>
        <w:tc>
          <w:tcPr>
            <w:tcW w:w="96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8F12EE" w:rsidR="00D42E70" w:rsidP="00895E3C" w:rsidRDefault="00D42E70" w14:paraId="44E2B381" w14:textId="77777777"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8F12EE" w:rsidR="00DE6F50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6F412C" w:rsidR="00727AA6" w:rsidP="0024095F" w:rsidRDefault="00727AA6" w14:paraId="3E53663E" w14:textId="77777777">
      <w:pPr>
        <w:widowControl/>
        <w:spacing w:after="0" w:line="240" w:lineRule="auto"/>
        <w:rPr>
          <w:rFonts w:ascii="Times New Roman" w:hAnsi="Times New Roman" w:eastAsia="Times New Roman"/>
          <w:sz w:val="24"/>
          <w:szCs w:val="24"/>
          <w:lang w:eastAsia="lv-LV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Pr="008F12EE" w:rsidR="00426C3F" w:rsidTr="00F7031E" w14:paraId="582A013D" w14:textId="77777777">
        <w:trPr>
          <w:trHeight w:val="421"/>
        </w:trPr>
        <w:tc>
          <w:tcPr>
            <w:tcW w:w="9639" w:type="dxa"/>
          </w:tcPr>
          <w:p w:rsidRPr="008F12EE" w:rsidR="0024095F" w:rsidP="00895E3C" w:rsidRDefault="0024095F" w14:paraId="20863849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8F12EE" w:rsidR="001D2473" w:rsidTr="00F7031E" w14:paraId="33589F70" w14:textId="77777777">
        <w:trPr>
          <w:trHeight w:val="444"/>
        </w:trPr>
        <w:tc>
          <w:tcPr>
            <w:tcW w:w="9639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F12EE" w:rsidR="001D2473" w:rsidP="001D2473" w:rsidRDefault="001D2473" w14:paraId="5E7E6E41" w14:textId="77777777">
            <w:pPr>
              <w:spacing w:after="0" w:line="240" w:lineRule="auto"/>
              <w:ind w:left="6" w:right="142" w:hanging="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p61" w:id="1"/>
            <w:bookmarkEnd w:id="1"/>
            <w:r w:rsidRPr="008F12E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6F412C" w:rsidR="00727AA6" w:rsidP="00284F34" w:rsidRDefault="00727AA6" w14:paraId="69E94DC6" w14:textId="77777777">
      <w:pPr>
        <w:widowControl/>
        <w:spacing w:after="0" w:line="240" w:lineRule="auto"/>
        <w:rPr>
          <w:rFonts w:ascii="Times New Roman" w:hAnsi="Times New Roman" w:eastAsia="Times New Roman"/>
          <w:iCs/>
          <w:sz w:val="28"/>
          <w:szCs w:val="28"/>
          <w:lang w:eastAsia="lv-LV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095"/>
      </w:tblGrid>
      <w:tr w:rsidRPr="008F12EE" w:rsidR="0024095F" w:rsidTr="00F7031E" w14:paraId="2391CF88" w14:textId="77777777">
        <w:trPr>
          <w:trHeight w:val="580"/>
        </w:trPr>
        <w:tc>
          <w:tcPr>
            <w:tcW w:w="9639" w:type="dxa"/>
            <w:gridSpan w:val="3"/>
          </w:tcPr>
          <w:p w:rsidRPr="008F12EE" w:rsidR="0024095F" w:rsidP="00895E3C" w:rsidRDefault="0024095F" w14:paraId="365986B6" w14:textId="77777777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8F12EE" w:rsidR="0024095F" w:rsidTr="00CB0E38" w14:paraId="108CB178" w14:textId="77777777">
        <w:trPr>
          <w:trHeight w:val="690"/>
        </w:trPr>
        <w:tc>
          <w:tcPr>
            <w:tcW w:w="426" w:type="dxa"/>
          </w:tcPr>
          <w:p w:rsidRPr="008F12EE" w:rsidR="0024095F" w:rsidP="00895E3C" w:rsidRDefault="0024095F" w14:paraId="2BD35EF6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bookmarkStart w:name="_Hlk535848927" w:id="2"/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8" w:type="dxa"/>
          </w:tcPr>
          <w:p w:rsidRPr="008F12EE" w:rsidR="0024095F" w:rsidP="00895E3C" w:rsidRDefault="0024095F" w14:paraId="66EED2F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095" w:type="dxa"/>
          </w:tcPr>
          <w:p w:rsidRPr="008F12EE" w:rsidR="0024095F" w:rsidP="00426C3F" w:rsidRDefault="00E83B3B" w14:paraId="731F3DA4" w14:textId="78A1644D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bookmarkStart w:name="p66" w:id="3"/>
            <w:bookmarkStart w:name="p67" w:id="4"/>
            <w:bookmarkStart w:name="p68" w:id="5"/>
            <w:bookmarkStart w:name="p69" w:id="6"/>
            <w:bookmarkEnd w:id="3"/>
            <w:bookmarkEnd w:id="4"/>
            <w:bookmarkEnd w:id="5"/>
            <w:bookmarkEnd w:id="6"/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Rīgas </w:t>
            </w:r>
            <w:r w:rsidRPr="00B1003C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brīvostas pārvalde, VAS “Latvijas dzelzceļš</w:t>
            </w:r>
            <w:r w:rsidRPr="00B1003C" w:rsidR="008A0DF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”, Valsts dzelzceļa administrācija.</w:t>
            </w:r>
          </w:p>
        </w:tc>
      </w:tr>
      <w:tr w:rsidRPr="008F12EE" w:rsidR="0024095F" w:rsidTr="00CB0E38" w14:paraId="4240BD82" w14:textId="77777777">
        <w:trPr>
          <w:trHeight w:val="2062"/>
        </w:trPr>
        <w:tc>
          <w:tcPr>
            <w:tcW w:w="426" w:type="dxa"/>
          </w:tcPr>
          <w:p w:rsidRPr="008F12EE" w:rsidR="0024095F" w:rsidP="00895E3C" w:rsidRDefault="0024095F" w14:paraId="008109DC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8" w:type="dxa"/>
          </w:tcPr>
          <w:p w:rsidRPr="008F12EE" w:rsidR="0024095F" w:rsidP="00895E3C" w:rsidRDefault="0024095F" w14:paraId="7163F86A" w14:textId="3A686A7C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Pr="008F12EE" w:rsidR="0024095F" w:rsidP="00895E3C" w:rsidRDefault="0024095F" w14:paraId="233DDCE4" w14:textId="52C9E233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095" w:type="dxa"/>
          </w:tcPr>
          <w:p w:rsidRPr="008F12EE" w:rsidR="008D7DFE" w:rsidP="00426C3F" w:rsidRDefault="008D7DFE" w14:paraId="174FE8E1" w14:textId="6D69B8AE">
            <w:pPr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/>
                <w:sz w:val="24"/>
                <w:szCs w:val="24"/>
              </w:rPr>
              <w:t>Projekta īstenošana tiks veikta esošo cilvēkresursu</w:t>
            </w:r>
            <w:r w:rsidRPr="008F12EE" w:rsidR="00FF03B6">
              <w:rPr>
                <w:rFonts w:ascii="Times New Roman" w:hAnsi="Times New Roman"/>
                <w:sz w:val="24"/>
                <w:szCs w:val="24"/>
              </w:rPr>
              <w:t xml:space="preserve"> un funkciju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 xml:space="preserve"> ietvaros. Saistībā ar </w:t>
            </w:r>
            <w:r w:rsidRPr="008F12EE" w:rsidR="00CA29AD">
              <w:rPr>
                <w:rFonts w:ascii="Times New Roman" w:hAnsi="Times New Roman"/>
                <w:sz w:val="24"/>
                <w:szCs w:val="24"/>
              </w:rPr>
              <w:t>P</w:t>
            </w:r>
            <w:r w:rsidRPr="008F12EE">
              <w:rPr>
                <w:rFonts w:ascii="Times New Roman" w:hAnsi="Times New Roman"/>
                <w:sz w:val="24"/>
                <w:szCs w:val="24"/>
              </w:rPr>
              <w:t xml:space="preserve">rojekta izpildi nebūs nepieciešams veidot jaunas institūcijas vai likvidēt vai reorganizēt esošās.  </w:t>
            </w:r>
          </w:p>
          <w:p w:rsidRPr="008F12EE" w:rsidR="0024095F" w:rsidP="00426C3F" w:rsidRDefault="0024095F" w14:paraId="6FA5AF3E" w14:textId="77777777">
            <w:pPr>
              <w:widowControl/>
              <w:shd w:val="clear" w:color="auto" w:fill="FFFFFF"/>
              <w:spacing w:after="0" w:line="240" w:lineRule="auto"/>
              <w:ind w:left="57" w:right="110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</w:tr>
      <w:tr w:rsidRPr="008F12EE" w:rsidR="0024095F" w:rsidTr="00F7031E" w14:paraId="35E1B916" w14:textId="77777777">
        <w:trPr>
          <w:trHeight w:val="402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12EE" w:rsidR="0024095F" w:rsidP="00895E3C" w:rsidRDefault="0024095F" w14:paraId="48B2F1ED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12EE" w:rsidR="0024095F" w:rsidP="00895E3C" w:rsidRDefault="0024095F" w14:paraId="13F7F8CD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</w:rPr>
              <w:t>Cita informācija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12EE" w:rsidR="00195A92" w:rsidP="00195A92" w:rsidRDefault="0024095F" w14:paraId="2B1092F0" w14:textId="77777777">
            <w:pPr>
              <w:widowControl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8F12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Nav</w:t>
            </w:r>
            <w:r w:rsidRPr="008F12EE" w:rsidR="006658B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</w:p>
        </w:tc>
      </w:tr>
      <w:bookmarkEnd w:id="2"/>
    </w:tbl>
    <w:p w:rsidRPr="008F12EE" w:rsidR="00195A92" w:rsidP="006432B0" w:rsidRDefault="00195A92" w14:paraId="2F8647CD" w14:textId="524F3451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:rsidRPr="008F12EE" w:rsidR="00BF7FA3" w:rsidP="006432B0" w:rsidRDefault="00BF7FA3" w14:paraId="4396EFF3" w14:textId="77777777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:rsidRPr="008F12EE" w:rsidR="00195A92" w:rsidP="006432B0" w:rsidRDefault="00944DEE" w14:paraId="4D7D4FE6" w14:textId="77777777">
      <w:pPr>
        <w:widowControl/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12EE">
        <w:rPr>
          <w:rFonts w:ascii="Times New Roman" w:hAnsi="Times New Roman"/>
          <w:sz w:val="24"/>
          <w:szCs w:val="24"/>
        </w:rPr>
        <w:t>S</w:t>
      </w:r>
      <w:r w:rsidRPr="008F12EE" w:rsidR="00195A92">
        <w:rPr>
          <w:rFonts w:ascii="Times New Roman" w:hAnsi="Times New Roman"/>
          <w:sz w:val="24"/>
          <w:szCs w:val="24"/>
        </w:rPr>
        <w:t>atiksmes ministrs</w:t>
      </w:r>
      <w:r w:rsidRPr="008F12EE" w:rsidR="00195A92">
        <w:rPr>
          <w:rFonts w:ascii="Times New Roman" w:hAnsi="Times New Roman"/>
          <w:sz w:val="24"/>
          <w:szCs w:val="24"/>
        </w:rPr>
        <w:tab/>
      </w:r>
      <w:r w:rsidRPr="008F12EE" w:rsidR="00195A92">
        <w:rPr>
          <w:rFonts w:ascii="Times New Roman" w:hAnsi="Times New Roman"/>
          <w:sz w:val="24"/>
          <w:szCs w:val="24"/>
        </w:rPr>
        <w:tab/>
        <w:t xml:space="preserve">      </w:t>
      </w:r>
      <w:r w:rsidRPr="008F12EE" w:rsidR="00400933">
        <w:rPr>
          <w:rFonts w:ascii="Times New Roman" w:hAnsi="Times New Roman"/>
          <w:sz w:val="24"/>
          <w:szCs w:val="24"/>
        </w:rPr>
        <w:t xml:space="preserve"> </w:t>
      </w:r>
      <w:r w:rsidRPr="008F12EE" w:rsidR="00E30093">
        <w:rPr>
          <w:rFonts w:ascii="Times New Roman" w:hAnsi="Times New Roman"/>
          <w:sz w:val="24"/>
          <w:szCs w:val="24"/>
        </w:rPr>
        <w:t>T. Linkaits</w:t>
      </w:r>
    </w:p>
    <w:p w:rsidRPr="008F12EE" w:rsidR="00802236" w:rsidP="006432B0" w:rsidRDefault="00802236" w14:paraId="5B6F0EE2" w14:textId="77777777">
      <w:pPr>
        <w:widowControl/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FFB" w:rsidP="00464229" w:rsidRDefault="00195A92" w14:paraId="4E9AD642" w14:textId="179B8352">
      <w:pPr>
        <w:widowControl/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EE">
        <w:rPr>
          <w:rFonts w:ascii="Times New Roman" w:hAnsi="Times New Roman"/>
          <w:sz w:val="24"/>
          <w:szCs w:val="24"/>
        </w:rPr>
        <w:t xml:space="preserve">Vīza: </w:t>
      </w:r>
      <w:r w:rsidRPr="008F12EE" w:rsidR="00875410">
        <w:rPr>
          <w:rFonts w:ascii="Times New Roman" w:hAnsi="Times New Roman"/>
          <w:sz w:val="24"/>
          <w:szCs w:val="24"/>
        </w:rPr>
        <w:t>v</w:t>
      </w:r>
      <w:r w:rsidRPr="008F12EE" w:rsidR="00CE2314">
        <w:rPr>
          <w:rFonts w:ascii="Times New Roman" w:hAnsi="Times New Roman"/>
          <w:sz w:val="24"/>
          <w:szCs w:val="24"/>
        </w:rPr>
        <w:t>alsts sekretār</w:t>
      </w:r>
      <w:r w:rsidR="00696FFB">
        <w:rPr>
          <w:rFonts w:ascii="Times New Roman" w:hAnsi="Times New Roman"/>
          <w:sz w:val="24"/>
          <w:szCs w:val="24"/>
        </w:rPr>
        <w:t>e</w:t>
      </w:r>
      <w:r w:rsidRPr="008F12EE" w:rsidR="00CE2314">
        <w:rPr>
          <w:rFonts w:ascii="Times New Roman" w:hAnsi="Times New Roman"/>
          <w:sz w:val="24"/>
          <w:szCs w:val="24"/>
        </w:rPr>
        <w:tab/>
      </w:r>
      <w:r w:rsidRPr="008F12EE" w:rsidR="00CE2314">
        <w:rPr>
          <w:rFonts w:ascii="Times New Roman" w:hAnsi="Times New Roman"/>
          <w:sz w:val="24"/>
          <w:szCs w:val="24"/>
        </w:rPr>
        <w:tab/>
      </w:r>
      <w:r w:rsidRPr="008F12EE" w:rsidR="007109CC">
        <w:rPr>
          <w:rFonts w:ascii="Times New Roman" w:hAnsi="Times New Roman"/>
          <w:sz w:val="24"/>
          <w:szCs w:val="24"/>
        </w:rPr>
        <w:t xml:space="preserve"> </w:t>
      </w:r>
      <w:r w:rsidRPr="008F12EE" w:rsidR="007109CC">
        <w:rPr>
          <w:rFonts w:ascii="Times New Roman" w:hAnsi="Times New Roman"/>
          <w:sz w:val="24"/>
          <w:szCs w:val="24"/>
        </w:rPr>
        <w:tab/>
      </w:r>
      <w:r w:rsidRPr="008F12EE" w:rsidR="00CE2314">
        <w:rPr>
          <w:rFonts w:ascii="Times New Roman" w:hAnsi="Times New Roman"/>
          <w:sz w:val="24"/>
          <w:szCs w:val="24"/>
        </w:rPr>
        <w:tab/>
      </w:r>
      <w:r w:rsidR="00696FFB">
        <w:rPr>
          <w:rFonts w:ascii="Times New Roman" w:hAnsi="Times New Roman"/>
          <w:sz w:val="24"/>
          <w:szCs w:val="24"/>
        </w:rPr>
        <w:t>I. Stepanova</w:t>
      </w:r>
    </w:p>
    <w:p w:rsidRPr="00696FFB" w:rsidR="00696FFB" w:rsidP="00696FFB" w:rsidRDefault="00696FFB" w14:paraId="5DDB4F75" w14:textId="77777777">
      <w:pPr>
        <w:rPr>
          <w:rFonts w:ascii="Times New Roman" w:hAnsi="Times New Roman"/>
          <w:sz w:val="24"/>
          <w:szCs w:val="24"/>
        </w:rPr>
      </w:pPr>
    </w:p>
    <w:p w:rsidRPr="00696FFB" w:rsidR="00696FFB" w:rsidP="00696FFB" w:rsidRDefault="00696FFB" w14:paraId="055E69AF" w14:textId="77777777">
      <w:pPr>
        <w:rPr>
          <w:rFonts w:ascii="Times New Roman" w:hAnsi="Times New Roman"/>
          <w:sz w:val="24"/>
          <w:szCs w:val="24"/>
        </w:rPr>
      </w:pPr>
    </w:p>
    <w:sectPr w:rsidRPr="00696FFB" w:rsidR="00696FFB" w:rsidSect="00F7031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AFC2" w14:textId="77777777" w:rsidR="00AC4015" w:rsidRDefault="00AC4015" w:rsidP="00D143FB">
      <w:pPr>
        <w:spacing w:after="0" w:line="240" w:lineRule="auto"/>
      </w:pPr>
      <w:r>
        <w:separator/>
      </w:r>
    </w:p>
  </w:endnote>
  <w:endnote w:type="continuationSeparator" w:id="0">
    <w:p w14:paraId="0494077E" w14:textId="77777777" w:rsidR="00AC4015" w:rsidRDefault="00AC4015" w:rsidP="00D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6950" w14:textId="77777777" w:rsidR="00426C3F" w:rsidRDefault="00426C3F" w:rsidP="00003AC0">
    <w:pPr>
      <w:pStyle w:val="Footer"/>
      <w:rPr>
        <w:rFonts w:ascii="Times New Roman" w:hAnsi="Times New Roman"/>
        <w:noProof/>
        <w:sz w:val="20"/>
        <w:szCs w:val="20"/>
      </w:rPr>
    </w:pPr>
  </w:p>
  <w:p w14:paraId="243BD6E4" w14:textId="06027501" w:rsidR="00003AC0" w:rsidRPr="00DB0CD5" w:rsidRDefault="00DB0CD5" w:rsidP="00464229">
    <w:pPr>
      <w:pStyle w:val="Footer"/>
      <w:tabs>
        <w:tab w:val="clear" w:pos="4153"/>
        <w:tab w:val="clear" w:pos="8306"/>
        <w:tab w:val="left" w:pos="5880"/>
      </w:tabs>
      <w:rPr>
        <w:rFonts w:ascii="Times New Roman" w:hAnsi="Times New Roman"/>
        <w:sz w:val="20"/>
        <w:szCs w:val="20"/>
      </w:rPr>
    </w:pPr>
    <w:r w:rsidRPr="00876FA6">
      <w:rPr>
        <w:rFonts w:ascii="Times New Roman" w:hAnsi="Times New Roman"/>
        <w:noProof/>
        <w:sz w:val="20"/>
        <w:szCs w:val="20"/>
      </w:rPr>
      <w:t>SMAnot_</w:t>
    </w:r>
    <w:r w:rsidR="00610782">
      <w:rPr>
        <w:rFonts w:ascii="Times New Roman" w:hAnsi="Times New Roman"/>
        <w:noProof/>
        <w:sz w:val="20"/>
        <w:szCs w:val="20"/>
      </w:rPr>
      <w:t>2505</w:t>
    </w:r>
    <w:r w:rsidR="00940E7B" w:rsidRPr="00876FA6">
      <w:rPr>
        <w:rFonts w:ascii="Times New Roman" w:hAnsi="Times New Roman"/>
        <w:noProof/>
        <w:sz w:val="20"/>
        <w:szCs w:val="20"/>
      </w:rPr>
      <w:t>20</w:t>
    </w:r>
    <w:r w:rsidRPr="00876FA6">
      <w:rPr>
        <w:rFonts w:ascii="Times New Roman" w:hAnsi="Times New Roman"/>
        <w:noProof/>
        <w:sz w:val="20"/>
        <w:szCs w:val="20"/>
      </w:rPr>
      <w:t>_</w:t>
    </w:r>
    <w:r w:rsidR="00AD7453" w:rsidRPr="00876FA6">
      <w:rPr>
        <w:rFonts w:ascii="Times New Roman" w:hAnsi="Times New Roman"/>
        <w:noProof/>
        <w:sz w:val="20"/>
        <w:szCs w:val="20"/>
      </w:rPr>
      <w:t>GrozMK</w:t>
    </w:r>
    <w:r w:rsidR="00464229" w:rsidRPr="00876FA6">
      <w:rPr>
        <w:rFonts w:ascii="Times New Roman" w:hAnsi="Times New Roman"/>
        <w:noProof/>
        <w:sz w:val="20"/>
        <w:szCs w:val="20"/>
      </w:rPr>
      <w:t>Rik</w:t>
    </w:r>
    <w:r w:rsidR="00AD7453" w:rsidRPr="00876FA6">
      <w:rPr>
        <w:rFonts w:ascii="Times New Roman" w:hAnsi="Times New Roman"/>
        <w:noProof/>
        <w:sz w:val="20"/>
        <w:szCs w:val="20"/>
      </w:rPr>
      <w:t>_</w:t>
    </w:r>
    <w:r w:rsidR="00464229" w:rsidRPr="00876FA6">
      <w:rPr>
        <w:rFonts w:ascii="Times New Roman" w:hAnsi="Times New Roman"/>
        <w:noProof/>
        <w:sz w:val="20"/>
        <w:szCs w:val="20"/>
      </w:rPr>
      <w:t>215</w:t>
    </w:r>
    <w:r w:rsidR="00464229">
      <w:rPr>
        <w:rFonts w:ascii="Times New Roman" w:hAnsi="Times New Roman"/>
        <w:noProof/>
        <w:sz w:val="20"/>
        <w:szCs w:val="20"/>
      </w:rPr>
      <w:tab/>
    </w:r>
  </w:p>
  <w:p w14:paraId="26AF9E7B" w14:textId="77777777" w:rsidR="0008688D" w:rsidRPr="00003AC0" w:rsidRDefault="0008688D" w:rsidP="00003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DAF1" w14:textId="03863EE3" w:rsidR="0008688D" w:rsidRPr="00A0261B" w:rsidRDefault="00D72C6C" w:rsidP="00003AC0">
    <w:pPr>
      <w:pStyle w:val="Footer"/>
      <w:rPr>
        <w:rFonts w:ascii="Times New Roman" w:hAnsi="Times New Roman"/>
        <w:sz w:val="20"/>
        <w:szCs w:val="20"/>
      </w:rPr>
    </w:pPr>
    <w:r w:rsidRPr="00876FA6">
      <w:rPr>
        <w:rFonts w:ascii="Times New Roman" w:hAnsi="Times New Roman"/>
        <w:sz w:val="20"/>
        <w:szCs w:val="20"/>
      </w:rPr>
      <w:t>SMAnot_</w:t>
    </w:r>
    <w:r w:rsidR="00610782">
      <w:rPr>
        <w:rFonts w:ascii="Times New Roman" w:hAnsi="Times New Roman"/>
        <w:sz w:val="20"/>
        <w:szCs w:val="20"/>
      </w:rPr>
      <w:t>2505</w:t>
    </w:r>
    <w:r w:rsidR="00940E7B" w:rsidRPr="00876FA6">
      <w:rPr>
        <w:rFonts w:ascii="Times New Roman" w:hAnsi="Times New Roman"/>
        <w:sz w:val="20"/>
        <w:szCs w:val="20"/>
      </w:rPr>
      <w:t>20</w:t>
    </w:r>
    <w:r w:rsidRPr="00876FA6">
      <w:rPr>
        <w:rFonts w:ascii="Times New Roman" w:hAnsi="Times New Roman"/>
        <w:sz w:val="20"/>
        <w:szCs w:val="20"/>
      </w:rPr>
      <w:t>_</w:t>
    </w:r>
    <w:r w:rsidR="00AD7453" w:rsidRPr="00876FA6">
      <w:rPr>
        <w:rFonts w:ascii="Times New Roman" w:hAnsi="Times New Roman"/>
        <w:sz w:val="20"/>
        <w:szCs w:val="20"/>
      </w:rPr>
      <w:t>Groz</w:t>
    </w:r>
    <w:r w:rsidR="00DA116F" w:rsidRPr="00876FA6">
      <w:rPr>
        <w:rFonts w:ascii="Times New Roman" w:hAnsi="Times New Roman"/>
        <w:sz w:val="20"/>
        <w:szCs w:val="20"/>
      </w:rPr>
      <w:t>M</w:t>
    </w:r>
    <w:r w:rsidR="00B10EE5" w:rsidRPr="00876FA6">
      <w:rPr>
        <w:rFonts w:ascii="Times New Roman" w:hAnsi="Times New Roman"/>
        <w:sz w:val="20"/>
        <w:szCs w:val="20"/>
      </w:rPr>
      <w:t>k</w:t>
    </w:r>
    <w:r w:rsidR="00464229" w:rsidRPr="00876FA6">
      <w:rPr>
        <w:rFonts w:ascii="Times New Roman" w:hAnsi="Times New Roman"/>
        <w:sz w:val="20"/>
        <w:szCs w:val="20"/>
      </w:rPr>
      <w:t>Rik</w:t>
    </w:r>
    <w:r w:rsidR="00AD7453" w:rsidRPr="00876FA6">
      <w:rPr>
        <w:rFonts w:ascii="Times New Roman" w:hAnsi="Times New Roman"/>
        <w:sz w:val="20"/>
        <w:szCs w:val="20"/>
      </w:rPr>
      <w:t>_</w:t>
    </w:r>
    <w:r w:rsidR="00464229" w:rsidRPr="00876FA6">
      <w:rPr>
        <w:rFonts w:ascii="Times New Roman" w:hAnsi="Times New Roman"/>
        <w:sz w:val="20"/>
        <w:szCs w:val="20"/>
      </w:rPr>
      <w:t>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11FE" w14:textId="77777777" w:rsidR="00AC4015" w:rsidRDefault="00AC4015" w:rsidP="00D143FB">
      <w:pPr>
        <w:spacing w:after="0" w:line="240" w:lineRule="auto"/>
      </w:pPr>
      <w:r>
        <w:separator/>
      </w:r>
    </w:p>
  </w:footnote>
  <w:footnote w:type="continuationSeparator" w:id="0">
    <w:p w14:paraId="7D00C882" w14:textId="77777777" w:rsidR="00AC4015" w:rsidRDefault="00AC4015" w:rsidP="00D1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34595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D143FB" w:rsidR="0008688D" w:rsidRDefault="0008688D" w14:paraId="7D64A41E" w14:textId="22A8E21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143FB">
          <w:rPr>
            <w:rFonts w:ascii="Times New Roman" w:hAnsi="Times New Roman"/>
            <w:sz w:val="24"/>
            <w:szCs w:val="24"/>
          </w:rPr>
          <w:fldChar w:fldCharType="begin"/>
        </w:r>
        <w:r w:rsidRPr="00D143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43FB">
          <w:rPr>
            <w:rFonts w:ascii="Times New Roman" w:hAnsi="Times New Roman"/>
            <w:sz w:val="24"/>
            <w:szCs w:val="24"/>
          </w:rPr>
          <w:fldChar w:fldCharType="separate"/>
        </w:r>
        <w:r w:rsidR="00876BE3">
          <w:rPr>
            <w:rFonts w:ascii="Times New Roman" w:hAnsi="Times New Roman"/>
            <w:noProof/>
            <w:sz w:val="24"/>
            <w:szCs w:val="24"/>
          </w:rPr>
          <w:t>5</w:t>
        </w:r>
        <w:r w:rsidRPr="00D143F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8688D" w:rsidRDefault="0008688D" w14:paraId="18F91D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2D5"/>
    <w:multiLevelType w:val="hybridMultilevel"/>
    <w:tmpl w:val="629C6540"/>
    <w:lvl w:ilvl="0" w:tplc="D564D4DA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C658DD"/>
    <w:multiLevelType w:val="hybridMultilevel"/>
    <w:tmpl w:val="BA1AE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791"/>
    <w:multiLevelType w:val="hybridMultilevel"/>
    <w:tmpl w:val="B358E3AC"/>
    <w:lvl w:ilvl="0" w:tplc="02281A6A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AC078CE"/>
    <w:multiLevelType w:val="hybridMultilevel"/>
    <w:tmpl w:val="770EE252"/>
    <w:lvl w:ilvl="0" w:tplc="0426000F">
      <w:start w:val="1"/>
      <w:numFmt w:val="decimal"/>
      <w:lvlText w:val="%1."/>
      <w:lvlJc w:val="left"/>
      <w:pPr>
        <w:ind w:left="777" w:hanging="360"/>
      </w:p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584A50B9"/>
    <w:multiLevelType w:val="hybridMultilevel"/>
    <w:tmpl w:val="361A10F0"/>
    <w:lvl w:ilvl="0" w:tplc="6158F4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5F"/>
    <w:rsid w:val="00000B13"/>
    <w:rsid w:val="0000342B"/>
    <w:rsid w:val="00003AC0"/>
    <w:rsid w:val="00014AD1"/>
    <w:rsid w:val="00016B00"/>
    <w:rsid w:val="00020BDF"/>
    <w:rsid w:val="00020C5C"/>
    <w:rsid w:val="00027924"/>
    <w:rsid w:val="00031716"/>
    <w:rsid w:val="00037149"/>
    <w:rsid w:val="00040B0A"/>
    <w:rsid w:val="000479B6"/>
    <w:rsid w:val="00050D62"/>
    <w:rsid w:val="0005114C"/>
    <w:rsid w:val="00053AB9"/>
    <w:rsid w:val="000571A3"/>
    <w:rsid w:val="00070B63"/>
    <w:rsid w:val="000730B3"/>
    <w:rsid w:val="00080E99"/>
    <w:rsid w:val="00083201"/>
    <w:rsid w:val="00084159"/>
    <w:rsid w:val="000845AA"/>
    <w:rsid w:val="000855EB"/>
    <w:rsid w:val="0008688D"/>
    <w:rsid w:val="00091B37"/>
    <w:rsid w:val="00096A8F"/>
    <w:rsid w:val="000A1F81"/>
    <w:rsid w:val="000A3244"/>
    <w:rsid w:val="000A3EB5"/>
    <w:rsid w:val="000A5542"/>
    <w:rsid w:val="000B10BB"/>
    <w:rsid w:val="000B11C5"/>
    <w:rsid w:val="000B1790"/>
    <w:rsid w:val="000B56A2"/>
    <w:rsid w:val="000B6313"/>
    <w:rsid w:val="000D5EAC"/>
    <w:rsid w:val="000D7F62"/>
    <w:rsid w:val="000E29CC"/>
    <w:rsid w:val="000F2222"/>
    <w:rsid w:val="00100F67"/>
    <w:rsid w:val="00101DE2"/>
    <w:rsid w:val="00107A67"/>
    <w:rsid w:val="001110E5"/>
    <w:rsid w:val="00116CCD"/>
    <w:rsid w:val="00116CF9"/>
    <w:rsid w:val="001170AD"/>
    <w:rsid w:val="001213BE"/>
    <w:rsid w:val="00122299"/>
    <w:rsid w:val="0012781D"/>
    <w:rsid w:val="001324EB"/>
    <w:rsid w:val="0013488A"/>
    <w:rsid w:val="00136A1F"/>
    <w:rsid w:val="0014163B"/>
    <w:rsid w:val="001470FE"/>
    <w:rsid w:val="001474F0"/>
    <w:rsid w:val="00150148"/>
    <w:rsid w:val="00150F67"/>
    <w:rsid w:val="001635D1"/>
    <w:rsid w:val="00164F15"/>
    <w:rsid w:val="00166244"/>
    <w:rsid w:val="00166C95"/>
    <w:rsid w:val="0017190C"/>
    <w:rsid w:val="00174508"/>
    <w:rsid w:val="001775A7"/>
    <w:rsid w:val="00177D30"/>
    <w:rsid w:val="00183A15"/>
    <w:rsid w:val="00183D98"/>
    <w:rsid w:val="00186B08"/>
    <w:rsid w:val="001872FA"/>
    <w:rsid w:val="00191FBA"/>
    <w:rsid w:val="001937CB"/>
    <w:rsid w:val="00195A92"/>
    <w:rsid w:val="00195EB3"/>
    <w:rsid w:val="001A0165"/>
    <w:rsid w:val="001A539E"/>
    <w:rsid w:val="001A7442"/>
    <w:rsid w:val="001B3FD5"/>
    <w:rsid w:val="001C0F9A"/>
    <w:rsid w:val="001C210B"/>
    <w:rsid w:val="001C445A"/>
    <w:rsid w:val="001C4917"/>
    <w:rsid w:val="001C5006"/>
    <w:rsid w:val="001C509D"/>
    <w:rsid w:val="001C5CDC"/>
    <w:rsid w:val="001C730E"/>
    <w:rsid w:val="001D2473"/>
    <w:rsid w:val="001D4B60"/>
    <w:rsid w:val="001D5A26"/>
    <w:rsid w:val="001E00E0"/>
    <w:rsid w:val="001E1B7C"/>
    <w:rsid w:val="001E1CD8"/>
    <w:rsid w:val="001E1FAB"/>
    <w:rsid w:val="001E2EBD"/>
    <w:rsid w:val="001F4E6E"/>
    <w:rsid w:val="001F6EB0"/>
    <w:rsid w:val="002018D6"/>
    <w:rsid w:val="0020345A"/>
    <w:rsid w:val="00214CA6"/>
    <w:rsid w:val="00216AFD"/>
    <w:rsid w:val="00217D4D"/>
    <w:rsid w:val="0022135F"/>
    <w:rsid w:val="002257B5"/>
    <w:rsid w:val="00226CDD"/>
    <w:rsid w:val="002347A7"/>
    <w:rsid w:val="00234984"/>
    <w:rsid w:val="00235615"/>
    <w:rsid w:val="0024095F"/>
    <w:rsid w:val="00247227"/>
    <w:rsid w:val="002511EF"/>
    <w:rsid w:val="002549C8"/>
    <w:rsid w:val="00255BE0"/>
    <w:rsid w:val="002562C2"/>
    <w:rsid w:val="00257F6A"/>
    <w:rsid w:val="00262933"/>
    <w:rsid w:val="00266C74"/>
    <w:rsid w:val="00277BDE"/>
    <w:rsid w:val="00280E07"/>
    <w:rsid w:val="00284F34"/>
    <w:rsid w:val="00297406"/>
    <w:rsid w:val="002A43C4"/>
    <w:rsid w:val="002A7910"/>
    <w:rsid w:val="002B4092"/>
    <w:rsid w:val="002B6A0D"/>
    <w:rsid w:val="002C2BDD"/>
    <w:rsid w:val="002C452C"/>
    <w:rsid w:val="002C6885"/>
    <w:rsid w:val="002C733E"/>
    <w:rsid w:val="002D4EA9"/>
    <w:rsid w:val="002E1471"/>
    <w:rsid w:val="002E1E22"/>
    <w:rsid w:val="002E33DD"/>
    <w:rsid w:val="002F1044"/>
    <w:rsid w:val="002F3ECB"/>
    <w:rsid w:val="002F5E2D"/>
    <w:rsid w:val="00300C9D"/>
    <w:rsid w:val="0030122B"/>
    <w:rsid w:val="00301AB2"/>
    <w:rsid w:val="00305B2A"/>
    <w:rsid w:val="00306922"/>
    <w:rsid w:val="00310A88"/>
    <w:rsid w:val="00311B83"/>
    <w:rsid w:val="00312D5E"/>
    <w:rsid w:val="00313745"/>
    <w:rsid w:val="00316D85"/>
    <w:rsid w:val="00321B03"/>
    <w:rsid w:val="003276B2"/>
    <w:rsid w:val="00330B4C"/>
    <w:rsid w:val="00332ACE"/>
    <w:rsid w:val="00335BA3"/>
    <w:rsid w:val="00342B3B"/>
    <w:rsid w:val="0034653E"/>
    <w:rsid w:val="00353D99"/>
    <w:rsid w:val="00354A6A"/>
    <w:rsid w:val="003574D9"/>
    <w:rsid w:val="00361CB9"/>
    <w:rsid w:val="00361DE8"/>
    <w:rsid w:val="0037005D"/>
    <w:rsid w:val="00372938"/>
    <w:rsid w:val="00376DAE"/>
    <w:rsid w:val="00385B1F"/>
    <w:rsid w:val="003878B7"/>
    <w:rsid w:val="00387FDA"/>
    <w:rsid w:val="00394D51"/>
    <w:rsid w:val="003A04D0"/>
    <w:rsid w:val="003A4F4E"/>
    <w:rsid w:val="003B0566"/>
    <w:rsid w:val="003B7FD6"/>
    <w:rsid w:val="003C09BE"/>
    <w:rsid w:val="003C2A9E"/>
    <w:rsid w:val="003C7C70"/>
    <w:rsid w:val="003E2335"/>
    <w:rsid w:val="003E4097"/>
    <w:rsid w:val="003E7137"/>
    <w:rsid w:val="003F009A"/>
    <w:rsid w:val="003F3461"/>
    <w:rsid w:val="003F5446"/>
    <w:rsid w:val="00400933"/>
    <w:rsid w:val="004048C7"/>
    <w:rsid w:val="0041067B"/>
    <w:rsid w:val="004120F8"/>
    <w:rsid w:val="00415EAF"/>
    <w:rsid w:val="004204DA"/>
    <w:rsid w:val="0042245E"/>
    <w:rsid w:val="00426C3F"/>
    <w:rsid w:val="00430A00"/>
    <w:rsid w:val="00433F9C"/>
    <w:rsid w:val="004343F2"/>
    <w:rsid w:val="00435A76"/>
    <w:rsid w:val="00436CD3"/>
    <w:rsid w:val="00441DCD"/>
    <w:rsid w:val="0044236B"/>
    <w:rsid w:val="00444198"/>
    <w:rsid w:val="00450659"/>
    <w:rsid w:val="00450DE6"/>
    <w:rsid w:val="00451B5C"/>
    <w:rsid w:val="00452004"/>
    <w:rsid w:val="00453173"/>
    <w:rsid w:val="00464229"/>
    <w:rsid w:val="0046574D"/>
    <w:rsid w:val="00473CFA"/>
    <w:rsid w:val="004756B3"/>
    <w:rsid w:val="00476542"/>
    <w:rsid w:val="00483E63"/>
    <w:rsid w:val="0049038E"/>
    <w:rsid w:val="00496634"/>
    <w:rsid w:val="004A489A"/>
    <w:rsid w:val="004A4E25"/>
    <w:rsid w:val="004B1B65"/>
    <w:rsid w:val="004C1E0F"/>
    <w:rsid w:val="004D3161"/>
    <w:rsid w:val="004E3FBC"/>
    <w:rsid w:val="004E5FF3"/>
    <w:rsid w:val="004F400E"/>
    <w:rsid w:val="004F670A"/>
    <w:rsid w:val="00501FF9"/>
    <w:rsid w:val="0050375E"/>
    <w:rsid w:val="00504CB8"/>
    <w:rsid w:val="005170BE"/>
    <w:rsid w:val="00520B60"/>
    <w:rsid w:val="0052128F"/>
    <w:rsid w:val="00522C7B"/>
    <w:rsid w:val="00523120"/>
    <w:rsid w:val="00526688"/>
    <w:rsid w:val="00526FF3"/>
    <w:rsid w:val="00527595"/>
    <w:rsid w:val="0053011D"/>
    <w:rsid w:val="005303AE"/>
    <w:rsid w:val="00536FBF"/>
    <w:rsid w:val="00541BDE"/>
    <w:rsid w:val="005468B9"/>
    <w:rsid w:val="00552DBB"/>
    <w:rsid w:val="005538B8"/>
    <w:rsid w:val="00553F5E"/>
    <w:rsid w:val="005614EB"/>
    <w:rsid w:val="00563399"/>
    <w:rsid w:val="00567BE5"/>
    <w:rsid w:val="005721CC"/>
    <w:rsid w:val="00573612"/>
    <w:rsid w:val="0057410F"/>
    <w:rsid w:val="005804DC"/>
    <w:rsid w:val="005845BF"/>
    <w:rsid w:val="00587255"/>
    <w:rsid w:val="005877F2"/>
    <w:rsid w:val="00594E30"/>
    <w:rsid w:val="005A2208"/>
    <w:rsid w:val="005A4D37"/>
    <w:rsid w:val="005A4E64"/>
    <w:rsid w:val="005B2703"/>
    <w:rsid w:val="005B3447"/>
    <w:rsid w:val="005B4BF1"/>
    <w:rsid w:val="005D0BE8"/>
    <w:rsid w:val="005D4B7E"/>
    <w:rsid w:val="005E4C31"/>
    <w:rsid w:val="005F4768"/>
    <w:rsid w:val="005F5E82"/>
    <w:rsid w:val="005F6972"/>
    <w:rsid w:val="005F6974"/>
    <w:rsid w:val="005F7483"/>
    <w:rsid w:val="0060203E"/>
    <w:rsid w:val="00605457"/>
    <w:rsid w:val="006104F6"/>
    <w:rsid w:val="00610782"/>
    <w:rsid w:val="006114F1"/>
    <w:rsid w:val="006141E9"/>
    <w:rsid w:val="00617231"/>
    <w:rsid w:val="006177F5"/>
    <w:rsid w:val="00622924"/>
    <w:rsid w:val="006230E9"/>
    <w:rsid w:val="006240CB"/>
    <w:rsid w:val="006301DA"/>
    <w:rsid w:val="00630ECB"/>
    <w:rsid w:val="00637427"/>
    <w:rsid w:val="00637B2E"/>
    <w:rsid w:val="006432B0"/>
    <w:rsid w:val="00647807"/>
    <w:rsid w:val="00647E23"/>
    <w:rsid w:val="00650656"/>
    <w:rsid w:val="00655BDD"/>
    <w:rsid w:val="006571D2"/>
    <w:rsid w:val="00657719"/>
    <w:rsid w:val="00661CAB"/>
    <w:rsid w:val="00664A67"/>
    <w:rsid w:val="006658B1"/>
    <w:rsid w:val="006768A4"/>
    <w:rsid w:val="006840F4"/>
    <w:rsid w:val="00685EF4"/>
    <w:rsid w:val="00696FFB"/>
    <w:rsid w:val="006A0D58"/>
    <w:rsid w:val="006A17A5"/>
    <w:rsid w:val="006A6D30"/>
    <w:rsid w:val="006A784D"/>
    <w:rsid w:val="006B7659"/>
    <w:rsid w:val="006C1A77"/>
    <w:rsid w:val="006C1C1E"/>
    <w:rsid w:val="006C2CE1"/>
    <w:rsid w:val="006C60D0"/>
    <w:rsid w:val="006D405D"/>
    <w:rsid w:val="006E2009"/>
    <w:rsid w:val="006E4E51"/>
    <w:rsid w:val="006F412C"/>
    <w:rsid w:val="00703224"/>
    <w:rsid w:val="007050C7"/>
    <w:rsid w:val="007109CC"/>
    <w:rsid w:val="00717776"/>
    <w:rsid w:val="0072274B"/>
    <w:rsid w:val="00723C06"/>
    <w:rsid w:val="00725313"/>
    <w:rsid w:val="00725F65"/>
    <w:rsid w:val="00727AA6"/>
    <w:rsid w:val="0073387A"/>
    <w:rsid w:val="00740C68"/>
    <w:rsid w:val="00746A25"/>
    <w:rsid w:val="00747EB0"/>
    <w:rsid w:val="00757151"/>
    <w:rsid w:val="0076178E"/>
    <w:rsid w:val="00765F5F"/>
    <w:rsid w:val="007665DC"/>
    <w:rsid w:val="0076754A"/>
    <w:rsid w:val="0077218C"/>
    <w:rsid w:val="00773484"/>
    <w:rsid w:val="00781EA4"/>
    <w:rsid w:val="0078608F"/>
    <w:rsid w:val="00790019"/>
    <w:rsid w:val="0079155C"/>
    <w:rsid w:val="00792684"/>
    <w:rsid w:val="007A05FD"/>
    <w:rsid w:val="007A237F"/>
    <w:rsid w:val="007A53BF"/>
    <w:rsid w:val="007A58D5"/>
    <w:rsid w:val="007C61CC"/>
    <w:rsid w:val="007D40F6"/>
    <w:rsid w:val="007E0E29"/>
    <w:rsid w:val="007F0D84"/>
    <w:rsid w:val="007F3F07"/>
    <w:rsid w:val="00802236"/>
    <w:rsid w:val="00811C3A"/>
    <w:rsid w:val="008171F4"/>
    <w:rsid w:val="008177C8"/>
    <w:rsid w:val="00817EBC"/>
    <w:rsid w:val="00825C62"/>
    <w:rsid w:val="00826A76"/>
    <w:rsid w:val="00841C7A"/>
    <w:rsid w:val="008425E1"/>
    <w:rsid w:val="008432F2"/>
    <w:rsid w:val="008455C4"/>
    <w:rsid w:val="00851D25"/>
    <w:rsid w:val="0085680C"/>
    <w:rsid w:val="008709AC"/>
    <w:rsid w:val="00870F22"/>
    <w:rsid w:val="00875410"/>
    <w:rsid w:val="00876896"/>
    <w:rsid w:val="00876BE3"/>
    <w:rsid w:val="00876FA6"/>
    <w:rsid w:val="00877438"/>
    <w:rsid w:val="00885FD3"/>
    <w:rsid w:val="00887819"/>
    <w:rsid w:val="00887AD6"/>
    <w:rsid w:val="008916AE"/>
    <w:rsid w:val="0089529D"/>
    <w:rsid w:val="00895E3C"/>
    <w:rsid w:val="00897A3C"/>
    <w:rsid w:val="00897DDE"/>
    <w:rsid w:val="008A0DF0"/>
    <w:rsid w:val="008A150A"/>
    <w:rsid w:val="008B1260"/>
    <w:rsid w:val="008B3FF7"/>
    <w:rsid w:val="008C231B"/>
    <w:rsid w:val="008C3429"/>
    <w:rsid w:val="008C7097"/>
    <w:rsid w:val="008D20D1"/>
    <w:rsid w:val="008D6055"/>
    <w:rsid w:val="008D7DFE"/>
    <w:rsid w:val="008E3EBC"/>
    <w:rsid w:val="008F12EE"/>
    <w:rsid w:val="008F36D9"/>
    <w:rsid w:val="008F4FB2"/>
    <w:rsid w:val="009006DF"/>
    <w:rsid w:val="00905403"/>
    <w:rsid w:val="00907ED6"/>
    <w:rsid w:val="00912410"/>
    <w:rsid w:val="009276A0"/>
    <w:rsid w:val="00937188"/>
    <w:rsid w:val="00940E7B"/>
    <w:rsid w:val="009410EA"/>
    <w:rsid w:val="009446E0"/>
    <w:rsid w:val="00944DEE"/>
    <w:rsid w:val="00946504"/>
    <w:rsid w:val="00950064"/>
    <w:rsid w:val="009514D8"/>
    <w:rsid w:val="009560C5"/>
    <w:rsid w:val="00960653"/>
    <w:rsid w:val="009635C2"/>
    <w:rsid w:val="0096488D"/>
    <w:rsid w:val="00965AF9"/>
    <w:rsid w:val="009702FE"/>
    <w:rsid w:val="00970AA5"/>
    <w:rsid w:val="009733D6"/>
    <w:rsid w:val="009739D1"/>
    <w:rsid w:val="00975639"/>
    <w:rsid w:val="009830F1"/>
    <w:rsid w:val="00983E55"/>
    <w:rsid w:val="00986691"/>
    <w:rsid w:val="00996DE3"/>
    <w:rsid w:val="00996F66"/>
    <w:rsid w:val="009A1FBA"/>
    <w:rsid w:val="009A5419"/>
    <w:rsid w:val="009A7F89"/>
    <w:rsid w:val="009B21B7"/>
    <w:rsid w:val="009B3524"/>
    <w:rsid w:val="009C3244"/>
    <w:rsid w:val="009C7C97"/>
    <w:rsid w:val="009D7FEF"/>
    <w:rsid w:val="009E3115"/>
    <w:rsid w:val="009E42FF"/>
    <w:rsid w:val="009F1EFF"/>
    <w:rsid w:val="009F4A3E"/>
    <w:rsid w:val="00A0261B"/>
    <w:rsid w:val="00A12320"/>
    <w:rsid w:val="00A15548"/>
    <w:rsid w:val="00A256D6"/>
    <w:rsid w:val="00A25F4E"/>
    <w:rsid w:val="00A275A2"/>
    <w:rsid w:val="00A27CF6"/>
    <w:rsid w:val="00A30A59"/>
    <w:rsid w:val="00A3360F"/>
    <w:rsid w:val="00A35B4B"/>
    <w:rsid w:val="00A35BBD"/>
    <w:rsid w:val="00A372D7"/>
    <w:rsid w:val="00A438ED"/>
    <w:rsid w:val="00A506DE"/>
    <w:rsid w:val="00A530F5"/>
    <w:rsid w:val="00A577E4"/>
    <w:rsid w:val="00A643A2"/>
    <w:rsid w:val="00A728FE"/>
    <w:rsid w:val="00A758B8"/>
    <w:rsid w:val="00A77E4F"/>
    <w:rsid w:val="00A9398E"/>
    <w:rsid w:val="00A94FF1"/>
    <w:rsid w:val="00A95816"/>
    <w:rsid w:val="00A966CB"/>
    <w:rsid w:val="00AB19AB"/>
    <w:rsid w:val="00AB4021"/>
    <w:rsid w:val="00AB4435"/>
    <w:rsid w:val="00AB7B43"/>
    <w:rsid w:val="00AC4015"/>
    <w:rsid w:val="00AD5B57"/>
    <w:rsid w:val="00AD7453"/>
    <w:rsid w:val="00AD7758"/>
    <w:rsid w:val="00AE020F"/>
    <w:rsid w:val="00AE09AD"/>
    <w:rsid w:val="00AE35BE"/>
    <w:rsid w:val="00AE4223"/>
    <w:rsid w:val="00AE4760"/>
    <w:rsid w:val="00AE623D"/>
    <w:rsid w:val="00AF1045"/>
    <w:rsid w:val="00AF57A4"/>
    <w:rsid w:val="00AF5B2F"/>
    <w:rsid w:val="00B05BBC"/>
    <w:rsid w:val="00B1003C"/>
    <w:rsid w:val="00B1059D"/>
    <w:rsid w:val="00B10EE5"/>
    <w:rsid w:val="00B11721"/>
    <w:rsid w:val="00B12909"/>
    <w:rsid w:val="00B13BD4"/>
    <w:rsid w:val="00B17292"/>
    <w:rsid w:val="00B2774E"/>
    <w:rsid w:val="00B36C1F"/>
    <w:rsid w:val="00B37EE3"/>
    <w:rsid w:val="00B40266"/>
    <w:rsid w:val="00B41775"/>
    <w:rsid w:val="00B469B1"/>
    <w:rsid w:val="00B5402B"/>
    <w:rsid w:val="00B555E5"/>
    <w:rsid w:val="00B63BAF"/>
    <w:rsid w:val="00B81259"/>
    <w:rsid w:val="00B8582A"/>
    <w:rsid w:val="00B85B94"/>
    <w:rsid w:val="00B87905"/>
    <w:rsid w:val="00BA43B8"/>
    <w:rsid w:val="00BA664B"/>
    <w:rsid w:val="00BB5E95"/>
    <w:rsid w:val="00BC3F74"/>
    <w:rsid w:val="00BD14F3"/>
    <w:rsid w:val="00BD496E"/>
    <w:rsid w:val="00BD51A8"/>
    <w:rsid w:val="00BD52BC"/>
    <w:rsid w:val="00BE0428"/>
    <w:rsid w:val="00BE083D"/>
    <w:rsid w:val="00BE0B14"/>
    <w:rsid w:val="00BE1572"/>
    <w:rsid w:val="00BE457E"/>
    <w:rsid w:val="00BE6316"/>
    <w:rsid w:val="00BF39EB"/>
    <w:rsid w:val="00BF7C68"/>
    <w:rsid w:val="00BF7FA3"/>
    <w:rsid w:val="00C010E4"/>
    <w:rsid w:val="00C01D0B"/>
    <w:rsid w:val="00C04892"/>
    <w:rsid w:val="00C10BCD"/>
    <w:rsid w:val="00C10EF8"/>
    <w:rsid w:val="00C23873"/>
    <w:rsid w:val="00C27F29"/>
    <w:rsid w:val="00C3168D"/>
    <w:rsid w:val="00C339F2"/>
    <w:rsid w:val="00C410DD"/>
    <w:rsid w:val="00C45A60"/>
    <w:rsid w:val="00C51BD7"/>
    <w:rsid w:val="00C601C0"/>
    <w:rsid w:val="00C6563D"/>
    <w:rsid w:val="00C764A7"/>
    <w:rsid w:val="00C842CB"/>
    <w:rsid w:val="00CA176B"/>
    <w:rsid w:val="00CA29AD"/>
    <w:rsid w:val="00CA2BBB"/>
    <w:rsid w:val="00CB0E38"/>
    <w:rsid w:val="00CB38B8"/>
    <w:rsid w:val="00CC0E2D"/>
    <w:rsid w:val="00CD0A36"/>
    <w:rsid w:val="00CD54FF"/>
    <w:rsid w:val="00CD7ECE"/>
    <w:rsid w:val="00CE2314"/>
    <w:rsid w:val="00CE5526"/>
    <w:rsid w:val="00CE57C1"/>
    <w:rsid w:val="00CE5D50"/>
    <w:rsid w:val="00CF0628"/>
    <w:rsid w:val="00CF6F20"/>
    <w:rsid w:val="00D009DE"/>
    <w:rsid w:val="00D01D46"/>
    <w:rsid w:val="00D01E38"/>
    <w:rsid w:val="00D01F12"/>
    <w:rsid w:val="00D02C85"/>
    <w:rsid w:val="00D03CD5"/>
    <w:rsid w:val="00D10715"/>
    <w:rsid w:val="00D116E7"/>
    <w:rsid w:val="00D143FB"/>
    <w:rsid w:val="00D173CE"/>
    <w:rsid w:val="00D2180C"/>
    <w:rsid w:val="00D22073"/>
    <w:rsid w:val="00D22342"/>
    <w:rsid w:val="00D26FEE"/>
    <w:rsid w:val="00D3105E"/>
    <w:rsid w:val="00D42E70"/>
    <w:rsid w:val="00D44FC4"/>
    <w:rsid w:val="00D45084"/>
    <w:rsid w:val="00D471C2"/>
    <w:rsid w:val="00D50863"/>
    <w:rsid w:val="00D51E42"/>
    <w:rsid w:val="00D53524"/>
    <w:rsid w:val="00D57CDD"/>
    <w:rsid w:val="00D64781"/>
    <w:rsid w:val="00D72C62"/>
    <w:rsid w:val="00D72C6C"/>
    <w:rsid w:val="00D83305"/>
    <w:rsid w:val="00D8427B"/>
    <w:rsid w:val="00D875E0"/>
    <w:rsid w:val="00D9336C"/>
    <w:rsid w:val="00D97804"/>
    <w:rsid w:val="00DA116F"/>
    <w:rsid w:val="00DB0CD5"/>
    <w:rsid w:val="00DB2A2A"/>
    <w:rsid w:val="00DB2EA2"/>
    <w:rsid w:val="00DB59C1"/>
    <w:rsid w:val="00DB6D8C"/>
    <w:rsid w:val="00DB6E71"/>
    <w:rsid w:val="00DC1043"/>
    <w:rsid w:val="00DC5099"/>
    <w:rsid w:val="00DC6478"/>
    <w:rsid w:val="00DC7393"/>
    <w:rsid w:val="00DD257D"/>
    <w:rsid w:val="00DD555B"/>
    <w:rsid w:val="00DD5C49"/>
    <w:rsid w:val="00DE15CF"/>
    <w:rsid w:val="00DE5D25"/>
    <w:rsid w:val="00DE6F50"/>
    <w:rsid w:val="00DF0960"/>
    <w:rsid w:val="00DF77B2"/>
    <w:rsid w:val="00E00953"/>
    <w:rsid w:val="00E033F4"/>
    <w:rsid w:val="00E03D92"/>
    <w:rsid w:val="00E04796"/>
    <w:rsid w:val="00E06A1B"/>
    <w:rsid w:val="00E2408A"/>
    <w:rsid w:val="00E30093"/>
    <w:rsid w:val="00E301ED"/>
    <w:rsid w:val="00E360D2"/>
    <w:rsid w:val="00E40127"/>
    <w:rsid w:val="00E40F4A"/>
    <w:rsid w:val="00E519CE"/>
    <w:rsid w:val="00E5499B"/>
    <w:rsid w:val="00E72A8D"/>
    <w:rsid w:val="00E742D2"/>
    <w:rsid w:val="00E74770"/>
    <w:rsid w:val="00E81A88"/>
    <w:rsid w:val="00E83B3B"/>
    <w:rsid w:val="00E84B00"/>
    <w:rsid w:val="00E85133"/>
    <w:rsid w:val="00E877EA"/>
    <w:rsid w:val="00E90A87"/>
    <w:rsid w:val="00E9326E"/>
    <w:rsid w:val="00E939BF"/>
    <w:rsid w:val="00E950E7"/>
    <w:rsid w:val="00E97B75"/>
    <w:rsid w:val="00EA1187"/>
    <w:rsid w:val="00EC27E4"/>
    <w:rsid w:val="00EC4D5F"/>
    <w:rsid w:val="00ED04B2"/>
    <w:rsid w:val="00EE1EFF"/>
    <w:rsid w:val="00EE3266"/>
    <w:rsid w:val="00EE7672"/>
    <w:rsid w:val="00EF3AEF"/>
    <w:rsid w:val="00EF57A2"/>
    <w:rsid w:val="00F00012"/>
    <w:rsid w:val="00F10A45"/>
    <w:rsid w:val="00F22F29"/>
    <w:rsid w:val="00F2725D"/>
    <w:rsid w:val="00F30C2B"/>
    <w:rsid w:val="00F342F2"/>
    <w:rsid w:val="00F42982"/>
    <w:rsid w:val="00F44DFE"/>
    <w:rsid w:val="00F46336"/>
    <w:rsid w:val="00F53A77"/>
    <w:rsid w:val="00F60ED9"/>
    <w:rsid w:val="00F6393F"/>
    <w:rsid w:val="00F64A1A"/>
    <w:rsid w:val="00F65DEE"/>
    <w:rsid w:val="00F6731C"/>
    <w:rsid w:val="00F67C51"/>
    <w:rsid w:val="00F7031E"/>
    <w:rsid w:val="00F92E9C"/>
    <w:rsid w:val="00F97E57"/>
    <w:rsid w:val="00FA1E50"/>
    <w:rsid w:val="00FA4A4D"/>
    <w:rsid w:val="00FB3064"/>
    <w:rsid w:val="00FB31E0"/>
    <w:rsid w:val="00FB3709"/>
    <w:rsid w:val="00FB392A"/>
    <w:rsid w:val="00FB5187"/>
    <w:rsid w:val="00FB6A8C"/>
    <w:rsid w:val="00FC1C79"/>
    <w:rsid w:val="00FC6C3D"/>
    <w:rsid w:val="00FD116A"/>
    <w:rsid w:val="00FD3B66"/>
    <w:rsid w:val="00FD4C11"/>
    <w:rsid w:val="00FD5F1E"/>
    <w:rsid w:val="00FD74B2"/>
    <w:rsid w:val="00FE023F"/>
    <w:rsid w:val="00FE7265"/>
    <w:rsid w:val="00FF01D4"/>
    <w:rsid w:val="00FF03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EDA3B"/>
  <w15:chartTrackingRefBased/>
  <w15:docId w15:val="{B7DC2691-2B43-4F65-AC06-5E0D3AA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7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6D8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469B1"/>
    <w:rPr>
      <w:color w:val="0563C1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B469B1"/>
    <w:pPr>
      <w:widowControl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CC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3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3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naiskr">
    <w:name w:val="naiskr"/>
    <w:basedOn w:val="Normal"/>
    <w:rsid w:val="003137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313745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31374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83305"/>
    <w:pPr>
      <w:ind w:left="720"/>
      <w:contextualSpacing/>
    </w:pPr>
  </w:style>
  <w:style w:type="paragraph" w:styleId="NoSpacing">
    <w:name w:val="No Spacing"/>
    <w:uiPriority w:val="1"/>
    <w:qFormat/>
    <w:rsid w:val="0017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16D8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AB4021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0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1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80BD-E89C-46C2-B3E2-CBD6DCD6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7520</Words>
  <Characters>4287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projekts„Grozījumi Ministru kabineta 2018. gada 15. maija rīkojumā Nr. 215 “Par publiskās lietošanas dzelzceļa infrastruktūras statusa piešķiršanu"" (VSS-112)</vt:lpstr>
      <vt:lpstr>Ministru kabineta noteikumu Nr.873 “Noteikumi par vilces līdzekļa vadītāja (mašīnista) kvalifikācijas un vilces līdzekļa vadīšanas tiesību iegūšanu.” projekts</vt:lpstr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projekts„Grozījumi Ministru kabineta 2018. gada 15. maija rīkojumā Nr. 215 “Par publiskās lietošanas dzelzceļa infrastruktūras statusa piešķiršanu"" (VSS-112)</dc:title>
  <dc:subject/>
  <dc:creator>User</dc:creator>
  <cp:keywords>anotācija</cp:keywords>
  <dc:description>Balaša 67028071
Santa.Balasa@mk.gov.lv</dc:description>
  <cp:lastModifiedBy>Ineta Vula</cp:lastModifiedBy>
  <cp:revision>72</cp:revision>
  <cp:lastPrinted>2020-01-31T13:12:00Z</cp:lastPrinted>
  <dcterms:created xsi:type="dcterms:W3CDTF">2020-01-10T10:58:00Z</dcterms:created>
  <dcterms:modified xsi:type="dcterms:W3CDTF">2020-08-24T05:51:00Z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