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D3C3F" w:rsidR="00F80D3E" w:rsidP="00A126AF" w:rsidRDefault="000A6FB6" w14:paraId="0A7E94A7" w14:textId="77777777">
      <w:pPr>
        <w:tabs>
          <w:tab w:val="left" w:pos="7440"/>
        </w:tabs>
        <w:jc w:val="center"/>
        <w:rPr>
          <w:b/>
          <w:lang w:val="lv-LV"/>
        </w:rPr>
      </w:pPr>
      <w:r w:rsidRPr="00BD3C3F">
        <w:rPr>
          <w:b/>
          <w:lang w:val="lv-LV"/>
        </w:rPr>
        <w:t>Izziņa par atzinumos sniegtajiem iebildumiem</w:t>
      </w:r>
    </w:p>
    <w:p w:rsidRPr="00BD3C3F" w:rsidR="001A6E38" w:rsidP="001A6E38" w:rsidRDefault="000D6ADC" w14:paraId="351981AB" w14:textId="77777777">
      <w:pPr>
        <w:pStyle w:val="Heading4"/>
        <w:rPr>
          <w:rStyle w:val="Strong"/>
          <w:b/>
          <w:sz w:val="24"/>
        </w:rPr>
      </w:pPr>
      <w:r w:rsidRPr="00BD3C3F">
        <w:rPr>
          <w:rStyle w:val="Strong"/>
          <w:b/>
          <w:sz w:val="24"/>
        </w:rPr>
        <w:t xml:space="preserve">Par </w:t>
      </w:r>
      <w:r w:rsidRPr="00BD3C3F" w:rsidR="00F80268">
        <w:rPr>
          <w:rStyle w:val="Strong"/>
          <w:b/>
          <w:sz w:val="24"/>
        </w:rPr>
        <w:t xml:space="preserve">Ministru kabineta noteikumu </w:t>
      </w:r>
      <w:r w:rsidRPr="00BD3C3F" w:rsidR="00D74156">
        <w:rPr>
          <w:rStyle w:val="Strong"/>
          <w:b/>
          <w:sz w:val="24"/>
        </w:rPr>
        <w:t xml:space="preserve">projektu </w:t>
      </w:r>
      <w:r w:rsidRPr="0039052A" w:rsidR="00531C85">
        <w:rPr>
          <w:rStyle w:val="Strong"/>
          <w:bCs/>
          <w:sz w:val="24"/>
        </w:rPr>
        <w:t>“</w:t>
      </w:r>
      <w:r w:rsidRPr="0039052A" w:rsidR="00124F1A">
        <w:rPr>
          <w:bCs w:val="0"/>
          <w:sz w:val="24"/>
          <w:lang w:eastAsia="lv-LV"/>
        </w:rPr>
        <w:t xml:space="preserve">Grozījumi Ministru kabineta 2010.gada </w:t>
      </w:r>
      <w:r w:rsidRPr="0039052A" w:rsidR="00531C85">
        <w:rPr>
          <w:bCs w:val="0"/>
          <w:sz w:val="24"/>
          <w:lang w:eastAsia="lv-LV"/>
        </w:rPr>
        <w:t>30.novembra noteikumos Nr.1080 “</w:t>
      </w:r>
      <w:r w:rsidRPr="0039052A" w:rsidR="00124F1A">
        <w:rPr>
          <w:bCs w:val="0"/>
          <w:sz w:val="24"/>
          <w:lang w:eastAsia="lv-LV"/>
        </w:rPr>
        <w:t>Transportlīdzekļu reģistrācijas noteikumi””</w:t>
      </w:r>
      <w:r w:rsidRPr="0039052A" w:rsidR="004F37B7">
        <w:rPr>
          <w:rStyle w:val="Strong"/>
          <w:bCs/>
          <w:sz w:val="24"/>
        </w:rPr>
        <w:t xml:space="preserve"> (</w:t>
      </w:r>
      <w:r w:rsidRPr="00BD3C3F" w:rsidR="004F37B7">
        <w:rPr>
          <w:rStyle w:val="Strong"/>
          <w:b/>
          <w:sz w:val="24"/>
        </w:rPr>
        <w:t>VSS-</w:t>
      </w:r>
      <w:r w:rsidR="00B10A5C">
        <w:rPr>
          <w:rStyle w:val="Strong"/>
          <w:b/>
          <w:sz w:val="24"/>
        </w:rPr>
        <w:t>448</w:t>
      </w:r>
      <w:r w:rsidRPr="00BD3C3F" w:rsidR="004F37B7">
        <w:rPr>
          <w:rStyle w:val="Strong"/>
          <w:b/>
          <w:sz w:val="24"/>
        </w:rPr>
        <w:t>)</w:t>
      </w:r>
    </w:p>
    <w:p w:rsidRPr="00BD3C3F" w:rsidR="00873AB5" w:rsidP="001A6E38" w:rsidRDefault="00873AB5" w14:paraId="2E903D09" w14:textId="77777777">
      <w:pPr>
        <w:pStyle w:val="Heading4"/>
        <w:rPr>
          <w:sz w:val="24"/>
        </w:rPr>
      </w:pPr>
    </w:p>
    <w:p w:rsidRPr="00BD3C3F" w:rsidR="007104F2" w:rsidP="007104F2" w:rsidRDefault="007104F2" w14:paraId="6E8259C9" w14:textId="77777777">
      <w:pPr>
        <w:spacing w:before="100" w:beforeAutospacing="1" w:after="100" w:afterAutospacing="1"/>
        <w:rPr>
          <w:b/>
          <w:lang w:val="lv-LV" w:eastAsia="lv-LV"/>
        </w:rPr>
      </w:pPr>
      <w:r w:rsidRPr="00BD3C3F">
        <w:rPr>
          <w:b/>
          <w:lang w:val="lv-LV" w:eastAsia="lv-LV"/>
        </w:rPr>
        <w:t>I. Jautājumi, par kuriem saskaņošanā vienošanās nav panākta</w:t>
      </w:r>
    </w:p>
    <w:tbl>
      <w:tblPr>
        <w:tblW w:w="13741" w:type="dxa"/>
        <w:tblCellSpacing w:w="0" w:type="dxa"/>
        <w:tblInd w:w="-825" w:type="dxa"/>
        <w:tblBorders>
          <w:top w:val="outset" w:color="auto" w:sz="6" w:space="0"/>
          <w:left w:val="outset" w:color="auto" w:sz="6" w:space="0"/>
          <w:bottom w:val="outset" w:color="auto" w:sz="6" w:space="0"/>
          <w:right w:val="outset" w:color="auto" w:sz="6" w:space="0"/>
        </w:tblBorders>
        <w:tblCellMar>
          <w:left w:w="0" w:type="dxa"/>
          <w:right w:w="0" w:type="dxa"/>
        </w:tblCellMar>
        <w:tblLook w:val="0000" w:firstRow="0" w:lastRow="0" w:firstColumn="0" w:lastColumn="0" w:noHBand="0" w:noVBand="0"/>
      </w:tblPr>
      <w:tblGrid>
        <w:gridCol w:w="495"/>
        <w:gridCol w:w="2419"/>
        <w:gridCol w:w="3166"/>
        <w:gridCol w:w="2440"/>
        <w:gridCol w:w="2606"/>
        <w:gridCol w:w="2615"/>
      </w:tblGrid>
      <w:tr w:rsidRPr="00BD3C3F" w:rsidR="007104F2" w:rsidTr="00DD05EC" w14:paraId="608EB1FE" w14:textId="77777777">
        <w:trPr>
          <w:tblCellSpacing w:w="0" w:type="dxa"/>
        </w:trPr>
        <w:tc>
          <w:tcPr>
            <w:tcW w:w="495" w:type="dxa"/>
            <w:tcBorders>
              <w:top w:val="single" w:color="808080" w:sz="6" w:space="0"/>
              <w:left w:val="single" w:color="808080" w:sz="6" w:space="0"/>
              <w:bottom w:val="single" w:color="808080" w:sz="6" w:space="0"/>
              <w:right w:val="single" w:color="808080" w:sz="6" w:space="0"/>
            </w:tcBorders>
            <w:vAlign w:val="center"/>
          </w:tcPr>
          <w:p w:rsidRPr="00BD3C3F" w:rsidR="007104F2" w:rsidP="00DD05EC" w:rsidRDefault="007104F2" w14:paraId="19BB53DB" w14:textId="77777777">
            <w:pPr>
              <w:spacing w:before="100" w:beforeAutospacing="1" w:after="100" w:afterAutospacing="1"/>
              <w:jc w:val="center"/>
              <w:rPr>
                <w:lang w:val="lv-LV" w:eastAsia="lv-LV"/>
              </w:rPr>
            </w:pPr>
            <w:r w:rsidRPr="00BD3C3F">
              <w:rPr>
                <w:lang w:val="lv-LV" w:eastAsia="lv-LV"/>
              </w:rPr>
              <w:t>Nr.</w:t>
            </w:r>
            <w:r w:rsidRPr="00BD3C3F">
              <w:rPr>
                <w:lang w:val="lv-LV" w:eastAsia="lv-LV"/>
              </w:rPr>
              <w:br/>
              <w:t> p.k.</w:t>
            </w:r>
          </w:p>
        </w:tc>
        <w:tc>
          <w:tcPr>
            <w:tcW w:w="2419" w:type="dxa"/>
            <w:tcBorders>
              <w:top w:val="single" w:color="808080" w:sz="6" w:space="0"/>
              <w:left w:val="single" w:color="808080" w:sz="6" w:space="0"/>
              <w:bottom w:val="single" w:color="808080" w:sz="6" w:space="0"/>
              <w:right w:val="single" w:color="808080" w:sz="6" w:space="0"/>
            </w:tcBorders>
            <w:vAlign w:val="center"/>
          </w:tcPr>
          <w:p w:rsidRPr="00BD3C3F" w:rsidR="007104F2" w:rsidP="00DD05EC" w:rsidRDefault="007104F2" w14:paraId="428CB853" w14:textId="77777777">
            <w:pPr>
              <w:spacing w:before="100" w:beforeAutospacing="1" w:after="100" w:afterAutospacing="1"/>
              <w:jc w:val="center"/>
              <w:rPr>
                <w:lang w:val="lv-LV" w:eastAsia="lv-LV"/>
              </w:rPr>
            </w:pPr>
            <w:r w:rsidRPr="00BD3C3F">
              <w:rPr>
                <w:lang w:val="lv-LV" w:eastAsia="lv-LV"/>
              </w:rPr>
              <w:t>Saskaņošanai nosūtītā projekta redakcija (konkrēta punkta (panta) redakcija)</w:t>
            </w:r>
          </w:p>
        </w:tc>
        <w:tc>
          <w:tcPr>
            <w:tcW w:w="3166" w:type="dxa"/>
            <w:tcBorders>
              <w:top w:val="single" w:color="808080" w:sz="6" w:space="0"/>
              <w:left w:val="single" w:color="808080" w:sz="6" w:space="0"/>
              <w:bottom w:val="single" w:color="808080" w:sz="6" w:space="0"/>
              <w:right w:val="single" w:color="808080" w:sz="6" w:space="0"/>
            </w:tcBorders>
            <w:vAlign w:val="center"/>
          </w:tcPr>
          <w:p w:rsidRPr="00BD3C3F" w:rsidR="007104F2" w:rsidP="00DD05EC" w:rsidRDefault="007104F2" w14:paraId="2B8811BC" w14:textId="77777777">
            <w:pPr>
              <w:spacing w:before="100" w:beforeAutospacing="1" w:after="100" w:afterAutospacing="1"/>
              <w:jc w:val="center"/>
              <w:rPr>
                <w:lang w:val="lv-LV" w:eastAsia="lv-LV"/>
              </w:rPr>
            </w:pPr>
            <w:r w:rsidRPr="00BD3C3F">
              <w:rPr>
                <w:lang w:val="lv-LV" w:eastAsia="lv-LV"/>
              </w:rPr>
              <w:t>Atzinumā norādītais ministrijas (citas institūcijas) iebildums, kā arī saskaņošanā papildus izteiktais iebildums par projekta konkrēto punktu (pantu)</w:t>
            </w:r>
          </w:p>
        </w:tc>
        <w:tc>
          <w:tcPr>
            <w:tcW w:w="2440" w:type="dxa"/>
            <w:tcBorders>
              <w:top w:val="single" w:color="808080" w:sz="6" w:space="0"/>
              <w:left w:val="single" w:color="808080" w:sz="6" w:space="0"/>
              <w:bottom w:val="single" w:color="808080" w:sz="6" w:space="0"/>
              <w:right w:val="single" w:color="808080" w:sz="6" w:space="0"/>
            </w:tcBorders>
            <w:vAlign w:val="center"/>
          </w:tcPr>
          <w:p w:rsidRPr="00BD3C3F" w:rsidR="007104F2" w:rsidP="00DD05EC" w:rsidRDefault="007104F2" w14:paraId="1E1D1B03" w14:textId="77777777">
            <w:pPr>
              <w:spacing w:before="100" w:beforeAutospacing="1" w:after="100" w:afterAutospacing="1"/>
              <w:jc w:val="center"/>
              <w:rPr>
                <w:lang w:val="lv-LV" w:eastAsia="lv-LV"/>
              </w:rPr>
            </w:pPr>
            <w:r w:rsidRPr="00BD3C3F">
              <w:rPr>
                <w:lang w:val="lv-LV" w:eastAsia="lv-LV"/>
              </w:rPr>
              <w:t>Atbildīgās ministrijas pamatojums iebilduma noraidījumam</w:t>
            </w:r>
          </w:p>
        </w:tc>
        <w:tc>
          <w:tcPr>
            <w:tcW w:w="2606" w:type="dxa"/>
            <w:tcBorders>
              <w:top w:val="single" w:color="808080" w:sz="6" w:space="0"/>
              <w:left w:val="single" w:color="808080" w:sz="6" w:space="0"/>
              <w:bottom w:val="single" w:color="808080" w:sz="6" w:space="0"/>
              <w:right w:val="single" w:color="808080" w:sz="6" w:space="0"/>
            </w:tcBorders>
            <w:vAlign w:val="center"/>
          </w:tcPr>
          <w:p w:rsidRPr="00BD3C3F" w:rsidR="007104F2" w:rsidP="00DD05EC" w:rsidRDefault="007104F2" w14:paraId="5DA20107" w14:textId="77777777">
            <w:pPr>
              <w:spacing w:before="100" w:beforeAutospacing="1" w:after="100" w:afterAutospacing="1"/>
              <w:jc w:val="center"/>
              <w:rPr>
                <w:lang w:val="lv-LV" w:eastAsia="lv-LV"/>
              </w:rPr>
            </w:pPr>
            <w:r w:rsidRPr="00BD3C3F">
              <w:rPr>
                <w:lang w:val="lv-LV" w:eastAsia="lv-LV"/>
              </w:rPr>
              <w:t>Atzinuma sniedzēja uzturētais iebildums, ja tas atšķiras no atzinumā norādītā iebilduma pamatojuma</w:t>
            </w:r>
          </w:p>
        </w:tc>
        <w:tc>
          <w:tcPr>
            <w:tcW w:w="2615" w:type="dxa"/>
            <w:tcBorders>
              <w:top w:val="single" w:color="808080" w:sz="6" w:space="0"/>
              <w:left w:val="single" w:color="808080" w:sz="6" w:space="0"/>
              <w:bottom w:val="single" w:color="808080" w:sz="6" w:space="0"/>
              <w:right w:val="single" w:color="808080" w:sz="6" w:space="0"/>
            </w:tcBorders>
            <w:vAlign w:val="center"/>
          </w:tcPr>
          <w:p w:rsidRPr="00BD3C3F" w:rsidR="007104F2" w:rsidP="00DD05EC" w:rsidRDefault="007104F2" w14:paraId="2B0E5990" w14:textId="77777777">
            <w:pPr>
              <w:spacing w:before="100" w:beforeAutospacing="1" w:after="100" w:afterAutospacing="1"/>
              <w:jc w:val="center"/>
              <w:rPr>
                <w:lang w:val="lv-LV" w:eastAsia="lv-LV"/>
              </w:rPr>
            </w:pPr>
            <w:r w:rsidRPr="00BD3C3F">
              <w:rPr>
                <w:lang w:val="lv-LV" w:eastAsia="lv-LV"/>
              </w:rPr>
              <w:t>Projekta attiecīgā punkta (panta) galīgā redakcija</w:t>
            </w:r>
          </w:p>
        </w:tc>
      </w:tr>
      <w:tr w:rsidRPr="00BD3C3F" w:rsidR="007104F2" w:rsidTr="00A453F5" w14:paraId="5DE65CFF" w14:textId="77777777">
        <w:trPr>
          <w:trHeight w:val="288"/>
          <w:tblCellSpacing w:w="0" w:type="dxa"/>
        </w:trPr>
        <w:tc>
          <w:tcPr>
            <w:tcW w:w="495" w:type="dxa"/>
            <w:tcBorders>
              <w:top w:val="single" w:color="808080" w:sz="6" w:space="0"/>
              <w:left w:val="single" w:color="808080" w:sz="6" w:space="0"/>
              <w:bottom w:val="single" w:color="808080" w:sz="6" w:space="0"/>
              <w:right w:val="single" w:color="808080" w:sz="6" w:space="0"/>
            </w:tcBorders>
          </w:tcPr>
          <w:p w:rsidRPr="00BD3C3F" w:rsidR="007104F2" w:rsidP="00DD05EC" w:rsidRDefault="007104F2" w14:paraId="5D4F3E74" w14:textId="77777777">
            <w:pPr>
              <w:spacing w:before="100" w:beforeAutospacing="1" w:after="100" w:afterAutospacing="1"/>
              <w:rPr>
                <w:lang w:val="lv-LV" w:eastAsia="lv-LV"/>
              </w:rPr>
            </w:pPr>
          </w:p>
        </w:tc>
        <w:tc>
          <w:tcPr>
            <w:tcW w:w="2419" w:type="dxa"/>
            <w:tcBorders>
              <w:top w:val="single" w:color="808080" w:sz="6" w:space="0"/>
              <w:left w:val="single" w:color="808080" w:sz="6" w:space="0"/>
              <w:bottom w:val="single" w:color="808080" w:sz="6" w:space="0"/>
              <w:right w:val="single" w:color="808080" w:sz="6" w:space="0"/>
            </w:tcBorders>
          </w:tcPr>
          <w:p w:rsidRPr="00BD3C3F" w:rsidR="007104F2" w:rsidP="00DD05EC" w:rsidRDefault="007104F2" w14:paraId="441BD888" w14:textId="77777777">
            <w:pPr>
              <w:spacing w:before="100" w:beforeAutospacing="1" w:after="100" w:afterAutospacing="1"/>
              <w:rPr>
                <w:lang w:val="lv-LV" w:eastAsia="lv-LV"/>
              </w:rPr>
            </w:pPr>
          </w:p>
        </w:tc>
        <w:tc>
          <w:tcPr>
            <w:tcW w:w="3166" w:type="dxa"/>
            <w:tcBorders>
              <w:top w:val="single" w:color="808080" w:sz="6" w:space="0"/>
              <w:left w:val="single" w:color="808080" w:sz="6" w:space="0"/>
              <w:bottom w:val="single" w:color="808080" w:sz="6" w:space="0"/>
              <w:right w:val="single" w:color="808080" w:sz="6" w:space="0"/>
            </w:tcBorders>
          </w:tcPr>
          <w:p w:rsidRPr="00BD3C3F" w:rsidR="007104F2" w:rsidP="00DD05EC" w:rsidRDefault="007104F2" w14:paraId="7B4EC4ED" w14:textId="77777777">
            <w:pPr>
              <w:spacing w:before="100" w:beforeAutospacing="1" w:after="100" w:afterAutospacing="1"/>
              <w:rPr>
                <w:lang w:val="lv-LV" w:eastAsia="lv-LV"/>
              </w:rPr>
            </w:pPr>
          </w:p>
        </w:tc>
        <w:tc>
          <w:tcPr>
            <w:tcW w:w="2440" w:type="dxa"/>
            <w:tcBorders>
              <w:top w:val="single" w:color="808080" w:sz="6" w:space="0"/>
              <w:left w:val="single" w:color="808080" w:sz="6" w:space="0"/>
              <w:bottom w:val="single" w:color="808080" w:sz="6" w:space="0"/>
              <w:right w:val="single" w:color="808080" w:sz="6" w:space="0"/>
            </w:tcBorders>
          </w:tcPr>
          <w:p w:rsidRPr="00BD3C3F" w:rsidR="007104F2" w:rsidP="00DD05EC" w:rsidRDefault="007104F2" w14:paraId="17E5AB0A" w14:textId="77777777">
            <w:pPr>
              <w:spacing w:before="100" w:beforeAutospacing="1" w:after="100" w:afterAutospacing="1"/>
              <w:rPr>
                <w:lang w:val="lv-LV" w:eastAsia="lv-LV"/>
              </w:rPr>
            </w:pPr>
          </w:p>
        </w:tc>
        <w:tc>
          <w:tcPr>
            <w:tcW w:w="2606" w:type="dxa"/>
            <w:tcBorders>
              <w:top w:val="single" w:color="808080" w:sz="6" w:space="0"/>
              <w:left w:val="single" w:color="808080" w:sz="6" w:space="0"/>
              <w:bottom w:val="single" w:color="808080" w:sz="6" w:space="0"/>
              <w:right w:val="single" w:color="808080" w:sz="6" w:space="0"/>
            </w:tcBorders>
          </w:tcPr>
          <w:p w:rsidRPr="00BD3C3F" w:rsidR="007104F2" w:rsidP="00DD05EC" w:rsidRDefault="007104F2" w14:paraId="60DF6AAF" w14:textId="77777777">
            <w:pPr>
              <w:spacing w:before="100" w:beforeAutospacing="1" w:after="100" w:afterAutospacing="1"/>
              <w:rPr>
                <w:lang w:val="lv-LV" w:eastAsia="lv-LV"/>
              </w:rPr>
            </w:pPr>
          </w:p>
        </w:tc>
        <w:tc>
          <w:tcPr>
            <w:tcW w:w="2615" w:type="dxa"/>
            <w:tcBorders>
              <w:top w:val="single" w:color="808080" w:sz="6" w:space="0"/>
              <w:left w:val="single" w:color="808080" w:sz="6" w:space="0"/>
              <w:bottom w:val="single" w:color="808080" w:sz="6" w:space="0"/>
              <w:right w:val="single" w:color="808080" w:sz="6" w:space="0"/>
            </w:tcBorders>
          </w:tcPr>
          <w:p w:rsidRPr="00BD3C3F" w:rsidR="007104F2" w:rsidP="00DD05EC" w:rsidRDefault="007104F2" w14:paraId="760CA36C" w14:textId="77777777">
            <w:pPr>
              <w:spacing w:before="100" w:beforeAutospacing="1" w:after="100" w:afterAutospacing="1"/>
              <w:rPr>
                <w:lang w:val="lv-LV" w:eastAsia="lv-LV"/>
              </w:rPr>
            </w:pPr>
          </w:p>
        </w:tc>
      </w:tr>
    </w:tbl>
    <w:p w:rsidRPr="00BD3C3F" w:rsidR="007104F2" w:rsidP="007104F2" w:rsidRDefault="007104F2" w14:paraId="698A78BA" w14:textId="77777777">
      <w:pPr>
        <w:jc w:val="both"/>
        <w:rPr>
          <w:b/>
          <w:bCs/>
          <w:lang w:val="lv-LV"/>
        </w:rPr>
      </w:pPr>
    </w:p>
    <w:p w:rsidRPr="00BD3C3F" w:rsidR="00D63736" w:rsidP="007104F2" w:rsidRDefault="00D63736" w14:paraId="00466C76" w14:textId="77777777">
      <w:pPr>
        <w:jc w:val="both"/>
        <w:rPr>
          <w:b/>
          <w:bCs/>
          <w:lang w:val="lv-LV"/>
        </w:rPr>
      </w:pPr>
    </w:p>
    <w:p w:rsidRPr="005568B8" w:rsidR="007104F2" w:rsidP="005568B8" w:rsidRDefault="007104F2" w14:paraId="28BBAC22" w14:textId="375DF033">
      <w:pPr>
        <w:pStyle w:val="naiskr"/>
      </w:pPr>
      <w:r w:rsidRPr="00BD3C3F">
        <w:t xml:space="preserve">Informācija par </w:t>
      </w:r>
      <w:proofErr w:type="spellStart"/>
      <w:r w:rsidRPr="00BD3C3F">
        <w:t>starpministriju</w:t>
      </w:r>
      <w:proofErr w:type="spellEnd"/>
      <w:r w:rsidRPr="00BD3C3F">
        <w:t xml:space="preserve"> (starpinstitūciju) sanāksmi vai elektronisko saskaņošanu</w:t>
      </w:r>
      <w:r w:rsidR="0039052A">
        <w:t xml:space="preserve"> </w:t>
      </w:r>
      <w:r w:rsidR="0039052A">
        <w:tab/>
        <w:t xml:space="preserve">     2020.gada 23.jūlijā, 2020.gada 12.augustā</w:t>
      </w:r>
    </w:p>
    <w:p w:rsidRPr="00BD3C3F" w:rsidR="00133AA8" w:rsidP="007104F2" w:rsidRDefault="00133AA8" w14:paraId="42C74FD9" w14:textId="77777777">
      <w:pPr>
        <w:jc w:val="right"/>
        <w:rPr>
          <w:b/>
          <w:bCs/>
          <w:lang w:val="lv-LV"/>
        </w:rPr>
      </w:pPr>
    </w:p>
    <w:p w:rsidRPr="00BD3C3F" w:rsidR="00133AA8" w:rsidP="007104F2" w:rsidRDefault="00133AA8" w14:paraId="734F023C" w14:textId="77777777">
      <w:pPr>
        <w:jc w:val="right"/>
        <w:rPr>
          <w:b/>
          <w:bCs/>
          <w:lang w:val="lv-LV"/>
        </w:rPr>
      </w:pPr>
    </w:p>
    <w:p w:rsidRPr="00BD3C3F" w:rsidR="004F37B7" w:rsidP="0039052A" w:rsidRDefault="00133AA8" w14:paraId="39159FCC" w14:textId="77777777">
      <w:pPr>
        <w:ind w:left="5760" w:hanging="5760"/>
        <w:jc w:val="both"/>
        <w:rPr>
          <w:lang w:val="lv-LV"/>
        </w:rPr>
      </w:pPr>
      <w:r w:rsidRPr="00BD3C3F">
        <w:rPr>
          <w:lang w:val="lv-LV"/>
        </w:rPr>
        <w:t xml:space="preserve">Saskaņošanas dalībnieki </w:t>
      </w:r>
      <w:r w:rsidRPr="00BD3C3F">
        <w:rPr>
          <w:lang w:val="lv-LV"/>
        </w:rPr>
        <w:tab/>
      </w:r>
      <w:r w:rsidRPr="00BD3C3F" w:rsidR="0072789D">
        <w:rPr>
          <w:lang w:val="lv-LV"/>
        </w:rPr>
        <w:t>Tieslietu ministrij</w:t>
      </w:r>
      <w:r w:rsidRPr="00BD3C3F" w:rsidR="00BF2D80">
        <w:rPr>
          <w:lang w:val="lv-LV"/>
        </w:rPr>
        <w:t>a</w:t>
      </w:r>
      <w:r w:rsidRPr="00BD3C3F" w:rsidR="0072789D">
        <w:rPr>
          <w:lang w:val="lv-LV"/>
        </w:rPr>
        <w:t>, Finanšu ministrij</w:t>
      </w:r>
      <w:r w:rsidRPr="00BD3C3F" w:rsidR="00BF2D80">
        <w:rPr>
          <w:lang w:val="lv-LV"/>
        </w:rPr>
        <w:t>a</w:t>
      </w:r>
      <w:r w:rsidRPr="00BD3C3F" w:rsidR="0072789D">
        <w:rPr>
          <w:lang w:val="lv-LV"/>
        </w:rPr>
        <w:t>,</w:t>
      </w:r>
      <w:r w:rsidRPr="00720D88" w:rsidR="0072789D">
        <w:rPr>
          <w:lang w:val="lv-LV"/>
        </w:rPr>
        <w:t xml:space="preserve"> </w:t>
      </w:r>
      <w:r w:rsidRPr="00BD3C3F" w:rsidR="0072789D">
        <w:rPr>
          <w:lang w:val="lv-LV"/>
        </w:rPr>
        <w:t>Iekšlietu ministrij</w:t>
      </w:r>
      <w:r w:rsidRPr="00BD3C3F" w:rsidR="00BF2D80">
        <w:rPr>
          <w:lang w:val="lv-LV"/>
        </w:rPr>
        <w:t>a</w:t>
      </w:r>
      <w:r w:rsidR="005B0B85">
        <w:rPr>
          <w:lang w:val="lv-LV"/>
        </w:rPr>
        <w:t>,</w:t>
      </w:r>
      <w:r w:rsidR="005568B8">
        <w:rPr>
          <w:lang w:val="lv-LV"/>
        </w:rPr>
        <w:t xml:space="preserve"> </w:t>
      </w:r>
      <w:r w:rsidRPr="00BD3C3F" w:rsidR="004F74FF">
        <w:rPr>
          <w:lang w:val="lv-LV"/>
        </w:rPr>
        <w:t>Vides aizsa</w:t>
      </w:r>
      <w:r w:rsidR="005568B8">
        <w:rPr>
          <w:lang w:val="lv-LV"/>
        </w:rPr>
        <w:t xml:space="preserve">rdzības un reģionālās attīstības </w:t>
      </w:r>
      <w:r w:rsidRPr="00BD3C3F" w:rsidR="005568B8">
        <w:rPr>
          <w:lang w:val="lv-LV"/>
        </w:rPr>
        <w:t>ministrija</w:t>
      </w:r>
      <w:r w:rsidR="005B0B85">
        <w:rPr>
          <w:lang w:val="lv-LV"/>
        </w:rPr>
        <w:t>,</w:t>
      </w:r>
      <w:r w:rsidR="00532090">
        <w:rPr>
          <w:lang w:val="lv-LV"/>
        </w:rPr>
        <w:t xml:space="preserve"> </w:t>
      </w:r>
      <w:r w:rsidRPr="00720D88" w:rsidR="00720D88">
        <w:rPr>
          <w:lang w:val="lv-LV"/>
        </w:rPr>
        <w:t>Ārlietu ministrija, un Latvijas Transportlīdzekļu apdrošinātāju biroj</w:t>
      </w:r>
      <w:r w:rsidR="00720D88">
        <w:rPr>
          <w:lang w:val="lv-LV"/>
        </w:rPr>
        <w:t>s</w:t>
      </w:r>
      <w:r w:rsidRPr="00720D88" w:rsidR="00720D88">
        <w:rPr>
          <w:lang w:val="lv-LV"/>
        </w:rPr>
        <w:t>.</w:t>
      </w:r>
      <w:r w:rsidR="00720D88">
        <w:rPr>
          <w:lang w:val="lv-LV"/>
        </w:rPr>
        <w:t xml:space="preserve"> </w:t>
      </w:r>
    </w:p>
    <w:p w:rsidRPr="00BD3C3F" w:rsidR="00133AA8" w:rsidP="0039052A" w:rsidRDefault="00133AA8" w14:paraId="0DA03373" w14:textId="77777777">
      <w:pPr>
        <w:ind w:left="5760"/>
        <w:jc w:val="both"/>
        <w:rPr>
          <w:lang w:val="lv-LV"/>
        </w:rPr>
      </w:pPr>
    </w:p>
    <w:p w:rsidRPr="00BD3C3F" w:rsidR="00D63736" w:rsidP="0039052A" w:rsidRDefault="00D63736" w14:paraId="55E26A30" w14:textId="77777777">
      <w:pPr>
        <w:ind w:left="5760" w:hanging="5760"/>
        <w:jc w:val="both"/>
        <w:rPr>
          <w:lang w:val="lv-LV"/>
        </w:rPr>
      </w:pPr>
    </w:p>
    <w:p w:rsidRPr="00BD3C3F" w:rsidR="00B673E5" w:rsidP="0039052A" w:rsidRDefault="00133AA8" w14:paraId="6A10A21B" w14:textId="77777777">
      <w:pPr>
        <w:ind w:left="5760" w:hanging="5760"/>
        <w:jc w:val="both"/>
        <w:rPr>
          <w:lang w:val="lv-LV"/>
        </w:rPr>
      </w:pPr>
      <w:r w:rsidRPr="00BD3C3F">
        <w:rPr>
          <w:lang w:val="lv-LV"/>
        </w:rPr>
        <w:t xml:space="preserve">Saskaņošanas dalībnieki izskatīja šādu ministriju (citu </w:t>
      </w:r>
    </w:p>
    <w:p w:rsidR="00133AA8" w:rsidP="0039052A" w:rsidRDefault="00B673E5" w14:paraId="1B27CA84" w14:textId="77777777">
      <w:pPr>
        <w:ind w:left="5760" w:hanging="5760"/>
        <w:jc w:val="both"/>
        <w:rPr>
          <w:lang w:val="lv-LV"/>
        </w:rPr>
      </w:pPr>
      <w:r w:rsidRPr="00BD3C3F">
        <w:rPr>
          <w:lang w:val="lv-LV"/>
        </w:rPr>
        <w:t>institūciju) iebildumus</w:t>
      </w:r>
      <w:r w:rsidRPr="00BD3C3F" w:rsidR="00133AA8">
        <w:rPr>
          <w:lang w:val="lv-LV"/>
        </w:rPr>
        <w:tab/>
      </w:r>
      <w:r w:rsidRPr="00BD3C3F">
        <w:rPr>
          <w:lang w:val="lv-LV"/>
        </w:rPr>
        <w:t>Tieslietu ministrija</w:t>
      </w:r>
      <w:r w:rsidR="00720D88">
        <w:rPr>
          <w:lang w:val="lv-LV"/>
        </w:rPr>
        <w:t>,</w:t>
      </w:r>
      <w:r w:rsidRPr="00BD3C3F" w:rsidR="005568B8">
        <w:rPr>
          <w:lang w:val="lv-LV"/>
        </w:rPr>
        <w:t xml:space="preserve"> </w:t>
      </w:r>
      <w:r w:rsidRPr="00BD3C3F" w:rsidR="004F74FF">
        <w:rPr>
          <w:lang w:val="lv-LV"/>
        </w:rPr>
        <w:t>Vides aizsardzības un reģionālās attīstības ministrija</w:t>
      </w:r>
      <w:r w:rsidRPr="00BD3C3F" w:rsidR="00691B33">
        <w:rPr>
          <w:lang w:val="lv-LV"/>
        </w:rPr>
        <w:t xml:space="preserve"> </w:t>
      </w:r>
      <w:r w:rsidR="00720D88">
        <w:rPr>
          <w:lang w:val="lv-LV"/>
        </w:rPr>
        <w:t xml:space="preserve">un </w:t>
      </w:r>
      <w:r w:rsidRPr="00720D88" w:rsidR="00720D88">
        <w:rPr>
          <w:lang w:val="lv-LV"/>
        </w:rPr>
        <w:t>Latvijas Transportlīdzekļu apdrošinātāju biroj</w:t>
      </w:r>
      <w:r w:rsidR="00720D88">
        <w:rPr>
          <w:lang w:val="lv-LV"/>
        </w:rPr>
        <w:t>s.</w:t>
      </w:r>
    </w:p>
    <w:p w:rsidRPr="00BD3C3F" w:rsidR="005568B8" w:rsidP="00B673E5" w:rsidRDefault="005568B8" w14:paraId="6090E239" w14:textId="77777777">
      <w:pPr>
        <w:ind w:left="5760" w:hanging="5760"/>
        <w:jc w:val="both"/>
        <w:rPr>
          <w:lang w:val="lv-LV"/>
        </w:rPr>
      </w:pPr>
    </w:p>
    <w:p w:rsidR="005568B8" w:rsidP="00133AA8" w:rsidRDefault="00133AA8" w14:paraId="31438E5B" w14:textId="77777777">
      <w:pPr>
        <w:ind w:left="5760" w:hanging="5760"/>
        <w:jc w:val="both"/>
        <w:rPr>
          <w:lang w:val="lv-LV"/>
        </w:rPr>
      </w:pPr>
      <w:r w:rsidRPr="00BD3C3F">
        <w:rPr>
          <w:lang w:val="lv-LV"/>
        </w:rPr>
        <w:t xml:space="preserve"> </w:t>
      </w:r>
      <w:r w:rsidRPr="00BD3C3F" w:rsidR="004F37B7">
        <w:rPr>
          <w:lang w:val="lv-LV"/>
        </w:rPr>
        <w:t xml:space="preserve">                      </w:t>
      </w:r>
    </w:p>
    <w:p w:rsidRPr="00BD3C3F" w:rsidR="004F37B7" w:rsidP="00133AA8" w:rsidRDefault="004F37B7" w14:paraId="07B9173F" w14:textId="77777777">
      <w:pPr>
        <w:ind w:left="5760" w:hanging="5760"/>
        <w:jc w:val="both"/>
        <w:rPr>
          <w:lang w:val="lv-LV"/>
        </w:rPr>
      </w:pPr>
      <w:r w:rsidRPr="00BD3C3F">
        <w:rPr>
          <w:lang w:val="lv-LV"/>
        </w:rPr>
        <w:t xml:space="preserve">                               </w:t>
      </w:r>
    </w:p>
    <w:p w:rsidRPr="00BD3C3F" w:rsidR="0096570E" w:rsidP="001638F1" w:rsidRDefault="00133AA8" w14:paraId="62BD8BB9" w14:textId="77777777">
      <w:pPr>
        <w:ind w:left="5760" w:hanging="5760"/>
        <w:rPr>
          <w:lang w:val="lv-LV"/>
        </w:rPr>
      </w:pPr>
      <w:r w:rsidRPr="00BD3C3F">
        <w:rPr>
          <w:lang w:val="lv-LV"/>
        </w:rPr>
        <w:t xml:space="preserve">Ministrijas (citas institūcijas), kuras nav ieradušās uz </w:t>
      </w:r>
      <w:r w:rsidRPr="00BD3C3F" w:rsidR="0096570E">
        <w:rPr>
          <w:lang w:val="lv-LV"/>
        </w:rPr>
        <w:tab/>
      </w:r>
      <w:r w:rsidRPr="00BD3C3F" w:rsidR="001638F1">
        <w:rPr>
          <w:lang w:val="lv-LV"/>
        </w:rPr>
        <w:t xml:space="preserve"> </w:t>
      </w:r>
    </w:p>
    <w:p w:rsidRPr="00BD3C3F" w:rsidR="0096570E" w:rsidP="00C82E81" w:rsidRDefault="00133AA8" w14:paraId="1CA62F1F" w14:textId="77777777">
      <w:pPr>
        <w:ind w:left="5760" w:hanging="5760"/>
        <w:jc w:val="both"/>
        <w:rPr>
          <w:lang w:val="lv-LV"/>
        </w:rPr>
      </w:pPr>
      <w:r w:rsidRPr="00BD3C3F">
        <w:rPr>
          <w:lang w:val="lv-LV"/>
        </w:rPr>
        <w:t>sanāksmi vai kuras nav atbildējušas uz uzaicinājumu</w:t>
      </w:r>
      <w:r w:rsidRPr="00BD3C3F" w:rsidR="0096570E">
        <w:rPr>
          <w:lang w:val="lv-LV"/>
        </w:rPr>
        <w:tab/>
      </w:r>
    </w:p>
    <w:p w:rsidR="005568B8" w:rsidP="00C82E81" w:rsidRDefault="0096570E" w14:paraId="2E6A75DB" w14:textId="77777777">
      <w:pPr>
        <w:jc w:val="both"/>
        <w:rPr>
          <w:lang w:val="lv-LV"/>
        </w:rPr>
      </w:pPr>
      <w:r w:rsidRPr="00BD3C3F">
        <w:rPr>
          <w:lang w:val="lv-LV"/>
        </w:rPr>
        <w:t xml:space="preserve">piedalīties elektroniskajā saskaņošanā </w:t>
      </w:r>
      <w:r w:rsidRPr="00BD3C3F">
        <w:rPr>
          <w:lang w:val="lv-LV"/>
        </w:rPr>
        <w:tab/>
      </w:r>
    </w:p>
    <w:p w:rsidRPr="00BD3C3F" w:rsidR="0096570E" w:rsidP="00C82E81" w:rsidRDefault="0096570E" w14:paraId="453811DF" w14:textId="77777777">
      <w:pPr>
        <w:jc w:val="both"/>
        <w:rPr>
          <w:lang w:val="lv-LV"/>
        </w:rPr>
      </w:pPr>
      <w:r w:rsidRPr="00BD3C3F">
        <w:rPr>
          <w:lang w:val="lv-LV"/>
        </w:rPr>
        <w:tab/>
      </w:r>
      <w:r w:rsidRPr="00BD3C3F">
        <w:rPr>
          <w:lang w:val="lv-LV"/>
        </w:rPr>
        <w:tab/>
      </w:r>
    </w:p>
    <w:p w:rsidRPr="00BD3C3F" w:rsidR="00133AA8" w:rsidP="007104F2" w:rsidRDefault="00133AA8" w14:paraId="13128483" w14:textId="77777777">
      <w:pPr>
        <w:jc w:val="right"/>
        <w:rPr>
          <w:b/>
          <w:bCs/>
          <w:lang w:val="lv-LV"/>
        </w:rPr>
      </w:pPr>
    </w:p>
    <w:p w:rsidRPr="00BD3C3F" w:rsidR="001F4823" w:rsidP="00173F04" w:rsidRDefault="009C49F1" w14:paraId="487249AA" w14:textId="77777777">
      <w:pPr>
        <w:jc w:val="both"/>
        <w:rPr>
          <w:bCs/>
          <w:lang w:val="lv-LV"/>
        </w:rPr>
      </w:pPr>
      <w:r w:rsidRPr="00BD3C3F">
        <w:rPr>
          <w:bCs/>
          <w:lang w:val="lv-LV"/>
        </w:rPr>
        <w:lastRenderedPageBreak/>
        <w:t xml:space="preserve">Saskaņošanas dalībnieki izskatīja </w:t>
      </w:r>
      <w:r w:rsidRPr="00BD3C3F" w:rsidR="00E34DC4">
        <w:rPr>
          <w:bCs/>
          <w:lang w:val="lv-LV"/>
        </w:rPr>
        <w:t>precizēto</w:t>
      </w:r>
      <w:r w:rsidRPr="00BD3C3F">
        <w:rPr>
          <w:bCs/>
          <w:lang w:val="lv-LV"/>
        </w:rPr>
        <w:t xml:space="preserve"> </w:t>
      </w:r>
      <w:r w:rsidRPr="00BD3C3F" w:rsidR="00E34DC4">
        <w:rPr>
          <w:bCs/>
          <w:lang w:val="lv-LV"/>
        </w:rPr>
        <w:t>Ministru kabineta noteikumu projektu</w:t>
      </w:r>
      <w:r w:rsidRPr="00BD3C3F">
        <w:rPr>
          <w:bCs/>
          <w:lang w:val="lv-LV"/>
        </w:rPr>
        <w:t>.</w:t>
      </w:r>
    </w:p>
    <w:p w:rsidRPr="00BD3C3F" w:rsidR="00A62779" w:rsidP="00BB63FA" w:rsidRDefault="00A62779" w14:paraId="6263C758" w14:textId="2FCC350D">
      <w:pPr>
        <w:tabs>
          <w:tab w:val="left" w:pos="3210"/>
        </w:tabs>
        <w:rPr>
          <w:lang w:val="lv-LV"/>
        </w:rPr>
      </w:pPr>
    </w:p>
    <w:p w:rsidRPr="00BD3C3F" w:rsidR="00A5556A" w:rsidP="00A42B70" w:rsidRDefault="00A5556A" w14:paraId="28E3728E" w14:textId="77777777">
      <w:pPr>
        <w:pStyle w:val="naisnod"/>
        <w:jc w:val="center"/>
        <w:rPr>
          <w:b/>
        </w:rPr>
      </w:pPr>
      <w:r w:rsidRPr="00BD3C3F">
        <w:rPr>
          <w:b/>
        </w:rPr>
        <w:t>II. Jautājumi, par kuriem saskaņošanā vienošanās ir panākta</w:t>
      </w:r>
    </w:p>
    <w:p w:rsidRPr="00BD3C3F" w:rsidR="00F23B79" w:rsidP="0098106E" w:rsidRDefault="00F23B79" w14:paraId="38AE8788" w14:textId="77777777">
      <w:pPr>
        <w:jc w:val="both"/>
        <w:rPr>
          <w:lang w:val="lv-LV"/>
        </w:rPr>
      </w:pPr>
    </w:p>
    <w:tbl>
      <w:tblPr>
        <w:tblW w:w="13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77"/>
        <w:gridCol w:w="2846"/>
        <w:gridCol w:w="3770"/>
        <w:gridCol w:w="2598"/>
        <w:gridCol w:w="3065"/>
      </w:tblGrid>
      <w:tr w:rsidRPr="000B24BF" w:rsidR="005125E2" w:rsidTr="00CC450E" w14:paraId="51912DDC" w14:textId="77777777">
        <w:trPr>
          <w:trHeight w:val="2455"/>
          <w:jc w:val="center"/>
        </w:trPr>
        <w:tc>
          <w:tcPr>
            <w:tcW w:w="977" w:type="dxa"/>
          </w:tcPr>
          <w:p w:rsidRPr="00BD3C3F" w:rsidR="005125E2" w:rsidP="00A67A33" w:rsidRDefault="005125E2" w14:paraId="1A922CFF" w14:textId="77777777">
            <w:pPr>
              <w:jc w:val="center"/>
              <w:rPr>
                <w:lang w:val="lv-LV"/>
              </w:rPr>
            </w:pPr>
            <w:r w:rsidRPr="00BD3C3F">
              <w:rPr>
                <w:lang w:val="lv-LV"/>
              </w:rPr>
              <w:t>Nr. P.k.</w:t>
            </w:r>
          </w:p>
        </w:tc>
        <w:tc>
          <w:tcPr>
            <w:tcW w:w="2846" w:type="dxa"/>
            <w:vAlign w:val="center"/>
          </w:tcPr>
          <w:p w:rsidRPr="00BD3C3F" w:rsidR="005125E2" w:rsidP="00A67A33" w:rsidRDefault="005125E2" w14:paraId="74D4FC23" w14:textId="77777777">
            <w:pPr>
              <w:jc w:val="center"/>
              <w:rPr>
                <w:lang w:val="lv-LV"/>
              </w:rPr>
            </w:pPr>
            <w:r w:rsidRPr="00BD3C3F">
              <w:rPr>
                <w:lang w:val="lv-LV"/>
              </w:rPr>
              <w:t>Saskaņošanai nosūtītā projekta redakcija (konkrēta punkta (panta) redakcija)</w:t>
            </w:r>
          </w:p>
        </w:tc>
        <w:tc>
          <w:tcPr>
            <w:tcW w:w="3770" w:type="dxa"/>
            <w:vAlign w:val="center"/>
          </w:tcPr>
          <w:p w:rsidRPr="00BD3C3F" w:rsidR="005125E2" w:rsidP="00A67A33" w:rsidRDefault="005125E2" w14:paraId="29D9D230" w14:textId="77777777">
            <w:pPr>
              <w:jc w:val="center"/>
              <w:rPr>
                <w:lang w:val="lv-LV"/>
              </w:rPr>
            </w:pPr>
            <w:r w:rsidRPr="00BD3C3F">
              <w:rPr>
                <w:lang w:val="lv-LV"/>
              </w:rPr>
              <w:t>Atzinumā norādītais ministrijas (citas institūcijas) iebildums par projekta konkrēto punktu (pantu)</w:t>
            </w:r>
          </w:p>
        </w:tc>
        <w:tc>
          <w:tcPr>
            <w:tcW w:w="2598" w:type="dxa"/>
            <w:vAlign w:val="center"/>
          </w:tcPr>
          <w:p w:rsidRPr="00BD3C3F" w:rsidR="005125E2" w:rsidP="00A67A33" w:rsidRDefault="005125E2" w14:paraId="24613E80" w14:textId="77777777">
            <w:pPr>
              <w:jc w:val="center"/>
              <w:rPr>
                <w:lang w:val="lv-LV"/>
              </w:rPr>
            </w:pPr>
            <w:r w:rsidRPr="00BD3C3F">
              <w:rPr>
                <w:lang w:val="lv-LV"/>
              </w:rPr>
              <w:t>Ministrijas (citas institūcijas) viedoklis par izteikto iebildumu (attiecīgi norādot, vai iebildums ir ņemts vērā, noraidīts vai panākta vienošanās starpinstitūciju sanāksmē)</w:t>
            </w:r>
          </w:p>
        </w:tc>
        <w:tc>
          <w:tcPr>
            <w:tcW w:w="3065" w:type="dxa"/>
            <w:vAlign w:val="center"/>
          </w:tcPr>
          <w:p w:rsidRPr="00BD3C3F" w:rsidR="005125E2" w:rsidP="00A67A33" w:rsidRDefault="005125E2" w14:paraId="41A77DC8" w14:textId="77777777">
            <w:pPr>
              <w:jc w:val="center"/>
              <w:rPr>
                <w:lang w:val="lv-LV"/>
              </w:rPr>
            </w:pPr>
            <w:r w:rsidRPr="00BD3C3F">
              <w:rPr>
                <w:lang w:val="lv-LV"/>
              </w:rPr>
              <w:t>Projekta attiecīgā punkta (panta) galīgā redakcija vai atsauce uz starpinstitūciju sanāksmes protokola punktu, kurā ir formulēta attiecīgā punkta (panta) redakcija vai atšķirīgie viedokļi par konkrēto punktu (pantu)</w:t>
            </w:r>
          </w:p>
        </w:tc>
      </w:tr>
      <w:tr w:rsidRPr="00BD3C3F" w:rsidR="005125E2" w:rsidTr="00CC450E" w14:paraId="6FF3B0F7" w14:textId="77777777">
        <w:trPr>
          <w:jc w:val="center"/>
        </w:trPr>
        <w:tc>
          <w:tcPr>
            <w:tcW w:w="977" w:type="dxa"/>
          </w:tcPr>
          <w:p w:rsidRPr="00BD3C3F" w:rsidR="005125E2" w:rsidP="00A67A33" w:rsidRDefault="005125E2" w14:paraId="49992058" w14:textId="77777777">
            <w:pPr>
              <w:jc w:val="both"/>
              <w:rPr>
                <w:lang w:val="lv-LV"/>
              </w:rPr>
            </w:pPr>
            <w:r w:rsidRPr="00BD3C3F">
              <w:rPr>
                <w:lang w:val="lv-LV"/>
              </w:rPr>
              <w:t>1.</w:t>
            </w:r>
          </w:p>
        </w:tc>
        <w:tc>
          <w:tcPr>
            <w:tcW w:w="2846" w:type="dxa"/>
          </w:tcPr>
          <w:p w:rsidRPr="0075610A" w:rsidR="00BC5286" w:rsidP="007B7592" w:rsidRDefault="00A42B70" w14:paraId="127ABE7E" w14:textId="4DB0495A">
            <w:pPr>
              <w:jc w:val="both"/>
              <w:rPr>
                <w:lang w:val="lv-LV"/>
              </w:rPr>
            </w:pPr>
            <w:r>
              <w:rPr>
                <w:lang w:val="lv-LV"/>
              </w:rPr>
              <w:t>N</w:t>
            </w:r>
            <w:r w:rsidR="0075610A">
              <w:rPr>
                <w:lang w:val="lv-LV"/>
              </w:rPr>
              <w:t>oteikumu projekta anotācij</w:t>
            </w:r>
            <w:r>
              <w:rPr>
                <w:lang w:val="lv-LV"/>
              </w:rPr>
              <w:t>a</w:t>
            </w:r>
            <w:r w:rsidR="0075610A">
              <w:rPr>
                <w:lang w:val="lv-LV"/>
              </w:rPr>
              <w:t>.</w:t>
            </w:r>
          </w:p>
        </w:tc>
        <w:tc>
          <w:tcPr>
            <w:tcW w:w="3770" w:type="dxa"/>
          </w:tcPr>
          <w:p w:rsidR="00A42B70" w:rsidP="00A42B70" w:rsidRDefault="000C4007" w14:paraId="0E5F88B4" w14:textId="020C219C">
            <w:pPr>
              <w:jc w:val="center"/>
              <w:rPr>
                <w:b/>
                <w:lang w:val="lv-LV"/>
              </w:rPr>
            </w:pPr>
            <w:r w:rsidRPr="000E3100">
              <w:rPr>
                <w:b/>
                <w:lang w:val="lv-LV"/>
              </w:rPr>
              <w:t>Tieslietu ministrija</w:t>
            </w:r>
          </w:p>
          <w:p w:rsidRPr="00A42B70" w:rsidR="000C4007" w:rsidP="00B80FC8" w:rsidRDefault="00A42B70" w14:paraId="09EA982E" w14:textId="1526D900">
            <w:pPr>
              <w:jc w:val="both"/>
              <w:rPr>
                <w:bCs/>
                <w:lang w:val="lv-LV"/>
              </w:rPr>
            </w:pPr>
            <w:r w:rsidRPr="00A42B70">
              <w:rPr>
                <w:bCs/>
                <w:lang w:val="lv-LV"/>
              </w:rPr>
              <w:t>(</w:t>
            </w:r>
            <w:r w:rsidRPr="00A42B70" w:rsidR="000C4007">
              <w:rPr>
                <w:bCs/>
                <w:lang w:val="lv-LV"/>
              </w:rPr>
              <w:t>18.06.2020. atzinums Nr. 1-9.1/643</w:t>
            </w:r>
            <w:r w:rsidRPr="00A42B70">
              <w:rPr>
                <w:bCs/>
                <w:lang w:val="lv-LV"/>
              </w:rPr>
              <w:t>)</w:t>
            </w:r>
          </w:p>
          <w:p w:rsidRPr="006711CA" w:rsidR="006711CA" w:rsidP="006711CA" w:rsidRDefault="000C4007" w14:paraId="07DCDD3A" w14:textId="77777777">
            <w:pPr>
              <w:pStyle w:val="NormalWeb"/>
              <w:spacing w:before="0" w:after="0"/>
              <w:ind w:right="13" w:firstLine="720"/>
              <w:jc w:val="both"/>
              <w:rPr>
                <w:rFonts w:ascii="Times New Roman" w:hAnsi="Times New Roman" w:eastAsia="Times New Roman" w:cs="Times New Roman"/>
              </w:rPr>
            </w:pPr>
            <w:r w:rsidRPr="0048287F">
              <w:rPr>
                <w:rFonts w:ascii="Times New Roman" w:hAnsi="Times New Roman" w:eastAsia="Times New Roman" w:cs="Times New Roman"/>
                <w:lang w:val="lv-LV"/>
              </w:rPr>
              <w:t>1</w:t>
            </w:r>
            <w:r w:rsidRPr="0048287F" w:rsidR="005125E2">
              <w:rPr>
                <w:rFonts w:ascii="Times New Roman" w:hAnsi="Times New Roman" w:eastAsia="Times New Roman" w:cs="Times New Roman"/>
                <w:lang w:val="lv-LV"/>
              </w:rPr>
              <w:t xml:space="preserve">. </w:t>
            </w:r>
            <w:r w:rsidRPr="0048287F" w:rsidR="006711CA">
              <w:rPr>
                <w:rFonts w:ascii="Times New Roman" w:hAnsi="Times New Roman" w:eastAsia="Times New Roman" w:cs="Times New Roman"/>
                <w:lang w:val="lv-LV"/>
              </w:rPr>
              <w:t xml:space="preserve">Vēršam uzmanību uz to, ka šobrīd spēkā esošajā Ministru kabineta 2010. gada 30. novembra noteikumu Nr. 1080 "Transportlīdzekļu reģistrācijas noteikumi" (turpmāk – noteikumi) 10., 11., 11.1, 11.2 un 11.3 punktā ir paredzēts regulējums par valsts reģistrācijas numuru rezervēšanu, bet projekta 1. punktā paredzētajā noteikumu 10. punktā un projekta 2. punktā paredzētajā noteikumu 10.1, 10.2, 10.3,, 10.4 un 10.5 punktā ir paredzēts regulējums par valsts reģistrācijas numuru pasūtīšanu. </w:t>
            </w:r>
            <w:proofErr w:type="spellStart"/>
            <w:r w:rsidRPr="006711CA" w:rsidR="006711CA">
              <w:rPr>
                <w:rFonts w:ascii="Times New Roman" w:hAnsi="Times New Roman" w:eastAsia="Times New Roman" w:cs="Times New Roman"/>
              </w:rPr>
              <w:t>Līdz</w:t>
            </w:r>
            <w:proofErr w:type="spellEnd"/>
            <w:r w:rsidRPr="006711CA" w:rsidR="006711CA">
              <w:rPr>
                <w:rFonts w:ascii="Times New Roman" w:hAnsi="Times New Roman" w:eastAsia="Times New Roman" w:cs="Times New Roman"/>
              </w:rPr>
              <w:t xml:space="preserve"> </w:t>
            </w:r>
            <w:proofErr w:type="spellStart"/>
            <w:r w:rsidRPr="006711CA" w:rsidR="006711CA">
              <w:rPr>
                <w:rFonts w:ascii="Times New Roman" w:hAnsi="Times New Roman" w:eastAsia="Times New Roman" w:cs="Times New Roman"/>
              </w:rPr>
              <w:t>ar</w:t>
            </w:r>
            <w:proofErr w:type="spellEnd"/>
            <w:r w:rsidRPr="006711CA" w:rsidR="006711CA">
              <w:rPr>
                <w:rFonts w:ascii="Times New Roman" w:hAnsi="Times New Roman" w:eastAsia="Times New Roman" w:cs="Times New Roman"/>
              </w:rPr>
              <w:t xml:space="preserve"> to </w:t>
            </w:r>
            <w:proofErr w:type="spellStart"/>
            <w:r w:rsidRPr="006711CA" w:rsidR="006711CA">
              <w:rPr>
                <w:rFonts w:ascii="Times New Roman" w:hAnsi="Times New Roman" w:eastAsia="Times New Roman" w:cs="Times New Roman"/>
              </w:rPr>
              <w:t>šis</w:t>
            </w:r>
            <w:proofErr w:type="spellEnd"/>
            <w:r w:rsidRPr="006711CA" w:rsidR="006711CA">
              <w:rPr>
                <w:rFonts w:ascii="Times New Roman" w:hAnsi="Times New Roman" w:eastAsia="Times New Roman" w:cs="Times New Roman"/>
              </w:rPr>
              <w:t xml:space="preserve"> </w:t>
            </w:r>
            <w:proofErr w:type="spellStart"/>
            <w:r w:rsidRPr="006711CA" w:rsidR="006711CA">
              <w:rPr>
                <w:rFonts w:ascii="Times New Roman" w:hAnsi="Times New Roman" w:eastAsia="Times New Roman" w:cs="Times New Roman"/>
              </w:rPr>
              <w:t>regulējums</w:t>
            </w:r>
            <w:proofErr w:type="spellEnd"/>
            <w:r w:rsidRPr="006711CA" w:rsidR="006711CA">
              <w:rPr>
                <w:rFonts w:ascii="Times New Roman" w:hAnsi="Times New Roman" w:eastAsia="Times New Roman" w:cs="Times New Roman"/>
              </w:rPr>
              <w:t xml:space="preserve"> </w:t>
            </w:r>
            <w:proofErr w:type="spellStart"/>
            <w:r w:rsidRPr="006711CA" w:rsidR="006711CA">
              <w:rPr>
                <w:rFonts w:ascii="Times New Roman" w:hAnsi="Times New Roman" w:eastAsia="Times New Roman" w:cs="Times New Roman"/>
              </w:rPr>
              <w:t>ir</w:t>
            </w:r>
            <w:proofErr w:type="spellEnd"/>
            <w:r w:rsidRPr="006711CA" w:rsidR="006711CA">
              <w:rPr>
                <w:rFonts w:ascii="Times New Roman" w:hAnsi="Times New Roman" w:eastAsia="Times New Roman" w:cs="Times New Roman"/>
              </w:rPr>
              <w:t xml:space="preserve"> </w:t>
            </w:r>
            <w:proofErr w:type="spellStart"/>
            <w:r w:rsidRPr="006711CA" w:rsidR="006711CA">
              <w:rPr>
                <w:rFonts w:ascii="Times New Roman" w:hAnsi="Times New Roman" w:eastAsia="Times New Roman" w:cs="Times New Roman"/>
              </w:rPr>
              <w:t>neskaidrs</w:t>
            </w:r>
            <w:proofErr w:type="spellEnd"/>
            <w:r w:rsidRPr="006711CA" w:rsidR="006711CA">
              <w:rPr>
                <w:rFonts w:ascii="Times New Roman" w:hAnsi="Times New Roman" w:eastAsia="Times New Roman" w:cs="Times New Roman"/>
              </w:rPr>
              <w:t>.</w:t>
            </w:r>
          </w:p>
          <w:p w:rsidRPr="006711CA" w:rsidR="006711CA" w:rsidP="006711CA" w:rsidRDefault="006711CA" w14:paraId="3F1FBC9B" w14:textId="77777777">
            <w:pPr>
              <w:pStyle w:val="NormalWeb"/>
              <w:spacing w:before="0" w:after="0"/>
              <w:ind w:right="13" w:firstLine="720"/>
              <w:jc w:val="both"/>
              <w:rPr>
                <w:rFonts w:ascii="Times New Roman" w:hAnsi="Times New Roman" w:eastAsia="Times New Roman" w:cs="Times New Roman"/>
              </w:rPr>
            </w:pPr>
            <w:proofErr w:type="spellStart"/>
            <w:r w:rsidRPr="006711CA">
              <w:rPr>
                <w:rFonts w:ascii="Times New Roman" w:hAnsi="Times New Roman" w:eastAsia="Times New Roman" w:cs="Times New Roman"/>
              </w:rPr>
              <w:t>Turklāt</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piemēram</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projekta</w:t>
            </w:r>
            <w:proofErr w:type="spellEnd"/>
            <w:r w:rsidRPr="006711CA">
              <w:rPr>
                <w:rFonts w:ascii="Times New Roman" w:hAnsi="Times New Roman" w:eastAsia="Times New Roman" w:cs="Times New Roman"/>
              </w:rPr>
              <w:t xml:space="preserve"> 2. </w:t>
            </w:r>
            <w:proofErr w:type="spellStart"/>
            <w:r w:rsidRPr="006711CA">
              <w:rPr>
                <w:rFonts w:ascii="Times New Roman" w:hAnsi="Times New Roman" w:eastAsia="Times New Roman" w:cs="Times New Roman"/>
              </w:rPr>
              <w:t>punktā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paredzētais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noteikumu</w:t>
            </w:r>
            <w:proofErr w:type="spellEnd"/>
            <w:r w:rsidRPr="006711CA">
              <w:rPr>
                <w:rFonts w:ascii="Times New Roman" w:hAnsi="Times New Roman" w:eastAsia="Times New Roman" w:cs="Times New Roman"/>
              </w:rPr>
              <w:t xml:space="preserve"> 10.1 </w:t>
            </w:r>
            <w:proofErr w:type="spellStart"/>
            <w:r w:rsidRPr="006711CA">
              <w:rPr>
                <w:rFonts w:ascii="Times New Roman" w:hAnsi="Times New Roman" w:eastAsia="Times New Roman" w:cs="Times New Roman"/>
              </w:rPr>
              <w:t>punkts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noteic</w:t>
            </w:r>
            <w:proofErr w:type="spellEnd"/>
            <w:r w:rsidRPr="006711CA">
              <w:rPr>
                <w:rFonts w:ascii="Times New Roman" w:hAnsi="Times New Roman" w:eastAsia="Times New Roman" w:cs="Times New Roman"/>
              </w:rPr>
              <w:t xml:space="preserve">, ka, </w:t>
            </w:r>
            <w:proofErr w:type="spellStart"/>
            <w:r w:rsidRPr="006711CA">
              <w:rPr>
                <w:rFonts w:ascii="Times New Roman" w:hAnsi="Times New Roman" w:eastAsia="Times New Roman" w:cs="Times New Roman"/>
              </w:rPr>
              <w:t>pasūtot</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transportlīdzekļa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lastRenderedPageBreak/>
              <w:t>reģistrācijai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valsts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maiņai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tāda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paša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jau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reģistrēta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valsts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nomaiņai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pret</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jaunu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zīmi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ar</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tādu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pašu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vienlaikus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veic</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samaksu</w:t>
            </w:r>
            <w:proofErr w:type="spellEnd"/>
            <w:r w:rsidRPr="006711CA">
              <w:rPr>
                <w:rFonts w:ascii="Times New Roman" w:hAnsi="Times New Roman" w:eastAsia="Times New Roman" w:cs="Times New Roman"/>
              </w:rPr>
              <w:t xml:space="preserve"> par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zīmes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izgatavošanu</w:t>
            </w:r>
            <w:proofErr w:type="spellEnd"/>
            <w:r w:rsidRPr="006711CA">
              <w:rPr>
                <w:rFonts w:ascii="Times New Roman" w:hAnsi="Times New Roman" w:eastAsia="Times New Roman" w:cs="Times New Roman"/>
              </w:rPr>
              <w:t xml:space="preserve">, bet </w:t>
            </w:r>
            <w:proofErr w:type="spellStart"/>
            <w:r w:rsidRPr="006711CA">
              <w:rPr>
                <w:rFonts w:ascii="Times New Roman" w:hAnsi="Times New Roman" w:eastAsia="Times New Roman" w:cs="Times New Roman"/>
              </w:rPr>
              <w:t>noteikumu</w:t>
            </w:r>
            <w:proofErr w:type="spellEnd"/>
            <w:r w:rsidRPr="006711CA">
              <w:rPr>
                <w:rFonts w:ascii="Times New Roman" w:hAnsi="Times New Roman" w:eastAsia="Times New Roman" w:cs="Times New Roman"/>
              </w:rPr>
              <w:t xml:space="preserve"> 10.4 </w:t>
            </w:r>
            <w:proofErr w:type="spellStart"/>
            <w:r w:rsidRPr="006711CA">
              <w:rPr>
                <w:rFonts w:ascii="Times New Roman" w:hAnsi="Times New Roman" w:eastAsia="Times New Roman" w:cs="Times New Roman"/>
              </w:rPr>
              <w:t>punkts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noteic</w:t>
            </w:r>
            <w:proofErr w:type="spellEnd"/>
            <w:r w:rsidRPr="006711CA">
              <w:rPr>
                <w:rFonts w:ascii="Times New Roman" w:hAnsi="Times New Roman" w:eastAsia="Times New Roman" w:cs="Times New Roman"/>
              </w:rPr>
              <w:t xml:space="preserve">, ka </w:t>
            </w:r>
            <w:proofErr w:type="spellStart"/>
            <w:r w:rsidRPr="006711CA">
              <w:rPr>
                <w:rFonts w:ascii="Times New Roman" w:hAnsi="Times New Roman" w:eastAsia="Times New Roman" w:cs="Times New Roman"/>
              </w:rPr>
              <w:t>iesniegumu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pasūtītā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valsts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transportlīdzeklim</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iesniedz</w:t>
            </w:r>
            <w:proofErr w:type="spellEnd"/>
            <w:r w:rsidRPr="006711CA">
              <w:rPr>
                <w:rFonts w:ascii="Times New Roman" w:hAnsi="Times New Roman" w:eastAsia="Times New Roman" w:cs="Times New Roman"/>
              </w:rPr>
              <w:t xml:space="preserve"> 10 </w:t>
            </w:r>
            <w:proofErr w:type="spellStart"/>
            <w:r w:rsidRPr="006711CA">
              <w:rPr>
                <w:rFonts w:ascii="Times New Roman" w:hAnsi="Times New Roman" w:eastAsia="Times New Roman" w:cs="Times New Roman"/>
              </w:rPr>
              <w:t>dienu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laikā</w:t>
            </w:r>
            <w:proofErr w:type="spellEnd"/>
            <w:r w:rsidRPr="006711CA">
              <w:rPr>
                <w:rFonts w:ascii="Times New Roman" w:hAnsi="Times New Roman" w:eastAsia="Times New Roman" w:cs="Times New Roman"/>
              </w:rPr>
              <w:t xml:space="preserve"> no </w:t>
            </w:r>
            <w:proofErr w:type="spellStart"/>
            <w:r w:rsidRPr="006711CA">
              <w:rPr>
                <w:rFonts w:ascii="Times New Roman" w:hAnsi="Times New Roman" w:eastAsia="Times New Roman" w:cs="Times New Roman"/>
              </w:rPr>
              <w:t>pasūtīšanas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brīža</w:t>
            </w:r>
            <w:proofErr w:type="spellEnd"/>
            <w:r w:rsidRPr="006711CA">
              <w:rPr>
                <w:rFonts w:ascii="Times New Roman" w:hAnsi="Times New Roman" w:eastAsia="Times New Roman" w:cs="Times New Roman"/>
              </w:rPr>
              <w:t xml:space="preserve"> personas </w:t>
            </w:r>
            <w:proofErr w:type="spellStart"/>
            <w:r w:rsidRPr="006711CA">
              <w:rPr>
                <w:rFonts w:ascii="Times New Roman" w:hAnsi="Times New Roman" w:eastAsia="Times New Roman" w:cs="Times New Roman"/>
              </w:rPr>
              <w:t>norādītajā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valsts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akciju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sabiedrības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Ceļu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satiksmes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drošības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direkcija</w:t>
            </w:r>
            <w:proofErr w:type="spellEnd"/>
            <w:r w:rsidRPr="006711CA">
              <w:rPr>
                <w:rFonts w:ascii="Times New Roman" w:hAnsi="Times New Roman" w:eastAsia="Times New Roman" w:cs="Times New Roman"/>
              </w:rPr>
              <w:t>" (</w:t>
            </w:r>
            <w:proofErr w:type="spellStart"/>
            <w:r w:rsidRPr="006711CA">
              <w:rPr>
                <w:rFonts w:ascii="Times New Roman" w:hAnsi="Times New Roman" w:eastAsia="Times New Roman" w:cs="Times New Roman"/>
              </w:rPr>
              <w:t>turpmāk</w:t>
            </w:r>
            <w:proofErr w:type="spellEnd"/>
            <w:r w:rsidRPr="006711CA">
              <w:rPr>
                <w:rFonts w:ascii="Times New Roman" w:hAnsi="Times New Roman" w:eastAsia="Times New Roman" w:cs="Times New Roman"/>
              </w:rPr>
              <w:t xml:space="preserve"> – CSDD) </w:t>
            </w:r>
            <w:proofErr w:type="spellStart"/>
            <w:r w:rsidRPr="006711CA">
              <w:rPr>
                <w:rFonts w:ascii="Times New Roman" w:hAnsi="Times New Roman" w:eastAsia="Times New Roman" w:cs="Times New Roman"/>
              </w:rPr>
              <w:t>klientu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apkalpošanas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centrā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zīmes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pasūtījums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ir</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izpildīts</w:t>
            </w:r>
            <w:proofErr w:type="spellEnd"/>
            <w:r w:rsidRPr="006711CA">
              <w:rPr>
                <w:rFonts w:ascii="Times New Roman" w:hAnsi="Times New Roman" w:eastAsia="Times New Roman" w:cs="Times New Roman"/>
              </w:rPr>
              <w:t xml:space="preserve"> un </w:t>
            </w:r>
            <w:proofErr w:type="spellStart"/>
            <w:r w:rsidRPr="006711CA">
              <w:rPr>
                <w:rFonts w:ascii="Times New Roman" w:hAnsi="Times New Roman" w:eastAsia="Times New Roman" w:cs="Times New Roman"/>
              </w:rPr>
              <w:t>samaksātā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nauda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netiek</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atgriezta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arī</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tajā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gadījumā</w:t>
            </w:r>
            <w:proofErr w:type="spellEnd"/>
            <w:r w:rsidRPr="006711CA">
              <w:rPr>
                <w:rFonts w:ascii="Times New Roman" w:hAnsi="Times New Roman" w:eastAsia="Times New Roman" w:cs="Times New Roman"/>
              </w:rPr>
              <w:t>, ja 10 </w:t>
            </w:r>
            <w:proofErr w:type="spellStart"/>
            <w:r w:rsidRPr="006711CA">
              <w:rPr>
                <w:rFonts w:ascii="Times New Roman" w:hAnsi="Times New Roman" w:eastAsia="Times New Roman" w:cs="Times New Roman"/>
              </w:rPr>
              <w:t>dienu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laikā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netiek</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saņemts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iesniegums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valsts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0B24BF">
              <w:rPr>
                <w:rFonts w:ascii="Times New Roman" w:hAnsi="Times New Roman" w:eastAsia="Times New Roman" w:cs="Times New Roman"/>
              </w:rPr>
              <w:t>reģistrācijai</w:t>
            </w:r>
            <w:proofErr w:type="spellEnd"/>
            <w:r w:rsidRPr="000B24BF">
              <w:rPr>
                <w:rFonts w:ascii="Times New Roman" w:hAnsi="Times New Roman" w:eastAsia="Times New Roman" w:cs="Times New Roman"/>
              </w:rPr>
              <w:t xml:space="preserve">  </w:t>
            </w:r>
            <w:proofErr w:type="spellStart"/>
            <w:r w:rsidRPr="000B24BF">
              <w:rPr>
                <w:rFonts w:ascii="Times New Roman" w:hAnsi="Times New Roman" w:eastAsia="Times New Roman" w:cs="Times New Roman"/>
              </w:rPr>
              <w:t>transportlīdzeklim</w:t>
            </w:r>
            <w:proofErr w:type="spellEnd"/>
            <w:r w:rsidRPr="000B24BF">
              <w:rPr>
                <w:rFonts w:ascii="Times New Roman" w:hAnsi="Times New Roman" w:eastAsia="Times New Roman" w:cs="Times New Roman"/>
              </w:rPr>
              <w:t>,</w:t>
            </w:r>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kuram</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tas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pasūtīts</w:t>
            </w:r>
            <w:proofErr w:type="spellEnd"/>
            <w:r w:rsidRPr="006711CA">
              <w:rPr>
                <w:rFonts w:ascii="Times New Roman" w:hAnsi="Times New Roman" w:eastAsia="Times New Roman" w:cs="Times New Roman"/>
              </w:rPr>
              <w:t>.</w:t>
            </w:r>
          </w:p>
          <w:p w:rsidRPr="006711CA" w:rsidR="006711CA" w:rsidP="006711CA" w:rsidRDefault="006711CA" w14:paraId="3F936B89" w14:textId="77777777">
            <w:pPr>
              <w:pStyle w:val="NormalWeb"/>
              <w:spacing w:before="0" w:after="0"/>
              <w:ind w:right="13" w:firstLine="720"/>
              <w:jc w:val="both"/>
              <w:rPr>
                <w:rFonts w:ascii="Times New Roman" w:hAnsi="Times New Roman" w:eastAsia="Times New Roman" w:cs="Times New Roman"/>
              </w:rPr>
            </w:pPr>
            <w:proofErr w:type="spellStart"/>
            <w:r w:rsidRPr="006711CA">
              <w:rPr>
                <w:rFonts w:ascii="Times New Roman" w:hAnsi="Times New Roman" w:eastAsia="Times New Roman" w:cs="Times New Roman"/>
              </w:rPr>
              <w:t>Savukārt</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piemēram</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noteikumu</w:t>
            </w:r>
            <w:proofErr w:type="spellEnd"/>
            <w:r w:rsidRPr="006711CA">
              <w:rPr>
                <w:rFonts w:ascii="Times New Roman" w:hAnsi="Times New Roman" w:eastAsia="Times New Roman" w:cs="Times New Roman"/>
              </w:rPr>
              <w:t xml:space="preserve"> 11.3 </w:t>
            </w:r>
            <w:proofErr w:type="spellStart"/>
            <w:r w:rsidRPr="006711CA">
              <w:rPr>
                <w:rFonts w:ascii="Times New Roman" w:hAnsi="Times New Roman" w:eastAsia="Times New Roman" w:cs="Times New Roman"/>
              </w:rPr>
              <w:t>punkts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noteic</w:t>
            </w:r>
            <w:proofErr w:type="spellEnd"/>
            <w:r w:rsidRPr="006711CA">
              <w:rPr>
                <w:rFonts w:ascii="Times New Roman" w:hAnsi="Times New Roman" w:eastAsia="Times New Roman" w:cs="Times New Roman"/>
              </w:rPr>
              <w:t xml:space="preserve">, ka </w:t>
            </w:r>
            <w:proofErr w:type="spellStart"/>
            <w:r w:rsidRPr="006711CA">
              <w:rPr>
                <w:rFonts w:ascii="Times New Roman" w:hAnsi="Times New Roman" w:eastAsia="Times New Roman" w:cs="Times New Roman"/>
              </w:rPr>
              <w:t>iesniegumu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nomainītā</w:t>
            </w:r>
            <w:proofErr w:type="spellEnd"/>
            <w:r w:rsidRPr="006711CA">
              <w:rPr>
                <w:rFonts w:ascii="Times New Roman" w:hAnsi="Times New Roman" w:eastAsia="Times New Roman" w:cs="Times New Roman"/>
              </w:rPr>
              <w:t xml:space="preserve"> un </w:t>
            </w:r>
            <w:proofErr w:type="spellStart"/>
            <w:r w:rsidRPr="006711CA">
              <w:rPr>
                <w:rFonts w:ascii="Times New Roman" w:hAnsi="Times New Roman" w:eastAsia="Times New Roman" w:cs="Times New Roman"/>
              </w:rPr>
              <w:t>rezervētā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valsts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iesniedz</w:t>
            </w:r>
            <w:proofErr w:type="spellEnd"/>
            <w:r w:rsidRPr="006711CA">
              <w:rPr>
                <w:rFonts w:ascii="Times New Roman" w:hAnsi="Times New Roman" w:eastAsia="Times New Roman" w:cs="Times New Roman"/>
              </w:rPr>
              <w:t xml:space="preserve"> un </w:t>
            </w:r>
            <w:proofErr w:type="spellStart"/>
            <w:r w:rsidRPr="006711CA">
              <w:rPr>
                <w:rFonts w:ascii="Times New Roman" w:hAnsi="Times New Roman" w:eastAsia="Times New Roman" w:cs="Times New Roman"/>
              </w:rPr>
              <w:t>samaksu</w:t>
            </w:r>
            <w:proofErr w:type="spellEnd"/>
            <w:r w:rsidRPr="006711CA">
              <w:rPr>
                <w:rFonts w:ascii="Times New Roman" w:hAnsi="Times New Roman" w:eastAsia="Times New Roman" w:cs="Times New Roman"/>
              </w:rPr>
              <w:t xml:space="preserve"> par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zīmju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izgatavošanu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veic</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gada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laikā</w:t>
            </w:r>
            <w:proofErr w:type="spellEnd"/>
            <w:r w:rsidRPr="006711CA">
              <w:rPr>
                <w:rFonts w:ascii="Times New Roman" w:hAnsi="Times New Roman" w:eastAsia="Times New Roman" w:cs="Times New Roman"/>
              </w:rPr>
              <w:t xml:space="preserve"> no </w:t>
            </w:r>
            <w:proofErr w:type="spellStart"/>
            <w:r w:rsidRPr="006711CA">
              <w:rPr>
                <w:rFonts w:ascii="Times New Roman" w:hAnsi="Times New Roman" w:eastAsia="Times New Roman" w:cs="Times New Roman"/>
              </w:rPr>
              <w:t>valsts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maiņas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vai</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transportlīdzekļa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norakstīšanas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dienas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Šādu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valsts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reģistrācijas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numuru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reģistrē</w:t>
            </w:r>
            <w:proofErr w:type="spellEnd"/>
            <w:r w:rsidRPr="006711CA">
              <w:rPr>
                <w:rFonts w:ascii="Times New Roman" w:hAnsi="Times New Roman" w:eastAsia="Times New Roman" w:cs="Times New Roman"/>
              </w:rPr>
              <w:t xml:space="preserve"> ne </w:t>
            </w:r>
            <w:proofErr w:type="spellStart"/>
            <w:r w:rsidRPr="006711CA">
              <w:rPr>
                <w:rFonts w:ascii="Times New Roman" w:hAnsi="Times New Roman" w:eastAsia="Times New Roman" w:cs="Times New Roman"/>
              </w:rPr>
              <w:t>vēlāk</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kā</w:t>
            </w:r>
            <w:proofErr w:type="spellEnd"/>
            <w:r w:rsidRPr="006711CA">
              <w:rPr>
                <w:rFonts w:ascii="Times New Roman" w:hAnsi="Times New Roman" w:eastAsia="Times New Roman" w:cs="Times New Roman"/>
              </w:rPr>
              <w:t xml:space="preserve"> 30 </w:t>
            </w:r>
            <w:proofErr w:type="spellStart"/>
            <w:r w:rsidRPr="006711CA">
              <w:rPr>
                <w:rFonts w:ascii="Times New Roman" w:hAnsi="Times New Roman" w:eastAsia="Times New Roman" w:cs="Times New Roman"/>
              </w:rPr>
              <w:t>dienu</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laikā</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pēc</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rezervēšanas</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termiņa</w:t>
            </w:r>
            <w:proofErr w:type="spellEnd"/>
            <w:r w:rsidRPr="006711CA">
              <w:rPr>
                <w:rFonts w:ascii="Times New Roman" w:hAnsi="Times New Roman" w:eastAsia="Times New Roman" w:cs="Times New Roman"/>
              </w:rPr>
              <w:t xml:space="preserve"> </w:t>
            </w:r>
            <w:proofErr w:type="spellStart"/>
            <w:r w:rsidRPr="006711CA">
              <w:rPr>
                <w:rFonts w:ascii="Times New Roman" w:hAnsi="Times New Roman" w:eastAsia="Times New Roman" w:cs="Times New Roman"/>
              </w:rPr>
              <w:t>beigām</w:t>
            </w:r>
            <w:proofErr w:type="spellEnd"/>
            <w:r w:rsidRPr="006711CA">
              <w:rPr>
                <w:rFonts w:ascii="Times New Roman" w:hAnsi="Times New Roman" w:eastAsia="Times New Roman" w:cs="Times New Roman"/>
              </w:rPr>
              <w:t>.</w:t>
            </w:r>
          </w:p>
          <w:p w:rsidRPr="006711CA" w:rsidR="005125E2" w:rsidP="006711CA" w:rsidRDefault="006711CA" w14:paraId="15914FD2" w14:textId="77777777">
            <w:pPr>
              <w:jc w:val="both"/>
            </w:pPr>
            <w:proofErr w:type="spellStart"/>
            <w:r w:rsidRPr="006711CA">
              <w:lastRenderedPageBreak/>
              <w:t>Ievērojot</w:t>
            </w:r>
            <w:proofErr w:type="spellEnd"/>
            <w:r w:rsidRPr="006711CA">
              <w:t xml:space="preserve"> </w:t>
            </w:r>
            <w:proofErr w:type="spellStart"/>
            <w:r w:rsidRPr="006711CA">
              <w:t>minēto</w:t>
            </w:r>
            <w:proofErr w:type="spellEnd"/>
            <w:r w:rsidRPr="006711CA">
              <w:t xml:space="preserve">, </w:t>
            </w:r>
            <w:proofErr w:type="spellStart"/>
            <w:r w:rsidRPr="006711CA">
              <w:t>lūdzam</w:t>
            </w:r>
            <w:proofErr w:type="spellEnd"/>
            <w:r w:rsidRPr="006711CA">
              <w:t xml:space="preserve"> </w:t>
            </w:r>
            <w:proofErr w:type="spellStart"/>
            <w:r w:rsidRPr="006711CA">
              <w:t>izvērtēt</w:t>
            </w:r>
            <w:proofErr w:type="spellEnd"/>
            <w:r w:rsidRPr="006711CA">
              <w:t xml:space="preserve"> </w:t>
            </w:r>
            <w:proofErr w:type="spellStart"/>
            <w:r w:rsidRPr="006711CA">
              <w:t>projekta</w:t>
            </w:r>
            <w:proofErr w:type="spellEnd"/>
            <w:r w:rsidRPr="006711CA">
              <w:t xml:space="preserve"> 1. </w:t>
            </w:r>
            <w:proofErr w:type="spellStart"/>
            <w:r w:rsidRPr="006711CA">
              <w:t>punktā</w:t>
            </w:r>
            <w:proofErr w:type="spellEnd"/>
            <w:r w:rsidRPr="006711CA">
              <w:t xml:space="preserve"> </w:t>
            </w:r>
            <w:proofErr w:type="spellStart"/>
            <w:r w:rsidRPr="006711CA">
              <w:t>paredzētajā</w:t>
            </w:r>
            <w:proofErr w:type="spellEnd"/>
            <w:r w:rsidRPr="006711CA">
              <w:t xml:space="preserve"> </w:t>
            </w:r>
            <w:proofErr w:type="spellStart"/>
            <w:r w:rsidRPr="006711CA">
              <w:t>noteikumu</w:t>
            </w:r>
            <w:proofErr w:type="spellEnd"/>
            <w:r w:rsidRPr="006711CA">
              <w:t xml:space="preserve"> 10. </w:t>
            </w:r>
            <w:proofErr w:type="spellStart"/>
            <w:r w:rsidRPr="006711CA">
              <w:t>punktā</w:t>
            </w:r>
            <w:proofErr w:type="spellEnd"/>
            <w:r w:rsidRPr="006711CA">
              <w:t xml:space="preserve"> un </w:t>
            </w:r>
            <w:proofErr w:type="spellStart"/>
            <w:r w:rsidRPr="006711CA">
              <w:t>projekta</w:t>
            </w:r>
            <w:proofErr w:type="spellEnd"/>
            <w:r w:rsidRPr="006711CA">
              <w:t xml:space="preserve"> 2. </w:t>
            </w:r>
            <w:proofErr w:type="spellStart"/>
            <w:r w:rsidRPr="006711CA">
              <w:t>punktā</w:t>
            </w:r>
            <w:proofErr w:type="spellEnd"/>
            <w:r w:rsidRPr="006711CA">
              <w:t xml:space="preserve"> </w:t>
            </w:r>
            <w:proofErr w:type="spellStart"/>
            <w:r w:rsidRPr="006711CA">
              <w:t>paredzētajā</w:t>
            </w:r>
            <w:proofErr w:type="spellEnd"/>
            <w:r w:rsidRPr="006711CA">
              <w:t xml:space="preserve"> </w:t>
            </w:r>
            <w:proofErr w:type="spellStart"/>
            <w:r w:rsidRPr="006711CA">
              <w:t>noteikumu</w:t>
            </w:r>
            <w:proofErr w:type="spellEnd"/>
            <w:r w:rsidRPr="006711CA">
              <w:t xml:space="preserve"> </w:t>
            </w:r>
            <w:r>
              <w:t>10.</w:t>
            </w:r>
            <w:r w:rsidRPr="006711CA">
              <w:t>1</w:t>
            </w:r>
            <w:r>
              <w:t>, 10.</w:t>
            </w:r>
            <w:r w:rsidRPr="006711CA">
              <w:t>2</w:t>
            </w:r>
            <w:r>
              <w:t>, 10.</w:t>
            </w:r>
            <w:r w:rsidRPr="006711CA">
              <w:t>3,</w:t>
            </w:r>
            <w:r>
              <w:t>, 10.</w:t>
            </w:r>
            <w:r w:rsidRPr="006711CA">
              <w:t>4</w:t>
            </w:r>
            <w:r>
              <w:t xml:space="preserve"> un 10.</w:t>
            </w:r>
            <w:r w:rsidRPr="006711CA">
              <w:t>5</w:t>
            </w:r>
            <w:r>
              <w:t> </w:t>
            </w:r>
            <w:proofErr w:type="spellStart"/>
            <w:r>
              <w:t>punktā</w:t>
            </w:r>
            <w:proofErr w:type="spellEnd"/>
            <w:r>
              <w:t xml:space="preserve">, </w:t>
            </w:r>
            <w:proofErr w:type="spellStart"/>
            <w:r>
              <w:t>kā</w:t>
            </w:r>
            <w:proofErr w:type="spellEnd"/>
            <w:r>
              <w:t xml:space="preserve"> </w:t>
            </w:r>
            <w:proofErr w:type="spellStart"/>
            <w:r>
              <w:t>arī</w:t>
            </w:r>
            <w:proofErr w:type="spellEnd"/>
            <w:r>
              <w:t xml:space="preserve"> </w:t>
            </w:r>
            <w:proofErr w:type="spellStart"/>
            <w:r>
              <w:t>noteikumu</w:t>
            </w:r>
            <w:proofErr w:type="spellEnd"/>
            <w:r>
              <w:t xml:space="preserve"> 10., 11., 11.</w:t>
            </w:r>
            <w:r w:rsidRPr="006711CA">
              <w:t>1</w:t>
            </w:r>
            <w:r>
              <w:t>, 11.</w:t>
            </w:r>
            <w:r w:rsidRPr="006711CA">
              <w:t xml:space="preserve">2 </w:t>
            </w:r>
            <w:r>
              <w:t>un 11.</w:t>
            </w:r>
            <w:r w:rsidRPr="006711CA">
              <w:t>3</w:t>
            </w:r>
            <w:r>
              <w:t> </w:t>
            </w:r>
            <w:proofErr w:type="spellStart"/>
            <w:r>
              <w:t>punktā</w:t>
            </w:r>
            <w:proofErr w:type="spellEnd"/>
            <w:r>
              <w:t xml:space="preserve"> </w:t>
            </w:r>
            <w:proofErr w:type="spellStart"/>
            <w:r>
              <w:t>ietverto</w:t>
            </w:r>
            <w:proofErr w:type="spellEnd"/>
            <w:r>
              <w:t xml:space="preserve"> </w:t>
            </w:r>
            <w:proofErr w:type="spellStart"/>
            <w:r>
              <w:t>regulējumu</w:t>
            </w:r>
            <w:proofErr w:type="spellEnd"/>
            <w:r>
              <w:t xml:space="preserve"> un </w:t>
            </w:r>
            <w:proofErr w:type="spellStart"/>
            <w:r>
              <w:t>attiecīgi</w:t>
            </w:r>
            <w:proofErr w:type="spellEnd"/>
            <w:r>
              <w:t xml:space="preserve"> </w:t>
            </w:r>
            <w:proofErr w:type="spellStart"/>
            <w:r>
              <w:t>precizēt</w:t>
            </w:r>
            <w:proofErr w:type="spellEnd"/>
            <w:r>
              <w:t xml:space="preserve"> to, </w:t>
            </w:r>
            <w:proofErr w:type="spellStart"/>
            <w:r>
              <w:t>kā</w:t>
            </w:r>
            <w:proofErr w:type="spellEnd"/>
            <w:r>
              <w:t xml:space="preserve"> </w:t>
            </w:r>
            <w:proofErr w:type="spellStart"/>
            <w:r>
              <w:t>arī</w:t>
            </w:r>
            <w:proofErr w:type="spellEnd"/>
            <w:r>
              <w:t xml:space="preserve"> </w:t>
            </w:r>
            <w:proofErr w:type="spellStart"/>
            <w:r>
              <w:t>papildināt</w:t>
            </w:r>
            <w:proofErr w:type="spellEnd"/>
            <w:r>
              <w:t xml:space="preserve"> </w:t>
            </w:r>
            <w:proofErr w:type="spellStart"/>
            <w:r>
              <w:t>projekta</w:t>
            </w:r>
            <w:proofErr w:type="spellEnd"/>
            <w:r>
              <w:t xml:space="preserve"> </w:t>
            </w:r>
            <w:proofErr w:type="spellStart"/>
            <w:r>
              <w:t>sākotnējās</w:t>
            </w:r>
            <w:proofErr w:type="spellEnd"/>
            <w:r>
              <w:t xml:space="preserve"> </w:t>
            </w:r>
            <w:r w:rsidRPr="006711CA">
              <w:t>(ex-ante)</w:t>
            </w:r>
            <w:r>
              <w:t xml:space="preserve"> </w:t>
            </w:r>
            <w:proofErr w:type="spellStart"/>
            <w:r>
              <w:t>ietekmes</w:t>
            </w:r>
            <w:proofErr w:type="spellEnd"/>
            <w:r>
              <w:t xml:space="preserve"> </w:t>
            </w:r>
            <w:proofErr w:type="spellStart"/>
            <w:r>
              <w:t>novērtējuma</w:t>
            </w:r>
            <w:proofErr w:type="spellEnd"/>
            <w:r>
              <w:t xml:space="preserve"> </w:t>
            </w:r>
            <w:proofErr w:type="spellStart"/>
            <w:r>
              <w:t>ziņojumu</w:t>
            </w:r>
            <w:proofErr w:type="spellEnd"/>
            <w:r>
              <w:t xml:space="preserve"> (</w:t>
            </w:r>
            <w:proofErr w:type="spellStart"/>
            <w:r>
              <w:t>turpmāk</w:t>
            </w:r>
            <w:proofErr w:type="spellEnd"/>
            <w:r>
              <w:t xml:space="preserve"> – </w:t>
            </w:r>
            <w:proofErr w:type="spellStart"/>
            <w:r>
              <w:t>anotācija</w:t>
            </w:r>
            <w:proofErr w:type="spellEnd"/>
            <w:r>
              <w:t xml:space="preserve">) </w:t>
            </w:r>
            <w:proofErr w:type="spellStart"/>
            <w:r>
              <w:t>ar</w:t>
            </w:r>
            <w:proofErr w:type="spellEnd"/>
            <w:r>
              <w:t xml:space="preserve"> </w:t>
            </w:r>
            <w:proofErr w:type="spellStart"/>
            <w:r>
              <w:t>atbilstošu</w:t>
            </w:r>
            <w:proofErr w:type="spellEnd"/>
            <w:r>
              <w:t xml:space="preserve"> </w:t>
            </w:r>
            <w:proofErr w:type="spellStart"/>
            <w:r>
              <w:t>skaidrojumu</w:t>
            </w:r>
            <w:proofErr w:type="spellEnd"/>
            <w:r>
              <w:t>.</w:t>
            </w:r>
          </w:p>
        </w:tc>
        <w:tc>
          <w:tcPr>
            <w:tcW w:w="2598" w:type="dxa"/>
          </w:tcPr>
          <w:p w:rsidRPr="00926CF3" w:rsidR="005125E2" w:rsidP="00A67A33" w:rsidRDefault="005125E2" w14:paraId="02AFF818" w14:textId="77777777">
            <w:pPr>
              <w:jc w:val="both"/>
              <w:rPr>
                <w:b/>
                <w:lang w:val="lv-LV"/>
              </w:rPr>
            </w:pPr>
            <w:r w:rsidRPr="00926CF3">
              <w:rPr>
                <w:b/>
                <w:lang w:val="lv-LV"/>
              </w:rPr>
              <w:lastRenderedPageBreak/>
              <w:t>Iebildums ņemts vērā.</w:t>
            </w:r>
          </w:p>
          <w:p w:rsidRPr="00BD3C3F" w:rsidR="005125E2" w:rsidP="00FA1354" w:rsidRDefault="005125E2" w14:paraId="33CD6B2A" w14:textId="77777777">
            <w:pPr>
              <w:jc w:val="both"/>
              <w:rPr>
                <w:lang w:val="lv-LV"/>
              </w:rPr>
            </w:pPr>
          </w:p>
        </w:tc>
        <w:tc>
          <w:tcPr>
            <w:tcW w:w="3065" w:type="dxa"/>
          </w:tcPr>
          <w:p w:rsidRPr="00926CF3" w:rsidR="00FF1309" w:rsidP="00D34832" w:rsidRDefault="009A79F4" w14:paraId="6A94F7CF" w14:textId="50161430">
            <w:pPr>
              <w:ind w:right="-8"/>
              <w:jc w:val="both"/>
              <w:rPr>
                <w:lang w:val="lv-LV"/>
              </w:rPr>
            </w:pPr>
            <w:proofErr w:type="spellStart"/>
            <w:r>
              <w:t>Skat</w:t>
            </w:r>
            <w:r w:rsidR="0075610A">
              <w:t>īt</w:t>
            </w:r>
            <w:proofErr w:type="spellEnd"/>
            <w:r w:rsidR="00F65F4A">
              <w:t xml:space="preserve"> </w:t>
            </w:r>
            <w:proofErr w:type="spellStart"/>
            <w:r>
              <w:t>precizēto</w:t>
            </w:r>
            <w:proofErr w:type="spellEnd"/>
            <w:r>
              <w:t xml:space="preserve"> </w:t>
            </w:r>
            <w:proofErr w:type="spellStart"/>
            <w:r>
              <w:t>noteikumu</w:t>
            </w:r>
            <w:proofErr w:type="spellEnd"/>
            <w:r>
              <w:t xml:space="preserve"> </w:t>
            </w:r>
            <w:proofErr w:type="spellStart"/>
            <w:r>
              <w:t>projekta</w:t>
            </w:r>
            <w:proofErr w:type="spellEnd"/>
            <w:r>
              <w:t xml:space="preserve"> </w:t>
            </w:r>
            <w:proofErr w:type="spellStart"/>
            <w:r>
              <w:t>anotāciju</w:t>
            </w:r>
            <w:proofErr w:type="spellEnd"/>
            <w:r>
              <w:t>.</w:t>
            </w:r>
          </w:p>
        </w:tc>
      </w:tr>
      <w:tr w:rsidRPr="00BD3C3F" w:rsidR="0086002F" w:rsidTr="00CC450E" w14:paraId="0B2205C2" w14:textId="77777777">
        <w:trPr>
          <w:jc w:val="center"/>
        </w:trPr>
        <w:tc>
          <w:tcPr>
            <w:tcW w:w="977" w:type="dxa"/>
          </w:tcPr>
          <w:p w:rsidRPr="00BD3C3F" w:rsidR="0086002F" w:rsidP="00A67A33" w:rsidRDefault="0086002F" w14:paraId="72D8DBBA" w14:textId="77777777">
            <w:pPr>
              <w:jc w:val="both"/>
              <w:rPr>
                <w:lang w:val="lv-LV"/>
              </w:rPr>
            </w:pPr>
            <w:r w:rsidRPr="00BD3C3F">
              <w:rPr>
                <w:lang w:val="lv-LV"/>
              </w:rPr>
              <w:lastRenderedPageBreak/>
              <w:t>2.</w:t>
            </w:r>
          </w:p>
        </w:tc>
        <w:tc>
          <w:tcPr>
            <w:tcW w:w="2846" w:type="dxa"/>
          </w:tcPr>
          <w:p w:rsidRPr="00056624" w:rsidR="0086002F" w:rsidP="00C716DF" w:rsidRDefault="00A42B70" w14:paraId="04727346" w14:textId="530ED79F">
            <w:pPr>
              <w:shd w:val="clear" w:color="auto" w:fill="FFFFFF"/>
              <w:ind w:left="-108"/>
              <w:jc w:val="both"/>
              <w:rPr>
                <w:lang w:val="lv-LV" w:eastAsia="lv-LV"/>
              </w:rPr>
            </w:pPr>
            <w:r>
              <w:rPr>
                <w:lang w:val="lv-LV" w:eastAsia="lv-LV"/>
              </w:rPr>
              <w:t>N</w:t>
            </w:r>
            <w:r w:rsidR="0075610A">
              <w:rPr>
                <w:lang w:val="lv-LV" w:eastAsia="lv-LV"/>
              </w:rPr>
              <w:t>oteikumu projekta anotācij</w:t>
            </w:r>
            <w:r>
              <w:rPr>
                <w:lang w:val="lv-LV" w:eastAsia="lv-LV"/>
              </w:rPr>
              <w:t>a</w:t>
            </w:r>
            <w:r w:rsidR="0075610A">
              <w:rPr>
                <w:lang w:val="lv-LV" w:eastAsia="lv-LV"/>
              </w:rPr>
              <w:t>.</w:t>
            </w:r>
          </w:p>
        </w:tc>
        <w:tc>
          <w:tcPr>
            <w:tcW w:w="3770" w:type="dxa"/>
          </w:tcPr>
          <w:p w:rsidR="00A42B70" w:rsidP="00A42B70" w:rsidRDefault="00EE2379" w14:paraId="28D2EC63" w14:textId="77777777">
            <w:pPr>
              <w:jc w:val="center"/>
              <w:rPr>
                <w:b/>
                <w:lang w:val="lv-LV"/>
              </w:rPr>
            </w:pPr>
            <w:r w:rsidRPr="000E3100">
              <w:rPr>
                <w:b/>
                <w:lang w:val="lv-LV"/>
              </w:rPr>
              <w:t>Tieslietu ministrija</w:t>
            </w:r>
          </w:p>
          <w:p w:rsidRPr="00A42B70" w:rsidR="00EE2379" w:rsidP="00EE2379" w:rsidRDefault="00A42B70" w14:paraId="35BCEBEB" w14:textId="2DFAFF92">
            <w:pPr>
              <w:jc w:val="both"/>
              <w:rPr>
                <w:bCs/>
                <w:lang w:val="lv-LV"/>
              </w:rPr>
            </w:pPr>
            <w:r w:rsidRPr="00A42B70">
              <w:rPr>
                <w:bCs/>
                <w:lang w:val="lv-LV"/>
              </w:rPr>
              <w:t>(</w:t>
            </w:r>
            <w:r w:rsidRPr="00A42B70" w:rsidR="00EE2379">
              <w:rPr>
                <w:bCs/>
                <w:lang w:val="lv-LV"/>
              </w:rPr>
              <w:t>18.06.2020. atzinums Nr. 1-9.1/643</w:t>
            </w:r>
            <w:r w:rsidRPr="00A42B70">
              <w:rPr>
                <w:bCs/>
                <w:lang w:val="lv-LV"/>
              </w:rPr>
              <w:t>)</w:t>
            </w:r>
          </w:p>
          <w:p w:rsidRPr="00BD3C3F" w:rsidR="0086002F" w:rsidP="00EE2379" w:rsidRDefault="00C716DF" w14:paraId="2BB365A6" w14:textId="77777777">
            <w:pPr>
              <w:ind w:firstLine="749"/>
              <w:jc w:val="both"/>
              <w:rPr>
                <w:b/>
                <w:color w:val="FF0000"/>
                <w:lang w:val="lv-LV"/>
              </w:rPr>
            </w:pPr>
            <w:r w:rsidRPr="0048287F">
              <w:rPr>
                <w:shd w:val="clear" w:color="auto" w:fill="FDFCFD"/>
                <w:lang w:val="lv-LV"/>
              </w:rPr>
              <w:t xml:space="preserve">2. </w:t>
            </w:r>
            <w:r w:rsidRPr="0048287F" w:rsidR="00F65F4A">
              <w:rPr>
                <w:shd w:val="clear" w:color="auto" w:fill="FDFCFD"/>
                <w:lang w:val="lv-LV"/>
              </w:rPr>
              <w:t>Projekta</w:t>
            </w:r>
            <w:r w:rsidRPr="0048287F" w:rsidR="00F65F4A">
              <w:rPr>
                <w:lang w:val="lv-LV"/>
              </w:rPr>
              <w:t xml:space="preserve"> 2. punktā paredzētais noteikumu 10.</w:t>
            </w:r>
            <w:r w:rsidRPr="0048287F" w:rsidR="00F65F4A">
              <w:rPr>
                <w:vertAlign w:val="superscript"/>
                <w:lang w:val="lv-LV"/>
              </w:rPr>
              <w:t>2</w:t>
            </w:r>
            <w:r w:rsidRPr="0048287F" w:rsidR="00F65F4A">
              <w:rPr>
                <w:lang w:val="lv-LV"/>
              </w:rPr>
              <w:t xml:space="preserve">2. apakšpunkts noteic, ka </w:t>
            </w:r>
            <w:r w:rsidRPr="0048287F" w:rsidR="00F65F4A">
              <w:rPr>
                <w:shd w:val="clear" w:color="auto" w:fill="FFFFFF"/>
                <w:lang w:val="lv-LV"/>
              </w:rPr>
              <w:t xml:space="preserve">CSDD </w:t>
            </w:r>
            <w:r w:rsidRPr="0048287F" w:rsidR="00F65F4A">
              <w:rPr>
                <w:lang w:val="lv-LV"/>
              </w:rPr>
              <w:t xml:space="preserve">reģistrācijai pieejamo numuru kopumā iekļauj </w:t>
            </w:r>
            <w:r w:rsidRPr="0048287F" w:rsidR="00F65F4A">
              <w:rPr>
                <w:u w:val="single"/>
                <w:lang w:val="lv-LV"/>
              </w:rPr>
              <w:t>iepriekš reģistrētu transportlīdzekļu valsts reģistrācijas numurus, kurus CSDD ir tiesības izmantot cita transportlīdzekļa reģistrācijai</w:t>
            </w:r>
            <w:r w:rsidRPr="0048287F" w:rsidR="00F65F4A">
              <w:rPr>
                <w:lang w:val="lv-LV"/>
              </w:rPr>
              <w:t>. Vēršam uzmanību uz to, ka ne no projekta 2. punktā paredzētajā noteikumu 10.</w:t>
            </w:r>
            <w:r w:rsidRPr="0048287F" w:rsidR="00F65F4A">
              <w:rPr>
                <w:vertAlign w:val="superscript"/>
                <w:lang w:val="lv-LV"/>
              </w:rPr>
              <w:t>2</w:t>
            </w:r>
            <w:r w:rsidRPr="0048287F" w:rsidR="00F65F4A">
              <w:rPr>
                <w:lang w:val="lv-LV"/>
              </w:rPr>
              <w:t>2. apakšpunktā ietvertā regulējuma, ne no anotācijas</w:t>
            </w:r>
            <w:r w:rsidRPr="0048287F" w:rsidR="00F65F4A">
              <w:rPr>
                <w:shd w:val="clear" w:color="auto" w:fill="FDFCFD"/>
                <w:lang w:val="lv-LV"/>
              </w:rPr>
              <w:t xml:space="preserve"> I sadaļas 2. punktā ietvertās informācijas nav skaidrs, kas ir i</w:t>
            </w:r>
            <w:r w:rsidRPr="0048287F" w:rsidR="00F65F4A">
              <w:rPr>
                <w:lang w:val="lv-LV"/>
              </w:rPr>
              <w:t>epriekš reģistrētu transportlīdzekļu valsts reģistrācijas numuri, kurus CSDD ir tiesības izmantot cita transportlīdzekļa reģistrācijai. Ievērojot minēto, lūdzam izvērtēt projekta 2. punktā paredzētajā noteikumu 10.</w:t>
            </w:r>
            <w:r w:rsidRPr="0048287F" w:rsidR="00F65F4A">
              <w:rPr>
                <w:vertAlign w:val="superscript"/>
                <w:lang w:val="lv-LV"/>
              </w:rPr>
              <w:t>2</w:t>
            </w:r>
            <w:r w:rsidRPr="0048287F" w:rsidR="00F65F4A">
              <w:rPr>
                <w:lang w:val="lv-LV"/>
              </w:rPr>
              <w:t xml:space="preserve">2. apakšpunktā </w:t>
            </w:r>
            <w:r w:rsidRPr="0048287F" w:rsidR="00F65F4A">
              <w:rPr>
                <w:lang w:val="lv-LV"/>
              </w:rPr>
              <w:lastRenderedPageBreak/>
              <w:t>ietverto regulējumu un nepieciešamības gadījumā precizēt to, kā arī papildināt anotāciju ar atbilstošu skaidrojumu.</w:t>
            </w:r>
          </w:p>
        </w:tc>
        <w:tc>
          <w:tcPr>
            <w:tcW w:w="2598" w:type="dxa"/>
          </w:tcPr>
          <w:p w:rsidRPr="0091726C" w:rsidR="008209EB" w:rsidP="008209EB" w:rsidRDefault="008209EB" w14:paraId="1C4F4B87" w14:textId="77777777">
            <w:pPr>
              <w:jc w:val="both"/>
              <w:rPr>
                <w:b/>
                <w:lang w:val="lv-LV"/>
              </w:rPr>
            </w:pPr>
            <w:r w:rsidRPr="0091726C">
              <w:rPr>
                <w:b/>
                <w:lang w:val="lv-LV"/>
              </w:rPr>
              <w:lastRenderedPageBreak/>
              <w:t xml:space="preserve">Iebildums </w:t>
            </w:r>
            <w:r w:rsidR="006F6FB2">
              <w:rPr>
                <w:b/>
                <w:lang w:val="lv-LV"/>
              </w:rPr>
              <w:t>ņemts vērā.</w:t>
            </w:r>
          </w:p>
          <w:p w:rsidRPr="00B30AC4" w:rsidR="000E3CFE" w:rsidP="008646A6" w:rsidRDefault="000E3CFE" w14:paraId="291132B1" w14:textId="77777777">
            <w:pPr>
              <w:jc w:val="both"/>
              <w:rPr>
                <w:color w:val="FF0000"/>
                <w:lang w:val="lv-LV"/>
              </w:rPr>
            </w:pPr>
          </w:p>
        </w:tc>
        <w:tc>
          <w:tcPr>
            <w:tcW w:w="3065" w:type="dxa"/>
          </w:tcPr>
          <w:p w:rsidRPr="00BD3C3F" w:rsidR="0086002F" w:rsidP="00C716DF" w:rsidRDefault="00F65F4A" w14:paraId="13D27011" w14:textId="7189F587">
            <w:pPr>
              <w:pStyle w:val="BodyText"/>
              <w:ind w:left="-9"/>
              <w:jc w:val="both"/>
              <w:rPr>
                <w:sz w:val="24"/>
                <w:lang w:eastAsia="lv-LV"/>
              </w:rPr>
            </w:pPr>
            <w:proofErr w:type="spellStart"/>
            <w:r w:rsidRPr="00F65F4A">
              <w:rPr>
                <w:sz w:val="24"/>
                <w:shd w:val="clear" w:color="auto" w:fill="FDFCFD"/>
                <w:lang w:val="en-US"/>
              </w:rPr>
              <w:t>Skat</w:t>
            </w:r>
            <w:r w:rsidR="0075610A">
              <w:rPr>
                <w:sz w:val="24"/>
                <w:shd w:val="clear" w:color="auto" w:fill="FDFCFD"/>
                <w:lang w:val="en-US"/>
              </w:rPr>
              <w:t>īt</w:t>
            </w:r>
            <w:proofErr w:type="spellEnd"/>
            <w:r w:rsidRPr="00F65F4A">
              <w:rPr>
                <w:sz w:val="24"/>
                <w:shd w:val="clear" w:color="auto" w:fill="FDFCFD"/>
                <w:lang w:val="en-US"/>
              </w:rPr>
              <w:t xml:space="preserve"> </w:t>
            </w:r>
            <w:proofErr w:type="spellStart"/>
            <w:r w:rsidRPr="00F65F4A">
              <w:rPr>
                <w:sz w:val="24"/>
                <w:shd w:val="clear" w:color="auto" w:fill="FDFCFD"/>
                <w:lang w:val="en-US"/>
              </w:rPr>
              <w:t>precizēto</w:t>
            </w:r>
            <w:proofErr w:type="spellEnd"/>
            <w:r w:rsidRPr="00F65F4A">
              <w:rPr>
                <w:sz w:val="24"/>
                <w:shd w:val="clear" w:color="auto" w:fill="FDFCFD"/>
                <w:lang w:val="en-US"/>
              </w:rPr>
              <w:t xml:space="preserve"> </w:t>
            </w:r>
            <w:proofErr w:type="spellStart"/>
            <w:r w:rsidRPr="00F65F4A">
              <w:rPr>
                <w:sz w:val="24"/>
                <w:shd w:val="clear" w:color="auto" w:fill="FDFCFD"/>
                <w:lang w:val="en-US"/>
              </w:rPr>
              <w:t>noteikumu</w:t>
            </w:r>
            <w:proofErr w:type="spellEnd"/>
            <w:r w:rsidRPr="00F65F4A">
              <w:rPr>
                <w:sz w:val="24"/>
                <w:shd w:val="clear" w:color="auto" w:fill="FDFCFD"/>
                <w:lang w:val="en-US"/>
              </w:rPr>
              <w:t xml:space="preserve"> </w:t>
            </w:r>
            <w:proofErr w:type="spellStart"/>
            <w:r w:rsidRPr="00F65F4A">
              <w:rPr>
                <w:sz w:val="24"/>
                <w:shd w:val="clear" w:color="auto" w:fill="FDFCFD"/>
                <w:lang w:val="en-US"/>
              </w:rPr>
              <w:t>projekta</w:t>
            </w:r>
            <w:proofErr w:type="spellEnd"/>
            <w:r w:rsidRPr="00F65F4A">
              <w:rPr>
                <w:sz w:val="24"/>
                <w:shd w:val="clear" w:color="auto" w:fill="FDFCFD"/>
                <w:lang w:val="en-US"/>
              </w:rPr>
              <w:t xml:space="preserve"> </w:t>
            </w:r>
            <w:proofErr w:type="spellStart"/>
            <w:r w:rsidRPr="00F65F4A">
              <w:rPr>
                <w:sz w:val="24"/>
                <w:shd w:val="clear" w:color="auto" w:fill="FDFCFD"/>
                <w:lang w:val="en-US"/>
              </w:rPr>
              <w:t>anotāciju</w:t>
            </w:r>
            <w:proofErr w:type="spellEnd"/>
            <w:r w:rsidRPr="00F65F4A">
              <w:rPr>
                <w:sz w:val="24"/>
                <w:shd w:val="clear" w:color="auto" w:fill="FDFCFD"/>
                <w:lang w:val="en-US"/>
              </w:rPr>
              <w:t>.</w:t>
            </w:r>
          </w:p>
        </w:tc>
      </w:tr>
      <w:tr w:rsidRPr="000B24BF" w:rsidR="00B83796" w:rsidTr="00CC450E" w14:paraId="48331B0E" w14:textId="77777777">
        <w:trPr>
          <w:jc w:val="center"/>
        </w:trPr>
        <w:tc>
          <w:tcPr>
            <w:tcW w:w="977" w:type="dxa"/>
          </w:tcPr>
          <w:p w:rsidRPr="00BD3C3F" w:rsidR="00A25FFB" w:rsidP="0075610A" w:rsidRDefault="00A64CD8" w14:paraId="3343A531" w14:textId="77777777">
            <w:pPr>
              <w:jc w:val="both"/>
              <w:rPr>
                <w:lang w:val="lv-LV"/>
              </w:rPr>
            </w:pPr>
            <w:r w:rsidRPr="00BD3C3F">
              <w:rPr>
                <w:lang w:val="lv-LV"/>
              </w:rPr>
              <w:t>3.</w:t>
            </w:r>
          </w:p>
        </w:tc>
        <w:tc>
          <w:tcPr>
            <w:tcW w:w="2846" w:type="dxa"/>
          </w:tcPr>
          <w:p w:rsidRPr="00803694" w:rsidR="00803694" w:rsidP="0075610A" w:rsidRDefault="00803694" w14:paraId="38A6CDAE" w14:textId="61AC8C7E">
            <w:pPr>
              <w:pStyle w:val="BodyText"/>
              <w:ind w:firstLine="40"/>
              <w:jc w:val="both"/>
              <w:rPr>
                <w:sz w:val="24"/>
                <w:lang w:val="en-US"/>
              </w:rPr>
            </w:pPr>
            <w:r w:rsidRPr="00803694">
              <w:rPr>
                <w:sz w:val="24"/>
                <w:lang w:val="en-US"/>
              </w:rPr>
              <w:t>10. </w:t>
            </w:r>
            <w:proofErr w:type="spellStart"/>
            <w:r w:rsidRPr="00803694">
              <w:rPr>
                <w:sz w:val="24"/>
                <w:lang w:val="en-US"/>
              </w:rPr>
              <w:t>Papildināt</w:t>
            </w:r>
            <w:proofErr w:type="spellEnd"/>
            <w:r w:rsidRPr="00803694">
              <w:rPr>
                <w:sz w:val="24"/>
                <w:lang w:val="en-US"/>
              </w:rPr>
              <w:t xml:space="preserve"> </w:t>
            </w:r>
            <w:proofErr w:type="spellStart"/>
            <w:r w:rsidRPr="00803694">
              <w:rPr>
                <w:sz w:val="24"/>
                <w:lang w:val="en-US"/>
              </w:rPr>
              <w:t>noteikumus</w:t>
            </w:r>
            <w:proofErr w:type="spellEnd"/>
            <w:r w:rsidRPr="00803694">
              <w:rPr>
                <w:sz w:val="24"/>
                <w:lang w:val="en-US"/>
              </w:rPr>
              <w:t xml:space="preserve"> </w:t>
            </w:r>
            <w:proofErr w:type="spellStart"/>
            <w:r w:rsidRPr="00803694">
              <w:rPr>
                <w:sz w:val="24"/>
                <w:lang w:val="en-US"/>
              </w:rPr>
              <w:t>ar</w:t>
            </w:r>
            <w:proofErr w:type="spellEnd"/>
            <w:r w:rsidRPr="00803694">
              <w:rPr>
                <w:sz w:val="24"/>
                <w:lang w:val="en-US"/>
              </w:rPr>
              <w:t xml:space="preserve"> 91. </w:t>
            </w:r>
            <w:proofErr w:type="spellStart"/>
            <w:r w:rsidRPr="00803694">
              <w:rPr>
                <w:sz w:val="24"/>
                <w:lang w:val="en-US"/>
              </w:rPr>
              <w:t>punktu</w:t>
            </w:r>
            <w:proofErr w:type="spellEnd"/>
            <w:r w:rsidRPr="00803694">
              <w:rPr>
                <w:sz w:val="24"/>
                <w:lang w:val="en-US"/>
              </w:rPr>
              <w:t xml:space="preserve"> </w:t>
            </w:r>
            <w:proofErr w:type="spellStart"/>
            <w:r w:rsidRPr="00803694">
              <w:rPr>
                <w:sz w:val="24"/>
                <w:lang w:val="en-US"/>
              </w:rPr>
              <w:t>šādā</w:t>
            </w:r>
            <w:proofErr w:type="spellEnd"/>
            <w:r w:rsidRPr="00803694">
              <w:rPr>
                <w:sz w:val="24"/>
                <w:lang w:val="en-US"/>
              </w:rPr>
              <w:t xml:space="preserve"> </w:t>
            </w:r>
            <w:proofErr w:type="spellStart"/>
            <w:r w:rsidRPr="00803694">
              <w:rPr>
                <w:sz w:val="24"/>
                <w:lang w:val="en-US"/>
              </w:rPr>
              <w:t>redakcijā</w:t>
            </w:r>
            <w:proofErr w:type="spellEnd"/>
            <w:r w:rsidRPr="00803694">
              <w:rPr>
                <w:sz w:val="24"/>
                <w:lang w:val="en-US"/>
              </w:rPr>
              <w:t>:</w:t>
            </w:r>
            <w:r w:rsidR="005A33C8">
              <w:rPr>
                <w:sz w:val="24"/>
                <w:lang w:val="en-US"/>
              </w:rPr>
              <w:t xml:space="preserve"> </w:t>
            </w:r>
            <w:r w:rsidRPr="00803694">
              <w:rPr>
                <w:sz w:val="24"/>
                <w:lang w:val="en-US"/>
              </w:rPr>
              <w:t>“91.</w:t>
            </w:r>
            <w:r w:rsidR="0075610A">
              <w:rPr>
                <w:sz w:val="24"/>
                <w:lang w:val="en-US"/>
              </w:rPr>
              <w:t xml:space="preserve"> </w:t>
            </w:r>
            <w:proofErr w:type="spellStart"/>
            <w:r w:rsidRPr="00803694">
              <w:rPr>
                <w:sz w:val="24"/>
                <w:lang w:val="en-US"/>
              </w:rPr>
              <w:t>Šo</w:t>
            </w:r>
            <w:proofErr w:type="spellEnd"/>
            <w:r w:rsidRPr="00803694">
              <w:rPr>
                <w:sz w:val="24"/>
                <w:lang w:val="en-US"/>
              </w:rPr>
              <w:t xml:space="preserve"> </w:t>
            </w:r>
            <w:proofErr w:type="spellStart"/>
            <w:r w:rsidRPr="00803694">
              <w:rPr>
                <w:sz w:val="24"/>
                <w:lang w:val="en-US"/>
              </w:rPr>
              <w:t>noteikumu</w:t>
            </w:r>
            <w:proofErr w:type="spellEnd"/>
            <w:r w:rsidRPr="00803694">
              <w:rPr>
                <w:sz w:val="24"/>
                <w:lang w:val="en-US"/>
              </w:rPr>
              <w:t xml:space="preserve"> 10., 10.1, 10.2, 10.3, 10.4 un 10.5 </w:t>
            </w:r>
            <w:proofErr w:type="spellStart"/>
            <w:r w:rsidRPr="00803694">
              <w:rPr>
                <w:sz w:val="24"/>
                <w:lang w:val="en-US"/>
              </w:rPr>
              <w:t>punkts</w:t>
            </w:r>
            <w:proofErr w:type="spellEnd"/>
            <w:r w:rsidRPr="00803694">
              <w:rPr>
                <w:sz w:val="24"/>
                <w:lang w:val="en-US"/>
              </w:rPr>
              <w:t xml:space="preserve"> </w:t>
            </w:r>
            <w:proofErr w:type="spellStart"/>
            <w:r w:rsidRPr="00803694">
              <w:rPr>
                <w:sz w:val="24"/>
                <w:lang w:val="en-US"/>
              </w:rPr>
              <w:t>stājas</w:t>
            </w:r>
            <w:proofErr w:type="spellEnd"/>
            <w:r w:rsidRPr="00803694">
              <w:rPr>
                <w:sz w:val="24"/>
                <w:lang w:val="en-US"/>
              </w:rPr>
              <w:t xml:space="preserve"> </w:t>
            </w:r>
            <w:proofErr w:type="spellStart"/>
            <w:r w:rsidRPr="00803694">
              <w:rPr>
                <w:sz w:val="24"/>
                <w:lang w:val="en-US"/>
              </w:rPr>
              <w:t>spēkā</w:t>
            </w:r>
            <w:proofErr w:type="spellEnd"/>
            <w:r w:rsidRPr="00803694">
              <w:rPr>
                <w:sz w:val="24"/>
                <w:lang w:val="en-US"/>
              </w:rPr>
              <w:t xml:space="preserve"> 2020. </w:t>
            </w:r>
            <w:proofErr w:type="spellStart"/>
            <w:r w:rsidRPr="00803694">
              <w:rPr>
                <w:sz w:val="24"/>
                <w:lang w:val="en-US"/>
              </w:rPr>
              <w:t>gada</w:t>
            </w:r>
            <w:proofErr w:type="spellEnd"/>
            <w:r w:rsidRPr="00803694">
              <w:rPr>
                <w:sz w:val="24"/>
                <w:lang w:val="en-US"/>
              </w:rPr>
              <w:t xml:space="preserve"> 1. </w:t>
            </w:r>
            <w:proofErr w:type="spellStart"/>
            <w:r w:rsidRPr="00803694">
              <w:rPr>
                <w:sz w:val="24"/>
                <w:lang w:val="en-US"/>
              </w:rPr>
              <w:t>oktobrī</w:t>
            </w:r>
            <w:proofErr w:type="spellEnd"/>
            <w:r w:rsidRPr="00803694">
              <w:rPr>
                <w:sz w:val="24"/>
                <w:lang w:val="en-US"/>
              </w:rPr>
              <w:t>.”</w:t>
            </w:r>
          </w:p>
          <w:p w:rsidRPr="00803694" w:rsidR="004955E0" w:rsidP="0075610A" w:rsidRDefault="004955E0" w14:paraId="722D54E3" w14:textId="77777777">
            <w:pPr>
              <w:pStyle w:val="BodyText"/>
              <w:jc w:val="both"/>
              <w:rPr>
                <w:sz w:val="24"/>
                <w:lang w:val="en-US"/>
              </w:rPr>
            </w:pPr>
          </w:p>
        </w:tc>
        <w:tc>
          <w:tcPr>
            <w:tcW w:w="3770" w:type="dxa"/>
          </w:tcPr>
          <w:p w:rsidR="005A33C8" w:rsidP="005A33C8" w:rsidRDefault="00EE2379" w14:paraId="2FDA70A2" w14:textId="1114FF08">
            <w:pPr>
              <w:jc w:val="center"/>
              <w:rPr>
                <w:b/>
                <w:lang w:val="lv-LV"/>
              </w:rPr>
            </w:pPr>
            <w:r w:rsidRPr="000E3100">
              <w:rPr>
                <w:b/>
                <w:lang w:val="lv-LV"/>
              </w:rPr>
              <w:t>Tieslietu ministrija</w:t>
            </w:r>
          </w:p>
          <w:p w:rsidRPr="005A33C8" w:rsidR="00EE2379" w:rsidP="0075610A" w:rsidRDefault="005A33C8" w14:paraId="501E9002" w14:textId="601D58EA">
            <w:pPr>
              <w:jc w:val="both"/>
              <w:rPr>
                <w:bCs/>
                <w:lang w:val="lv-LV"/>
              </w:rPr>
            </w:pPr>
            <w:r w:rsidRPr="005A33C8">
              <w:rPr>
                <w:bCs/>
                <w:lang w:val="lv-LV"/>
              </w:rPr>
              <w:t>(</w:t>
            </w:r>
            <w:r w:rsidRPr="005A33C8" w:rsidR="00EE2379">
              <w:rPr>
                <w:bCs/>
                <w:lang w:val="lv-LV"/>
              </w:rPr>
              <w:t>18.06.2020. atzinums Nr. 1-9.1/643</w:t>
            </w:r>
            <w:r w:rsidRPr="005A33C8">
              <w:rPr>
                <w:bCs/>
                <w:lang w:val="lv-LV"/>
              </w:rPr>
              <w:t>)</w:t>
            </w:r>
          </w:p>
          <w:p w:rsidRPr="00DE59B4" w:rsidR="00A25FFB" w:rsidP="00DE59B4" w:rsidRDefault="00C716DF" w14:paraId="4E40834A" w14:textId="09788111">
            <w:pPr>
              <w:pStyle w:val="NoSpacing"/>
              <w:ind w:firstLine="749"/>
              <w:jc w:val="both"/>
              <w:rPr>
                <w:rFonts w:ascii="Times New Roman" w:hAnsi="Times New Roman" w:eastAsia="Times New Roman"/>
                <w:sz w:val="24"/>
                <w:szCs w:val="24"/>
                <w:lang w:val="en-US"/>
              </w:rPr>
            </w:pPr>
            <w:r w:rsidRPr="00803694">
              <w:rPr>
                <w:rFonts w:ascii="Times New Roman" w:hAnsi="Times New Roman" w:eastAsia="Times New Roman"/>
                <w:sz w:val="24"/>
                <w:szCs w:val="24"/>
                <w:lang w:val="en-US"/>
              </w:rPr>
              <w:t>3. </w:t>
            </w:r>
            <w:proofErr w:type="spellStart"/>
            <w:r w:rsidRPr="00803694" w:rsidR="00B35AEB">
              <w:rPr>
                <w:rFonts w:ascii="Times New Roman" w:hAnsi="Times New Roman" w:eastAsia="Times New Roman"/>
                <w:sz w:val="24"/>
                <w:szCs w:val="24"/>
                <w:lang w:val="en-US"/>
              </w:rPr>
              <w:t>Vēršam</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uzmanību</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uz</w:t>
            </w:r>
            <w:proofErr w:type="spellEnd"/>
            <w:r w:rsidRPr="00803694" w:rsidR="00B35AEB">
              <w:rPr>
                <w:rFonts w:ascii="Times New Roman" w:hAnsi="Times New Roman" w:eastAsia="Times New Roman"/>
                <w:sz w:val="24"/>
                <w:szCs w:val="24"/>
                <w:lang w:val="en-US"/>
              </w:rPr>
              <w:t xml:space="preserve"> to, ka </w:t>
            </w:r>
            <w:proofErr w:type="spellStart"/>
            <w:r w:rsidRPr="00803694" w:rsidR="00B35AEB">
              <w:rPr>
                <w:rFonts w:ascii="Times New Roman" w:hAnsi="Times New Roman" w:eastAsia="Times New Roman"/>
                <w:sz w:val="24"/>
                <w:szCs w:val="24"/>
                <w:lang w:val="en-US"/>
              </w:rPr>
              <w:t>noteikumu</w:t>
            </w:r>
            <w:proofErr w:type="spellEnd"/>
            <w:r w:rsidRPr="00803694" w:rsidR="00B35AEB">
              <w:rPr>
                <w:rFonts w:ascii="Times New Roman" w:hAnsi="Times New Roman" w:eastAsia="Times New Roman"/>
                <w:sz w:val="24"/>
                <w:szCs w:val="24"/>
                <w:lang w:val="en-US"/>
              </w:rPr>
              <w:t xml:space="preserve"> 10. </w:t>
            </w:r>
            <w:proofErr w:type="spellStart"/>
            <w:r w:rsidRPr="00803694" w:rsidR="00B35AEB">
              <w:rPr>
                <w:rFonts w:ascii="Times New Roman" w:hAnsi="Times New Roman" w:eastAsia="Times New Roman"/>
                <w:sz w:val="24"/>
                <w:szCs w:val="24"/>
                <w:lang w:val="en-US"/>
              </w:rPr>
              <w:t>punkts</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ir</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spēkā</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tādēļ</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projekta</w:t>
            </w:r>
            <w:proofErr w:type="spellEnd"/>
            <w:r w:rsidRPr="00803694" w:rsidR="00B35AEB">
              <w:rPr>
                <w:rFonts w:ascii="Times New Roman" w:hAnsi="Times New Roman" w:eastAsia="Times New Roman"/>
                <w:sz w:val="24"/>
                <w:szCs w:val="24"/>
                <w:lang w:val="en-US"/>
              </w:rPr>
              <w:t xml:space="preserve"> 10. </w:t>
            </w:r>
            <w:proofErr w:type="spellStart"/>
            <w:r w:rsidRPr="00803694" w:rsidR="00B35AEB">
              <w:rPr>
                <w:rFonts w:ascii="Times New Roman" w:hAnsi="Times New Roman" w:eastAsia="Times New Roman"/>
                <w:sz w:val="24"/>
                <w:szCs w:val="24"/>
                <w:lang w:val="en-US"/>
              </w:rPr>
              <w:t>punktā</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paredzētajā</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noteikumu</w:t>
            </w:r>
            <w:proofErr w:type="spellEnd"/>
            <w:r w:rsidRPr="00803694" w:rsidR="00B35AEB">
              <w:rPr>
                <w:rFonts w:ascii="Times New Roman" w:hAnsi="Times New Roman" w:eastAsia="Times New Roman"/>
                <w:sz w:val="24"/>
                <w:szCs w:val="24"/>
                <w:lang w:val="en-US"/>
              </w:rPr>
              <w:t xml:space="preserve"> 91. </w:t>
            </w:r>
            <w:proofErr w:type="spellStart"/>
            <w:r w:rsidRPr="00803694" w:rsidR="00B35AEB">
              <w:rPr>
                <w:rFonts w:ascii="Times New Roman" w:hAnsi="Times New Roman" w:eastAsia="Times New Roman"/>
                <w:sz w:val="24"/>
                <w:szCs w:val="24"/>
                <w:lang w:val="en-US"/>
              </w:rPr>
              <w:t>punktā</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nevar</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noteikt</w:t>
            </w:r>
            <w:proofErr w:type="spellEnd"/>
            <w:r w:rsidRPr="00803694" w:rsidR="00B35AEB">
              <w:rPr>
                <w:rFonts w:ascii="Times New Roman" w:hAnsi="Times New Roman" w:eastAsia="Times New Roman"/>
                <w:sz w:val="24"/>
                <w:szCs w:val="24"/>
                <w:lang w:val="en-US"/>
              </w:rPr>
              <w:t xml:space="preserve">, ka </w:t>
            </w:r>
            <w:proofErr w:type="spellStart"/>
            <w:r w:rsidRPr="00803694" w:rsidR="00B35AEB">
              <w:rPr>
                <w:rFonts w:ascii="Times New Roman" w:hAnsi="Times New Roman" w:eastAsia="Times New Roman"/>
                <w:sz w:val="24"/>
                <w:szCs w:val="24"/>
                <w:lang w:val="en-US"/>
              </w:rPr>
              <w:t>noteikumu</w:t>
            </w:r>
            <w:proofErr w:type="spellEnd"/>
            <w:r w:rsidRPr="00803694" w:rsidR="00B35AEB">
              <w:rPr>
                <w:rFonts w:ascii="Times New Roman" w:hAnsi="Times New Roman" w:eastAsia="Times New Roman"/>
                <w:sz w:val="24"/>
                <w:szCs w:val="24"/>
                <w:lang w:val="en-US"/>
              </w:rPr>
              <w:t xml:space="preserve"> 10. </w:t>
            </w:r>
            <w:proofErr w:type="spellStart"/>
            <w:r w:rsidRPr="00803694" w:rsidR="00B35AEB">
              <w:rPr>
                <w:rFonts w:ascii="Times New Roman" w:hAnsi="Times New Roman" w:eastAsia="Times New Roman"/>
                <w:sz w:val="24"/>
                <w:szCs w:val="24"/>
                <w:lang w:val="en-US"/>
              </w:rPr>
              <w:t>punkts</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stāsies</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spēkā</w:t>
            </w:r>
            <w:proofErr w:type="spellEnd"/>
            <w:r w:rsidRPr="00803694" w:rsidR="00B35AEB">
              <w:rPr>
                <w:rFonts w:ascii="Times New Roman" w:hAnsi="Times New Roman" w:eastAsia="Times New Roman"/>
                <w:sz w:val="24"/>
                <w:szCs w:val="24"/>
                <w:lang w:val="en-US"/>
              </w:rPr>
              <w:t xml:space="preserve"> 2020. </w:t>
            </w:r>
            <w:proofErr w:type="spellStart"/>
            <w:r w:rsidRPr="00803694" w:rsidR="00B35AEB">
              <w:rPr>
                <w:rFonts w:ascii="Times New Roman" w:hAnsi="Times New Roman" w:eastAsia="Times New Roman"/>
                <w:sz w:val="24"/>
                <w:szCs w:val="24"/>
                <w:lang w:val="en-US"/>
              </w:rPr>
              <w:t>gada</w:t>
            </w:r>
            <w:proofErr w:type="spellEnd"/>
            <w:r w:rsidRPr="00803694" w:rsidR="00B35AEB">
              <w:rPr>
                <w:rFonts w:ascii="Times New Roman" w:hAnsi="Times New Roman" w:eastAsia="Times New Roman"/>
                <w:sz w:val="24"/>
                <w:szCs w:val="24"/>
                <w:lang w:val="en-US"/>
              </w:rPr>
              <w:t xml:space="preserve"> 1. </w:t>
            </w:r>
            <w:proofErr w:type="spellStart"/>
            <w:r w:rsidRPr="00803694" w:rsidR="00B35AEB">
              <w:rPr>
                <w:rFonts w:ascii="Times New Roman" w:hAnsi="Times New Roman" w:eastAsia="Times New Roman"/>
                <w:sz w:val="24"/>
                <w:szCs w:val="24"/>
                <w:lang w:val="en-US"/>
              </w:rPr>
              <w:t>oktobrī</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Ievērojot</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minēto</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lūdzam</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precizēt</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projekta</w:t>
            </w:r>
            <w:proofErr w:type="spellEnd"/>
            <w:r w:rsidRPr="00803694" w:rsidR="00B35AEB">
              <w:rPr>
                <w:rFonts w:ascii="Times New Roman" w:hAnsi="Times New Roman" w:eastAsia="Times New Roman"/>
                <w:sz w:val="24"/>
                <w:szCs w:val="24"/>
                <w:lang w:val="en-US"/>
              </w:rPr>
              <w:t xml:space="preserve"> 10. </w:t>
            </w:r>
            <w:proofErr w:type="spellStart"/>
            <w:r w:rsidRPr="00803694" w:rsidR="00B35AEB">
              <w:rPr>
                <w:rFonts w:ascii="Times New Roman" w:hAnsi="Times New Roman" w:eastAsia="Times New Roman"/>
                <w:sz w:val="24"/>
                <w:szCs w:val="24"/>
                <w:lang w:val="en-US"/>
              </w:rPr>
              <w:t>punktā</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paredzētajā</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noteikumu</w:t>
            </w:r>
            <w:proofErr w:type="spellEnd"/>
            <w:r w:rsidRPr="00803694" w:rsidR="00B35AEB">
              <w:rPr>
                <w:rFonts w:ascii="Times New Roman" w:hAnsi="Times New Roman" w:eastAsia="Times New Roman"/>
                <w:sz w:val="24"/>
                <w:szCs w:val="24"/>
                <w:lang w:val="en-US"/>
              </w:rPr>
              <w:t xml:space="preserve"> 91. </w:t>
            </w:r>
            <w:proofErr w:type="spellStart"/>
            <w:r w:rsidRPr="00803694" w:rsidR="00B35AEB">
              <w:rPr>
                <w:rFonts w:ascii="Times New Roman" w:hAnsi="Times New Roman" w:eastAsia="Times New Roman"/>
                <w:sz w:val="24"/>
                <w:szCs w:val="24"/>
                <w:lang w:val="en-US"/>
              </w:rPr>
              <w:t>punktā</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noteikto</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pārejas</w:t>
            </w:r>
            <w:proofErr w:type="spellEnd"/>
            <w:r w:rsidRPr="00803694" w:rsidR="00B35AEB">
              <w:rPr>
                <w:rFonts w:ascii="Times New Roman" w:hAnsi="Times New Roman" w:eastAsia="Times New Roman"/>
                <w:sz w:val="24"/>
                <w:szCs w:val="24"/>
                <w:lang w:val="en-US"/>
              </w:rPr>
              <w:t xml:space="preserve"> </w:t>
            </w:r>
            <w:proofErr w:type="spellStart"/>
            <w:r w:rsidRPr="00803694" w:rsidR="00B35AEB">
              <w:rPr>
                <w:rFonts w:ascii="Times New Roman" w:hAnsi="Times New Roman" w:eastAsia="Times New Roman"/>
                <w:sz w:val="24"/>
                <w:szCs w:val="24"/>
                <w:lang w:val="en-US"/>
              </w:rPr>
              <w:t>noteikumu</w:t>
            </w:r>
            <w:proofErr w:type="spellEnd"/>
            <w:r w:rsidRPr="00803694" w:rsidR="00B35AEB">
              <w:rPr>
                <w:rFonts w:ascii="Times New Roman" w:hAnsi="Times New Roman" w:eastAsia="Times New Roman"/>
                <w:sz w:val="24"/>
                <w:szCs w:val="24"/>
                <w:lang w:val="en-US"/>
              </w:rPr>
              <w:t>.</w:t>
            </w:r>
          </w:p>
        </w:tc>
        <w:tc>
          <w:tcPr>
            <w:tcW w:w="2598" w:type="dxa"/>
          </w:tcPr>
          <w:p w:rsidRPr="003A720D" w:rsidR="00B72B97" w:rsidP="0075610A" w:rsidRDefault="008209EB" w14:paraId="1BF99CB4" w14:textId="77777777">
            <w:pPr>
              <w:jc w:val="both"/>
              <w:rPr>
                <w:b/>
                <w:lang w:val="lv-LV"/>
              </w:rPr>
            </w:pPr>
            <w:r w:rsidRPr="003A720D">
              <w:rPr>
                <w:b/>
                <w:lang w:val="lv-LV"/>
              </w:rPr>
              <w:t>Iebildums ņemts vērā.</w:t>
            </w:r>
          </w:p>
        </w:tc>
        <w:tc>
          <w:tcPr>
            <w:tcW w:w="3065" w:type="dxa"/>
          </w:tcPr>
          <w:p w:rsidRPr="00584579" w:rsidR="00584579" w:rsidP="00584579" w:rsidRDefault="00584579" w14:paraId="38F8FBDB" w14:textId="370BE820">
            <w:pPr>
              <w:pStyle w:val="BodyText"/>
              <w:jc w:val="both"/>
              <w:rPr>
                <w:sz w:val="24"/>
              </w:rPr>
            </w:pPr>
            <w:r w:rsidRPr="00584579">
              <w:rPr>
                <w:sz w:val="24"/>
              </w:rPr>
              <w:t>1</w:t>
            </w:r>
            <w:r w:rsidR="005A33C8">
              <w:rPr>
                <w:sz w:val="24"/>
              </w:rPr>
              <w:t>0</w:t>
            </w:r>
            <w:r w:rsidRPr="00584579">
              <w:rPr>
                <w:sz w:val="24"/>
              </w:rPr>
              <w:t>. Papildināt noteikumus ar 91. punktu šādā redakcijā:</w:t>
            </w:r>
          </w:p>
          <w:p w:rsidRPr="00BD3C3F" w:rsidR="001B7657" w:rsidP="00584579" w:rsidRDefault="00584579" w14:paraId="790822FC" w14:textId="3033A6CE">
            <w:pPr>
              <w:pStyle w:val="BodyText"/>
              <w:jc w:val="both"/>
              <w:rPr>
                <w:color w:val="FF0000"/>
              </w:rPr>
            </w:pPr>
            <w:r w:rsidRPr="00584579">
              <w:rPr>
                <w:sz w:val="24"/>
              </w:rPr>
              <w:t>“91. Grozījumi šo noteikumu 10. punktā un 10.</w:t>
            </w:r>
            <w:r w:rsidRPr="005A33C8">
              <w:rPr>
                <w:sz w:val="24"/>
                <w:vertAlign w:val="superscript"/>
              </w:rPr>
              <w:t>1</w:t>
            </w:r>
            <w:r w:rsidRPr="00584579">
              <w:rPr>
                <w:sz w:val="24"/>
              </w:rPr>
              <w:t>, 10.</w:t>
            </w:r>
            <w:r w:rsidRPr="005A33C8">
              <w:rPr>
                <w:sz w:val="24"/>
                <w:vertAlign w:val="superscript"/>
              </w:rPr>
              <w:t>2</w:t>
            </w:r>
            <w:r w:rsidRPr="00584579">
              <w:rPr>
                <w:sz w:val="24"/>
              </w:rPr>
              <w:t>, 10.</w:t>
            </w:r>
            <w:r w:rsidRPr="005A33C8">
              <w:rPr>
                <w:sz w:val="24"/>
                <w:vertAlign w:val="superscript"/>
              </w:rPr>
              <w:t>3</w:t>
            </w:r>
            <w:r w:rsidRPr="00584579">
              <w:rPr>
                <w:sz w:val="24"/>
              </w:rPr>
              <w:t>, 10.</w:t>
            </w:r>
            <w:r w:rsidRPr="005A33C8">
              <w:rPr>
                <w:sz w:val="24"/>
                <w:vertAlign w:val="superscript"/>
              </w:rPr>
              <w:t>4</w:t>
            </w:r>
            <w:r w:rsidRPr="00584579">
              <w:rPr>
                <w:sz w:val="24"/>
              </w:rPr>
              <w:t xml:space="preserve"> un 10.</w:t>
            </w:r>
            <w:r w:rsidRPr="005A33C8">
              <w:rPr>
                <w:sz w:val="24"/>
                <w:vertAlign w:val="superscript"/>
              </w:rPr>
              <w:t>5</w:t>
            </w:r>
            <w:r w:rsidRPr="00584579">
              <w:rPr>
                <w:sz w:val="24"/>
              </w:rPr>
              <w:t xml:space="preserve"> punkts stājas spēkā 2020.gada 1.decembrī.”</w:t>
            </w:r>
          </w:p>
        </w:tc>
      </w:tr>
      <w:tr w:rsidRPr="00BD3C3F" w:rsidR="005A24C3" w:rsidTr="00CC450E" w14:paraId="7D9A9688" w14:textId="77777777">
        <w:trPr>
          <w:jc w:val="center"/>
        </w:trPr>
        <w:tc>
          <w:tcPr>
            <w:tcW w:w="977" w:type="dxa"/>
          </w:tcPr>
          <w:p w:rsidRPr="00BD3C3F" w:rsidR="005A24C3" w:rsidP="005A24C3" w:rsidRDefault="005A24C3" w14:paraId="6BA1BC14" w14:textId="77777777">
            <w:pPr>
              <w:jc w:val="both"/>
              <w:rPr>
                <w:lang w:val="lv-LV"/>
              </w:rPr>
            </w:pPr>
            <w:r w:rsidRPr="00BD3C3F">
              <w:rPr>
                <w:lang w:val="lv-LV"/>
              </w:rPr>
              <w:t>4.</w:t>
            </w:r>
          </w:p>
        </w:tc>
        <w:tc>
          <w:tcPr>
            <w:tcW w:w="2846" w:type="dxa"/>
          </w:tcPr>
          <w:p w:rsidRPr="00BD3C3F" w:rsidR="005A24C3" w:rsidP="005A24C3" w:rsidRDefault="00DE59B4" w14:paraId="36B93CDC" w14:textId="606ECC9C">
            <w:pPr>
              <w:pStyle w:val="BodyText"/>
              <w:jc w:val="both"/>
              <w:rPr>
                <w:color w:val="FF0000"/>
                <w:sz w:val="24"/>
              </w:rPr>
            </w:pPr>
            <w:r>
              <w:rPr>
                <w:sz w:val="24"/>
              </w:rPr>
              <w:t>N</w:t>
            </w:r>
            <w:r w:rsidRPr="0075610A" w:rsidR="0075610A">
              <w:rPr>
                <w:sz w:val="24"/>
              </w:rPr>
              <w:t>oteikumu projekta anotācij</w:t>
            </w:r>
            <w:r>
              <w:rPr>
                <w:sz w:val="24"/>
              </w:rPr>
              <w:t>a</w:t>
            </w:r>
            <w:r w:rsidRPr="0075610A" w:rsidR="0075610A">
              <w:rPr>
                <w:sz w:val="24"/>
              </w:rPr>
              <w:t>.</w:t>
            </w:r>
          </w:p>
        </w:tc>
        <w:tc>
          <w:tcPr>
            <w:tcW w:w="3770" w:type="dxa"/>
          </w:tcPr>
          <w:p w:rsidR="00DE59B4" w:rsidP="000B24BF" w:rsidRDefault="00BA75F7" w14:paraId="292270C0" w14:textId="713184E9">
            <w:pPr>
              <w:jc w:val="center"/>
              <w:rPr>
                <w:b/>
                <w:lang w:val="lv-LV"/>
              </w:rPr>
            </w:pPr>
            <w:r>
              <w:rPr>
                <w:b/>
                <w:lang w:val="lv-LV"/>
              </w:rPr>
              <w:t>Vides aizsardzības un reģionālās attīstības ministrija</w:t>
            </w:r>
          </w:p>
          <w:p w:rsidRPr="00DE59B4" w:rsidR="00183555" w:rsidP="00DE59B4" w:rsidRDefault="00DE59B4" w14:paraId="7B60857B" w14:textId="6DCFF9F5">
            <w:pPr>
              <w:jc w:val="both"/>
              <w:rPr>
                <w:bCs/>
                <w:lang w:val="lv-LV"/>
              </w:rPr>
            </w:pPr>
            <w:r w:rsidRPr="00DE59B4">
              <w:rPr>
                <w:bCs/>
                <w:lang w:val="lv-LV"/>
              </w:rPr>
              <w:t>(</w:t>
            </w:r>
            <w:r w:rsidRPr="00DE59B4" w:rsidR="00BA75F7">
              <w:rPr>
                <w:bCs/>
                <w:lang w:val="lv-LV"/>
              </w:rPr>
              <w:t>30.06.2020. atzinums Nr.1-22/5836</w:t>
            </w:r>
            <w:r w:rsidRPr="00DE59B4">
              <w:rPr>
                <w:bCs/>
                <w:lang w:val="lv-LV"/>
              </w:rPr>
              <w:t>)</w:t>
            </w:r>
          </w:p>
          <w:p w:rsidR="00BA75F7" w:rsidP="00DE59B4" w:rsidRDefault="00BA75F7" w14:paraId="40EDBD6A" w14:textId="77777777">
            <w:pPr>
              <w:pStyle w:val="ListParagraph"/>
              <w:widowControl w:val="0"/>
              <w:numPr>
                <w:ilvl w:val="0"/>
                <w:numId w:val="2"/>
              </w:numPr>
              <w:ind w:left="0" w:firstLine="360"/>
              <w:rPr>
                <w:iCs/>
              </w:rPr>
            </w:pPr>
            <w:r>
              <w:rPr>
                <w:iCs/>
              </w:rPr>
              <w:t xml:space="preserve">Saskaņā ar Ministru kabineta 2009. gada 15. decembra instrukciju Nr. 19 “Tiesību akta projekta sākotnējās ietekmes izvērtēšanas kārtība” (turpmāk – MK instrukcija Nr.19)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Pr="00BD3C3F" w:rsidR="005A24C3" w:rsidP="00DE59B4" w:rsidRDefault="00BA75F7" w14:paraId="7B885D8D" w14:textId="77777777">
            <w:pPr>
              <w:ind w:firstLine="749"/>
              <w:jc w:val="both"/>
              <w:rPr>
                <w:color w:val="FF0000"/>
                <w:lang w:val="lv-LV"/>
              </w:rPr>
            </w:pPr>
            <w:r w:rsidRPr="0048287F">
              <w:rPr>
                <w:iCs/>
                <w:lang w:val="lv-LV"/>
              </w:rPr>
              <w:lastRenderedPageBreak/>
              <w:t>Ņemot vērā minēto, lūdzam atbilstoši MK instrukcijas Nr.19 14.4. apakšpunktā noteiktajam, anotācijas I sadaļas 2. punktā norādīt pilnveidoto pakalpojumu nosaukumus un to sniegšanas kanālus. Saskaņā ar Ministru kabineta 2017. gada 4. jūlija noteikumu Nr.399 “Valsts pārvaldes pakalpojumu uzskaites, kvalitātes kontroles un sniegšanas kārtība” 17. punktu pakalpojumu pieprasīšanas un saņemšanas kanāli iedalāmi klātienes un neklātienes kanālos.</w:t>
            </w:r>
          </w:p>
        </w:tc>
        <w:tc>
          <w:tcPr>
            <w:tcW w:w="2598" w:type="dxa"/>
          </w:tcPr>
          <w:p w:rsidRPr="003A720D" w:rsidR="005A24C3" w:rsidP="005A24C3" w:rsidRDefault="005A24C3" w14:paraId="3979E674" w14:textId="77777777">
            <w:pPr>
              <w:jc w:val="both"/>
              <w:rPr>
                <w:b/>
                <w:lang w:val="lv-LV"/>
              </w:rPr>
            </w:pPr>
            <w:r w:rsidRPr="003A720D">
              <w:rPr>
                <w:b/>
                <w:lang w:val="lv-LV"/>
              </w:rPr>
              <w:lastRenderedPageBreak/>
              <w:t>Iebildums ņemts vērā.</w:t>
            </w:r>
          </w:p>
          <w:p w:rsidRPr="003A720D" w:rsidR="005A24C3" w:rsidP="005A24C3" w:rsidRDefault="005A24C3" w14:paraId="148AD047" w14:textId="77777777">
            <w:pPr>
              <w:jc w:val="both"/>
              <w:rPr>
                <w:lang w:eastAsia="lv-LV"/>
              </w:rPr>
            </w:pPr>
          </w:p>
          <w:p w:rsidRPr="003A720D" w:rsidR="005A24C3" w:rsidP="005A24C3" w:rsidRDefault="005A24C3" w14:paraId="2C64E8FE" w14:textId="77777777">
            <w:pPr>
              <w:jc w:val="both"/>
              <w:rPr>
                <w:lang w:eastAsia="lv-LV"/>
              </w:rPr>
            </w:pPr>
          </w:p>
        </w:tc>
        <w:tc>
          <w:tcPr>
            <w:tcW w:w="3065" w:type="dxa"/>
          </w:tcPr>
          <w:p w:rsidRPr="00BA75F7" w:rsidR="005A24C3" w:rsidP="00225B9D" w:rsidRDefault="00BA75F7" w14:paraId="364B30C4" w14:textId="3265D526">
            <w:pPr>
              <w:shd w:val="clear" w:color="auto" w:fill="FFFFFF"/>
              <w:spacing w:line="293" w:lineRule="atLeast"/>
              <w:jc w:val="both"/>
              <w:rPr>
                <w:color w:val="FF0000"/>
              </w:rPr>
            </w:pPr>
            <w:proofErr w:type="spellStart"/>
            <w:r w:rsidRPr="00F65F4A">
              <w:rPr>
                <w:shd w:val="clear" w:color="auto" w:fill="FDFCFD"/>
              </w:rPr>
              <w:t>Skat</w:t>
            </w:r>
            <w:r w:rsidR="0075610A">
              <w:rPr>
                <w:shd w:val="clear" w:color="auto" w:fill="FDFCFD"/>
              </w:rPr>
              <w:t>īt</w:t>
            </w:r>
            <w:proofErr w:type="spellEnd"/>
            <w:r w:rsidRPr="00F65F4A">
              <w:rPr>
                <w:shd w:val="clear" w:color="auto" w:fill="FDFCFD"/>
              </w:rPr>
              <w:t xml:space="preserve"> </w:t>
            </w:r>
            <w:proofErr w:type="spellStart"/>
            <w:r w:rsidRPr="00F65F4A">
              <w:rPr>
                <w:shd w:val="clear" w:color="auto" w:fill="FDFCFD"/>
              </w:rPr>
              <w:t>precizēto</w:t>
            </w:r>
            <w:proofErr w:type="spellEnd"/>
            <w:r w:rsidRPr="00F65F4A">
              <w:rPr>
                <w:shd w:val="clear" w:color="auto" w:fill="FDFCFD"/>
              </w:rPr>
              <w:t xml:space="preserve"> </w:t>
            </w:r>
            <w:proofErr w:type="spellStart"/>
            <w:r w:rsidRPr="00F65F4A">
              <w:rPr>
                <w:shd w:val="clear" w:color="auto" w:fill="FDFCFD"/>
              </w:rPr>
              <w:t>noteikumu</w:t>
            </w:r>
            <w:proofErr w:type="spellEnd"/>
            <w:r w:rsidRPr="00F65F4A">
              <w:rPr>
                <w:shd w:val="clear" w:color="auto" w:fill="FDFCFD"/>
              </w:rPr>
              <w:t xml:space="preserve"> </w:t>
            </w:r>
            <w:proofErr w:type="spellStart"/>
            <w:r w:rsidRPr="00F65F4A">
              <w:rPr>
                <w:shd w:val="clear" w:color="auto" w:fill="FDFCFD"/>
              </w:rPr>
              <w:t>projekta</w:t>
            </w:r>
            <w:proofErr w:type="spellEnd"/>
            <w:r w:rsidRPr="00F65F4A">
              <w:rPr>
                <w:shd w:val="clear" w:color="auto" w:fill="FDFCFD"/>
              </w:rPr>
              <w:t xml:space="preserve"> </w:t>
            </w:r>
            <w:proofErr w:type="spellStart"/>
            <w:r w:rsidRPr="00F65F4A">
              <w:rPr>
                <w:shd w:val="clear" w:color="auto" w:fill="FDFCFD"/>
              </w:rPr>
              <w:t>anotāciju</w:t>
            </w:r>
            <w:proofErr w:type="spellEnd"/>
            <w:r w:rsidRPr="00F65F4A">
              <w:rPr>
                <w:shd w:val="clear" w:color="auto" w:fill="FDFCFD"/>
              </w:rPr>
              <w:t>.</w:t>
            </w:r>
          </w:p>
        </w:tc>
      </w:tr>
      <w:tr w:rsidRPr="00BD3C3F" w:rsidR="005A24C3" w:rsidTr="00CC450E" w14:paraId="0D6EEA90" w14:textId="77777777">
        <w:trPr>
          <w:jc w:val="center"/>
        </w:trPr>
        <w:tc>
          <w:tcPr>
            <w:tcW w:w="977" w:type="dxa"/>
          </w:tcPr>
          <w:p w:rsidRPr="00BD3C3F" w:rsidR="005A24C3" w:rsidP="005A24C3" w:rsidRDefault="005A24C3" w14:paraId="2E8DDC9D" w14:textId="77777777">
            <w:pPr>
              <w:jc w:val="both"/>
              <w:rPr>
                <w:lang w:val="lv-LV"/>
              </w:rPr>
            </w:pPr>
            <w:r w:rsidRPr="00BD3C3F">
              <w:rPr>
                <w:lang w:val="lv-LV"/>
              </w:rPr>
              <w:t>5.</w:t>
            </w:r>
          </w:p>
        </w:tc>
        <w:tc>
          <w:tcPr>
            <w:tcW w:w="2846" w:type="dxa"/>
          </w:tcPr>
          <w:p w:rsidRPr="0048287F" w:rsidR="00BF5FE3" w:rsidP="00BF5FE3" w:rsidRDefault="00BF5FE3" w14:paraId="13553A98" w14:textId="77777777">
            <w:pPr>
              <w:pStyle w:val="NoSpacing"/>
              <w:ind w:firstLine="720"/>
              <w:jc w:val="both"/>
              <w:rPr>
                <w:rFonts w:ascii="Times New Roman" w:hAnsi="Times New Roman" w:eastAsia="Times New Roman"/>
                <w:sz w:val="24"/>
                <w:szCs w:val="24"/>
              </w:rPr>
            </w:pPr>
            <w:r w:rsidRPr="0048287F">
              <w:rPr>
                <w:rFonts w:ascii="Times New Roman" w:hAnsi="Times New Roman" w:eastAsia="Times New Roman"/>
                <w:sz w:val="24"/>
                <w:szCs w:val="24"/>
              </w:rPr>
              <w:t>7. Izteikt 73.3.apakšpunktu šādā redakcijā:</w:t>
            </w:r>
          </w:p>
          <w:p w:rsidRPr="0048287F" w:rsidR="00914189" w:rsidP="00BF5FE3" w:rsidRDefault="00BF5FE3" w14:paraId="47B59E9A" w14:textId="77777777">
            <w:pPr>
              <w:jc w:val="both"/>
              <w:rPr>
                <w:lang w:val="lv-LV"/>
              </w:rPr>
            </w:pPr>
            <w:r w:rsidRPr="0048287F">
              <w:rPr>
                <w:lang w:val="lv-LV"/>
              </w:rPr>
              <w:t xml:space="preserve">“73.3. tranzīta numura karte tiek izsniegta uz 60 dienām, bet tranzīta numura zīmju derīguma termiņš Latvijā ir desmit dienas. Ja tranzīta numura zīmes saņem transportlīdzeklim, kuru paredzēts reģistrēt Latvijā, bet, lai to reģistrētu, nepieciešams veikt transportlīdzekļa pārbūvi noteiktajā kārtībā vai saņemt atbilstības apliecinājumu, tranzīta numura zīmju derīguma termiņš Latvijā ir 30 dienas. Šie termiņi tiek </w:t>
            </w:r>
            <w:r w:rsidRPr="0048287F">
              <w:rPr>
                <w:lang w:val="lv-LV"/>
              </w:rPr>
              <w:lastRenderedPageBreak/>
              <w:t>norādīti tranzīta numura kartē. Tranzīta numura zīmju derīguma termiņu var pagarināt vienu reizi uz tādu pašu termiņu kā iepriekš, izsniedzot jaunu tranzīta numura karti;”.</w:t>
            </w:r>
          </w:p>
        </w:tc>
        <w:tc>
          <w:tcPr>
            <w:tcW w:w="3770" w:type="dxa"/>
          </w:tcPr>
          <w:p w:rsidR="00DE59B4" w:rsidP="00FA71EB" w:rsidRDefault="00BF5FE3" w14:paraId="343FF883" w14:textId="77777777">
            <w:pPr>
              <w:jc w:val="center"/>
              <w:rPr>
                <w:b/>
                <w:lang w:val="lv-LV"/>
              </w:rPr>
            </w:pPr>
            <w:r w:rsidRPr="00BF5FE3">
              <w:rPr>
                <w:b/>
                <w:lang w:val="lv-LV"/>
              </w:rPr>
              <w:lastRenderedPageBreak/>
              <w:t>Latvijas Transportlīdzekļu apdrošinātāju biroj</w:t>
            </w:r>
            <w:r w:rsidR="00DE59B4">
              <w:rPr>
                <w:b/>
                <w:lang w:val="lv-LV"/>
              </w:rPr>
              <w:t>s</w:t>
            </w:r>
          </w:p>
          <w:p w:rsidRPr="00DE59B4" w:rsidR="00BA75F7" w:rsidP="005A24C3" w:rsidRDefault="00DE59B4" w14:paraId="1D925B6E" w14:textId="1C2D73F6">
            <w:pPr>
              <w:jc w:val="both"/>
              <w:rPr>
                <w:bCs/>
                <w:lang w:val="lv-LV"/>
              </w:rPr>
            </w:pPr>
            <w:r w:rsidRPr="00DE59B4">
              <w:rPr>
                <w:bCs/>
                <w:lang w:val="lv-LV"/>
              </w:rPr>
              <w:t>(</w:t>
            </w:r>
            <w:r w:rsidRPr="00DE59B4" w:rsidR="00BF5FE3">
              <w:rPr>
                <w:bCs/>
                <w:lang w:val="lv-LV"/>
              </w:rPr>
              <w:t>17.06.2020. atzinums Nr.07/02-16/52</w:t>
            </w:r>
            <w:r w:rsidRPr="00DE59B4">
              <w:rPr>
                <w:bCs/>
                <w:lang w:val="lv-LV"/>
              </w:rPr>
              <w:t>)</w:t>
            </w:r>
          </w:p>
          <w:p w:rsidRPr="0048287F" w:rsidR="00BF5FE3" w:rsidP="00DE59B4" w:rsidRDefault="00990E65" w14:paraId="12CA4A81" w14:textId="543E52F5">
            <w:pPr>
              <w:spacing w:after="120"/>
              <w:ind w:firstLine="360"/>
              <w:jc w:val="both"/>
              <w:rPr>
                <w:lang w:val="lv-LV"/>
              </w:rPr>
            </w:pPr>
            <w:r w:rsidRPr="0048287F">
              <w:rPr>
                <w:lang w:val="lv-LV"/>
              </w:rPr>
              <w:t>1</w:t>
            </w:r>
            <w:r w:rsidRPr="0048287F" w:rsidR="005A24C3">
              <w:rPr>
                <w:lang w:val="lv-LV"/>
              </w:rPr>
              <w:t>.</w:t>
            </w:r>
            <w:r w:rsidRPr="0048287F">
              <w:rPr>
                <w:lang w:val="lv-LV"/>
              </w:rPr>
              <w:t>)</w:t>
            </w:r>
            <w:r w:rsidRPr="0048287F" w:rsidR="005A24C3">
              <w:rPr>
                <w:lang w:val="lv-LV"/>
              </w:rPr>
              <w:t> </w:t>
            </w:r>
            <w:r w:rsidRPr="0048287F" w:rsidR="00BF5FE3">
              <w:rPr>
                <w:lang w:val="lv-LV"/>
              </w:rPr>
              <w:t>Noteikumu projekta 7.punktā (noteikumu 73.3. apakšpunktā) aizstāt skaitli “60” ar skaitli “30”.</w:t>
            </w:r>
          </w:p>
          <w:p w:rsidRPr="0048287F" w:rsidR="005A24C3" w:rsidP="00C345B3" w:rsidRDefault="00BF5FE3" w14:paraId="7598EB89" w14:textId="77777777">
            <w:pPr>
              <w:pStyle w:val="ListParagraph"/>
              <w:spacing w:after="120"/>
              <w:ind w:left="0" w:firstLine="360"/>
            </w:pPr>
            <w:r w:rsidRPr="0048287F">
              <w:rPr>
                <w:rFonts w:eastAsia="Times New Roman"/>
              </w:rPr>
              <w:t xml:space="preserve">Pamatojums - tranzīta numura zīmes derīguma termiņa noteikšana/pagarināšana uz 60 dienām  no sauszemes transportlīdzekļu īpašnieku civiltiesiskās atbildības obligātās apdrošināšanas (turpmāk – OCTA) viedokļa ir problemātiska tajos gadījumos, kad transportlīdzeklis (turpmāk – TRL) paredzēts izvešanai uz Eiropas Savienības (turpmāk – ES) dalībvalstīm, jo atbilstoši OCTA direktīvai 2009/103/EK  (15. </w:t>
            </w:r>
            <w:r w:rsidRPr="0048287F">
              <w:rPr>
                <w:rFonts w:eastAsia="Times New Roman"/>
              </w:rPr>
              <w:lastRenderedPageBreak/>
              <w:t>pantam) Latvijai nav jāuzņemas atbildība, t.i.,  nav jānodrošina OCTA  segums par pirmajām 30 dienām pēc TRL iegādes Latvijā. Atbildība par OCTA veikšanu jāuzņemas tai dalībvalstij, uz kuru TRL tiek vests. Gadījumā, ja TRL netiek pārreģistrēts ES dalībvalstī, Latvijai pēc šīm 30 dienām atkal ir jāuzņemas atbildība. Līdz ar to no apdrošināšanas viedokļa raugoties, būtu svarīgi nepagarināt tranzīta numura kartes derīguma termiņu un saglabāt 30 dienu termiņu (kā līdz šim), lai veicinātu to, ka TRL tiek pārreģistrēts šo 30 dienu termiņā.</w:t>
            </w:r>
          </w:p>
        </w:tc>
        <w:tc>
          <w:tcPr>
            <w:tcW w:w="2598" w:type="dxa"/>
          </w:tcPr>
          <w:p w:rsidRPr="002167A0" w:rsidR="005A24C3" w:rsidP="004B0F19" w:rsidRDefault="005A24C3" w14:paraId="0690DB36" w14:textId="77777777">
            <w:pPr>
              <w:jc w:val="center"/>
              <w:rPr>
                <w:b/>
                <w:lang w:val="lv-LV"/>
              </w:rPr>
            </w:pPr>
            <w:r w:rsidRPr="002167A0">
              <w:rPr>
                <w:b/>
                <w:lang w:val="lv-LV"/>
              </w:rPr>
              <w:lastRenderedPageBreak/>
              <w:t>Iebildums ņemts vērā.</w:t>
            </w:r>
          </w:p>
          <w:p w:rsidRPr="002167A0" w:rsidR="005A24C3" w:rsidP="005827D6" w:rsidRDefault="005A24C3" w14:paraId="7E366494" w14:textId="77777777">
            <w:pPr>
              <w:jc w:val="both"/>
              <w:rPr>
                <w:b/>
                <w:lang w:val="lv-LV"/>
              </w:rPr>
            </w:pPr>
          </w:p>
        </w:tc>
        <w:tc>
          <w:tcPr>
            <w:tcW w:w="3065" w:type="dxa"/>
          </w:tcPr>
          <w:p w:rsidRPr="00BD3C3F" w:rsidR="005A24C3" w:rsidP="005A24C3" w:rsidRDefault="004B0F19" w14:paraId="07BD8A4A" w14:textId="0C7E8991">
            <w:pPr>
              <w:jc w:val="both"/>
            </w:pPr>
            <w:proofErr w:type="spellStart"/>
            <w:r>
              <w:t>Svītrot</w:t>
            </w:r>
            <w:r w:rsidR="00FA71EB">
              <w:t>s</w:t>
            </w:r>
            <w:proofErr w:type="spellEnd"/>
            <w:r w:rsidR="00BF5FE3">
              <w:t xml:space="preserve"> </w:t>
            </w:r>
            <w:proofErr w:type="spellStart"/>
            <w:r w:rsidR="00BF5FE3">
              <w:t>noteikumu</w:t>
            </w:r>
            <w:proofErr w:type="spellEnd"/>
            <w:r w:rsidR="00BF5FE3">
              <w:t xml:space="preserve"> </w:t>
            </w:r>
            <w:proofErr w:type="spellStart"/>
            <w:r w:rsidR="00BF5FE3">
              <w:t>projekta</w:t>
            </w:r>
            <w:proofErr w:type="spellEnd"/>
            <w:r w:rsidR="00BF5FE3">
              <w:t xml:space="preserve"> 7.punktā </w:t>
            </w:r>
            <w:proofErr w:type="spellStart"/>
            <w:r w:rsidR="00BF5FE3">
              <w:t>paredzētais</w:t>
            </w:r>
            <w:proofErr w:type="spellEnd"/>
            <w:r w:rsidR="00BF5FE3">
              <w:t xml:space="preserve"> </w:t>
            </w:r>
            <w:proofErr w:type="spellStart"/>
            <w:r w:rsidR="00BF5FE3">
              <w:t>grozījums</w:t>
            </w:r>
            <w:proofErr w:type="spellEnd"/>
            <w:r w:rsidR="00BF5FE3">
              <w:t>.</w:t>
            </w:r>
          </w:p>
        </w:tc>
      </w:tr>
      <w:tr w:rsidRPr="009345EF" w:rsidR="005A24C3" w:rsidTr="00CC450E" w14:paraId="6F59418B" w14:textId="77777777">
        <w:trPr>
          <w:jc w:val="center"/>
        </w:trPr>
        <w:tc>
          <w:tcPr>
            <w:tcW w:w="977" w:type="dxa"/>
          </w:tcPr>
          <w:p w:rsidRPr="00BD3C3F" w:rsidR="005A24C3" w:rsidP="005A24C3" w:rsidRDefault="005A24C3" w14:paraId="73295A32" w14:textId="77777777">
            <w:pPr>
              <w:jc w:val="both"/>
              <w:rPr>
                <w:lang w:val="lv-LV"/>
              </w:rPr>
            </w:pPr>
            <w:r w:rsidRPr="00BD3C3F">
              <w:rPr>
                <w:lang w:val="lv-LV"/>
              </w:rPr>
              <w:t>6.</w:t>
            </w:r>
          </w:p>
        </w:tc>
        <w:tc>
          <w:tcPr>
            <w:tcW w:w="2846" w:type="dxa"/>
          </w:tcPr>
          <w:p w:rsidRPr="009345EF" w:rsidR="009345EF" w:rsidP="005A24C3" w:rsidRDefault="009345EF" w14:paraId="14761FBC" w14:textId="6C95EBBB">
            <w:pPr>
              <w:jc w:val="both"/>
              <w:rPr>
                <w:lang w:val="lv-LV"/>
              </w:rPr>
            </w:pPr>
          </w:p>
        </w:tc>
        <w:tc>
          <w:tcPr>
            <w:tcW w:w="3770" w:type="dxa"/>
          </w:tcPr>
          <w:p w:rsidR="00252FA4" w:rsidP="00AC019C" w:rsidRDefault="00990E65" w14:paraId="4A13BD9B" w14:textId="77777777">
            <w:pPr>
              <w:jc w:val="center"/>
              <w:rPr>
                <w:b/>
              </w:rPr>
            </w:pPr>
            <w:proofErr w:type="spellStart"/>
            <w:r w:rsidRPr="0075610A">
              <w:rPr>
                <w:b/>
              </w:rPr>
              <w:t>Latvijas</w:t>
            </w:r>
            <w:proofErr w:type="spellEnd"/>
            <w:r w:rsidRPr="0075610A">
              <w:rPr>
                <w:b/>
              </w:rPr>
              <w:t xml:space="preserve"> </w:t>
            </w:r>
            <w:proofErr w:type="spellStart"/>
            <w:r w:rsidRPr="0075610A">
              <w:rPr>
                <w:b/>
              </w:rPr>
              <w:t>Transportlīdzekļu</w:t>
            </w:r>
            <w:proofErr w:type="spellEnd"/>
            <w:r w:rsidRPr="0075610A">
              <w:rPr>
                <w:b/>
              </w:rPr>
              <w:t xml:space="preserve"> </w:t>
            </w:r>
            <w:proofErr w:type="spellStart"/>
            <w:r w:rsidRPr="0075610A">
              <w:rPr>
                <w:b/>
              </w:rPr>
              <w:t>apdrošinātāju</w:t>
            </w:r>
            <w:proofErr w:type="spellEnd"/>
            <w:r w:rsidRPr="0075610A">
              <w:rPr>
                <w:b/>
              </w:rPr>
              <w:t xml:space="preserve"> </w:t>
            </w:r>
            <w:proofErr w:type="spellStart"/>
            <w:r w:rsidRPr="0075610A">
              <w:rPr>
                <w:b/>
              </w:rPr>
              <w:t>biroj</w:t>
            </w:r>
            <w:r w:rsidR="00252FA4">
              <w:rPr>
                <w:b/>
              </w:rPr>
              <w:t>s</w:t>
            </w:r>
            <w:proofErr w:type="spellEnd"/>
          </w:p>
          <w:p w:rsidRPr="00252FA4" w:rsidR="00990E65" w:rsidP="00AC019C" w:rsidRDefault="00252FA4" w14:paraId="12AC349C" w14:textId="5888F3ED">
            <w:pPr>
              <w:jc w:val="both"/>
              <w:rPr>
                <w:bCs/>
              </w:rPr>
            </w:pPr>
            <w:r w:rsidRPr="00252FA4">
              <w:rPr>
                <w:bCs/>
              </w:rPr>
              <w:t>(</w:t>
            </w:r>
            <w:r w:rsidRPr="00252FA4" w:rsidR="00990E65">
              <w:rPr>
                <w:bCs/>
              </w:rPr>
              <w:t xml:space="preserve">17.06.2020. </w:t>
            </w:r>
            <w:proofErr w:type="spellStart"/>
            <w:r w:rsidRPr="00252FA4" w:rsidR="00990E65">
              <w:rPr>
                <w:bCs/>
              </w:rPr>
              <w:t>atzinums</w:t>
            </w:r>
            <w:proofErr w:type="spellEnd"/>
            <w:r w:rsidRPr="00252FA4" w:rsidR="00990E65">
              <w:rPr>
                <w:bCs/>
              </w:rPr>
              <w:t xml:space="preserve"> Nr.07/02-16/52</w:t>
            </w:r>
            <w:r w:rsidRPr="00252FA4">
              <w:rPr>
                <w:bCs/>
              </w:rPr>
              <w:t>)</w:t>
            </w:r>
          </w:p>
          <w:p w:rsidRPr="0075610A" w:rsidR="00990E65" w:rsidP="00AC019C" w:rsidRDefault="00990E65" w14:paraId="736AF8D2" w14:textId="77777777">
            <w:pPr>
              <w:pStyle w:val="ListParagraph"/>
              <w:numPr>
                <w:ilvl w:val="0"/>
                <w:numId w:val="4"/>
              </w:numPr>
              <w:ind w:left="0" w:firstLine="360"/>
              <w:rPr>
                <w:rFonts w:eastAsia="Times New Roman"/>
                <w:lang w:val="en-US"/>
              </w:rPr>
            </w:pPr>
            <w:proofErr w:type="spellStart"/>
            <w:r w:rsidRPr="0075610A">
              <w:rPr>
                <w:rFonts w:eastAsia="Times New Roman"/>
                <w:lang w:val="en-US"/>
              </w:rPr>
              <w:t>Noteikumu</w:t>
            </w:r>
            <w:proofErr w:type="spellEnd"/>
            <w:r w:rsidRPr="0075610A">
              <w:rPr>
                <w:rFonts w:eastAsia="Times New Roman"/>
                <w:lang w:val="en-US"/>
              </w:rPr>
              <w:t xml:space="preserve"> </w:t>
            </w:r>
            <w:proofErr w:type="spellStart"/>
            <w:r w:rsidRPr="0075610A">
              <w:rPr>
                <w:rFonts w:eastAsia="Times New Roman"/>
                <w:lang w:val="en-US"/>
              </w:rPr>
              <w:t>projektu</w:t>
            </w:r>
            <w:proofErr w:type="spellEnd"/>
            <w:r w:rsidRPr="0075610A">
              <w:rPr>
                <w:rFonts w:eastAsia="Times New Roman"/>
                <w:lang w:val="en-US"/>
              </w:rPr>
              <w:t xml:space="preserve"> </w:t>
            </w:r>
            <w:proofErr w:type="spellStart"/>
            <w:r w:rsidRPr="0075610A">
              <w:rPr>
                <w:rFonts w:eastAsia="Times New Roman"/>
                <w:lang w:val="en-US"/>
              </w:rPr>
              <w:t>papildināt</w:t>
            </w:r>
            <w:proofErr w:type="spellEnd"/>
            <w:r w:rsidRPr="0075610A">
              <w:rPr>
                <w:rFonts w:eastAsia="Times New Roman"/>
                <w:lang w:val="en-US"/>
              </w:rPr>
              <w:t xml:space="preserve"> </w:t>
            </w:r>
            <w:proofErr w:type="spellStart"/>
            <w:r w:rsidRPr="0075610A">
              <w:rPr>
                <w:rFonts w:eastAsia="Times New Roman"/>
                <w:lang w:val="en-US"/>
              </w:rPr>
              <w:t>ar</w:t>
            </w:r>
            <w:proofErr w:type="spellEnd"/>
            <w:r w:rsidRPr="0075610A">
              <w:rPr>
                <w:rFonts w:eastAsia="Times New Roman"/>
                <w:lang w:val="en-US"/>
              </w:rPr>
              <w:t xml:space="preserve"> </w:t>
            </w:r>
            <w:proofErr w:type="spellStart"/>
            <w:r w:rsidRPr="0075610A">
              <w:rPr>
                <w:rFonts w:eastAsia="Times New Roman"/>
                <w:lang w:val="en-US"/>
              </w:rPr>
              <w:t>jaunu</w:t>
            </w:r>
            <w:proofErr w:type="spellEnd"/>
            <w:r w:rsidRPr="0075610A">
              <w:rPr>
                <w:rFonts w:eastAsia="Times New Roman"/>
                <w:lang w:val="en-US"/>
              </w:rPr>
              <w:t xml:space="preserve"> </w:t>
            </w:r>
            <w:proofErr w:type="spellStart"/>
            <w:r w:rsidRPr="0075610A">
              <w:rPr>
                <w:rFonts w:eastAsia="Times New Roman"/>
                <w:lang w:val="en-US"/>
              </w:rPr>
              <w:t>punktu</w:t>
            </w:r>
            <w:proofErr w:type="spellEnd"/>
            <w:r w:rsidRPr="0075610A">
              <w:rPr>
                <w:rFonts w:eastAsia="Times New Roman"/>
                <w:lang w:val="en-US"/>
              </w:rPr>
              <w:t xml:space="preserve"> (</w:t>
            </w:r>
            <w:proofErr w:type="spellStart"/>
            <w:r w:rsidRPr="0075610A">
              <w:rPr>
                <w:rFonts w:eastAsia="Times New Roman"/>
                <w:lang w:val="en-US"/>
              </w:rPr>
              <w:t>grozījumiem</w:t>
            </w:r>
            <w:proofErr w:type="spellEnd"/>
            <w:r w:rsidRPr="0075610A">
              <w:rPr>
                <w:rFonts w:eastAsia="Times New Roman"/>
                <w:lang w:val="en-US"/>
              </w:rPr>
              <w:t xml:space="preserve"> </w:t>
            </w:r>
            <w:proofErr w:type="spellStart"/>
            <w:r w:rsidRPr="0075610A">
              <w:rPr>
                <w:rFonts w:eastAsia="Times New Roman"/>
                <w:lang w:val="en-US"/>
              </w:rPr>
              <w:t>noteikumu</w:t>
            </w:r>
            <w:proofErr w:type="spellEnd"/>
            <w:r w:rsidRPr="0075610A">
              <w:rPr>
                <w:rFonts w:eastAsia="Times New Roman"/>
                <w:lang w:val="en-US"/>
              </w:rPr>
              <w:t xml:space="preserve"> 71. </w:t>
            </w:r>
            <w:proofErr w:type="spellStart"/>
            <w:r w:rsidRPr="0075610A">
              <w:rPr>
                <w:rFonts w:eastAsia="Times New Roman"/>
                <w:lang w:val="en-US"/>
              </w:rPr>
              <w:t>punktā</w:t>
            </w:r>
            <w:proofErr w:type="spellEnd"/>
            <w:r w:rsidRPr="0075610A">
              <w:rPr>
                <w:rFonts w:eastAsia="Times New Roman"/>
                <w:lang w:val="en-US"/>
              </w:rPr>
              <w:t xml:space="preserve">, kas </w:t>
            </w:r>
            <w:proofErr w:type="spellStart"/>
            <w:r w:rsidRPr="0075610A">
              <w:rPr>
                <w:rFonts w:eastAsia="Times New Roman"/>
                <w:lang w:val="en-US"/>
              </w:rPr>
              <w:t>nosaka</w:t>
            </w:r>
            <w:proofErr w:type="spellEnd"/>
            <w:r w:rsidRPr="0075610A">
              <w:rPr>
                <w:rFonts w:eastAsia="Times New Roman"/>
                <w:lang w:val="en-US"/>
              </w:rPr>
              <w:t xml:space="preserve">, </w:t>
            </w:r>
            <w:proofErr w:type="spellStart"/>
            <w:r w:rsidRPr="0075610A">
              <w:rPr>
                <w:rFonts w:eastAsia="Times New Roman"/>
                <w:lang w:val="en-US"/>
              </w:rPr>
              <w:t>kādos</w:t>
            </w:r>
            <w:proofErr w:type="spellEnd"/>
            <w:r w:rsidRPr="0075610A">
              <w:rPr>
                <w:rFonts w:eastAsia="Times New Roman"/>
                <w:lang w:val="en-US"/>
              </w:rPr>
              <w:t xml:space="preserve"> </w:t>
            </w:r>
            <w:proofErr w:type="spellStart"/>
            <w:r w:rsidRPr="0075610A">
              <w:rPr>
                <w:rFonts w:eastAsia="Times New Roman"/>
                <w:lang w:val="en-US"/>
              </w:rPr>
              <w:t>gadījumos</w:t>
            </w:r>
            <w:proofErr w:type="spellEnd"/>
            <w:r w:rsidRPr="0075610A">
              <w:rPr>
                <w:rFonts w:eastAsia="Times New Roman"/>
                <w:lang w:val="en-US"/>
              </w:rPr>
              <w:t xml:space="preserve"> TRL </w:t>
            </w:r>
            <w:proofErr w:type="spellStart"/>
            <w:r w:rsidRPr="0075610A">
              <w:rPr>
                <w:rFonts w:eastAsia="Times New Roman"/>
                <w:lang w:val="en-US"/>
              </w:rPr>
              <w:t>vai</w:t>
            </w:r>
            <w:proofErr w:type="spellEnd"/>
            <w:r w:rsidRPr="0075610A">
              <w:rPr>
                <w:rFonts w:eastAsia="Times New Roman"/>
                <w:lang w:val="en-US"/>
              </w:rPr>
              <w:t xml:space="preserve"> </w:t>
            </w:r>
            <w:proofErr w:type="spellStart"/>
            <w:r w:rsidRPr="0075610A">
              <w:rPr>
                <w:rFonts w:eastAsia="Times New Roman"/>
                <w:lang w:val="en-US"/>
              </w:rPr>
              <w:t>numurēto</w:t>
            </w:r>
            <w:proofErr w:type="spellEnd"/>
            <w:r w:rsidRPr="0075610A">
              <w:rPr>
                <w:rFonts w:eastAsia="Times New Roman"/>
                <w:lang w:val="en-US"/>
              </w:rPr>
              <w:t xml:space="preserve"> </w:t>
            </w:r>
            <w:proofErr w:type="spellStart"/>
            <w:r w:rsidRPr="0075610A">
              <w:rPr>
                <w:rFonts w:eastAsia="Times New Roman"/>
                <w:lang w:val="en-US"/>
              </w:rPr>
              <w:t>agregātu</w:t>
            </w:r>
            <w:proofErr w:type="spellEnd"/>
            <w:r w:rsidRPr="0075610A">
              <w:rPr>
                <w:rFonts w:eastAsia="Times New Roman"/>
                <w:lang w:val="en-US"/>
              </w:rPr>
              <w:t xml:space="preserve"> </w:t>
            </w:r>
            <w:proofErr w:type="spellStart"/>
            <w:r w:rsidRPr="0075610A">
              <w:rPr>
                <w:rFonts w:eastAsia="Times New Roman"/>
                <w:lang w:val="en-US"/>
              </w:rPr>
              <w:t>izslēdz</w:t>
            </w:r>
            <w:proofErr w:type="spellEnd"/>
            <w:r w:rsidRPr="0075610A">
              <w:rPr>
                <w:rFonts w:eastAsia="Times New Roman"/>
                <w:lang w:val="en-US"/>
              </w:rPr>
              <w:t xml:space="preserve"> no TRL </w:t>
            </w:r>
            <w:proofErr w:type="spellStart"/>
            <w:r w:rsidRPr="0075610A">
              <w:rPr>
                <w:rFonts w:eastAsia="Times New Roman"/>
                <w:lang w:val="en-US"/>
              </w:rPr>
              <w:t>reģistra</w:t>
            </w:r>
            <w:proofErr w:type="spellEnd"/>
            <w:r w:rsidRPr="0075610A">
              <w:rPr>
                <w:rFonts w:eastAsia="Times New Roman"/>
                <w:lang w:val="en-US"/>
              </w:rPr>
              <w:t xml:space="preserve">) </w:t>
            </w:r>
            <w:proofErr w:type="spellStart"/>
            <w:r w:rsidRPr="0075610A">
              <w:rPr>
                <w:rFonts w:eastAsia="Times New Roman"/>
                <w:lang w:val="en-US"/>
              </w:rPr>
              <w:t>šādā</w:t>
            </w:r>
            <w:proofErr w:type="spellEnd"/>
            <w:r w:rsidRPr="0075610A">
              <w:rPr>
                <w:rFonts w:eastAsia="Times New Roman"/>
                <w:lang w:val="en-US"/>
              </w:rPr>
              <w:t xml:space="preserve"> </w:t>
            </w:r>
            <w:proofErr w:type="spellStart"/>
            <w:r w:rsidRPr="0075610A">
              <w:rPr>
                <w:rFonts w:eastAsia="Times New Roman"/>
                <w:lang w:val="en-US"/>
              </w:rPr>
              <w:t>redakcijā</w:t>
            </w:r>
            <w:proofErr w:type="spellEnd"/>
            <w:r w:rsidRPr="0075610A">
              <w:rPr>
                <w:rFonts w:eastAsia="Times New Roman"/>
                <w:lang w:val="en-US"/>
              </w:rPr>
              <w:t>:</w:t>
            </w:r>
          </w:p>
          <w:p w:rsidRPr="0075610A" w:rsidR="00990E65" w:rsidP="00AC019C" w:rsidRDefault="00990E65" w14:paraId="69D87A4F" w14:textId="77777777">
            <w:r w:rsidRPr="0075610A">
              <w:t>“</w:t>
            </w:r>
            <w:proofErr w:type="spellStart"/>
            <w:r w:rsidRPr="0075610A">
              <w:t>Noteikumu</w:t>
            </w:r>
            <w:proofErr w:type="spellEnd"/>
            <w:r w:rsidRPr="0075610A">
              <w:t xml:space="preserve"> 71.punktā:</w:t>
            </w:r>
          </w:p>
          <w:p w:rsidRPr="0075610A" w:rsidR="00990E65" w:rsidP="00AC019C" w:rsidRDefault="00990E65" w14:paraId="30D929CD" w14:textId="77777777">
            <w:pPr>
              <w:pStyle w:val="ListParagraph"/>
              <w:numPr>
                <w:ilvl w:val="0"/>
                <w:numId w:val="3"/>
              </w:numPr>
              <w:tabs>
                <w:tab w:val="left" w:pos="993"/>
              </w:tabs>
              <w:ind w:left="0" w:firstLine="709"/>
              <w:contextualSpacing w:val="0"/>
              <w:rPr>
                <w:rFonts w:eastAsia="Times New Roman"/>
                <w:lang w:val="en-US"/>
              </w:rPr>
            </w:pPr>
            <w:proofErr w:type="spellStart"/>
            <w:r w:rsidRPr="0075610A">
              <w:rPr>
                <w:rFonts w:eastAsia="Times New Roman"/>
                <w:lang w:val="en-US"/>
              </w:rPr>
              <w:t>izteikt</w:t>
            </w:r>
            <w:proofErr w:type="spellEnd"/>
            <w:r w:rsidRPr="0075610A">
              <w:rPr>
                <w:rFonts w:eastAsia="Times New Roman"/>
                <w:lang w:val="en-US"/>
              </w:rPr>
              <w:t xml:space="preserve"> 71.2. </w:t>
            </w:r>
            <w:proofErr w:type="spellStart"/>
            <w:r w:rsidRPr="0075610A">
              <w:rPr>
                <w:rFonts w:eastAsia="Times New Roman"/>
                <w:lang w:val="en-US"/>
              </w:rPr>
              <w:t>apakšpunkta</w:t>
            </w:r>
            <w:proofErr w:type="spellEnd"/>
            <w:r w:rsidRPr="0075610A">
              <w:rPr>
                <w:rFonts w:eastAsia="Times New Roman"/>
                <w:lang w:val="en-US"/>
              </w:rPr>
              <w:t xml:space="preserve"> </w:t>
            </w:r>
            <w:proofErr w:type="spellStart"/>
            <w:r w:rsidRPr="0075610A">
              <w:rPr>
                <w:rFonts w:eastAsia="Times New Roman"/>
                <w:lang w:val="en-US"/>
              </w:rPr>
              <w:t>pirmo</w:t>
            </w:r>
            <w:proofErr w:type="spellEnd"/>
            <w:r w:rsidRPr="0075610A">
              <w:rPr>
                <w:rFonts w:eastAsia="Times New Roman"/>
                <w:lang w:val="en-US"/>
              </w:rPr>
              <w:t xml:space="preserve"> </w:t>
            </w:r>
            <w:proofErr w:type="spellStart"/>
            <w:r w:rsidRPr="0075610A">
              <w:rPr>
                <w:rFonts w:eastAsia="Times New Roman"/>
                <w:lang w:val="en-US"/>
              </w:rPr>
              <w:t>teikumu</w:t>
            </w:r>
            <w:proofErr w:type="spellEnd"/>
            <w:r w:rsidRPr="0075610A">
              <w:rPr>
                <w:rFonts w:eastAsia="Times New Roman"/>
                <w:lang w:val="en-US"/>
              </w:rPr>
              <w:t xml:space="preserve"> </w:t>
            </w:r>
            <w:proofErr w:type="spellStart"/>
            <w:r w:rsidRPr="0075610A">
              <w:rPr>
                <w:rFonts w:eastAsia="Times New Roman"/>
                <w:lang w:val="en-US"/>
              </w:rPr>
              <w:t>šādā</w:t>
            </w:r>
            <w:proofErr w:type="spellEnd"/>
            <w:r w:rsidRPr="0075610A">
              <w:rPr>
                <w:rFonts w:eastAsia="Times New Roman"/>
                <w:lang w:val="en-US"/>
              </w:rPr>
              <w:t xml:space="preserve"> </w:t>
            </w:r>
            <w:proofErr w:type="spellStart"/>
            <w:r w:rsidRPr="0075610A">
              <w:rPr>
                <w:rFonts w:eastAsia="Times New Roman"/>
                <w:lang w:val="en-US"/>
              </w:rPr>
              <w:t>redakcijā</w:t>
            </w:r>
            <w:proofErr w:type="spellEnd"/>
            <w:r w:rsidRPr="0075610A">
              <w:rPr>
                <w:rFonts w:eastAsia="Times New Roman"/>
                <w:lang w:val="en-US"/>
              </w:rPr>
              <w:t xml:space="preserve">: </w:t>
            </w:r>
          </w:p>
          <w:p w:rsidRPr="0075610A" w:rsidR="00990E65" w:rsidP="00AC019C" w:rsidRDefault="00990E65" w14:paraId="1625760A" w14:textId="77777777">
            <w:pPr>
              <w:ind w:firstLine="709"/>
              <w:jc w:val="both"/>
            </w:pPr>
            <w:bookmarkStart w:name="_Hlk43277387" w:id="0"/>
            <w:r w:rsidRPr="0075610A">
              <w:t xml:space="preserve">“ja </w:t>
            </w:r>
            <w:proofErr w:type="spellStart"/>
            <w:r w:rsidRPr="0075610A">
              <w:t>transportlīdzeklim</w:t>
            </w:r>
            <w:proofErr w:type="spellEnd"/>
            <w:r w:rsidRPr="0075610A">
              <w:t xml:space="preserve">, </w:t>
            </w:r>
            <w:proofErr w:type="spellStart"/>
            <w:r w:rsidRPr="0075610A">
              <w:t>kam</w:t>
            </w:r>
            <w:proofErr w:type="spellEnd"/>
            <w:r w:rsidRPr="0075610A">
              <w:t xml:space="preserve"> </w:t>
            </w:r>
            <w:proofErr w:type="spellStart"/>
            <w:r w:rsidRPr="0075610A">
              <w:t>veicama</w:t>
            </w:r>
            <w:proofErr w:type="spellEnd"/>
            <w:r w:rsidRPr="0075610A">
              <w:t xml:space="preserve"> </w:t>
            </w:r>
            <w:proofErr w:type="spellStart"/>
            <w:r w:rsidRPr="0075610A">
              <w:t>valsts</w:t>
            </w:r>
            <w:proofErr w:type="spellEnd"/>
            <w:r w:rsidRPr="0075610A">
              <w:t xml:space="preserve"> </w:t>
            </w:r>
            <w:proofErr w:type="spellStart"/>
            <w:r w:rsidRPr="0075610A">
              <w:t>tehniskā</w:t>
            </w:r>
            <w:proofErr w:type="spellEnd"/>
            <w:r w:rsidRPr="0075610A">
              <w:t xml:space="preserve"> </w:t>
            </w:r>
            <w:proofErr w:type="spellStart"/>
            <w:r w:rsidRPr="0075610A">
              <w:t>apskate</w:t>
            </w:r>
            <w:proofErr w:type="spellEnd"/>
            <w:r w:rsidRPr="0075610A">
              <w:t xml:space="preserve">, </w:t>
            </w:r>
            <w:proofErr w:type="spellStart"/>
            <w:r w:rsidRPr="0075610A">
              <w:t>tā</w:t>
            </w:r>
            <w:proofErr w:type="spellEnd"/>
            <w:r w:rsidRPr="0075610A">
              <w:t xml:space="preserve"> nav </w:t>
            </w:r>
            <w:proofErr w:type="spellStart"/>
            <w:r w:rsidRPr="0075610A">
              <w:t>veikta</w:t>
            </w:r>
            <w:proofErr w:type="spellEnd"/>
            <w:r w:rsidRPr="0075610A">
              <w:t xml:space="preserve"> 6 </w:t>
            </w:r>
            <w:proofErr w:type="spellStart"/>
            <w:r w:rsidRPr="0075610A">
              <w:t>mēnešus</w:t>
            </w:r>
            <w:proofErr w:type="spellEnd"/>
            <w:r w:rsidRPr="0075610A">
              <w:t xml:space="preserve"> </w:t>
            </w:r>
            <w:proofErr w:type="spellStart"/>
            <w:r w:rsidRPr="0075610A">
              <w:t>pēc</w:t>
            </w:r>
            <w:proofErr w:type="spellEnd"/>
            <w:r w:rsidRPr="0075610A">
              <w:t xml:space="preserve"> </w:t>
            </w:r>
            <w:proofErr w:type="spellStart"/>
            <w:r w:rsidRPr="0075610A">
              <w:t>termiņa</w:t>
            </w:r>
            <w:proofErr w:type="spellEnd"/>
            <w:r w:rsidRPr="0075610A">
              <w:t xml:space="preserve">, </w:t>
            </w:r>
            <w:proofErr w:type="spellStart"/>
            <w:r w:rsidRPr="0075610A">
              <w:t>kurā</w:t>
            </w:r>
            <w:proofErr w:type="spellEnd"/>
            <w:r w:rsidRPr="0075610A">
              <w:t xml:space="preserve"> </w:t>
            </w:r>
            <w:proofErr w:type="spellStart"/>
            <w:r w:rsidRPr="0075610A">
              <w:t>veicama</w:t>
            </w:r>
            <w:proofErr w:type="spellEnd"/>
            <w:r w:rsidRPr="0075610A">
              <w:t xml:space="preserve"> </w:t>
            </w:r>
            <w:proofErr w:type="spellStart"/>
            <w:r w:rsidRPr="0075610A">
              <w:t>tehniskā</w:t>
            </w:r>
            <w:proofErr w:type="spellEnd"/>
            <w:r w:rsidRPr="0075610A">
              <w:t xml:space="preserve"> </w:t>
            </w:r>
            <w:proofErr w:type="spellStart"/>
            <w:r w:rsidRPr="0075610A">
              <w:t>apskate</w:t>
            </w:r>
            <w:proofErr w:type="spellEnd"/>
            <w:r w:rsidRPr="0075610A">
              <w:t xml:space="preserve">, </w:t>
            </w:r>
            <w:proofErr w:type="spellStart"/>
            <w:r w:rsidRPr="0075610A">
              <w:t>vai</w:t>
            </w:r>
            <w:proofErr w:type="spellEnd"/>
            <w:r w:rsidRPr="0075610A">
              <w:t xml:space="preserve"> </w:t>
            </w:r>
            <w:proofErr w:type="spellStart"/>
            <w:r w:rsidRPr="0075610A">
              <w:t>šāds</w:t>
            </w:r>
            <w:proofErr w:type="spellEnd"/>
            <w:r w:rsidRPr="0075610A">
              <w:t xml:space="preserve"> </w:t>
            </w:r>
            <w:proofErr w:type="spellStart"/>
            <w:r w:rsidRPr="0075610A">
              <w:t>transportlīdzeklis</w:t>
            </w:r>
            <w:proofErr w:type="spellEnd"/>
            <w:r w:rsidRPr="0075610A">
              <w:t xml:space="preserve"> 6 </w:t>
            </w:r>
            <w:proofErr w:type="spellStart"/>
            <w:r w:rsidRPr="0075610A">
              <w:t>mēnešus</w:t>
            </w:r>
            <w:proofErr w:type="spellEnd"/>
            <w:r w:rsidRPr="0075610A">
              <w:t xml:space="preserve"> nav </w:t>
            </w:r>
            <w:proofErr w:type="spellStart"/>
            <w:r w:rsidRPr="0075610A">
              <w:lastRenderedPageBreak/>
              <w:t>uzrādīts</w:t>
            </w:r>
            <w:proofErr w:type="spellEnd"/>
            <w:r w:rsidRPr="0075610A">
              <w:t xml:space="preserve"> </w:t>
            </w:r>
            <w:proofErr w:type="spellStart"/>
            <w:r w:rsidRPr="0075610A">
              <w:t>agregātu</w:t>
            </w:r>
            <w:proofErr w:type="spellEnd"/>
            <w:r w:rsidRPr="0075610A">
              <w:t xml:space="preserve"> </w:t>
            </w:r>
            <w:proofErr w:type="spellStart"/>
            <w:r w:rsidRPr="0075610A">
              <w:t>numuru</w:t>
            </w:r>
            <w:proofErr w:type="spellEnd"/>
            <w:r w:rsidRPr="0075610A">
              <w:t xml:space="preserve"> </w:t>
            </w:r>
            <w:proofErr w:type="spellStart"/>
            <w:r w:rsidRPr="0075610A">
              <w:t>salīdzināšanai</w:t>
            </w:r>
            <w:proofErr w:type="spellEnd"/>
            <w:r w:rsidRPr="0075610A">
              <w:t>.”,</w:t>
            </w:r>
          </w:p>
          <w:bookmarkEnd w:id="0"/>
          <w:p w:rsidRPr="0075610A" w:rsidR="00990E65" w:rsidP="00AC019C" w:rsidRDefault="00990E65" w14:paraId="362E2BEF" w14:textId="77777777">
            <w:pPr>
              <w:pStyle w:val="ListParagraph"/>
              <w:ind w:left="0" w:firstLine="709"/>
              <w:rPr>
                <w:rFonts w:eastAsia="Times New Roman"/>
                <w:lang w:val="en-US"/>
              </w:rPr>
            </w:pPr>
            <w:r w:rsidRPr="0075610A">
              <w:rPr>
                <w:rFonts w:eastAsia="Times New Roman"/>
                <w:lang w:val="en-US"/>
              </w:rPr>
              <w:t xml:space="preserve">-  </w:t>
            </w:r>
            <w:proofErr w:type="spellStart"/>
            <w:r w:rsidRPr="0075610A">
              <w:rPr>
                <w:rFonts w:eastAsia="Times New Roman"/>
                <w:lang w:val="en-US"/>
              </w:rPr>
              <w:t>papildināt</w:t>
            </w:r>
            <w:proofErr w:type="spellEnd"/>
            <w:r w:rsidRPr="0075610A">
              <w:rPr>
                <w:rFonts w:eastAsia="Times New Roman"/>
                <w:lang w:val="en-US"/>
              </w:rPr>
              <w:t xml:space="preserve"> </w:t>
            </w:r>
            <w:proofErr w:type="spellStart"/>
            <w:r w:rsidRPr="0075610A">
              <w:rPr>
                <w:rFonts w:eastAsia="Times New Roman"/>
                <w:lang w:val="en-US"/>
              </w:rPr>
              <w:t>punktu</w:t>
            </w:r>
            <w:proofErr w:type="spellEnd"/>
            <w:r w:rsidRPr="0075610A">
              <w:rPr>
                <w:rFonts w:eastAsia="Times New Roman"/>
                <w:lang w:val="en-US"/>
              </w:rPr>
              <w:t xml:space="preserve"> </w:t>
            </w:r>
            <w:proofErr w:type="spellStart"/>
            <w:r w:rsidRPr="0075610A">
              <w:rPr>
                <w:rFonts w:eastAsia="Times New Roman"/>
                <w:lang w:val="en-US"/>
              </w:rPr>
              <w:t>ar</w:t>
            </w:r>
            <w:proofErr w:type="spellEnd"/>
            <w:r w:rsidRPr="0075610A">
              <w:rPr>
                <w:rFonts w:eastAsia="Times New Roman"/>
                <w:lang w:val="en-US"/>
              </w:rPr>
              <w:t xml:space="preserve"> 71.4., 71.5., 71.6.  un 71.7. </w:t>
            </w:r>
            <w:proofErr w:type="spellStart"/>
            <w:r w:rsidRPr="0075610A">
              <w:rPr>
                <w:rFonts w:eastAsia="Times New Roman"/>
                <w:lang w:val="en-US"/>
              </w:rPr>
              <w:t>apakšpunktu</w:t>
            </w:r>
            <w:proofErr w:type="spellEnd"/>
            <w:r w:rsidRPr="0075610A">
              <w:rPr>
                <w:rFonts w:eastAsia="Times New Roman"/>
                <w:lang w:val="en-US"/>
              </w:rPr>
              <w:t xml:space="preserve"> </w:t>
            </w:r>
            <w:proofErr w:type="spellStart"/>
            <w:r w:rsidRPr="0075610A">
              <w:rPr>
                <w:rFonts w:eastAsia="Times New Roman"/>
                <w:lang w:val="en-US"/>
              </w:rPr>
              <w:t>šādā</w:t>
            </w:r>
            <w:proofErr w:type="spellEnd"/>
            <w:r w:rsidRPr="0075610A">
              <w:rPr>
                <w:rFonts w:eastAsia="Times New Roman"/>
                <w:lang w:val="en-US"/>
              </w:rPr>
              <w:t xml:space="preserve"> </w:t>
            </w:r>
            <w:proofErr w:type="spellStart"/>
            <w:r w:rsidRPr="0075610A">
              <w:rPr>
                <w:rFonts w:eastAsia="Times New Roman"/>
                <w:lang w:val="en-US"/>
              </w:rPr>
              <w:t>redakcijā</w:t>
            </w:r>
            <w:proofErr w:type="spellEnd"/>
            <w:r w:rsidRPr="0075610A">
              <w:rPr>
                <w:rFonts w:eastAsia="Times New Roman"/>
                <w:lang w:val="en-US"/>
              </w:rPr>
              <w:t>:</w:t>
            </w:r>
          </w:p>
          <w:p w:rsidRPr="0075610A" w:rsidR="00990E65" w:rsidP="00AC019C" w:rsidRDefault="00990E65" w14:paraId="2458428C" w14:textId="77777777">
            <w:pPr>
              <w:pStyle w:val="ListParagraph"/>
              <w:shd w:val="clear" w:color="auto" w:fill="FFFFFF"/>
              <w:ind w:left="0" w:firstLine="709"/>
              <w:rPr>
                <w:rFonts w:eastAsia="Times New Roman"/>
                <w:lang w:val="en-US"/>
              </w:rPr>
            </w:pPr>
            <w:r w:rsidRPr="0075610A">
              <w:rPr>
                <w:rFonts w:eastAsia="Times New Roman"/>
                <w:lang w:val="en-US"/>
              </w:rPr>
              <w:t xml:space="preserve">“71.4. ja </w:t>
            </w:r>
            <w:proofErr w:type="spellStart"/>
            <w:r w:rsidRPr="0075610A">
              <w:rPr>
                <w:rFonts w:eastAsia="Times New Roman"/>
                <w:lang w:val="en-US"/>
              </w:rPr>
              <w:t>transportlīdzeklis</w:t>
            </w:r>
            <w:proofErr w:type="spellEnd"/>
            <w:r w:rsidRPr="0075610A">
              <w:rPr>
                <w:rFonts w:eastAsia="Times New Roman"/>
                <w:lang w:val="en-US"/>
              </w:rPr>
              <w:t xml:space="preserve"> </w:t>
            </w:r>
            <w:proofErr w:type="spellStart"/>
            <w:r w:rsidRPr="0075610A">
              <w:rPr>
                <w:rFonts w:eastAsia="Times New Roman"/>
                <w:lang w:val="en-US"/>
              </w:rPr>
              <w:t>noņemts</w:t>
            </w:r>
            <w:proofErr w:type="spellEnd"/>
            <w:r w:rsidRPr="0075610A">
              <w:rPr>
                <w:rFonts w:eastAsia="Times New Roman"/>
                <w:lang w:val="en-US"/>
              </w:rPr>
              <w:t xml:space="preserve"> no </w:t>
            </w:r>
            <w:proofErr w:type="spellStart"/>
            <w:r w:rsidRPr="0075610A">
              <w:rPr>
                <w:rFonts w:eastAsia="Times New Roman"/>
                <w:lang w:val="en-US"/>
              </w:rPr>
              <w:t>uzskaites</w:t>
            </w:r>
            <w:proofErr w:type="spellEnd"/>
            <w:r w:rsidRPr="0075610A">
              <w:rPr>
                <w:rFonts w:eastAsia="Times New Roman"/>
                <w:lang w:val="en-US"/>
              </w:rPr>
              <w:t xml:space="preserve"> </w:t>
            </w:r>
            <w:proofErr w:type="spellStart"/>
            <w:r w:rsidRPr="0075610A">
              <w:rPr>
                <w:rFonts w:eastAsia="Times New Roman"/>
                <w:lang w:val="en-US"/>
              </w:rPr>
              <w:t>norakstīšanai</w:t>
            </w:r>
            <w:proofErr w:type="spellEnd"/>
            <w:r w:rsidRPr="0075610A">
              <w:rPr>
                <w:rFonts w:eastAsia="Times New Roman"/>
                <w:lang w:val="en-US"/>
              </w:rPr>
              <w:t>;</w:t>
            </w:r>
          </w:p>
          <w:p w:rsidRPr="0075610A" w:rsidR="00990E65" w:rsidP="00AC019C" w:rsidRDefault="00990E65" w14:paraId="68FDBCB7" w14:textId="77777777">
            <w:pPr>
              <w:pStyle w:val="ListParagraph"/>
              <w:shd w:val="clear" w:color="auto" w:fill="FFFFFF"/>
              <w:ind w:left="0" w:firstLine="709"/>
              <w:rPr>
                <w:rFonts w:eastAsia="Times New Roman"/>
                <w:lang w:val="en-US"/>
              </w:rPr>
            </w:pPr>
            <w:r w:rsidRPr="0075610A">
              <w:rPr>
                <w:rFonts w:eastAsia="Times New Roman"/>
                <w:lang w:val="en-US"/>
              </w:rPr>
              <w:t xml:space="preserve">71.5. ja </w:t>
            </w:r>
            <w:proofErr w:type="spellStart"/>
            <w:r w:rsidRPr="0075610A">
              <w:rPr>
                <w:rFonts w:eastAsia="Times New Roman"/>
                <w:lang w:val="en-US"/>
              </w:rPr>
              <w:t>transportlīdzeklim</w:t>
            </w:r>
            <w:proofErr w:type="spellEnd"/>
            <w:r w:rsidRPr="0075610A">
              <w:rPr>
                <w:rFonts w:eastAsia="Times New Roman"/>
                <w:lang w:val="en-US"/>
              </w:rPr>
              <w:t xml:space="preserve">, </w:t>
            </w:r>
            <w:proofErr w:type="spellStart"/>
            <w:r w:rsidRPr="0075610A">
              <w:rPr>
                <w:rFonts w:eastAsia="Times New Roman"/>
                <w:lang w:val="en-US"/>
              </w:rPr>
              <w:t>kuram</w:t>
            </w:r>
            <w:proofErr w:type="spellEnd"/>
            <w:r w:rsidRPr="0075610A">
              <w:rPr>
                <w:rFonts w:eastAsia="Times New Roman"/>
                <w:lang w:val="en-US"/>
              </w:rPr>
              <w:t xml:space="preserve"> </w:t>
            </w:r>
            <w:proofErr w:type="spellStart"/>
            <w:r w:rsidRPr="0075610A">
              <w:rPr>
                <w:rFonts w:eastAsia="Times New Roman"/>
                <w:lang w:val="en-US"/>
              </w:rPr>
              <w:t>izsniegta</w:t>
            </w:r>
            <w:proofErr w:type="spellEnd"/>
            <w:r w:rsidRPr="0075610A">
              <w:rPr>
                <w:rFonts w:eastAsia="Times New Roman"/>
                <w:lang w:val="en-US"/>
              </w:rPr>
              <w:t xml:space="preserve"> </w:t>
            </w:r>
            <w:proofErr w:type="spellStart"/>
            <w:r w:rsidRPr="0075610A">
              <w:rPr>
                <w:rFonts w:eastAsia="Times New Roman"/>
                <w:lang w:val="en-US"/>
              </w:rPr>
              <w:t>tranzīta</w:t>
            </w:r>
            <w:proofErr w:type="spellEnd"/>
            <w:r w:rsidRPr="0075610A">
              <w:rPr>
                <w:rFonts w:eastAsia="Times New Roman"/>
                <w:lang w:val="en-US"/>
              </w:rPr>
              <w:t xml:space="preserve"> </w:t>
            </w:r>
            <w:proofErr w:type="spellStart"/>
            <w:r w:rsidRPr="0075610A">
              <w:rPr>
                <w:rFonts w:eastAsia="Times New Roman"/>
                <w:lang w:val="en-US"/>
              </w:rPr>
              <w:t>numura</w:t>
            </w:r>
            <w:proofErr w:type="spellEnd"/>
            <w:r w:rsidRPr="0075610A">
              <w:rPr>
                <w:rFonts w:eastAsia="Times New Roman"/>
                <w:lang w:val="en-US"/>
              </w:rPr>
              <w:t xml:space="preserve"> </w:t>
            </w:r>
            <w:proofErr w:type="spellStart"/>
            <w:r w:rsidRPr="0075610A">
              <w:rPr>
                <w:rFonts w:eastAsia="Times New Roman"/>
                <w:lang w:val="en-US"/>
              </w:rPr>
              <w:t>karte</w:t>
            </w:r>
            <w:proofErr w:type="spellEnd"/>
            <w:r w:rsidRPr="0075610A">
              <w:rPr>
                <w:rFonts w:eastAsia="Times New Roman"/>
                <w:lang w:val="en-US"/>
              </w:rPr>
              <w:t xml:space="preserve">, </w:t>
            </w:r>
            <w:proofErr w:type="spellStart"/>
            <w:r w:rsidRPr="0075610A">
              <w:rPr>
                <w:rFonts w:eastAsia="Times New Roman"/>
                <w:lang w:val="en-US"/>
              </w:rPr>
              <w:t>beidzies</w:t>
            </w:r>
            <w:proofErr w:type="spellEnd"/>
            <w:r w:rsidRPr="0075610A">
              <w:rPr>
                <w:rFonts w:eastAsia="Times New Roman"/>
                <w:lang w:val="en-US"/>
              </w:rPr>
              <w:t xml:space="preserve"> </w:t>
            </w:r>
            <w:proofErr w:type="spellStart"/>
            <w:r w:rsidRPr="0075610A">
              <w:rPr>
                <w:rFonts w:eastAsia="Times New Roman"/>
                <w:lang w:val="en-US"/>
              </w:rPr>
              <w:t>tranzīta</w:t>
            </w:r>
            <w:proofErr w:type="spellEnd"/>
            <w:r w:rsidRPr="0075610A">
              <w:rPr>
                <w:rFonts w:eastAsia="Times New Roman"/>
                <w:lang w:val="en-US"/>
              </w:rPr>
              <w:t xml:space="preserve"> </w:t>
            </w:r>
            <w:proofErr w:type="spellStart"/>
            <w:r w:rsidRPr="0075610A">
              <w:rPr>
                <w:rFonts w:eastAsia="Times New Roman"/>
                <w:lang w:val="en-US"/>
              </w:rPr>
              <w:t>numura</w:t>
            </w:r>
            <w:proofErr w:type="spellEnd"/>
            <w:r w:rsidRPr="0075610A">
              <w:rPr>
                <w:rFonts w:eastAsia="Times New Roman"/>
                <w:lang w:val="en-US"/>
              </w:rPr>
              <w:t xml:space="preserve"> </w:t>
            </w:r>
            <w:proofErr w:type="spellStart"/>
            <w:r w:rsidRPr="0075610A">
              <w:rPr>
                <w:rFonts w:eastAsia="Times New Roman"/>
                <w:lang w:val="en-US"/>
              </w:rPr>
              <w:t>kartes</w:t>
            </w:r>
            <w:proofErr w:type="spellEnd"/>
            <w:r w:rsidRPr="0075610A">
              <w:rPr>
                <w:rFonts w:eastAsia="Times New Roman"/>
                <w:lang w:val="en-US"/>
              </w:rPr>
              <w:t xml:space="preserve"> </w:t>
            </w:r>
            <w:proofErr w:type="spellStart"/>
            <w:r w:rsidRPr="0075610A">
              <w:rPr>
                <w:rFonts w:eastAsia="Times New Roman"/>
                <w:lang w:val="en-US"/>
              </w:rPr>
              <w:t>derīguma</w:t>
            </w:r>
            <w:proofErr w:type="spellEnd"/>
            <w:r w:rsidRPr="0075610A">
              <w:rPr>
                <w:rFonts w:eastAsia="Times New Roman"/>
                <w:lang w:val="en-US"/>
              </w:rPr>
              <w:t xml:space="preserve"> </w:t>
            </w:r>
            <w:proofErr w:type="spellStart"/>
            <w:r w:rsidRPr="0075610A">
              <w:rPr>
                <w:rFonts w:eastAsia="Times New Roman"/>
                <w:lang w:val="en-US"/>
              </w:rPr>
              <w:t>termiņš</w:t>
            </w:r>
            <w:proofErr w:type="spellEnd"/>
            <w:r w:rsidRPr="0075610A">
              <w:rPr>
                <w:rFonts w:eastAsia="Times New Roman"/>
                <w:lang w:val="en-US"/>
              </w:rPr>
              <w:t>;</w:t>
            </w:r>
          </w:p>
          <w:p w:rsidRPr="0075610A" w:rsidR="00990E65" w:rsidP="00AC019C" w:rsidRDefault="00990E65" w14:paraId="693D99BC" w14:textId="77777777">
            <w:pPr>
              <w:pStyle w:val="ListParagraph"/>
              <w:shd w:val="clear" w:color="auto" w:fill="FFFFFF"/>
              <w:ind w:left="0" w:firstLine="709"/>
              <w:rPr>
                <w:rFonts w:eastAsia="Times New Roman"/>
                <w:lang w:val="en-US"/>
              </w:rPr>
            </w:pPr>
            <w:r w:rsidRPr="0075610A">
              <w:rPr>
                <w:rFonts w:eastAsia="Times New Roman"/>
                <w:lang w:val="en-US"/>
              </w:rPr>
              <w:t xml:space="preserve">71.6.  ja </w:t>
            </w:r>
            <w:proofErr w:type="spellStart"/>
            <w:r w:rsidRPr="0075610A">
              <w:rPr>
                <w:rFonts w:eastAsia="Times New Roman"/>
                <w:lang w:val="en-US"/>
              </w:rPr>
              <w:t>transportlīdzeklis</w:t>
            </w:r>
            <w:proofErr w:type="spellEnd"/>
            <w:r w:rsidRPr="0075610A">
              <w:rPr>
                <w:rFonts w:eastAsia="Times New Roman"/>
                <w:lang w:val="en-US"/>
              </w:rPr>
              <w:t xml:space="preserve"> </w:t>
            </w:r>
            <w:proofErr w:type="spellStart"/>
            <w:r w:rsidRPr="0075610A">
              <w:rPr>
                <w:rFonts w:eastAsia="Times New Roman"/>
                <w:lang w:val="en-US"/>
              </w:rPr>
              <w:t>noņemts</w:t>
            </w:r>
            <w:proofErr w:type="spellEnd"/>
            <w:r w:rsidRPr="0075610A">
              <w:rPr>
                <w:rFonts w:eastAsia="Times New Roman"/>
                <w:lang w:val="en-US"/>
              </w:rPr>
              <w:t xml:space="preserve"> no </w:t>
            </w:r>
            <w:proofErr w:type="spellStart"/>
            <w:r w:rsidRPr="0075610A">
              <w:rPr>
                <w:rFonts w:eastAsia="Times New Roman"/>
                <w:lang w:val="en-US"/>
              </w:rPr>
              <w:t>uzskaites</w:t>
            </w:r>
            <w:proofErr w:type="spellEnd"/>
            <w:r w:rsidRPr="0075610A">
              <w:rPr>
                <w:rFonts w:eastAsia="Times New Roman"/>
                <w:lang w:val="en-US"/>
              </w:rPr>
              <w:t xml:space="preserve"> </w:t>
            </w:r>
            <w:proofErr w:type="spellStart"/>
            <w:r w:rsidRPr="0075610A">
              <w:rPr>
                <w:rFonts w:eastAsia="Times New Roman"/>
                <w:lang w:val="en-US"/>
              </w:rPr>
              <w:t>izvešanai</w:t>
            </w:r>
            <w:proofErr w:type="spellEnd"/>
            <w:r w:rsidRPr="0075610A">
              <w:rPr>
                <w:rFonts w:eastAsia="Times New Roman"/>
                <w:lang w:val="en-US"/>
              </w:rPr>
              <w:t xml:space="preserve"> no </w:t>
            </w:r>
            <w:proofErr w:type="spellStart"/>
            <w:r w:rsidRPr="0075610A">
              <w:rPr>
                <w:rFonts w:eastAsia="Times New Roman"/>
                <w:lang w:val="en-US"/>
              </w:rPr>
              <w:t>Latvijas</w:t>
            </w:r>
            <w:proofErr w:type="spellEnd"/>
            <w:r w:rsidRPr="0075610A">
              <w:rPr>
                <w:rFonts w:eastAsia="Times New Roman"/>
                <w:lang w:val="en-US"/>
              </w:rPr>
              <w:t>,</w:t>
            </w:r>
          </w:p>
          <w:p w:rsidRPr="0075610A" w:rsidR="005A24C3" w:rsidP="00AC019C" w:rsidRDefault="00990E65" w14:paraId="7B3FB8A8" w14:textId="77777777">
            <w:pPr>
              <w:jc w:val="both"/>
            </w:pPr>
            <w:r w:rsidRPr="0075610A">
              <w:t xml:space="preserve">71.7. ja </w:t>
            </w:r>
            <w:proofErr w:type="spellStart"/>
            <w:r w:rsidRPr="0075610A">
              <w:t>transportlīdzeklis</w:t>
            </w:r>
            <w:proofErr w:type="spellEnd"/>
            <w:r w:rsidRPr="0075610A">
              <w:t xml:space="preserve"> </w:t>
            </w:r>
            <w:proofErr w:type="spellStart"/>
            <w:r w:rsidRPr="0075610A">
              <w:t>noņemts</w:t>
            </w:r>
            <w:proofErr w:type="spellEnd"/>
            <w:r w:rsidRPr="0075610A">
              <w:t xml:space="preserve"> no </w:t>
            </w:r>
            <w:proofErr w:type="spellStart"/>
            <w:r w:rsidRPr="0075610A">
              <w:t>uzskaites</w:t>
            </w:r>
            <w:proofErr w:type="spellEnd"/>
            <w:r w:rsidRPr="0075610A">
              <w:t xml:space="preserve"> </w:t>
            </w:r>
            <w:proofErr w:type="spellStart"/>
            <w:r w:rsidRPr="0075610A">
              <w:t>atsavināšanai</w:t>
            </w:r>
            <w:proofErr w:type="spellEnd"/>
            <w:r w:rsidRPr="0075610A">
              <w:t xml:space="preserve"> </w:t>
            </w:r>
            <w:proofErr w:type="spellStart"/>
            <w:r w:rsidRPr="0075610A">
              <w:t>Latvijā</w:t>
            </w:r>
            <w:proofErr w:type="spellEnd"/>
            <w:r w:rsidRPr="0075610A">
              <w:t xml:space="preserve"> un </w:t>
            </w:r>
            <w:proofErr w:type="spellStart"/>
            <w:r w:rsidRPr="0075610A">
              <w:t>pēc</w:t>
            </w:r>
            <w:proofErr w:type="spellEnd"/>
            <w:r w:rsidRPr="0075610A">
              <w:t xml:space="preserve"> </w:t>
            </w:r>
            <w:proofErr w:type="spellStart"/>
            <w:r w:rsidRPr="0075610A">
              <w:t>īpašumtiesību</w:t>
            </w:r>
            <w:proofErr w:type="spellEnd"/>
            <w:r w:rsidRPr="0075610A">
              <w:t xml:space="preserve"> </w:t>
            </w:r>
            <w:proofErr w:type="spellStart"/>
            <w:r w:rsidRPr="0075610A">
              <w:t>pārejas</w:t>
            </w:r>
            <w:proofErr w:type="spellEnd"/>
            <w:r w:rsidRPr="0075610A">
              <w:t xml:space="preserve"> </w:t>
            </w:r>
            <w:proofErr w:type="spellStart"/>
            <w:r w:rsidRPr="0075610A">
              <w:t>uz</w:t>
            </w:r>
            <w:proofErr w:type="spellEnd"/>
            <w:r w:rsidRPr="0075610A">
              <w:t xml:space="preserve"> </w:t>
            </w:r>
            <w:proofErr w:type="spellStart"/>
            <w:r w:rsidRPr="0075610A">
              <w:t>jauno</w:t>
            </w:r>
            <w:proofErr w:type="spellEnd"/>
            <w:r w:rsidRPr="0075610A">
              <w:t xml:space="preserve"> </w:t>
            </w:r>
            <w:proofErr w:type="spellStart"/>
            <w:r w:rsidRPr="0075610A">
              <w:t>transportlīdzekļa</w:t>
            </w:r>
            <w:proofErr w:type="spellEnd"/>
            <w:r w:rsidRPr="0075610A">
              <w:t xml:space="preserve"> </w:t>
            </w:r>
            <w:proofErr w:type="spellStart"/>
            <w:r w:rsidRPr="0075610A">
              <w:t>īpašnieku</w:t>
            </w:r>
            <w:proofErr w:type="spellEnd"/>
            <w:r w:rsidRPr="0075610A">
              <w:t xml:space="preserve"> </w:t>
            </w:r>
            <w:proofErr w:type="spellStart"/>
            <w:r w:rsidRPr="0075610A">
              <w:t>transportlīdzeklis</w:t>
            </w:r>
            <w:proofErr w:type="spellEnd"/>
            <w:r w:rsidRPr="0075610A">
              <w:t xml:space="preserve"> nav </w:t>
            </w:r>
            <w:proofErr w:type="spellStart"/>
            <w:r w:rsidRPr="0075610A">
              <w:t>pārreģistrēts</w:t>
            </w:r>
            <w:proofErr w:type="spellEnd"/>
            <w:r w:rsidRPr="0075610A">
              <w:t xml:space="preserve"> </w:t>
            </w:r>
            <w:proofErr w:type="spellStart"/>
            <w:r w:rsidRPr="0075610A">
              <w:t>Latvijā</w:t>
            </w:r>
            <w:proofErr w:type="spellEnd"/>
            <w:r w:rsidRPr="0075610A">
              <w:t xml:space="preserve"> </w:t>
            </w:r>
            <w:proofErr w:type="spellStart"/>
            <w:r w:rsidRPr="0075610A">
              <w:t>normatīvajos</w:t>
            </w:r>
            <w:proofErr w:type="spellEnd"/>
            <w:r w:rsidRPr="0075610A">
              <w:t xml:space="preserve"> </w:t>
            </w:r>
            <w:proofErr w:type="spellStart"/>
            <w:r w:rsidRPr="0075610A">
              <w:t>aktos</w:t>
            </w:r>
            <w:proofErr w:type="spellEnd"/>
            <w:r w:rsidRPr="0075610A">
              <w:t xml:space="preserve"> </w:t>
            </w:r>
            <w:proofErr w:type="spellStart"/>
            <w:r w:rsidRPr="0075610A">
              <w:t>noteiktajā</w:t>
            </w:r>
            <w:proofErr w:type="spellEnd"/>
            <w:r w:rsidRPr="0075610A">
              <w:t xml:space="preserve"> </w:t>
            </w:r>
            <w:proofErr w:type="spellStart"/>
            <w:r w:rsidRPr="0075610A">
              <w:t>kārtībā</w:t>
            </w:r>
            <w:proofErr w:type="spellEnd"/>
            <w:r w:rsidRPr="0075610A">
              <w:t>.””</w:t>
            </w:r>
            <w:r w:rsidRPr="0075610A" w:rsidR="005A24C3">
              <w:t xml:space="preserve"> </w:t>
            </w:r>
            <w:r w:rsidRPr="0075610A">
              <w:t>.</w:t>
            </w:r>
          </w:p>
        </w:tc>
        <w:tc>
          <w:tcPr>
            <w:tcW w:w="2598" w:type="dxa"/>
          </w:tcPr>
          <w:p w:rsidR="0075610A" w:rsidP="00252FA4" w:rsidRDefault="00252FA4" w14:paraId="13C00A48" w14:textId="2B85D540">
            <w:pPr>
              <w:jc w:val="center"/>
              <w:rPr>
                <w:b/>
                <w:lang w:val="lv-LV"/>
              </w:rPr>
            </w:pPr>
            <w:r>
              <w:rPr>
                <w:b/>
                <w:lang w:val="lv-LV"/>
              </w:rPr>
              <w:lastRenderedPageBreak/>
              <w:t>Iebildums atsaukts.</w:t>
            </w:r>
          </w:p>
          <w:p w:rsidR="00252FA4" w:rsidP="0075610A" w:rsidRDefault="00252FA4" w14:paraId="4A825C92" w14:textId="77777777">
            <w:pPr>
              <w:jc w:val="both"/>
              <w:rPr>
                <w:bCs/>
                <w:lang w:val="lv-LV"/>
              </w:rPr>
            </w:pPr>
          </w:p>
          <w:p w:rsidRPr="00BD3C3F" w:rsidR="00264DB1" w:rsidP="0075610A" w:rsidRDefault="00252FA4" w14:paraId="04EB0B2D" w14:textId="2A72874F">
            <w:pPr>
              <w:jc w:val="both"/>
              <w:rPr>
                <w:b/>
                <w:color w:val="FF0000"/>
                <w:lang w:val="lv-LV"/>
              </w:rPr>
            </w:pPr>
            <w:r>
              <w:rPr>
                <w:bCs/>
                <w:lang w:val="lv-LV"/>
              </w:rPr>
              <w:t>Saskaņā a</w:t>
            </w:r>
            <w:r w:rsidRPr="00EB67DC" w:rsidR="0075610A">
              <w:rPr>
                <w:bCs/>
                <w:lang w:val="lv-LV"/>
              </w:rPr>
              <w:t xml:space="preserve">r </w:t>
            </w:r>
            <w:r w:rsidRPr="009E7FF5" w:rsidR="0075610A">
              <w:rPr>
                <w:bCs/>
                <w:lang w:val="lv-LV"/>
              </w:rPr>
              <w:t xml:space="preserve">Latvijas </w:t>
            </w:r>
            <w:r w:rsidRPr="00EB67DC" w:rsidR="0075610A">
              <w:rPr>
                <w:bCs/>
                <w:lang w:val="lv-LV"/>
              </w:rPr>
              <w:t xml:space="preserve">Transportlīdzekļu </w:t>
            </w:r>
            <w:r>
              <w:rPr>
                <w:bCs/>
                <w:lang w:val="lv-LV"/>
              </w:rPr>
              <w:t>a</w:t>
            </w:r>
            <w:r w:rsidRPr="00EB67DC" w:rsidR="0075610A">
              <w:rPr>
                <w:bCs/>
                <w:lang w:val="lv-LV"/>
              </w:rPr>
              <w:t>pdrošinātāju biroja</w:t>
            </w:r>
            <w:r w:rsidR="0075610A">
              <w:rPr>
                <w:bCs/>
                <w:lang w:val="lv-LV"/>
              </w:rPr>
              <w:t xml:space="preserve"> 2020.gada 6.augusta elektroniskā pasta vēstuli.</w:t>
            </w:r>
          </w:p>
        </w:tc>
        <w:tc>
          <w:tcPr>
            <w:tcW w:w="3065" w:type="dxa"/>
          </w:tcPr>
          <w:p w:rsidRPr="009345EF" w:rsidR="005A24C3" w:rsidP="00D06821" w:rsidRDefault="005A24C3" w14:paraId="481882A8" w14:textId="06BDAD61">
            <w:pPr>
              <w:jc w:val="both"/>
              <w:rPr>
                <w:lang w:val="lv-LV"/>
              </w:rPr>
            </w:pPr>
          </w:p>
        </w:tc>
      </w:tr>
      <w:tr w:rsidRPr="000B24BF" w:rsidR="00E61CD7" w:rsidTr="00CC450E" w14:paraId="27659A28" w14:textId="77777777">
        <w:trPr>
          <w:jc w:val="center"/>
        </w:trPr>
        <w:tc>
          <w:tcPr>
            <w:tcW w:w="977" w:type="dxa"/>
          </w:tcPr>
          <w:p w:rsidRPr="00BD3C3F" w:rsidR="00E61CD7" w:rsidP="005A24C3" w:rsidRDefault="00E61CD7" w14:paraId="4E345B85" w14:textId="77777777">
            <w:pPr>
              <w:jc w:val="both"/>
              <w:rPr>
                <w:lang w:val="lv-LV"/>
              </w:rPr>
            </w:pPr>
            <w:r>
              <w:rPr>
                <w:lang w:val="lv-LV"/>
              </w:rPr>
              <w:t>7.</w:t>
            </w:r>
          </w:p>
        </w:tc>
        <w:tc>
          <w:tcPr>
            <w:tcW w:w="2846" w:type="dxa"/>
          </w:tcPr>
          <w:p w:rsidRPr="009345EF" w:rsidR="00E61CD7" w:rsidP="005A24C3" w:rsidRDefault="00252FA4" w14:paraId="49A7D80E" w14:textId="47209860">
            <w:pPr>
              <w:jc w:val="both"/>
              <w:rPr>
                <w:lang w:val="lv-LV"/>
              </w:rPr>
            </w:pPr>
            <w:r>
              <w:rPr>
                <w:lang w:val="lv-LV"/>
              </w:rPr>
              <w:t>N</w:t>
            </w:r>
            <w:r w:rsidR="0075610A">
              <w:rPr>
                <w:lang w:val="lv-LV"/>
              </w:rPr>
              <w:t>oteikumu projekt</w:t>
            </w:r>
            <w:r w:rsidR="00AC019C">
              <w:rPr>
                <w:lang w:val="lv-LV"/>
              </w:rPr>
              <w:t>s</w:t>
            </w:r>
            <w:r w:rsidR="0075610A">
              <w:rPr>
                <w:lang w:val="lv-LV"/>
              </w:rPr>
              <w:t>.</w:t>
            </w:r>
          </w:p>
        </w:tc>
        <w:tc>
          <w:tcPr>
            <w:tcW w:w="3770" w:type="dxa"/>
          </w:tcPr>
          <w:p w:rsidR="00252FA4" w:rsidP="00252FA4" w:rsidRDefault="00C345B3" w14:paraId="3B18F00B" w14:textId="77777777">
            <w:pPr>
              <w:jc w:val="center"/>
              <w:rPr>
                <w:b/>
              </w:rPr>
            </w:pPr>
            <w:proofErr w:type="spellStart"/>
            <w:r w:rsidRPr="00B03F39">
              <w:rPr>
                <w:b/>
              </w:rPr>
              <w:t>Latvijas</w:t>
            </w:r>
            <w:proofErr w:type="spellEnd"/>
            <w:r w:rsidRPr="00B03F39">
              <w:rPr>
                <w:b/>
              </w:rPr>
              <w:t xml:space="preserve"> </w:t>
            </w:r>
            <w:proofErr w:type="spellStart"/>
            <w:r w:rsidRPr="00B03F39">
              <w:rPr>
                <w:b/>
              </w:rPr>
              <w:t>Transportlīdzekļu</w:t>
            </w:r>
            <w:proofErr w:type="spellEnd"/>
            <w:r w:rsidRPr="00B03F39">
              <w:rPr>
                <w:b/>
              </w:rPr>
              <w:t xml:space="preserve"> </w:t>
            </w:r>
            <w:proofErr w:type="spellStart"/>
            <w:r w:rsidRPr="00B03F39" w:rsidR="004B68FD">
              <w:rPr>
                <w:b/>
              </w:rPr>
              <w:t>Tirgotāju</w:t>
            </w:r>
            <w:proofErr w:type="spellEnd"/>
            <w:r w:rsidRPr="00B03F39" w:rsidR="004B68FD">
              <w:rPr>
                <w:b/>
              </w:rPr>
              <w:t xml:space="preserve"> </w:t>
            </w:r>
            <w:proofErr w:type="spellStart"/>
            <w:r w:rsidRPr="00B03F39" w:rsidR="004B68FD">
              <w:rPr>
                <w:b/>
              </w:rPr>
              <w:t>Asociācija</w:t>
            </w:r>
            <w:proofErr w:type="spellEnd"/>
          </w:p>
          <w:p w:rsidRPr="00252FA4" w:rsidR="00E61CD7" w:rsidP="00990E65" w:rsidRDefault="00252FA4" w14:paraId="471869A7" w14:textId="6EC8B8CF">
            <w:pPr>
              <w:jc w:val="both"/>
              <w:rPr>
                <w:bCs/>
              </w:rPr>
            </w:pPr>
            <w:r w:rsidRPr="00252FA4">
              <w:rPr>
                <w:bCs/>
              </w:rPr>
              <w:t xml:space="preserve">(17.06.2020. </w:t>
            </w:r>
            <w:r w:rsidRPr="00252FA4" w:rsidR="00C345B3">
              <w:rPr>
                <w:bCs/>
              </w:rPr>
              <w:t xml:space="preserve"> </w:t>
            </w:r>
            <w:proofErr w:type="spellStart"/>
            <w:r w:rsidRPr="00252FA4" w:rsidR="00C345B3">
              <w:rPr>
                <w:bCs/>
              </w:rPr>
              <w:t>atzinums</w:t>
            </w:r>
            <w:proofErr w:type="spellEnd"/>
            <w:r w:rsidRPr="00252FA4" w:rsidR="00C345B3">
              <w:rPr>
                <w:bCs/>
              </w:rPr>
              <w:t xml:space="preserve"> Nr.</w:t>
            </w:r>
            <w:r w:rsidRPr="00252FA4" w:rsidR="004B68FD">
              <w:rPr>
                <w:bCs/>
              </w:rPr>
              <w:t xml:space="preserve"> 2020-1</w:t>
            </w:r>
            <w:r w:rsidRPr="00252FA4">
              <w:rPr>
                <w:bCs/>
              </w:rPr>
              <w:t>)</w:t>
            </w:r>
          </w:p>
          <w:p w:rsidRPr="00B03F39" w:rsidR="00B03F39" w:rsidP="00B03F39" w:rsidRDefault="004B68FD" w14:paraId="0E99F9F9" w14:textId="77777777">
            <w:pPr>
              <w:ind w:firstLine="300"/>
              <w:jc w:val="both"/>
            </w:pPr>
            <w:r w:rsidRPr="00B03F39">
              <w:t xml:space="preserve">Lai </w:t>
            </w:r>
            <w:proofErr w:type="spellStart"/>
            <w:r w:rsidRPr="00B03F39">
              <w:t>samazinātu</w:t>
            </w:r>
            <w:proofErr w:type="spellEnd"/>
            <w:r w:rsidRPr="00B03F39">
              <w:t xml:space="preserve"> </w:t>
            </w:r>
            <w:proofErr w:type="spellStart"/>
            <w:r w:rsidRPr="00B03F39">
              <w:t>administratīvo</w:t>
            </w:r>
            <w:proofErr w:type="spellEnd"/>
            <w:r w:rsidRPr="00B03F39">
              <w:t xml:space="preserve"> </w:t>
            </w:r>
            <w:proofErr w:type="spellStart"/>
            <w:r w:rsidRPr="00B03F39">
              <w:t>slogu</w:t>
            </w:r>
            <w:proofErr w:type="spellEnd"/>
            <w:r w:rsidRPr="00B03F39">
              <w:t xml:space="preserve"> </w:t>
            </w:r>
            <w:proofErr w:type="spellStart"/>
            <w:r w:rsidRPr="00B03F39">
              <w:t>komersantiem</w:t>
            </w:r>
            <w:proofErr w:type="spellEnd"/>
            <w:r w:rsidRPr="00B03F39">
              <w:t xml:space="preserve">, </w:t>
            </w:r>
            <w:proofErr w:type="spellStart"/>
            <w:r w:rsidRPr="00B03F39">
              <w:t>kuri</w:t>
            </w:r>
            <w:proofErr w:type="spellEnd"/>
            <w:r w:rsidRPr="00B03F39">
              <w:t xml:space="preserve"> </w:t>
            </w:r>
            <w:proofErr w:type="spellStart"/>
            <w:r w:rsidRPr="00B03F39">
              <w:t>noteiktā</w:t>
            </w:r>
            <w:proofErr w:type="spellEnd"/>
            <w:r w:rsidRPr="00B03F39">
              <w:t xml:space="preserve"> </w:t>
            </w:r>
            <w:proofErr w:type="spellStart"/>
            <w:r w:rsidRPr="00B03F39">
              <w:t>kārtībā</w:t>
            </w:r>
            <w:proofErr w:type="spellEnd"/>
            <w:r w:rsidRPr="00B03F39">
              <w:t xml:space="preserve"> </w:t>
            </w:r>
            <w:proofErr w:type="spellStart"/>
            <w:r w:rsidRPr="00B03F39">
              <w:t>nodarbojas</w:t>
            </w:r>
            <w:proofErr w:type="spellEnd"/>
            <w:r w:rsidRPr="00B03F39">
              <w:t xml:space="preserve"> </w:t>
            </w:r>
            <w:proofErr w:type="spellStart"/>
            <w:r w:rsidRPr="00B03F39">
              <w:t>ar</w:t>
            </w:r>
            <w:proofErr w:type="spellEnd"/>
            <w:r w:rsidRPr="00B03F39">
              <w:t xml:space="preserve"> </w:t>
            </w:r>
            <w:proofErr w:type="spellStart"/>
            <w:r w:rsidRPr="00B03F39">
              <w:t>transportlīdzekļu</w:t>
            </w:r>
            <w:proofErr w:type="spellEnd"/>
            <w:r w:rsidRPr="00B03F39">
              <w:t xml:space="preserve"> </w:t>
            </w:r>
            <w:proofErr w:type="spellStart"/>
            <w:r w:rsidRPr="00B03F39">
              <w:t>tirdzniecību</w:t>
            </w:r>
            <w:proofErr w:type="spellEnd"/>
            <w:r w:rsidRPr="00B03F39">
              <w:t xml:space="preserve"> (</w:t>
            </w:r>
            <w:proofErr w:type="spellStart"/>
            <w:r w:rsidRPr="00B03F39">
              <w:t>ir</w:t>
            </w:r>
            <w:proofErr w:type="spellEnd"/>
            <w:r w:rsidRPr="00B03F39">
              <w:t xml:space="preserve"> </w:t>
            </w:r>
            <w:proofErr w:type="spellStart"/>
            <w:r w:rsidRPr="00B03F39">
              <w:t>reģistrējuši</w:t>
            </w:r>
            <w:proofErr w:type="spellEnd"/>
            <w:r w:rsidRPr="00B03F39">
              <w:t xml:space="preserve"> </w:t>
            </w:r>
            <w:proofErr w:type="spellStart"/>
            <w:r w:rsidRPr="00B03F39">
              <w:t>transportlīdzekļu</w:t>
            </w:r>
            <w:proofErr w:type="spellEnd"/>
            <w:r w:rsidRPr="00B03F39">
              <w:t xml:space="preserve"> </w:t>
            </w:r>
            <w:proofErr w:type="spellStart"/>
            <w:r w:rsidRPr="00B03F39">
              <w:t>tirdzniecības</w:t>
            </w:r>
            <w:proofErr w:type="spellEnd"/>
            <w:r w:rsidRPr="00B03F39">
              <w:t xml:space="preserve"> </w:t>
            </w:r>
            <w:proofErr w:type="spellStart"/>
            <w:r w:rsidRPr="00B03F39">
              <w:t>vietas</w:t>
            </w:r>
            <w:proofErr w:type="spellEnd"/>
            <w:r w:rsidRPr="00B03F39">
              <w:t xml:space="preserve"> </w:t>
            </w:r>
            <w:proofErr w:type="spellStart"/>
            <w:r w:rsidRPr="00B03F39">
              <w:t>Ceļu</w:t>
            </w:r>
            <w:proofErr w:type="spellEnd"/>
            <w:r w:rsidRPr="00B03F39">
              <w:t xml:space="preserve"> </w:t>
            </w:r>
            <w:proofErr w:type="spellStart"/>
            <w:r w:rsidRPr="00B03F39">
              <w:t>satiksmes</w:t>
            </w:r>
            <w:proofErr w:type="spellEnd"/>
            <w:r w:rsidRPr="00B03F39">
              <w:t xml:space="preserve"> </w:t>
            </w:r>
            <w:proofErr w:type="spellStart"/>
            <w:r w:rsidRPr="00B03F39">
              <w:t>drošības</w:t>
            </w:r>
            <w:proofErr w:type="spellEnd"/>
            <w:r w:rsidRPr="00B03F39">
              <w:t xml:space="preserve"> </w:t>
            </w:r>
            <w:proofErr w:type="spellStart"/>
            <w:r w:rsidRPr="00B03F39">
              <w:t>direkcijā</w:t>
            </w:r>
            <w:proofErr w:type="spellEnd"/>
            <w:r w:rsidRPr="00B03F39">
              <w:t xml:space="preserve">), </w:t>
            </w:r>
            <w:proofErr w:type="spellStart"/>
            <w:r w:rsidRPr="00B03F39">
              <w:t>kā</w:t>
            </w:r>
            <w:proofErr w:type="spellEnd"/>
            <w:r w:rsidRPr="00B03F39">
              <w:t xml:space="preserve"> </w:t>
            </w:r>
            <w:proofErr w:type="spellStart"/>
            <w:r w:rsidRPr="00B03F39">
              <w:t>arī</w:t>
            </w:r>
            <w:proofErr w:type="spellEnd"/>
            <w:r w:rsidRPr="00B03F39">
              <w:t xml:space="preserve"> </w:t>
            </w:r>
            <w:proofErr w:type="spellStart"/>
            <w:r w:rsidRPr="00B03F39">
              <w:t>šo</w:t>
            </w:r>
            <w:proofErr w:type="spellEnd"/>
            <w:r w:rsidRPr="00B03F39">
              <w:t xml:space="preserve"> </w:t>
            </w:r>
            <w:proofErr w:type="spellStart"/>
            <w:r w:rsidRPr="00B03F39">
              <w:t>uzņēmumu</w:t>
            </w:r>
            <w:proofErr w:type="spellEnd"/>
            <w:r w:rsidRPr="00B03F39">
              <w:t xml:space="preserve"> </w:t>
            </w:r>
            <w:proofErr w:type="spellStart"/>
            <w:r w:rsidRPr="00B03F39">
              <w:t>klientiem</w:t>
            </w:r>
            <w:proofErr w:type="spellEnd"/>
            <w:r w:rsidRPr="00B03F39">
              <w:t xml:space="preserve">, </w:t>
            </w:r>
            <w:proofErr w:type="spellStart"/>
            <w:r w:rsidRPr="00B03F39">
              <w:t>kuri</w:t>
            </w:r>
            <w:proofErr w:type="spellEnd"/>
            <w:r w:rsidRPr="00B03F39">
              <w:t xml:space="preserve"> </w:t>
            </w:r>
            <w:proofErr w:type="spellStart"/>
            <w:r w:rsidRPr="00B03F39">
              <w:t>transportlīdzekļus</w:t>
            </w:r>
            <w:proofErr w:type="spellEnd"/>
            <w:r w:rsidRPr="00B03F39">
              <w:t xml:space="preserve"> </w:t>
            </w:r>
            <w:proofErr w:type="spellStart"/>
            <w:r w:rsidRPr="00B03F39">
              <w:t>iegādājušies</w:t>
            </w:r>
            <w:proofErr w:type="spellEnd"/>
            <w:r w:rsidRPr="00B03F39">
              <w:t xml:space="preserve">, </w:t>
            </w:r>
            <w:proofErr w:type="spellStart"/>
            <w:r w:rsidRPr="00B03F39">
              <w:t>izmantojot</w:t>
            </w:r>
            <w:proofErr w:type="spellEnd"/>
            <w:r w:rsidRPr="00B03F39">
              <w:t xml:space="preserve"> </w:t>
            </w:r>
            <w:proofErr w:type="spellStart"/>
            <w:r w:rsidRPr="00B03F39">
              <w:t>legālu</w:t>
            </w:r>
            <w:proofErr w:type="spellEnd"/>
            <w:r w:rsidRPr="00B03F39">
              <w:t xml:space="preserve"> </w:t>
            </w:r>
            <w:proofErr w:type="spellStart"/>
            <w:r w:rsidRPr="00B03F39">
              <w:t>transportlīdzekļu</w:t>
            </w:r>
            <w:proofErr w:type="spellEnd"/>
            <w:r w:rsidRPr="00B03F39">
              <w:t xml:space="preserve"> </w:t>
            </w:r>
            <w:proofErr w:type="spellStart"/>
            <w:r w:rsidRPr="00B03F39">
              <w:t>tirdzniecības</w:t>
            </w:r>
            <w:proofErr w:type="spellEnd"/>
            <w:r w:rsidRPr="00B03F39">
              <w:t xml:space="preserve"> </w:t>
            </w:r>
            <w:proofErr w:type="spellStart"/>
            <w:r w:rsidRPr="00B03F39">
              <w:t>uzņēmumu</w:t>
            </w:r>
            <w:proofErr w:type="spellEnd"/>
            <w:r w:rsidRPr="00B03F39">
              <w:t xml:space="preserve"> </w:t>
            </w:r>
            <w:proofErr w:type="spellStart"/>
            <w:r w:rsidRPr="00B03F39">
              <w:t>pakalpojumus</w:t>
            </w:r>
            <w:proofErr w:type="spellEnd"/>
            <w:r w:rsidRPr="00B03F39">
              <w:t xml:space="preserve">, </w:t>
            </w:r>
            <w:proofErr w:type="spellStart"/>
            <w:r w:rsidRPr="00B03F39">
              <w:t>kā</w:t>
            </w:r>
            <w:proofErr w:type="spellEnd"/>
            <w:r w:rsidRPr="00B03F39">
              <w:t xml:space="preserve"> </w:t>
            </w:r>
            <w:proofErr w:type="spellStart"/>
            <w:r w:rsidRPr="00B03F39">
              <w:t>arī</w:t>
            </w:r>
            <w:proofErr w:type="spellEnd"/>
            <w:r w:rsidRPr="00B03F39">
              <w:t xml:space="preserve">, </w:t>
            </w:r>
            <w:proofErr w:type="spellStart"/>
            <w:r w:rsidRPr="00B03F39">
              <w:t>ņemot</w:t>
            </w:r>
            <w:proofErr w:type="spellEnd"/>
            <w:r w:rsidRPr="00B03F39">
              <w:t xml:space="preserve"> </w:t>
            </w:r>
            <w:proofErr w:type="spellStart"/>
            <w:r w:rsidRPr="00B03F39">
              <w:t>vērā</w:t>
            </w:r>
            <w:proofErr w:type="spellEnd"/>
            <w:r w:rsidRPr="00B03F39">
              <w:t xml:space="preserve">, ka </w:t>
            </w:r>
            <w:proofErr w:type="spellStart"/>
            <w:r w:rsidRPr="00B03F39">
              <w:lastRenderedPageBreak/>
              <w:t>transportlīdzekļi</w:t>
            </w:r>
            <w:proofErr w:type="spellEnd"/>
            <w:r w:rsidRPr="00B03F39">
              <w:t xml:space="preserve"> </w:t>
            </w:r>
            <w:proofErr w:type="spellStart"/>
            <w:r w:rsidRPr="00B03F39">
              <w:t>tiek</w:t>
            </w:r>
            <w:proofErr w:type="spellEnd"/>
            <w:r w:rsidRPr="00B03F39">
              <w:t xml:space="preserve"> </w:t>
            </w:r>
            <w:proofErr w:type="spellStart"/>
            <w:r w:rsidRPr="00B03F39">
              <w:t>identificēti</w:t>
            </w:r>
            <w:proofErr w:type="spellEnd"/>
            <w:r w:rsidR="00B03F39">
              <w:t xml:space="preserve"> </w:t>
            </w:r>
            <w:proofErr w:type="spellStart"/>
            <w:r w:rsidRPr="00B03F39" w:rsidR="00B03F39">
              <w:t>valsts</w:t>
            </w:r>
            <w:proofErr w:type="spellEnd"/>
            <w:r w:rsidRPr="00B03F39" w:rsidR="00B03F39">
              <w:t xml:space="preserve"> </w:t>
            </w:r>
            <w:proofErr w:type="spellStart"/>
            <w:r w:rsidRPr="00B03F39" w:rsidR="00B03F39">
              <w:t>tehniskās</w:t>
            </w:r>
            <w:proofErr w:type="spellEnd"/>
            <w:r w:rsidRPr="00B03F39" w:rsidR="00B03F39">
              <w:t xml:space="preserve"> </w:t>
            </w:r>
            <w:proofErr w:type="spellStart"/>
            <w:r w:rsidRPr="00B03F39" w:rsidR="00B03F39">
              <w:t>apskates</w:t>
            </w:r>
            <w:proofErr w:type="spellEnd"/>
            <w:r w:rsidRPr="00B03F39" w:rsidR="00B03F39">
              <w:t xml:space="preserve"> </w:t>
            </w:r>
            <w:proofErr w:type="spellStart"/>
            <w:r w:rsidRPr="00B03F39" w:rsidR="00B03F39">
              <w:t>laikā</w:t>
            </w:r>
            <w:proofErr w:type="spellEnd"/>
            <w:r w:rsidRPr="00B03F39" w:rsidR="00B03F39">
              <w:t xml:space="preserve">, </w:t>
            </w:r>
            <w:r w:rsidRPr="00B03F39">
              <w:t xml:space="preserve"> </w:t>
            </w:r>
            <w:proofErr w:type="spellStart"/>
            <w:r w:rsidRPr="00B03F39" w:rsidR="00B03F39">
              <w:t>lūdzam</w:t>
            </w:r>
            <w:proofErr w:type="spellEnd"/>
            <w:r w:rsidRPr="00B03F39" w:rsidR="00B03F39">
              <w:t xml:space="preserve"> </w:t>
            </w:r>
            <w:proofErr w:type="spellStart"/>
            <w:r w:rsidRPr="00B03F39" w:rsidR="00B03F39">
              <w:t>noteikumu</w:t>
            </w:r>
            <w:proofErr w:type="spellEnd"/>
            <w:r w:rsidRPr="00B03F39" w:rsidR="00B03F39">
              <w:t xml:space="preserve"> </w:t>
            </w:r>
            <w:proofErr w:type="spellStart"/>
            <w:r w:rsidRPr="00B03F39" w:rsidR="00B03F39">
              <w:t>projektu</w:t>
            </w:r>
            <w:proofErr w:type="spellEnd"/>
            <w:r w:rsidRPr="00B03F39" w:rsidR="00B03F39">
              <w:t xml:space="preserve"> </w:t>
            </w:r>
            <w:proofErr w:type="spellStart"/>
            <w:r w:rsidRPr="00B03F39" w:rsidR="00B03F39">
              <w:t>papildināt</w:t>
            </w:r>
            <w:proofErr w:type="spellEnd"/>
            <w:r w:rsidRPr="00B03F39" w:rsidR="00B03F39">
              <w:t xml:space="preserve"> </w:t>
            </w:r>
            <w:proofErr w:type="spellStart"/>
            <w:r w:rsidRPr="00B03F39" w:rsidR="00B03F39">
              <w:t>ar</w:t>
            </w:r>
            <w:proofErr w:type="spellEnd"/>
            <w:r w:rsidRPr="00B03F39" w:rsidR="00B03F39">
              <w:t xml:space="preserve"> </w:t>
            </w:r>
            <w:proofErr w:type="spellStart"/>
            <w:r w:rsidRPr="00B03F39" w:rsidR="00B03F39">
              <w:t>sekojošu</w:t>
            </w:r>
            <w:proofErr w:type="spellEnd"/>
            <w:r w:rsidRPr="00B03F39" w:rsidR="00B03F39">
              <w:t xml:space="preserve"> </w:t>
            </w:r>
            <w:proofErr w:type="spellStart"/>
            <w:r w:rsidRPr="00B03F39" w:rsidR="00B03F39">
              <w:t>grozījumu</w:t>
            </w:r>
            <w:proofErr w:type="spellEnd"/>
            <w:r w:rsidRPr="00B03F39" w:rsidR="00B03F39">
              <w:t>:</w:t>
            </w:r>
          </w:p>
          <w:p w:rsidRPr="00B03F39" w:rsidR="00B03F39" w:rsidP="00A3488E" w:rsidRDefault="00B03F39" w14:paraId="441771D1" w14:textId="77777777">
            <w:pPr>
              <w:pStyle w:val="ListParagraph"/>
              <w:numPr>
                <w:ilvl w:val="0"/>
                <w:numId w:val="5"/>
              </w:numPr>
              <w:ind w:left="40" w:firstLine="335"/>
              <w:contextualSpacing w:val="0"/>
              <w:rPr>
                <w:rFonts w:eastAsia="Times New Roman"/>
              </w:rPr>
            </w:pPr>
            <w:proofErr w:type="spellStart"/>
            <w:r w:rsidRPr="00B03F39">
              <w:rPr>
                <w:rFonts w:eastAsia="Times New Roman"/>
                <w:lang w:val="en-US"/>
              </w:rPr>
              <w:t>Papildināt</w:t>
            </w:r>
            <w:proofErr w:type="spellEnd"/>
            <w:r w:rsidRPr="00B03F39">
              <w:rPr>
                <w:rFonts w:eastAsia="Times New Roman"/>
                <w:lang w:val="en-US"/>
              </w:rPr>
              <w:t xml:space="preserve"> </w:t>
            </w:r>
            <w:proofErr w:type="spellStart"/>
            <w:r w:rsidRPr="00B03F39">
              <w:rPr>
                <w:rFonts w:eastAsia="Times New Roman"/>
                <w:lang w:val="en-US"/>
              </w:rPr>
              <w:t>noteikumu</w:t>
            </w:r>
            <w:proofErr w:type="spellEnd"/>
            <w:r w:rsidRPr="00B03F39">
              <w:rPr>
                <w:rFonts w:eastAsia="Times New Roman"/>
                <w:lang w:val="en-US"/>
              </w:rPr>
              <w:t xml:space="preserve"> 40.2. </w:t>
            </w:r>
            <w:proofErr w:type="spellStart"/>
            <w:r w:rsidRPr="00B03F39">
              <w:rPr>
                <w:rFonts w:eastAsia="Times New Roman"/>
                <w:lang w:val="en-US"/>
              </w:rPr>
              <w:t>apakšpunktu</w:t>
            </w:r>
            <w:proofErr w:type="spellEnd"/>
            <w:r w:rsidRPr="00B03F39">
              <w:rPr>
                <w:rFonts w:eastAsia="Times New Roman"/>
                <w:lang w:val="en-US"/>
              </w:rPr>
              <w:t xml:space="preserve"> </w:t>
            </w:r>
            <w:proofErr w:type="spellStart"/>
            <w:r w:rsidRPr="00B03F39">
              <w:rPr>
                <w:rFonts w:eastAsia="Times New Roman"/>
                <w:lang w:val="en-US"/>
              </w:rPr>
              <w:t>aiz</w:t>
            </w:r>
            <w:proofErr w:type="spellEnd"/>
            <w:r w:rsidRPr="00B03F39">
              <w:rPr>
                <w:rFonts w:eastAsia="Times New Roman"/>
                <w:lang w:val="en-US"/>
              </w:rPr>
              <w:t xml:space="preserve"> </w:t>
            </w:r>
            <w:proofErr w:type="spellStart"/>
            <w:r w:rsidRPr="00B03F39">
              <w:rPr>
                <w:rFonts w:eastAsia="Times New Roman"/>
                <w:lang w:val="en-US"/>
              </w:rPr>
              <w:t>vārdiem</w:t>
            </w:r>
            <w:proofErr w:type="spellEnd"/>
            <w:r w:rsidRPr="00B03F39">
              <w:rPr>
                <w:rFonts w:eastAsia="Times New Roman"/>
                <w:lang w:val="en-US"/>
              </w:rPr>
              <w:t xml:space="preserve"> “</w:t>
            </w:r>
            <w:proofErr w:type="spellStart"/>
            <w:r w:rsidRPr="00B03F39">
              <w:rPr>
                <w:rFonts w:eastAsia="Times New Roman"/>
                <w:lang w:val="en-US"/>
              </w:rPr>
              <w:t>izziņu</w:t>
            </w:r>
            <w:proofErr w:type="spellEnd"/>
            <w:r w:rsidRPr="00B03F39">
              <w:rPr>
                <w:rFonts w:eastAsia="Times New Roman"/>
                <w:lang w:val="en-US"/>
              </w:rPr>
              <w:t xml:space="preserve"> par </w:t>
            </w:r>
            <w:proofErr w:type="spellStart"/>
            <w:r w:rsidRPr="00B03F39">
              <w:rPr>
                <w:rFonts w:eastAsia="Times New Roman"/>
                <w:lang w:val="en-US"/>
              </w:rPr>
              <w:t>agregātu</w:t>
            </w:r>
            <w:proofErr w:type="spellEnd"/>
            <w:r w:rsidRPr="00B03F39">
              <w:rPr>
                <w:rFonts w:eastAsia="Times New Roman"/>
                <w:lang w:val="en-US"/>
              </w:rPr>
              <w:t xml:space="preserve"> </w:t>
            </w:r>
            <w:proofErr w:type="spellStart"/>
            <w:r w:rsidRPr="00B03F39">
              <w:rPr>
                <w:rFonts w:eastAsia="Times New Roman"/>
                <w:lang w:val="en-US"/>
              </w:rPr>
              <w:t>numuru</w:t>
            </w:r>
            <w:proofErr w:type="spellEnd"/>
            <w:r w:rsidRPr="00B03F39">
              <w:rPr>
                <w:rFonts w:eastAsia="Times New Roman"/>
                <w:lang w:val="en-US"/>
              </w:rPr>
              <w:t xml:space="preserve"> </w:t>
            </w:r>
            <w:proofErr w:type="spellStart"/>
            <w:r w:rsidRPr="00B03F39">
              <w:rPr>
                <w:rFonts w:eastAsia="Times New Roman"/>
                <w:lang w:val="en-US"/>
              </w:rPr>
              <w:t>salīdzināšanu</w:t>
            </w:r>
            <w:proofErr w:type="spellEnd"/>
            <w:r w:rsidRPr="00B03F39">
              <w:rPr>
                <w:rFonts w:eastAsia="Times New Roman"/>
                <w:lang w:val="en-US"/>
              </w:rPr>
              <w:t xml:space="preserve">” </w:t>
            </w:r>
            <w:proofErr w:type="spellStart"/>
            <w:r w:rsidRPr="00B03F39">
              <w:rPr>
                <w:rFonts w:eastAsia="Times New Roman"/>
                <w:lang w:val="en-US"/>
              </w:rPr>
              <w:t>ar</w:t>
            </w:r>
            <w:proofErr w:type="spellEnd"/>
            <w:r w:rsidRPr="00B03F39">
              <w:rPr>
                <w:rFonts w:eastAsia="Times New Roman"/>
                <w:lang w:val="en-US"/>
              </w:rPr>
              <w:t xml:space="preserve"> </w:t>
            </w:r>
            <w:proofErr w:type="spellStart"/>
            <w:r w:rsidRPr="00B03F39">
              <w:rPr>
                <w:rFonts w:eastAsia="Times New Roman"/>
                <w:lang w:val="en-US"/>
              </w:rPr>
              <w:t>vārdiem</w:t>
            </w:r>
            <w:proofErr w:type="spellEnd"/>
            <w:r w:rsidRPr="00B03F39">
              <w:rPr>
                <w:rFonts w:eastAsia="Times New Roman"/>
                <w:lang w:val="en-US"/>
              </w:rPr>
              <w:t xml:space="preserve"> “, ja </w:t>
            </w:r>
            <w:proofErr w:type="spellStart"/>
            <w:r w:rsidRPr="00B03F39">
              <w:rPr>
                <w:rFonts w:eastAsia="Times New Roman"/>
                <w:lang w:val="en-US"/>
              </w:rPr>
              <w:t>reģistrācijas</w:t>
            </w:r>
            <w:proofErr w:type="spellEnd"/>
            <w:r w:rsidRPr="00B03F39">
              <w:rPr>
                <w:rFonts w:eastAsia="Times New Roman"/>
                <w:lang w:val="en-US"/>
              </w:rPr>
              <w:t xml:space="preserve"> </w:t>
            </w:r>
            <w:proofErr w:type="spellStart"/>
            <w:r w:rsidRPr="00B03F39">
              <w:rPr>
                <w:rFonts w:eastAsia="Times New Roman"/>
                <w:lang w:val="en-US"/>
              </w:rPr>
              <w:t>brīdī</w:t>
            </w:r>
            <w:proofErr w:type="spellEnd"/>
            <w:r w:rsidRPr="00B03F39">
              <w:rPr>
                <w:rFonts w:eastAsia="Times New Roman"/>
                <w:lang w:val="en-US"/>
              </w:rPr>
              <w:t xml:space="preserve"> </w:t>
            </w:r>
            <w:proofErr w:type="spellStart"/>
            <w:r w:rsidRPr="00B03F39">
              <w:rPr>
                <w:rFonts w:eastAsia="Times New Roman"/>
                <w:lang w:val="en-US"/>
              </w:rPr>
              <w:t>transportlīdzeklim</w:t>
            </w:r>
            <w:proofErr w:type="spellEnd"/>
            <w:r w:rsidRPr="00B03F39">
              <w:rPr>
                <w:rFonts w:eastAsia="Times New Roman"/>
                <w:lang w:val="en-US"/>
              </w:rPr>
              <w:t xml:space="preserve"> nav </w:t>
            </w:r>
            <w:proofErr w:type="spellStart"/>
            <w:r w:rsidRPr="00B03F39">
              <w:rPr>
                <w:rFonts w:eastAsia="Times New Roman"/>
                <w:lang w:val="en-US"/>
              </w:rPr>
              <w:t>derīga</w:t>
            </w:r>
            <w:proofErr w:type="spellEnd"/>
            <w:r w:rsidRPr="00B03F39">
              <w:rPr>
                <w:rFonts w:eastAsia="Times New Roman"/>
                <w:lang w:val="en-US"/>
              </w:rPr>
              <w:t xml:space="preserve"> </w:t>
            </w:r>
            <w:proofErr w:type="spellStart"/>
            <w:r w:rsidRPr="00B03F39">
              <w:rPr>
                <w:rFonts w:eastAsia="Times New Roman"/>
                <w:lang w:val="en-US"/>
              </w:rPr>
              <w:t>valsts</w:t>
            </w:r>
            <w:proofErr w:type="spellEnd"/>
            <w:r w:rsidRPr="00B03F39">
              <w:rPr>
                <w:rFonts w:eastAsia="Times New Roman"/>
                <w:lang w:val="en-US"/>
              </w:rPr>
              <w:t xml:space="preserve"> </w:t>
            </w:r>
            <w:proofErr w:type="spellStart"/>
            <w:r w:rsidRPr="00B03F39">
              <w:rPr>
                <w:rFonts w:eastAsia="Times New Roman"/>
                <w:lang w:val="en-US"/>
              </w:rPr>
              <w:t>tehniskā</w:t>
            </w:r>
            <w:proofErr w:type="spellEnd"/>
            <w:r w:rsidRPr="00B03F39">
              <w:rPr>
                <w:rFonts w:eastAsia="Times New Roman"/>
                <w:lang w:val="en-US"/>
              </w:rPr>
              <w:t xml:space="preserve"> </w:t>
            </w:r>
            <w:proofErr w:type="spellStart"/>
            <w:r w:rsidRPr="00B03F39">
              <w:rPr>
                <w:rFonts w:eastAsia="Times New Roman"/>
                <w:lang w:val="en-US"/>
              </w:rPr>
              <w:t>apskate</w:t>
            </w:r>
            <w:proofErr w:type="spellEnd"/>
            <w:r w:rsidRPr="00B03F39">
              <w:rPr>
                <w:rFonts w:eastAsia="Times New Roman"/>
                <w:lang w:val="en-US"/>
              </w:rPr>
              <w:t>”.</w:t>
            </w:r>
          </w:p>
          <w:p w:rsidRPr="0048287F" w:rsidR="00B03F39" w:rsidP="00B03F39" w:rsidRDefault="00B03F39" w14:paraId="527626C8" w14:textId="77777777">
            <w:pPr>
              <w:ind w:left="40" w:firstLine="335"/>
              <w:jc w:val="both"/>
              <w:rPr>
                <w:lang w:val="lv-LV"/>
              </w:rPr>
            </w:pPr>
            <w:r w:rsidRPr="0048287F">
              <w:rPr>
                <w:lang w:val="lv-LV"/>
              </w:rPr>
              <w:t xml:space="preserve">Šāda grozījuma iekļaušana noteikumu projektā, atvieglotu klientam transportlīdzekļa reģistrācijas procesu pēc transportlīdzekļa, kam ir derīga tehniskā apskate, iegādes transportlīdzekļu tirdzniecības vietā. Transportlīdzekļa agregātu numuru salīdzināšana šobrīd nav jāveic, ja transportlīdzeklis tiek nopirkts no tā reģistrētā īpašnieka. </w:t>
            </w:r>
          </w:p>
          <w:p w:rsidRPr="0048287F" w:rsidR="004B68FD" w:rsidP="00990E65" w:rsidRDefault="004B68FD" w14:paraId="19BAA7EA" w14:textId="77777777">
            <w:pPr>
              <w:jc w:val="both"/>
              <w:rPr>
                <w:lang w:val="lv-LV"/>
              </w:rPr>
            </w:pPr>
          </w:p>
        </w:tc>
        <w:tc>
          <w:tcPr>
            <w:tcW w:w="2598" w:type="dxa"/>
          </w:tcPr>
          <w:p w:rsidRPr="00447C85" w:rsidR="00E61CD7" w:rsidP="00252FA4" w:rsidRDefault="00B03F39" w14:paraId="28C88D02" w14:textId="7C5F3B0B">
            <w:pPr>
              <w:jc w:val="center"/>
              <w:rPr>
                <w:b/>
                <w:lang w:val="lv-LV"/>
              </w:rPr>
            </w:pPr>
            <w:r w:rsidRPr="002167A0">
              <w:rPr>
                <w:b/>
                <w:lang w:val="lv-LV"/>
              </w:rPr>
              <w:lastRenderedPageBreak/>
              <w:t>Ie</w:t>
            </w:r>
            <w:r w:rsidR="00252FA4">
              <w:rPr>
                <w:b/>
                <w:lang w:val="lv-LV"/>
              </w:rPr>
              <w:t>bildums</w:t>
            </w:r>
            <w:r w:rsidRPr="002167A0">
              <w:rPr>
                <w:b/>
                <w:lang w:val="lv-LV"/>
              </w:rPr>
              <w:t xml:space="preserve"> ņemts vērā.</w:t>
            </w:r>
          </w:p>
        </w:tc>
        <w:tc>
          <w:tcPr>
            <w:tcW w:w="3065" w:type="dxa"/>
          </w:tcPr>
          <w:p w:rsidRPr="00614DFD" w:rsidR="00E61CD7" w:rsidP="00D06821" w:rsidRDefault="0031078D" w14:paraId="30D646C4" w14:textId="5055C4C9">
            <w:pPr>
              <w:jc w:val="both"/>
              <w:rPr>
                <w:b/>
                <w:lang w:val="lv-LV"/>
              </w:rPr>
            </w:pPr>
            <w:r>
              <w:rPr>
                <w:lang w:val="lv-LV"/>
              </w:rPr>
              <w:t>5</w:t>
            </w:r>
            <w:r w:rsidRPr="00A42B70" w:rsidR="00614DFD">
              <w:rPr>
                <w:lang w:val="lv-LV"/>
              </w:rPr>
              <w:t>. Papildināt 40.2. apakšpunktu aiz vārdiem “izziņu par agregātu numuru salīdzināšanu” ar vārdiem “, ja reģistrācijas brīdī nav derīga atļauja vai pagaidu atļauja ar transportlīdzekli piedalīties ceļu satiksmē”.</w:t>
            </w:r>
          </w:p>
        </w:tc>
      </w:tr>
      <w:tr w:rsidRPr="009345EF" w:rsidR="004170C0" w:rsidTr="009D3EB5" w14:paraId="11DDAE52" w14:textId="77777777">
        <w:trPr>
          <w:jc w:val="center"/>
        </w:trPr>
        <w:tc>
          <w:tcPr>
            <w:tcW w:w="13256" w:type="dxa"/>
            <w:gridSpan w:val="5"/>
          </w:tcPr>
          <w:p w:rsidRPr="009345EF" w:rsidR="004170C0" w:rsidP="004170C0" w:rsidRDefault="004170C0" w14:paraId="7FD7B8E9" w14:textId="77777777">
            <w:pPr>
              <w:jc w:val="center"/>
              <w:rPr>
                <w:lang w:val="lv-LV"/>
              </w:rPr>
            </w:pPr>
            <w:r>
              <w:rPr>
                <w:lang w:val="lv-LV"/>
              </w:rPr>
              <w:t>Atkārtota saskaņošana</w:t>
            </w:r>
          </w:p>
        </w:tc>
      </w:tr>
      <w:tr w:rsidRPr="000B24BF" w:rsidR="004170C0" w:rsidTr="00CC450E" w14:paraId="4B8FB25A" w14:textId="77777777">
        <w:trPr>
          <w:jc w:val="center"/>
        </w:trPr>
        <w:tc>
          <w:tcPr>
            <w:tcW w:w="977" w:type="dxa"/>
          </w:tcPr>
          <w:p w:rsidR="004170C0" w:rsidP="005A24C3" w:rsidRDefault="00A75346" w14:paraId="00753405" w14:textId="77777777">
            <w:pPr>
              <w:jc w:val="both"/>
              <w:rPr>
                <w:lang w:val="lv-LV"/>
              </w:rPr>
            </w:pPr>
            <w:r>
              <w:rPr>
                <w:lang w:val="lv-LV"/>
              </w:rPr>
              <w:t>8.</w:t>
            </w:r>
          </w:p>
        </w:tc>
        <w:tc>
          <w:tcPr>
            <w:tcW w:w="2846" w:type="dxa"/>
          </w:tcPr>
          <w:p w:rsidRPr="009345EF" w:rsidR="004170C0" w:rsidP="005A24C3" w:rsidRDefault="00A75346" w14:paraId="2B594815" w14:textId="1C9FA5B4">
            <w:pPr>
              <w:jc w:val="both"/>
              <w:rPr>
                <w:lang w:val="lv-LV"/>
              </w:rPr>
            </w:pPr>
            <w:r w:rsidRPr="00A42B70">
              <w:rPr>
                <w:color w:val="000000"/>
                <w:lang w:val="lv-LV"/>
              </w:rPr>
              <w:t>10.</w:t>
            </w:r>
            <w:r w:rsidRPr="00A42B70">
              <w:rPr>
                <w:color w:val="000000"/>
                <w:vertAlign w:val="superscript"/>
                <w:lang w:val="lv-LV"/>
              </w:rPr>
              <w:t>5</w:t>
            </w:r>
            <w:r w:rsidRPr="00A42B70">
              <w:rPr>
                <w:color w:val="000000"/>
                <w:lang w:val="lv-LV"/>
              </w:rPr>
              <w:t xml:space="preserve">  CSDD nodrošina, ka pasūtītās izvēles numura zīmes var saņemt trešajā darba dienā pēc pasūtīšanas, bet, veicot transportlīdzekļa reģistrāciju CSDD Rīgas klientu apkalpošanas centrā, – divu darba stundu laikā pēc iesnieguma valsts reģistrācijas numura reģistrācijai</w:t>
            </w:r>
            <w:r w:rsidRPr="00A42B70" w:rsidR="0075610A">
              <w:rPr>
                <w:color w:val="000000"/>
                <w:lang w:val="lv-LV"/>
              </w:rPr>
              <w:t xml:space="preserve"> </w:t>
            </w:r>
            <w:r w:rsidRPr="00A42B70">
              <w:rPr>
                <w:color w:val="000000"/>
                <w:lang w:val="lv-LV"/>
              </w:rPr>
              <w:lastRenderedPageBreak/>
              <w:t>transportlīdzeklim iesniegšanas.”</w:t>
            </w:r>
          </w:p>
        </w:tc>
        <w:tc>
          <w:tcPr>
            <w:tcW w:w="3770" w:type="dxa"/>
          </w:tcPr>
          <w:p w:rsidR="0031078D" w:rsidP="0031078D" w:rsidRDefault="004170C0" w14:paraId="0A74521F" w14:textId="77777777">
            <w:pPr>
              <w:jc w:val="center"/>
              <w:rPr>
                <w:b/>
                <w:lang w:val="lv-LV"/>
              </w:rPr>
            </w:pPr>
            <w:r w:rsidRPr="000E3100">
              <w:rPr>
                <w:b/>
                <w:lang w:val="lv-LV"/>
              </w:rPr>
              <w:lastRenderedPageBreak/>
              <w:t>Tieslietu ministrija</w:t>
            </w:r>
          </w:p>
          <w:p w:rsidRPr="0031078D" w:rsidR="004170C0" w:rsidP="00990E65" w:rsidRDefault="0031078D" w14:paraId="1B2F242D" w14:textId="1C3FA657">
            <w:pPr>
              <w:jc w:val="both"/>
              <w:rPr>
                <w:bCs/>
                <w:lang w:val="lv-LV"/>
              </w:rPr>
            </w:pPr>
            <w:r w:rsidRPr="0031078D">
              <w:rPr>
                <w:bCs/>
                <w:lang w:val="lv-LV"/>
              </w:rPr>
              <w:t>(</w:t>
            </w:r>
            <w:r w:rsidRPr="0031078D" w:rsidR="004170C0">
              <w:rPr>
                <w:bCs/>
                <w:lang w:val="lv-LV"/>
              </w:rPr>
              <w:t xml:space="preserve">29.07.2020. </w:t>
            </w:r>
            <w:r w:rsidRPr="0031078D">
              <w:rPr>
                <w:bCs/>
                <w:lang w:val="lv-LV"/>
              </w:rPr>
              <w:t>elektroniskā pasta ziņojums)</w:t>
            </w:r>
          </w:p>
          <w:p w:rsidR="00A75346" w:rsidP="00990E65" w:rsidRDefault="00A75346" w14:paraId="7A8B8974" w14:textId="77777777">
            <w:pPr>
              <w:jc w:val="both"/>
              <w:rPr>
                <w:b/>
                <w:lang w:val="lv-LV"/>
              </w:rPr>
            </w:pPr>
            <w:r w:rsidRPr="00A42B70">
              <w:rPr>
                <w:color w:val="000000"/>
                <w:lang w:val="lv-LV"/>
              </w:rPr>
              <w:t>1. Lūdzam skaidrot projekta anotācijā, vai projekta 2. punktā ietvertajā Ministru kabineta 2010. gada 30. novembra noteikumu Nr. 1080 "Transportlīdzekļu reģistrācijas noteikumi" (turpmāk – noteikumi) 10.</w:t>
            </w:r>
            <w:r w:rsidRPr="00A42B70">
              <w:rPr>
                <w:color w:val="000000"/>
                <w:vertAlign w:val="superscript"/>
                <w:lang w:val="lv-LV"/>
              </w:rPr>
              <w:t>5</w:t>
            </w:r>
            <w:r w:rsidRPr="00A42B70">
              <w:rPr>
                <w:color w:val="000000"/>
                <w:lang w:val="lv-LV"/>
              </w:rPr>
              <w:t xml:space="preserve"> punktā noteiktais, ka Ceļu satiksmes drošības direkcija nodrošina, ka pasūtītās izvēles </w:t>
            </w:r>
            <w:r w:rsidRPr="00A42B70">
              <w:rPr>
                <w:color w:val="000000"/>
                <w:lang w:val="lv-LV"/>
              </w:rPr>
              <w:lastRenderedPageBreak/>
              <w:t>numura zīmes var saņemt trešajā darba dienā pēc pasūtīšanas, nozīmē, ka šīs numura zīmes būs iespējams izņemt bez transportlīdzekļa reģistrācijas iesnieguma iesniegšanas. Proti, minētajā punktā noteiktais paredz, ka veicot transportlīdzekļa reģistrāciju Ceļu satiksmes drošības direkcijas Rīgas klientu apkalpošanas centrā numura zīmes var saņemt divu darba stundu laikā pēc iesnieguma valsts reģistrācijas numura reģistrācijai transportlīdzeklim iesniegšanas, taču, ja numura zīmes pasūtītas citā Ceļu satiksmes drošības direkcijas struktūrvienībā, numura zīmes var saņemt trīs darba dienu laikā pēc to pasūtīšanas. Savukārt no projekta 2. punktā ietvertā noteikumu 10.</w:t>
            </w:r>
            <w:r w:rsidRPr="00A42B70">
              <w:rPr>
                <w:color w:val="000000"/>
                <w:vertAlign w:val="superscript"/>
                <w:lang w:val="lv-LV"/>
              </w:rPr>
              <w:t>4</w:t>
            </w:r>
            <w:r w:rsidRPr="00A42B70">
              <w:rPr>
                <w:color w:val="000000"/>
                <w:lang w:val="lv-LV"/>
              </w:rPr>
              <w:t> punkta izriet, ka iesniegumu iesniedz 10 dienu laikā pēc pasūtīšanas veikšanas. Līdz ar to no projekta izriet, ka pēc numura zīmju saņemšanas vēl ir vairākas dienas laika iesniegt transportlīdzekļa reģistrācijas iesniegumu, taču pastāv risks, ka transportlīdzekļa reģistrācija var arī netikt veikta vai arī līdz transportlīdzekļa reģistrācijai saņemtās numura zīmes tiek izmantotas. Ja projekta 2. punktā ietvertajā noteikumu 10.</w:t>
            </w:r>
            <w:r w:rsidRPr="00A42B70">
              <w:rPr>
                <w:color w:val="000000"/>
                <w:vertAlign w:val="superscript"/>
                <w:lang w:val="lv-LV"/>
              </w:rPr>
              <w:t>5</w:t>
            </w:r>
            <w:r w:rsidRPr="00A42B70">
              <w:rPr>
                <w:color w:val="000000"/>
                <w:lang w:val="lv-LV"/>
              </w:rPr>
              <w:t xml:space="preserve"> punktā ir paredzēts noteikt, cik ilgā laikā Ceļu satiksmes drošības direkcija sagatavo </w:t>
            </w:r>
            <w:r w:rsidRPr="00A42B70">
              <w:rPr>
                <w:color w:val="000000"/>
                <w:lang w:val="lv-LV"/>
              </w:rPr>
              <w:lastRenderedPageBreak/>
              <w:t>pasūtītās numura zīmes, lūdzam precizēt minēto punktu.</w:t>
            </w:r>
          </w:p>
          <w:p w:rsidRPr="00A42B70" w:rsidR="00A75346" w:rsidP="00990E65" w:rsidRDefault="00A75346" w14:paraId="56252B0D" w14:textId="77777777">
            <w:pPr>
              <w:jc w:val="both"/>
              <w:rPr>
                <w:b/>
                <w:lang w:val="lv-LV"/>
              </w:rPr>
            </w:pPr>
          </w:p>
        </w:tc>
        <w:tc>
          <w:tcPr>
            <w:tcW w:w="2598" w:type="dxa"/>
          </w:tcPr>
          <w:p w:rsidRPr="002167A0" w:rsidR="00A75346" w:rsidP="0031078D" w:rsidRDefault="00A75346" w14:paraId="6AF17659" w14:textId="77777777">
            <w:pPr>
              <w:jc w:val="center"/>
              <w:rPr>
                <w:b/>
                <w:lang w:val="lv-LV"/>
              </w:rPr>
            </w:pPr>
            <w:r w:rsidRPr="002167A0">
              <w:rPr>
                <w:b/>
                <w:lang w:val="lv-LV"/>
              </w:rPr>
              <w:lastRenderedPageBreak/>
              <w:t>Iebildums ņemts vērā.</w:t>
            </w:r>
          </w:p>
          <w:p w:rsidRPr="002167A0" w:rsidR="004170C0" w:rsidP="009345EF" w:rsidRDefault="004170C0" w14:paraId="4C56325C" w14:textId="77777777">
            <w:pPr>
              <w:jc w:val="both"/>
              <w:rPr>
                <w:b/>
                <w:lang w:val="lv-LV"/>
              </w:rPr>
            </w:pPr>
          </w:p>
        </w:tc>
        <w:tc>
          <w:tcPr>
            <w:tcW w:w="3065" w:type="dxa"/>
          </w:tcPr>
          <w:p w:rsidRPr="009345EF" w:rsidR="004170C0" w:rsidP="00D06821" w:rsidRDefault="00A75346" w14:paraId="21D6E158" w14:textId="738E8E8F">
            <w:pPr>
              <w:jc w:val="both"/>
              <w:rPr>
                <w:lang w:val="lv-LV"/>
              </w:rPr>
            </w:pPr>
            <w:r w:rsidRPr="00A42B70">
              <w:rPr>
                <w:color w:val="000000"/>
                <w:lang w:val="lv-LV"/>
              </w:rPr>
              <w:t>10.</w:t>
            </w:r>
            <w:r w:rsidRPr="00A42B70">
              <w:rPr>
                <w:color w:val="000000"/>
                <w:vertAlign w:val="superscript"/>
                <w:lang w:val="lv-LV"/>
              </w:rPr>
              <w:t>5</w:t>
            </w:r>
            <w:r w:rsidRPr="00A42B70">
              <w:rPr>
                <w:color w:val="000000"/>
                <w:lang w:val="lv-LV"/>
              </w:rPr>
              <w:t xml:space="preserve">  </w:t>
            </w:r>
            <w:r w:rsidRPr="0031078D" w:rsidR="0031078D">
              <w:rPr>
                <w:color w:val="000000"/>
                <w:lang w:val="lv-LV"/>
              </w:rPr>
              <w:t xml:space="preserve">CSDD nodrošina, ka izvēlētā un pasūtītā transportlīdzekļa valsts reģistrācijas numura zīmes var saņemt ne vēlāk kā trešajā darba dienā pēc pasūtīšanas, veicot transportlīdzekļa reģistrāciju, bet, veicot transportlīdzekļa reģistrāciju CSDD Rīgas klientu apkalpošanas centrā, ne vēlāk kā divas darba stundas pēc </w:t>
            </w:r>
            <w:r w:rsidRPr="0031078D" w:rsidR="0031078D">
              <w:rPr>
                <w:color w:val="000000"/>
                <w:lang w:val="lv-LV"/>
              </w:rPr>
              <w:lastRenderedPageBreak/>
              <w:t>pasūtīšanas un iesnieguma valsts reģistrācijas numura reģistrācijai transportlīdzeklim iesniegšanas.”</w:t>
            </w:r>
          </w:p>
        </w:tc>
      </w:tr>
      <w:tr w:rsidRPr="009345EF" w:rsidR="00A75346" w:rsidTr="00CC450E" w14:paraId="771B65CC" w14:textId="77777777">
        <w:trPr>
          <w:jc w:val="center"/>
        </w:trPr>
        <w:tc>
          <w:tcPr>
            <w:tcW w:w="977" w:type="dxa"/>
          </w:tcPr>
          <w:p w:rsidR="00A75346" w:rsidP="005A24C3" w:rsidRDefault="004A6494" w14:paraId="62BA082D" w14:textId="77777777">
            <w:pPr>
              <w:jc w:val="both"/>
              <w:rPr>
                <w:lang w:val="lv-LV"/>
              </w:rPr>
            </w:pPr>
            <w:r>
              <w:rPr>
                <w:lang w:val="lv-LV"/>
              </w:rPr>
              <w:lastRenderedPageBreak/>
              <w:t>9.</w:t>
            </w:r>
          </w:p>
        </w:tc>
        <w:tc>
          <w:tcPr>
            <w:tcW w:w="2846" w:type="dxa"/>
          </w:tcPr>
          <w:p w:rsidRPr="009345EF" w:rsidR="00A75346" w:rsidP="005A24C3" w:rsidRDefault="00AC019C" w14:paraId="15D88C41" w14:textId="14F6CFBA">
            <w:pPr>
              <w:jc w:val="both"/>
              <w:rPr>
                <w:lang w:val="lv-LV"/>
              </w:rPr>
            </w:pPr>
            <w:r>
              <w:rPr>
                <w:lang w:val="lv-LV"/>
              </w:rPr>
              <w:t>N</w:t>
            </w:r>
            <w:r w:rsidR="009E7FF5">
              <w:rPr>
                <w:lang w:val="lv-LV"/>
              </w:rPr>
              <w:t>oteikumu projekta anotācij</w:t>
            </w:r>
            <w:r>
              <w:rPr>
                <w:lang w:val="lv-LV"/>
              </w:rPr>
              <w:t>a</w:t>
            </w:r>
            <w:r w:rsidR="009E7FF5">
              <w:rPr>
                <w:lang w:val="lv-LV"/>
              </w:rPr>
              <w:t>.</w:t>
            </w:r>
          </w:p>
        </w:tc>
        <w:tc>
          <w:tcPr>
            <w:tcW w:w="3770" w:type="dxa"/>
          </w:tcPr>
          <w:p w:rsidRPr="00AC019C" w:rsidR="00AC019C" w:rsidP="00AC019C" w:rsidRDefault="00A75346" w14:paraId="7C405DDB" w14:textId="77777777">
            <w:pPr>
              <w:jc w:val="center"/>
              <w:rPr>
                <w:b/>
                <w:lang w:val="lv-LV"/>
              </w:rPr>
            </w:pPr>
            <w:r w:rsidRPr="00AC019C">
              <w:rPr>
                <w:b/>
                <w:lang w:val="lv-LV"/>
              </w:rPr>
              <w:t>Tieslietu ministrija</w:t>
            </w:r>
          </w:p>
          <w:p w:rsidRPr="00AC019C" w:rsidR="00A75346" w:rsidP="00AC019C" w:rsidRDefault="00A75346" w14:paraId="2F894E4A" w14:textId="6832D7F4">
            <w:pPr>
              <w:jc w:val="both"/>
              <w:rPr>
                <w:bCs/>
                <w:lang w:val="lv-LV"/>
              </w:rPr>
            </w:pPr>
            <w:r w:rsidRPr="00AC019C">
              <w:rPr>
                <w:bCs/>
                <w:lang w:val="lv-LV"/>
              </w:rPr>
              <w:t xml:space="preserve"> </w:t>
            </w:r>
            <w:r w:rsidR="00AC019C">
              <w:rPr>
                <w:bCs/>
                <w:lang w:val="lv-LV"/>
              </w:rPr>
              <w:t>(</w:t>
            </w:r>
            <w:r w:rsidRPr="00AC019C">
              <w:rPr>
                <w:bCs/>
                <w:lang w:val="lv-LV"/>
              </w:rPr>
              <w:t xml:space="preserve">29.07.2020. </w:t>
            </w:r>
            <w:r w:rsidRPr="00AC019C" w:rsidR="00AC019C">
              <w:rPr>
                <w:bCs/>
                <w:lang w:val="lv-LV"/>
              </w:rPr>
              <w:t>elektroniskā pasta ziņojums</w:t>
            </w:r>
            <w:r w:rsidR="00AC019C">
              <w:rPr>
                <w:bCs/>
                <w:lang w:val="lv-LV"/>
              </w:rPr>
              <w:t>)</w:t>
            </w:r>
          </w:p>
          <w:p w:rsidR="00A75346" w:rsidP="00A75346" w:rsidRDefault="00A75346" w14:paraId="418D3AF5" w14:textId="77777777">
            <w:pPr>
              <w:jc w:val="both"/>
              <w:rPr>
                <w:b/>
                <w:lang w:val="lv-LV"/>
              </w:rPr>
            </w:pPr>
            <w:r w:rsidRPr="00A42B70">
              <w:rPr>
                <w:color w:val="000000"/>
                <w:lang w:val="lv-LV"/>
              </w:rPr>
              <w:t xml:space="preserve">2. Lūdzam precizēt projekta 8. punktā ietverto noteikumu 62.3. apakšpunktu vai papildināt projekta anotācijā ietverto skaidrojumu. Projekta 8. punktā ietvertais noteikumu 62.3. apakšpunkts noteiks, ka noteikumu 62.2. apakšpunktā noteiktās prasības nepiemēro, ja, veicot noteikumu 62.2. apakšpunktā minēto transportlīdzekļa reģistrācijas darbību, tiek reģistrēts transportlīdzekļa turētājs, kurš norādīts institūcijas transportlīdzekļu reģistrā izdarītajā atzīmē. Projekta anotācijā skaidrots, ka, lai mazinātu administratīvo slogu taksometru turētājiem, kuriem ir spēkā esoša normatīvajos aktos paredzētā licence, projekta 8. punktā ir paredzēts, ka taksometra numura zīmes nav jāmaina, ja taksometrs arī turpmāk tiek reģistrēts institūcijas izdarītajā atzīmē norādītajam turētājam. Noteikumu 62.2. apakšpunkta pirmais teikums paredz, ka pirms transportlīdzekļa, kuram reģistrētas taksometru numura zīmes, noņemšanas no uzskaites tā atsavināšanai Latvijā vai izvešanai </w:t>
            </w:r>
            <w:r w:rsidRPr="00A42B70">
              <w:rPr>
                <w:color w:val="000000"/>
                <w:lang w:val="lv-LV"/>
              </w:rPr>
              <w:lastRenderedPageBreak/>
              <w:t>no Latvijas, pirms reģistrētā turētāja dzēšanas vai turētāja maiņas reģistrācijas veic valsts reģistrācijas numuru maiņu pret vispārējas izmantošanas valsts reģistrācijas numuriem šajos noteikumos noteiktajā kārtībā. Proti, noteikumu 62.2. apakšpunkts paredz numura zīmes maiņu, ja transportlīdzeklis, kas tiek izmantots kā taksometrs, vairs netiks izmantots kā taksometrs, kā arī gadījumā, ja tiek mainīts transportlīdzekļa turētājs. Taču no projekta anotācijā skaidrotā secināms, ka transportlīdzekli turpinās izmantot kā taksometru, taču tam mainīsies īpašnieks, nevis turētājs. Ņemot vērā minēto, projekta 8. punktā ietvertajā noteikumu 62.3. apakšpunktā noteiktais neatbilst anotācijā skaidrotajam, kā arī nav skaidrs, vai tas vispār reāli dzīvē būs piemērojams. </w:t>
            </w:r>
          </w:p>
          <w:p w:rsidRPr="000E3100" w:rsidR="00A75346" w:rsidP="00990E65" w:rsidRDefault="00A75346" w14:paraId="621BAD2E" w14:textId="77777777">
            <w:pPr>
              <w:jc w:val="both"/>
              <w:rPr>
                <w:b/>
                <w:lang w:val="lv-LV"/>
              </w:rPr>
            </w:pPr>
          </w:p>
        </w:tc>
        <w:tc>
          <w:tcPr>
            <w:tcW w:w="2598" w:type="dxa"/>
          </w:tcPr>
          <w:p w:rsidRPr="002167A0" w:rsidR="00A75346" w:rsidP="009345EF" w:rsidRDefault="00A75346" w14:paraId="5ACFB84B" w14:textId="77777777">
            <w:pPr>
              <w:jc w:val="both"/>
              <w:rPr>
                <w:b/>
                <w:lang w:val="lv-LV"/>
              </w:rPr>
            </w:pPr>
            <w:r w:rsidRPr="002167A0">
              <w:rPr>
                <w:b/>
                <w:lang w:val="lv-LV"/>
              </w:rPr>
              <w:lastRenderedPageBreak/>
              <w:t>Iebildums ņemts vērā.</w:t>
            </w:r>
          </w:p>
        </w:tc>
        <w:tc>
          <w:tcPr>
            <w:tcW w:w="3065" w:type="dxa"/>
          </w:tcPr>
          <w:p w:rsidRPr="009345EF" w:rsidR="00A75346" w:rsidP="00D06821" w:rsidRDefault="00A75346" w14:paraId="6DDDF560" w14:textId="6B0871B9">
            <w:pPr>
              <w:jc w:val="both"/>
              <w:rPr>
                <w:lang w:val="lv-LV"/>
              </w:rPr>
            </w:pPr>
            <w:proofErr w:type="spellStart"/>
            <w:r w:rsidRPr="00F65F4A">
              <w:rPr>
                <w:shd w:val="clear" w:color="auto" w:fill="FDFCFD"/>
              </w:rPr>
              <w:t>Skat</w:t>
            </w:r>
            <w:r w:rsidR="0075610A">
              <w:rPr>
                <w:shd w:val="clear" w:color="auto" w:fill="FDFCFD"/>
              </w:rPr>
              <w:t>īt</w:t>
            </w:r>
            <w:proofErr w:type="spellEnd"/>
            <w:r w:rsidRPr="00F65F4A">
              <w:rPr>
                <w:shd w:val="clear" w:color="auto" w:fill="FDFCFD"/>
              </w:rPr>
              <w:t xml:space="preserve"> </w:t>
            </w:r>
            <w:proofErr w:type="spellStart"/>
            <w:r w:rsidRPr="00F65F4A">
              <w:rPr>
                <w:shd w:val="clear" w:color="auto" w:fill="FDFCFD"/>
              </w:rPr>
              <w:t>precizēto</w:t>
            </w:r>
            <w:proofErr w:type="spellEnd"/>
            <w:r w:rsidRPr="00F65F4A">
              <w:rPr>
                <w:shd w:val="clear" w:color="auto" w:fill="FDFCFD"/>
              </w:rPr>
              <w:t xml:space="preserve"> </w:t>
            </w:r>
            <w:proofErr w:type="spellStart"/>
            <w:r w:rsidRPr="00F65F4A">
              <w:rPr>
                <w:shd w:val="clear" w:color="auto" w:fill="FDFCFD"/>
              </w:rPr>
              <w:t>noteikumu</w:t>
            </w:r>
            <w:proofErr w:type="spellEnd"/>
            <w:r w:rsidRPr="00F65F4A">
              <w:rPr>
                <w:shd w:val="clear" w:color="auto" w:fill="FDFCFD"/>
              </w:rPr>
              <w:t xml:space="preserve"> </w:t>
            </w:r>
            <w:proofErr w:type="spellStart"/>
            <w:r w:rsidRPr="00F65F4A">
              <w:rPr>
                <w:shd w:val="clear" w:color="auto" w:fill="FDFCFD"/>
              </w:rPr>
              <w:t>projekta</w:t>
            </w:r>
            <w:proofErr w:type="spellEnd"/>
            <w:r w:rsidRPr="00F65F4A">
              <w:rPr>
                <w:shd w:val="clear" w:color="auto" w:fill="FDFCFD"/>
              </w:rPr>
              <w:t xml:space="preserve"> </w:t>
            </w:r>
            <w:proofErr w:type="spellStart"/>
            <w:r w:rsidRPr="00F65F4A">
              <w:rPr>
                <w:shd w:val="clear" w:color="auto" w:fill="FDFCFD"/>
              </w:rPr>
              <w:t>anotāciju</w:t>
            </w:r>
            <w:proofErr w:type="spellEnd"/>
            <w:r w:rsidRPr="00F65F4A">
              <w:rPr>
                <w:shd w:val="clear" w:color="auto" w:fill="FDFCFD"/>
              </w:rPr>
              <w:t>.</w:t>
            </w:r>
          </w:p>
        </w:tc>
      </w:tr>
      <w:tr w:rsidRPr="009345EF" w:rsidR="00AD2F87" w:rsidTr="00CC450E" w14:paraId="54AAB2DC" w14:textId="77777777">
        <w:trPr>
          <w:jc w:val="center"/>
        </w:trPr>
        <w:tc>
          <w:tcPr>
            <w:tcW w:w="977" w:type="dxa"/>
          </w:tcPr>
          <w:p w:rsidR="00AD2F87" w:rsidP="005A24C3" w:rsidRDefault="004A6494" w14:paraId="711D421C" w14:textId="77777777">
            <w:pPr>
              <w:jc w:val="both"/>
              <w:rPr>
                <w:lang w:val="lv-LV"/>
              </w:rPr>
            </w:pPr>
            <w:r>
              <w:rPr>
                <w:lang w:val="lv-LV"/>
              </w:rPr>
              <w:t>10.</w:t>
            </w:r>
          </w:p>
        </w:tc>
        <w:tc>
          <w:tcPr>
            <w:tcW w:w="2846" w:type="dxa"/>
          </w:tcPr>
          <w:p w:rsidRPr="009345EF" w:rsidR="00AD2F87" w:rsidP="005A24C3" w:rsidRDefault="00AC019C" w14:paraId="0A7E27E2" w14:textId="06006897">
            <w:pPr>
              <w:jc w:val="both"/>
              <w:rPr>
                <w:lang w:val="lv-LV"/>
              </w:rPr>
            </w:pPr>
            <w:proofErr w:type="spellStart"/>
            <w:r>
              <w:rPr>
                <w:lang w:val="lv-LV"/>
              </w:rPr>
              <w:t>N</w:t>
            </w:r>
            <w:r w:rsidR="009E7FF5">
              <w:rPr>
                <w:lang w:val="lv-LV"/>
              </w:rPr>
              <w:t>otekumu</w:t>
            </w:r>
            <w:proofErr w:type="spellEnd"/>
            <w:r w:rsidR="009E7FF5">
              <w:rPr>
                <w:lang w:val="lv-LV"/>
              </w:rPr>
              <w:t xml:space="preserve"> projekta anotācij</w:t>
            </w:r>
            <w:r>
              <w:rPr>
                <w:lang w:val="lv-LV"/>
              </w:rPr>
              <w:t>a</w:t>
            </w:r>
            <w:r w:rsidR="009E7FF5">
              <w:rPr>
                <w:lang w:val="lv-LV"/>
              </w:rPr>
              <w:t>.</w:t>
            </w:r>
          </w:p>
        </w:tc>
        <w:tc>
          <w:tcPr>
            <w:tcW w:w="3770" w:type="dxa"/>
          </w:tcPr>
          <w:p w:rsidR="00AC019C" w:rsidP="00AC019C" w:rsidRDefault="004A6494" w14:paraId="159A6CE7" w14:textId="77777777">
            <w:pPr>
              <w:jc w:val="center"/>
              <w:rPr>
                <w:b/>
                <w:lang w:val="lv-LV"/>
              </w:rPr>
            </w:pPr>
            <w:r w:rsidRPr="000E3100">
              <w:rPr>
                <w:b/>
                <w:lang w:val="lv-LV"/>
              </w:rPr>
              <w:t>Tieslietu ministrija</w:t>
            </w:r>
          </w:p>
          <w:p w:rsidRPr="00AC019C" w:rsidR="004A6494" w:rsidP="00A75346" w:rsidRDefault="00AC019C" w14:paraId="24CCB862" w14:textId="2BBA564B">
            <w:pPr>
              <w:jc w:val="both"/>
              <w:rPr>
                <w:bCs/>
                <w:color w:val="000000"/>
                <w:lang w:val="lv-LV"/>
              </w:rPr>
            </w:pPr>
            <w:r w:rsidRPr="00AC019C">
              <w:rPr>
                <w:bCs/>
                <w:lang w:val="lv-LV"/>
              </w:rPr>
              <w:t>(</w:t>
            </w:r>
            <w:r w:rsidRPr="00AC019C" w:rsidR="004A6494">
              <w:rPr>
                <w:bCs/>
                <w:lang w:val="lv-LV"/>
              </w:rPr>
              <w:t xml:space="preserve">29.07.2020. </w:t>
            </w:r>
            <w:r w:rsidRPr="00AC019C">
              <w:rPr>
                <w:bCs/>
                <w:lang w:val="lv-LV"/>
              </w:rPr>
              <w:t>elektroniskā pasta ziņojums</w:t>
            </w:r>
            <w:r w:rsidRPr="00AC019C">
              <w:rPr>
                <w:bCs/>
                <w:lang w:val="lv-LV"/>
              </w:rPr>
              <w:t>)</w:t>
            </w:r>
          </w:p>
          <w:p w:rsidRPr="000E3100" w:rsidR="00AD2F87" w:rsidP="00A75346" w:rsidRDefault="00AD2F87" w14:paraId="5CCA52AE" w14:textId="77777777">
            <w:pPr>
              <w:jc w:val="both"/>
              <w:rPr>
                <w:b/>
                <w:lang w:val="lv-LV"/>
              </w:rPr>
            </w:pPr>
            <w:r w:rsidRPr="00A42B70">
              <w:rPr>
                <w:color w:val="000000"/>
                <w:lang w:val="lv-LV"/>
              </w:rPr>
              <w:t xml:space="preserve">3. Projekta anotācijā norādīts, ka ņemot vērā Ārlietu ministrijas sniegto informāciju par to, ka liela daļa diplomātu personīgās automašīnas nenoņem no uzskaites normatīvajos aktos noteiktajā kārtībā, nododot diplomātiskos numurus Ceļu satiksmes drošības direkcijā un izbraucot no valsts ar </w:t>
            </w:r>
            <w:r w:rsidRPr="00A42B70">
              <w:rPr>
                <w:color w:val="000000"/>
                <w:lang w:val="lv-LV"/>
              </w:rPr>
              <w:lastRenderedPageBreak/>
              <w:t xml:space="preserve">tranzīta numuriem, norādot, ka tranzīta numuru derīguma termiņa laikā (šobrīd 30 dienas) nav iespējams nokārtot visas nepieciešamās formalitātes, projekts paredz pagarināt tranzīta numura kartes derīguma termiņu līdz 60 dienām, bet tranzīta numura zīmju derīguma termiņu Latvijā līdz 10 dienām. </w:t>
            </w:r>
            <w:proofErr w:type="spellStart"/>
            <w:r>
              <w:rPr>
                <w:color w:val="000000"/>
              </w:rPr>
              <w:t>Ņemot</w:t>
            </w:r>
            <w:proofErr w:type="spellEnd"/>
            <w:r>
              <w:rPr>
                <w:color w:val="000000"/>
              </w:rPr>
              <w:t xml:space="preserve"> </w:t>
            </w:r>
            <w:proofErr w:type="spellStart"/>
            <w:r>
              <w:rPr>
                <w:color w:val="000000"/>
              </w:rPr>
              <w:t>vērā</w:t>
            </w:r>
            <w:proofErr w:type="spellEnd"/>
            <w:r>
              <w:rPr>
                <w:color w:val="000000"/>
              </w:rPr>
              <w:t xml:space="preserve"> to, ka </w:t>
            </w:r>
            <w:proofErr w:type="spellStart"/>
            <w:r>
              <w:rPr>
                <w:color w:val="000000"/>
              </w:rPr>
              <w:t>projektā</w:t>
            </w:r>
            <w:proofErr w:type="spellEnd"/>
            <w:r>
              <w:rPr>
                <w:color w:val="000000"/>
              </w:rPr>
              <w:t xml:space="preserve"> </w:t>
            </w:r>
            <w:proofErr w:type="spellStart"/>
            <w:r>
              <w:rPr>
                <w:color w:val="000000"/>
              </w:rPr>
              <w:t>šāds</w:t>
            </w:r>
            <w:proofErr w:type="spellEnd"/>
            <w:r>
              <w:rPr>
                <w:color w:val="000000"/>
              </w:rPr>
              <w:t xml:space="preserve"> </w:t>
            </w:r>
            <w:proofErr w:type="spellStart"/>
            <w:r>
              <w:rPr>
                <w:color w:val="000000"/>
              </w:rPr>
              <w:t>regulējums</w:t>
            </w:r>
            <w:proofErr w:type="spellEnd"/>
            <w:r>
              <w:rPr>
                <w:color w:val="000000"/>
              </w:rPr>
              <w:t xml:space="preserve"> </w:t>
            </w:r>
            <w:proofErr w:type="spellStart"/>
            <w:r>
              <w:rPr>
                <w:color w:val="000000"/>
              </w:rPr>
              <w:t>ietverts</w:t>
            </w:r>
            <w:proofErr w:type="spellEnd"/>
            <w:r>
              <w:rPr>
                <w:color w:val="000000"/>
              </w:rPr>
              <w:t xml:space="preserve"> nav, </w:t>
            </w:r>
            <w:proofErr w:type="spellStart"/>
            <w:r>
              <w:rPr>
                <w:color w:val="000000"/>
              </w:rPr>
              <w:t>lūdzam</w:t>
            </w:r>
            <w:proofErr w:type="spellEnd"/>
            <w:r>
              <w:rPr>
                <w:color w:val="000000"/>
              </w:rPr>
              <w:t xml:space="preserve"> </w:t>
            </w:r>
            <w:proofErr w:type="spellStart"/>
            <w:r>
              <w:rPr>
                <w:color w:val="000000"/>
              </w:rPr>
              <w:t>svītrot</w:t>
            </w:r>
            <w:proofErr w:type="spellEnd"/>
            <w:r>
              <w:rPr>
                <w:color w:val="000000"/>
              </w:rPr>
              <w:t xml:space="preserve"> </w:t>
            </w:r>
            <w:proofErr w:type="spellStart"/>
            <w:r>
              <w:rPr>
                <w:color w:val="000000"/>
              </w:rPr>
              <w:t>attiecīgo</w:t>
            </w:r>
            <w:proofErr w:type="spellEnd"/>
            <w:r>
              <w:rPr>
                <w:color w:val="000000"/>
              </w:rPr>
              <w:t xml:space="preserve"> </w:t>
            </w:r>
            <w:proofErr w:type="spellStart"/>
            <w:r>
              <w:rPr>
                <w:color w:val="000000"/>
              </w:rPr>
              <w:t>informāciju</w:t>
            </w:r>
            <w:proofErr w:type="spellEnd"/>
            <w:r>
              <w:rPr>
                <w:color w:val="000000"/>
              </w:rPr>
              <w:t xml:space="preserve"> no </w:t>
            </w:r>
            <w:proofErr w:type="spellStart"/>
            <w:r>
              <w:rPr>
                <w:color w:val="000000"/>
              </w:rPr>
              <w:t>projekta</w:t>
            </w:r>
            <w:proofErr w:type="spellEnd"/>
            <w:r>
              <w:rPr>
                <w:color w:val="000000"/>
              </w:rPr>
              <w:t xml:space="preserve"> </w:t>
            </w:r>
            <w:proofErr w:type="spellStart"/>
            <w:r>
              <w:rPr>
                <w:color w:val="000000"/>
              </w:rPr>
              <w:t>anotācijas</w:t>
            </w:r>
            <w:proofErr w:type="spellEnd"/>
            <w:r>
              <w:rPr>
                <w:color w:val="000000"/>
              </w:rPr>
              <w:t>. </w:t>
            </w:r>
          </w:p>
        </w:tc>
        <w:tc>
          <w:tcPr>
            <w:tcW w:w="2598" w:type="dxa"/>
          </w:tcPr>
          <w:p w:rsidRPr="002167A0" w:rsidR="00AD2F87" w:rsidP="00941857" w:rsidRDefault="004A6494" w14:paraId="58D2B733" w14:textId="77777777">
            <w:pPr>
              <w:jc w:val="center"/>
              <w:rPr>
                <w:b/>
                <w:lang w:val="lv-LV"/>
              </w:rPr>
            </w:pPr>
            <w:r w:rsidRPr="002167A0">
              <w:rPr>
                <w:b/>
                <w:lang w:val="lv-LV"/>
              </w:rPr>
              <w:lastRenderedPageBreak/>
              <w:t>Iebildums ņemts vērā.</w:t>
            </w:r>
          </w:p>
        </w:tc>
        <w:tc>
          <w:tcPr>
            <w:tcW w:w="3065" w:type="dxa"/>
          </w:tcPr>
          <w:p w:rsidRPr="00F65F4A" w:rsidR="00AD2F87" w:rsidP="00D06821" w:rsidRDefault="004A6494" w14:paraId="26CAFF23" w14:textId="4FE736E4">
            <w:pPr>
              <w:jc w:val="both"/>
              <w:rPr>
                <w:shd w:val="clear" w:color="auto" w:fill="FDFCFD"/>
              </w:rPr>
            </w:pPr>
            <w:proofErr w:type="spellStart"/>
            <w:r w:rsidRPr="00F65F4A">
              <w:rPr>
                <w:shd w:val="clear" w:color="auto" w:fill="FDFCFD"/>
              </w:rPr>
              <w:t>Skat</w:t>
            </w:r>
            <w:r w:rsidR="009E7FF5">
              <w:rPr>
                <w:shd w:val="clear" w:color="auto" w:fill="FDFCFD"/>
              </w:rPr>
              <w:t>īt</w:t>
            </w:r>
            <w:proofErr w:type="spellEnd"/>
            <w:r w:rsidRPr="00F65F4A">
              <w:rPr>
                <w:shd w:val="clear" w:color="auto" w:fill="FDFCFD"/>
              </w:rPr>
              <w:t xml:space="preserve"> </w:t>
            </w:r>
            <w:proofErr w:type="spellStart"/>
            <w:r w:rsidRPr="00F65F4A">
              <w:rPr>
                <w:shd w:val="clear" w:color="auto" w:fill="FDFCFD"/>
              </w:rPr>
              <w:t>precizēto</w:t>
            </w:r>
            <w:proofErr w:type="spellEnd"/>
            <w:r w:rsidRPr="00F65F4A">
              <w:rPr>
                <w:shd w:val="clear" w:color="auto" w:fill="FDFCFD"/>
              </w:rPr>
              <w:t xml:space="preserve"> </w:t>
            </w:r>
            <w:proofErr w:type="spellStart"/>
            <w:r w:rsidRPr="00F65F4A">
              <w:rPr>
                <w:shd w:val="clear" w:color="auto" w:fill="FDFCFD"/>
              </w:rPr>
              <w:t>noteikumu</w:t>
            </w:r>
            <w:proofErr w:type="spellEnd"/>
            <w:r w:rsidRPr="00F65F4A">
              <w:rPr>
                <w:shd w:val="clear" w:color="auto" w:fill="FDFCFD"/>
              </w:rPr>
              <w:t xml:space="preserve"> </w:t>
            </w:r>
            <w:proofErr w:type="spellStart"/>
            <w:r w:rsidRPr="00F65F4A">
              <w:rPr>
                <w:shd w:val="clear" w:color="auto" w:fill="FDFCFD"/>
              </w:rPr>
              <w:t>projekta</w:t>
            </w:r>
            <w:proofErr w:type="spellEnd"/>
            <w:r w:rsidRPr="00F65F4A">
              <w:rPr>
                <w:shd w:val="clear" w:color="auto" w:fill="FDFCFD"/>
              </w:rPr>
              <w:t xml:space="preserve"> </w:t>
            </w:r>
            <w:proofErr w:type="spellStart"/>
            <w:r w:rsidRPr="00F65F4A">
              <w:rPr>
                <w:shd w:val="clear" w:color="auto" w:fill="FDFCFD"/>
              </w:rPr>
              <w:t>anotāciju</w:t>
            </w:r>
            <w:proofErr w:type="spellEnd"/>
            <w:r w:rsidRPr="00F65F4A">
              <w:rPr>
                <w:shd w:val="clear" w:color="auto" w:fill="FDFCFD"/>
              </w:rPr>
              <w:t>.</w:t>
            </w:r>
          </w:p>
        </w:tc>
      </w:tr>
      <w:tr w:rsidRPr="009345EF" w:rsidR="00AD2F87" w:rsidTr="00CC450E" w14:paraId="0377F217" w14:textId="77777777">
        <w:trPr>
          <w:jc w:val="center"/>
        </w:trPr>
        <w:tc>
          <w:tcPr>
            <w:tcW w:w="977" w:type="dxa"/>
          </w:tcPr>
          <w:p w:rsidR="00AD2F87" w:rsidP="005A24C3" w:rsidRDefault="004A6494" w14:paraId="339C9743" w14:textId="77777777">
            <w:pPr>
              <w:jc w:val="both"/>
              <w:rPr>
                <w:lang w:val="lv-LV"/>
              </w:rPr>
            </w:pPr>
            <w:r>
              <w:rPr>
                <w:lang w:val="lv-LV"/>
              </w:rPr>
              <w:t>11.</w:t>
            </w:r>
          </w:p>
        </w:tc>
        <w:tc>
          <w:tcPr>
            <w:tcW w:w="2846" w:type="dxa"/>
          </w:tcPr>
          <w:p w:rsidRPr="009345EF" w:rsidR="00AD2F87" w:rsidP="005A24C3" w:rsidRDefault="00AC019C" w14:paraId="1963AA0D" w14:textId="5CCFF393">
            <w:pPr>
              <w:jc w:val="both"/>
              <w:rPr>
                <w:lang w:val="lv-LV"/>
              </w:rPr>
            </w:pPr>
            <w:r>
              <w:rPr>
                <w:lang w:val="lv-LV"/>
              </w:rPr>
              <w:t>N</w:t>
            </w:r>
            <w:r w:rsidR="009E7FF5">
              <w:rPr>
                <w:lang w:val="lv-LV"/>
              </w:rPr>
              <w:t>oteikumu projekta anotācij</w:t>
            </w:r>
            <w:r>
              <w:rPr>
                <w:lang w:val="lv-LV"/>
              </w:rPr>
              <w:t>a</w:t>
            </w:r>
            <w:r w:rsidR="009E7FF5">
              <w:rPr>
                <w:lang w:val="lv-LV"/>
              </w:rPr>
              <w:t>.</w:t>
            </w:r>
          </w:p>
        </w:tc>
        <w:tc>
          <w:tcPr>
            <w:tcW w:w="3770" w:type="dxa"/>
          </w:tcPr>
          <w:p w:rsidRPr="00AC019C" w:rsidR="00AC019C" w:rsidP="00AC019C" w:rsidRDefault="00AD2F87" w14:paraId="1E82FA9D" w14:textId="77777777">
            <w:pPr>
              <w:jc w:val="center"/>
              <w:rPr>
                <w:b/>
                <w:lang w:val="lv-LV"/>
              </w:rPr>
            </w:pPr>
            <w:r w:rsidRPr="00AC019C">
              <w:rPr>
                <w:b/>
                <w:lang w:val="lv-LV"/>
              </w:rPr>
              <w:t>Vides aizsardzības un reģionālās attīstības ministrija</w:t>
            </w:r>
          </w:p>
          <w:p w:rsidRPr="00EB67DC" w:rsidR="00AD2F87" w:rsidP="00A75346" w:rsidRDefault="00AD2F87" w14:paraId="1F7F7DDB" w14:textId="07F430BF">
            <w:pPr>
              <w:jc w:val="both"/>
              <w:rPr>
                <w:bCs/>
                <w:lang w:val="lv-LV"/>
              </w:rPr>
            </w:pPr>
            <w:r w:rsidRPr="00EB67DC">
              <w:rPr>
                <w:bCs/>
                <w:lang w:val="lv-LV"/>
              </w:rPr>
              <w:t xml:space="preserve"> </w:t>
            </w:r>
            <w:r w:rsidR="00AC019C">
              <w:rPr>
                <w:bCs/>
                <w:lang w:val="lv-LV"/>
              </w:rPr>
              <w:t>(</w:t>
            </w:r>
            <w:r w:rsidRPr="00EB67DC">
              <w:rPr>
                <w:bCs/>
                <w:lang w:val="lv-LV"/>
              </w:rPr>
              <w:t>30.07.2020. atzinums 1-22/6874</w:t>
            </w:r>
            <w:r w:rsidR="00AC019C">
              <w:rPr>
                <w:bCs/>
                <w:lang w:val="lv-LV"/>
              </w:rPr>
              <w:t>)</w:t>
            </w:r>
          </w:p>
          <w:p w:rsidRPr="00EB67DC" w:rsidR="00AD2F87" w:rsidP="00AD2F87" w:rsidRDefault="00AD2F87" w14:paraId="790BF8D2" w14:textId="77777777">
            <w:pPr>
              <w:pStyle w:val="ListParagraph"/>
              <w:ind w:left="0" w:firstLine="426"/>
              <w:rPr>
                <w:bCs/>
              </w:rPr>
            </w:pPr>
            <w:r w:rsidRPr="00EB67DC">
              <w:rPr>
                <w:bCs/>
              </w:rPr>
              <w:t>Ar VARAM 30.06.2020. atzinumu Nr.1-22/5836 tika lūgts noteikumu projekta anotācijas I sadaļas 2. punktu papildināt ar pilnveidoto pakalpojumu nosaukumiem un to sniegšanas kanāliem.</w:t>
            </w:r>
          </w:p>
          <w:p w:rsidRPr="00EB67DC" w:rsidR="00AD2F87" w:rsidP="00A75346" w:rsidRDefault="00AD2F87" w14:paraId="7C41A758" w14:textId="3DFEB4ED">
            <w:pPr>
              <w:jc w:val="both"/>
              <w:rPr>
                <w:bCs/>
                <w:lang w:val="lv-LV"/>
              </w:rPr>
            </w:pPr>
            <w:r w:rsidRPr="00A42B70">
              <w:rPr>
                <w:bCs/>
                <w:lang w:val="lv-LV"/>
              </w:rPr>
              <w:t xml:space="preserve">VARAM, iepazīstoties ar precizēto noteikumu projektu, tā anotāciju un izziņu, norāda, ka anotācijas I sadaļas 2. punktā nav norādīti pilnveidoto pakalpojumu nosaukumi. Pakalpojuma nosaukums ir jānorāda identisks tam, kāds tas ietverts pakalpojumu turētāja apstiprinātajā pakalpojumu sarakstā (piemēram, “Transportlīdzekļa reģistrācija”), kā arī pakalpojuma turētāja pienākums, veicot pakalpojumu aprakstīšanu, ir izmantot un norādīt identiskus </w:t>
            </w:r>
            <w:r w:rsidRPr="00A42B70">
              <w:rPr>
                <w:bCs/>
                <w:lang w:val="lv-LV"/>
              </w:rPr>
              <w:lastRenderedPageBreak/>
              <w:t>pakalpojumu nosaukumus arī institūcijas tīmekļvietnē un valsts pārvaldes pakalpojumu portālā Latvija.lv. Sākotnējās ietekmes novērtējuma ziņojuma uzdevums ir informēt lēmuma pieņēmējus un ieinteresētās puses par sekām un ietekmi, ko radīs izstrādājamais tiesību akta projekts. Lai gan anotācijā ir aprakstītas plānotās izmaiņas un pilnveides aspekti, tomēr saskaņā ar Ministru kabineta 2009. gada 15. decembra instrukcijas Nr. 19 “Tiesību akta projekta sākotnējās ietekmes izvērtēšanas kārtība” (turpmāk – MK instrukcija Nr.19) 14.4. apakšpunktā noteikto, lūdzam anotācijas I sadaļas 2. punktā norādīt pilnveidoto pakalpojumu nosaukumus, tādējādi sasaistot anotācijā norādīto informāciju par pakalpojumu pilnveidi ar konkrētajiem institūcijas sniegtajiem pakalpojumiem.</w:t>
            </w:r>
          </w:p>
        </w:tc>
        <w:tc>
          <w:tcPr>
            <w:tcW w:w="2598" w:type="dxa"/>
          </w:tcPr>
          <w:p w:rsidRPr="002167A0" w:rsidR="00AD2F87" w:rsidP="009345EF" w:rsidRDefault="00AD2F87" w14:paraId="7DBDC6B6" w14:textId="77777777">
            <w:pPr>
              <w:jc w:val="both"/>
              <w:rPr>
                <w:b/>
                <w:lang w:val="lv-LV"/>
              </w:rPr>
            </w:pPr>
            <w:r w:rsidRPr="002167A0">
              <w:rPr>
                <w:b/>
                <w:lang w:val="lv-LV"/>
              </w:rPr>
              <w:lastRenderedPageBreak/>
              <w:t>Iebildums ņemts vērā.</w:t>
            </w:r>
          </w:p>
        </w:tc>
        <w:tc>
          <w:tcPr>
            <w:tcW w:w="3065" w:type="dxa"/>
          </w:tcPr>
          <w:p w:rsidRPr="00F65F4A" w:rsidR="00AD2F87" w:rsidP="00D06821" w:rsidRDefault="00AD2F87" w14:paraId="747D3C1C" w14:textId="5F6796A7">
            <w:pPr>
              <w:jc w:val="both"/>
              <w:rPr>
                <w:shd w:val="clear" w:color="auto" w:fill="FDFCFD"/>
              </w:rPr>
            </w:pPr>
            <w:proofErr w:type="spellStart"/>
            <w:r w:rsidRPr="00F65F4A">
              <w:rPr>
                <w:shd w:val="clear" w:color="auto" w:fill="FDFCFD"/>
              </w:rPr>
              <w:t>Skat</w:t>
            </w:r>
            <w:r w:rsidR="0075610A">
              <w:rPr>
                <w:shd w:val="clear" w:color="auto" w:fill="FDFCFD"/>
              </w:rPr>
              <w:t>īt</w:t>
            </w:r>
            <w:proofErr w:type="spellEnd"/>
            <w:r w:rsidRPr="00F65F4A">
              <w:rPr>
                <w:shd w:val="clear" w:color="auto" w:fill="FDFCFD"/>
              </w:rPr>
              <w:t xml:space="preserve"> </w:t>
            </w:r>
            <w:proofErr w:type="spellStart"/>
            <w:r w:rsidRPr="00F65F4A">
              <w:rPr>
                <w:shd w:val="clear" w:color="auto" w:fill="FDFCFD"/>
              </w:rPr>
              <w:t>precizēto</w:t>
            </w:r>
            <w:proofErr w:type="spellEnd"/>
            <w:r w:rsidRPr="00F65F4A">
              <w:rPr>
                <w:shd w:val="clear" w:color="auto" w:fill="FDFCFD"/>
              </w:rPr>
              <w:t xml:space="preserve"> </w:t>
            </w:r>
            <w:proofErr w:type="spellStart"/>
            <w:r w:rsidRPr="00F65F4A">
              <w:rPr>
                <w:shd w:val="clear" w:color="auto" w:fill="FDFCFD"/>
              </w:rPr>
              <w:t>noteikumu</w:t>
            </w:r>
            <w:proofErr w:type="spellEnd"/>
            <w:r w:rsidRPr="00F65F4A">
              <w:rPr>
                <w:shd w:val="clear" w:color="auto" w:fill="FDFCFD"/>
              </w:rPr>
              <w:t xml:space="preserve"> </w:t>
            </w:r>
            <w:proofErr w:type="spellStart"/>
            <w:r w:rsidRPr="00F65F4A">
              <w:rPr>
                <w:shd w:val="clear" w:color="auto" w:fill="FDFCFD"/>
              </w:rPr>
              <w:t>projekta</w:t>
            </w:r>
            <w:proofErr w:type="spellEnd"/>
            <w:r w:rsidRPr="00F65F4A">
              <w:rPr>
                <w:shd w:val="clear" w:color="auto" w:fill="FDFCFD"/>
              </w:rPr>
              <w:t xml:space="preserve"> </w:t>
            </w:r>
            <w:proofErr w:type="spellStart"/>
            <w:r w:rsidRPr="00F65F4A">
              <w:rPr>
                <w:shd w:val="clear" w:color="auto" w:fill="FDFCFD"/>
              </w:rPr>
              <w:t>anotāciju</w:t>
            </w:r>
            <w:proofErr w:type="spellEnd"/>
            <w:r w:rsidRPr="00F65F4A">
              <w:rPr>
                <w:shd w:val="clear" w:color="auto" w:fill="FDFCFD"/>
              </w:rPr>
              <w:t>.</w:t>
            </w:r>
          </w:p>
        </w:tc>
      </w:tr>
      <w:tr w:rsidRPr="009345EF" w:rsidR="00AD2F87" w:rsidTr="00CC450E" w14:paraId="08559EC6" w14:textId="77777777">
        <w:trPr>
          <w:jc w:val="center"/>
        </w:trPr>
        <w:tc>
          <w:tcPr>
            <w:tcW w:w="977" w:type="dxa"/>
          </w:tcPr>
          <w:p w:rsidR="00AD2F87" w:rsidP="005A24C3" w:rsidRDefault="004A6494" w14:paraId="2B8F0FD5" w14:textId="77777777">
            <w:pPr>
              <w:jc w:val="both"/>
              <w:rPr>
                <w:lang w:val="lv-LV"/>
              </w:rPr>
            </w:pPr>
            <w:r>
              <w:rPr>
                <w:lang w:val="lv-LV"/>
              </w:rPr>
              <w:t>12.</w:t>
            </w:r>
          </w:p>
        </w:tc>
        <w:tc>
          <w:tcPr>
            <w:tcW w:w="2846" w:type="dxa"/>
          </w:tcPr>
          <w:p w:rsidRPr="009345EF" w:rsidR="00AD2F87" w:rsidP="005A24C3" w:rsidRDefault="00AC019C" w14:paraId="2A5F300D" w14:textId="5E95C8FC">
            <w:pPr>
              <w:jc w:val="both"/>
              <w:rPr>
                <w:lang w:val="lv-LV"/>
              </w:rPr>
            </w:pPr>
            <w:r>
              <w:rPr>
                <w:lang w:val="lv-LV"/>
              </w:rPr>
              <w:t>N</w:t>
            </w:r>
            <w:r w:rsidR="009E7FF5">
              <w:rPr>
                <w:lang w:val="lv-LV"/>
              </w:rPr>
              <w:t>oteikumu projekt</w:t>
            </w:r>
            <w:r>
              <w:rPr>
                <w:lang w:val="lv-LV"/>
              </w:rPr>
              <w:t>s.</w:t>
            </w:r>
          </w:p>
        </w:tc>
        <w:tc>
          <w:tcPr>
            <w:tcW w:w="3770" w:type="dxa"/>
          </w:tcPr>
          <w:p w:rsidR="00AC019C" w:rsidP="00AC019C" w:rsidRDefault="00AD2F87" w14:paraId="57237779" w14:textId="77777777">
            <w:pPr>
              <w:jc w:val="center"/>
              <w:rPr>
                <w:b/>
              </w:rPr>
            </w:pPr>
            <w:proofErr w:type="spellStart"/>
            <w:r w:rsidRPr="00807F19">
              <w:rPr>
                <w:b/>
              </w:rPr>
              <w:t>Latvijas</w:t>
            </w:r>
            <w:proofErr w:type="spellEnd"/>
            <w:r w:rsidRPr="00807F19">
              <w:rPr>
                <w:b/>
              </w:rPr>
              <w:t xml:space="preserve"> </w:t>
            </w:r>
            <w:proofErr w:type="spellStart"/>
            <w:r w:rsidRPr="00807F19">
              <w:rPr>
                <w:b/>
              </w:rPr>
              <w:t>Transportlīdzekļu</w:t>
            </w:r>
            <w:proofErr w:type="spellEnd"/>
            <w:r w:rsidRPr="00807F19">
              <w:rPr>
                <w:b/>
              </w:rPr>
              <w:t xml:space="preserve"> </w:t>
            </w:r>
            <w:proofErr w:type="spellStart"/>
            <w:r w:rsidRPr="00807F19">
              <w:rPr>
                <w:b/>
              </w:rPr>
              <w:t>apdrošinātāju</w:t>
            </w:r>
            <w:proofErr w:type="spellEnd"/>
            <w:r w:rsidRPr="00807F19">
              <w:rPr>
                <w:b/>
              </w:rPr>
              <w:t xml:space="preserve"> </w:t>
            </w:r>
            <w:proofErr w:type="spellStart"/>
            <w:r w:rsidRPr="00807F19">
              <w:rPr>
                <w:b/>
              </w:rPr>
              <w:t>biroj</w:t>
            </w:r>
            <w:r w:rsidR="00AC019C">
              <w:rPr>
                <w:b/>
              </w:rPr>
              <w:t>s</w:t>
            </w:r>
            <w:proofErr w:type="spellEnd"/>
          </w:p>
          <w:p w:rsidRPr="00252FA4" w:rsidR="00AC019C" w:rsidP="00AC019C" w:rsidRDefault="00AC019C" w14:paraId="001CBF0C" w14:textId="77777777">
            <w:pPr>
              <w:jc w:val="both"/>
              <w:rPr>
                <w:bCs/>
              </w:rPr>
            </w:pPr>
            <w:r w:rsidRPr="00252FA4">
              <w:rPr>
                <w:bCs/>
              </w:rPr>
              <w:t xml:space="preserve">(17.06.2020. </w:t>
            </w:r>
            <w:proofErr w:type="spellStart"/>
            <w:r w:rsidRPr="00252FA4">
              <w:rPr>
                <w:bCs/>
              </w:rPr>
              <w:t>atzinums</w:t>
            </w:r>
            <w:proofErr w:type="spellEnd"/>
            <w:r w:rsidRPr="00252FA4">
              <w:rPr>
                <w:bCs/>
              </w:rPr>
              <w:t xml:space="preserve"> Nr.07/02-16/52)</w:t>
            </w:r>
          </w:p>
          <w:p w:rsidRPr="00EB67DC" w:rsidR="00AD2F87" w:rsidP="00EB67DC" w:rsidRDefault="00EB67DC" w14:paraId="1C9EEE98" w14:textId="5A469FA2">
            <w:pPr>
              <w:jc w:val="both"/>
              <w:rPr>
                <w:bCs/>
              </w:rPr>
            </w:pPr>
            <w:r w:rsidRPr="00EB67DC">
              <w:rPr>
                <w:bCs/>
              </w:rPr>
              <w:t>1)</w:t>
            </w:r>
            <w:r w:rsidRPr="00EB67DC">
              <w:rPr>
                <w:bCs/>
              </w:rPr>
              <w:tab/>
            </w:r>
            <w:proofErr w:type="spellStart"/>
            <w:r w:rsidRPr="00EB67DC">
              <w:rPr>
                <w:bCs/>
              </w:rPr>
              <w:t>atkārtoti</w:t>
            </w:r>
            <w:proofErr w:type="spellEnd"/>
            <w:r w:rsidRPr="00EB67DC">
              <w:rPr>
                <w:bCs/>
              </w:rPr>
              <w:t xml:space="preserve"> </w:t>
            </w:r>
            <w:proofErr w:type="spellStart"/>
            <w:r w:rsidRPr="00EB67DC">
              <w:rPr>
                <w:bCs/>
              </w:rPr>
              <w:t>vērš</w:t>
            </w:r>
            <w:proofErr w:type="spellEnd"/>
            <w:r w:rsidRPr="00EB67DC">
              <w:rPr>
                <w:bCs/>
              </w:rPr>
              <w:t xml:space="preserve"> </w:t>
            </w:r>
            <w:proofErr w:type="spellStart"/>
            <w:r w:rsidRPr="00EB67DC">
              <w:rPr>
                <w:bCs/>
              </w:rPr>
              <w:t>uzmanību</w:t>
            </w:r>
            <w:proofErr w:type="spellEnd"/>
            <w:r w:rsidRPr="00EB67DC">
              <w:rPr>
                <w:bCs/>
              </w:rPr>
              <w:t xml:space="preserve"> </w:t>
            </w:r>
            <w:proofErr w:type="spellStart"/>
            <w:r w:rsidRPr="00EB67DC">
              <w:rPr>
                <w:bCs/>
              </w:rPr>
              <w:t>uz</w:t>
            </w:r>
            <w:proofErr w:type="spellEnd"/>
            <w:r w:rsidRPr="00EB67DC">
              <w:rPr>
                <w:bCs/>
              </w:rPr>
              <w:t xml:space="preserve"> </w:t>
            </w:r>
            <w:proofErr w:type="spellStart"/>
            <w:r w:rsidRPr="00EB67DC">
              <w:rPr>
                <w:bCs/>
              </w:rPr>
              <w:t>nepieciešamību</w:t>
            </w:r>
            <w:proofErr w:type="spellEnd"/>
            <w:r w:rsidRPr="00EB67DC">
              <w:rPr>
                <w:bCs/>
              </w:rPr>
              <w:t xml:space="preserve"> </w:t>
            </w:r>
            <w:proofErr w:type="spellStart"/>
            <w:r w:rsidRPr="00EB67DC">
              <w:rPr>
                <w:bCs/>
              </w:rPr>
              <w:t>precizēt</w:t>
            </w:r>
            <w:proofErr w:type="spellEnd"/>
            <w:r w:rsidRPr="00EB67DC">
              <w:rPr>
                <w:bCs/>
              </w:rPr>
              <w:t xml:space="preserve"> </w:t>
            </w:r>
            <w:proofErr w:type="spellStart"/>
            <w:r w:rsidRPr="00EB67DC">
              <w:rPr>
                <w:bCs/>
              </w:rPr>
              <w:t>noteikumu</w:t>
            </w:r>
            <w:proofErr w:type="spellEnd"/>
            <w:r w:rsidRPr="00EB67DC">
              <w:rPr>
                <w:bCs/>
              </w:rPr>
              <w:t xml:space="preserve"> 71.punktu, </w:t>
            </w:r>
            <w:proofErr w:type="spellStart"/>
            <w:r w:rsidRPr="00EB67DC">
              <w:rPr>
                <w:bCs/>
              </w:rPr>
              <w:t>kā</w:t>
            </w:r>
            <w:proofErr w:type="spellEnd"/>
            <w:r w:rsidRPr="00EB67DC">
              <w:rPr>
                <w:bCs/>
              </w:rPr>
              <w:t xml:space="preserve"> </w:t>
            </w:r>
            <w:proofErr w:type="spellStart"/>
            <w:r w:rsidRPr="00EB67DC">
              <w:rPr>
                <w:bCs/>
              </w:rPr>
              <w:t>minēts</w:t>
            </w:r>
            <w:proofErr w:type="spellEnd"/>
            <w:r w:rsidRPr="00EB67DC">
              <w:rPr>
                <w:bCs/>
              </w:rPr>
              <w:t xml:space="preserve"> LTAB 17.06.2020. </w:t>
            </w:r>
            <w:proofErr w:type="spellStart"/>
            <w:r w:rsidRPr="00EB67DC">
              <w:rPr>
                <w:bCs/>
              </w:rPr>
              <w:t>iebildumos</w:t>
            </w:r>
            <w:proofErr w:type="spellEnd"/>
            <w:r w:rsidRPr="00EB67DC">
              <w:rPr>
                <w:bCs/>
              </w:rPr>
              <w:t xml:space="preserve"> – </w:t>
            </w:r>
            <w:proofErr w:type="spellStart"/>
            <w:r w:rsidRPr="00EB67DC">
              <w:rPr>
                <w:bCs/>
              </w:rPr>
              <w:t>šo</w:t>
            </w:r>
            <w:proofErr w:type="spellEnd"/>
            <w:r w:rsidRPr="00EB67DC">
              <w:rPr>
                <w:bCs/>
              </w:rPr>
              <w:t xml:space="preserve"> </w:t>
            </w:r>
            <w:proofErr w:type="spellStart"/>
            <w:r w:rsidRPr="00EB67DC">
              <w:rPr>
                <w:bCs/>
              </w:rPr>
              <w:t>punktu</w:t>
            </w:r>
            <w:proofErr w:type="spellEnd"/>
            <w:r w:rsidRPr="00EB67DC">
              <w:rPr>
                <w:bCs/>
              </w:rPr>
              <w:t xml:space="preserve"> </w:t>
            </w:r>
            <w:proofErr w:type="spellStart"/>
            <w:r w:rsidRPr="00EB67DC">
              <w:rPr>
                <w:bCs/>
              </w:rPr>
              <w:t>precizējot</w:t>
            </w:r>
            <w:proofErr w:type="spellEnd"/>
            <w:r w:rsidRPr="00EB67DC">
              <w:rPr>
                <w:bCs/>
              </w:rPr>
              <w:t xml:space="preserve"> un </w:t>
            </w:r>
            <w:proofErr w:type="spellStart"/>
            <w:r w:rsidRPr="00EB67DC">
              <w:rPr>
                <w:bCs/>
              </w:rPr>
              <w:t>papildinot</w:t>
            </w:r>
            <w:proofErr w:type="spellEnd"/>
            <w:r w:rsidRPr="00EB67DC">
              <w:rPr>
                <w:bCs/>
              </w:rPr>
              <w:t xml:space="preserve"> </w:t>
            </w:r>
            <w:proofErr w:type="spellStart"/>
            <w:r w:rsidRPr="00EB67DC">
              <w:rPr>
                <w:bCs/>
              </w:rPr>
              <w:t>ar</w:t>
            </w:r>
            <w:proofErr w:type="spellEnd"/>
            <w:r w:rsidRPr="00EB67DC">
              <w:rPr>
                <w:bCs/>
              </w:rPr>
              <w:t xml:space="preserve"> </w:t>
            </w:r>
            <w:proofErr w:type="spellStart"/>
            <w:r w:rsidRPr="00EB67DC">
              <w:rPr>
                <w:bCs/>
              </w:rPr>
              <w:t>jauniem</w:t>
            </w:r>
            <w:proofErr w:type="spellEnd"/>
            <w:r w:rsidRPr="00EB67DC">
              <w:rPr>
                <w:bCs/>
              </w:rPr>
              <w:t xml:space="preserve"> </w:t>
            </w:r>
            <w:proofErr w:type="spellStart"/>
            <w:r w:rsidRPr="00EB67DC">
              <w:rPr>
                <w:bCs/>
              </w:rPr>
              <w:t>gadījumiem</w:t>
            </w:r>
            <w:proofErr w:type="spellEnd"/>
            <w:r w:rsidRPr="00EB67DC">
              <w:rPr>
                <w:bCs/>
              </w:rPr>
              <w:t xml:space="preserve">, </w:t>
            </w:r>
            <w:proofErr w:type="spellStart"/>
            <w:r w:rsidRPr="00EB67DC">
              <w:rPr>
                <w:bCs/>
              </w:rPr>
              <w:t>kad</w:t>
            </w:r>
            <w:proofErr w:type="spellEnd"/>
            <w:r w:rsidRPr="00EB67DC">
              <w:rPr>
                <w:bCs/>
              </w:rPr>
              <w:t xml:space="preserve"> </w:t>
            </w:r>
            <w:proofErr w:type="spellStart"/>
            <w:r w:rsidRPr="00EB67DC">
              <w:rPr>
                <w:bCs/>
              </w:rPr>
              <w:t>transportlīdzekli</w:t>
            </w:r>
            <w:proofErr w:type="spellEnd"/>
            <w:r w:rsidRPr="00EB67DC">
              <w:rPr>
                <w:bCs/>
              </w:rPr>
              <w:t xml:space="preserve"> </w:t>
            </w:r>
            <w:proofErr w:type="spellStart"/>
            <w:r w:rsidRPr="00EB67DC">
              <w:rPr>
                <w:bCs/>
              </w:rPr>
              <w:t>izslēdz</w:t>
            </w:r>
            <w:proofErr w:type="spellEnd"/>
            <w:r w:rsidRPr="00EB67DC">
              <w:rPr>
                <w:bCs/>
              </w:rPr>
              <w:t xml:space="preserve"> no </w:t>
            </w:r>
            <w:proofErr w:type="spellStart"/>
            <w:r w:rsidRPr="00EB67DC">
              <w:rPr>
                <w:bCs/>
              </w:rPr>
              <w:t>reģistra</w:t>
            </w:r>
            <w:proofErr w:type="spellEnd"/>
            <w:r w:rsidRPr="00EB67DC">
              <w:rPr>
                <w:bCs/>
              </w:rPr>
              <w:t xml:space="preserve">, un </w:t>
            </w:r>
            <w:proofErr w:type="spellStart"/>
            <w:r w:rsidRPr="00EB67DC">
              <w:rPr>
                <w:bCs/>
              </w:rPr>
              <w:t>šos</w:t>
            </w:r>
            <w:proofErr w:type="spellEnd"/>
            <w:r w:rsidRPr="00EB67DC">
              <w:rPr>
                <w:bCs/>
              </w:rPr>
              <w:t xml:space="preserve"> </w:t>
            </w:r>
            <w:proofErr w:type="spellStart"/>
            <w:r w:rsidRPr="00EB67DC">
              <w:rPr>
                <w:bCs/>
              </w:rPr>
              <w:t>grozījumus</w:t>
            </w:r>
            <w:proofErr w:type="spellEnd"/>
            <w:r w:rsidRPr="00EB67DC">
              <w:rPr>
                <w:bCs/>
              </w:rPr>
              <w:t xml:space="preserve"> </w:t>
            </w:r>
            <w:proofErr w:type="spellStart"/>
            <w:r w:rsidRPr="00EB67DC">
              <w:rPr>
                <w:bCs/>
              </w:rPr>
              <w:t>virzīt</w:t>
            </w:r>
            <w:proofErr w:type="spellEnd"/>
            <w:r w:rsidRPr="00EB67DC">
              <w:rPr>
                <w:bCs/>
              </w:rPr>
              <w:t xml:space="preserve"> </w:t>
            </w:r>
            <w:proofErr w:type="spellStart"/>
            <w:r w:rsidRPr="00EB67DC">
              <w:rPr>
                <w:bCs/>
              </w:rPr>
              <w:t>kopā</w:t>
            </w:r>
            <w:proofErr w:type="spellEnd"/>
            <w:r w:rsidRPr="00EB67DC">
              <w:rPr>
                <w:bCs/>
              </w:rPr>
              <w:t xml:space="preserve"> </w:t>
            </w:r>
            <w:proofErr w:type="spellStart"/>
            <w:r w:rsidRPr="00EB67DC">
              <w:rPr>
                <w:bCs/>
              </w:rPr>
              <w:t>ar</w:t>
            </w:r>
            <w:proofErr w:type="spellEnd"/>
            <w:r w:rsidRPr="00EB67DC">
              <w:rPr>
                <w:bCs/>
              </w:rPr>
              <w:t xml:space="preserve"> </w:t>
            </w:r>
            <w:proofErr w:type="spellStart"/>
            <w:r w:rsidRPr="00EB67DC">
              <w:rPr>
                <w:bCs/>
              </w:rPr>
              <w:t>sagatavotajiem</w:t>
            </w:r>
            <w:proofErr w:type="spellEnd"/>
            <w:r w:rsidRPr="00EB67DC">
              <w:rPr>
                <w:bCs/>
              </w:rPr>
              <w:t xml:space="preserve"> </w:t>
            </w:r>
            <w:proofErr w:type="spellStart"/>
            <w:r w:rsidRPr="00EB67DC">
              <w:rPr>
                <w:bCs/>
              </w:rPr>
              <w:lastRenderedPageBreak/>
              <w:t>grozījumiem</w:t>
            </w:r>
            <w:proofErr w:type="spellEnd"/>
            <w:r w:rsidRPr="00EB67DC">
              <w:rPr>
                <w:bCs/>
              </w:rPr>
              <w:t xml:space="preserve"> </w:t>
            </w:r>
            <w:proofErr w:type="spellStart"/>
            <w:r w:rsidRPr="00EB67DC">
              <w:rPr>
                <w:bCs/>
              </w:rPr>
              <w:t>Transportlīdzekļu</w:t>
            </w:r>
            <w:proofErr w:type="spellEnd"/>
            <w:r w:rsidRPr="00EB67DC">
              <w:rPr>
                <w:bCs/>
              </w:rPr>
              <w:t xml:space="preserve"> </w:t>
            </w:r>
            <w:proofErr w:type="spellStart"/>
            <w:r w:rsidRPr="00EB67DC">
              <w:rPr>
                <w:bCs/>
              </w:rPr>
              <w:t>reģistrācijas</w:t>
            </w:r>
            <w:proofErr w:type="spellEnd"/>
            <w:r w:rsidRPr="00EB67DC">
              <w:rPr>
                <w:bCs/>
              </w:rPr>
              <w:t xml:space="preserve"> </w:t>
            </w:r>
            <w:proofErr w:type="spellStart"/>
            <w:r w:rsidRPr="00EB67DC">
              <w:rPr>
                <w:bCs/>
              </w:rPr>
              <w:t>noteikumos</w:t>
            </w:r>
            <w:proofErr w:type="spellEnd"/>
            <w:r w:rsidRPr="00EB67DC">
              <w:rPr>
                <w:bCs/>
              </w:rPr>
              <w:t xml:space="preserve">, jo LTAB 17.06.2020. </w:t>
            </w:r>
            <w:proofErr w:type="spellStart"/>
            <w:r w:rsidRPr="00EB67DC">
              <w:rPr>
                <w:bCs/>
              </w:rPr>
              <w:t>vēstulē</w:t>
            </w:r>
            <w:proofErr w:type="spellEnd"/>
            <w:r w:rsidRPr="00EB67DC">
              <w:rPr>
                <w:bCs/>
              </w:rPr>
              <w:t xml:space="preserve"> </w:t>
            </w:r>
            <w:proofErr w:type="spellStart"/>
            <w:r w:rsidRPr="00EB67DC">
              <w:rPr>
                <w:bCs/>
              </w:rPr>
              <w:t>norādītās</w:t>
            </w:r>
            <w:proofErr w:type="spellEnd"/>
            <w:r w:rsidRPr="00EB67DC">
              <w:rPr>
                <w:bCs/>
              </w:rPr>
              <w:t xml:space="preserve"> </w:t>
            </w:r>
            <w:proofErr w:type="spellStart"/>
            <w:r w:rsidRPr="00EB67DC">
              <w:rPr>
                <w:bCs/>
              </w:rPr>
              <w:t>problēmas</w:t>
            </w:r>
            <w:proofErr w:type="spellEnd"/>
            <w:r w:rsidRPr="00EB67DC">
              <w:rPr>
                <w:bCs/>
              </w:rPr>
              <w:t xml:space="preserve"> </w:t>
            </w:r>
            <w:proofErr w:type="spellStart"/>
            <w:r w:rsidRPr="00EB67DC">
              <w:rPr>
                <w:bCs/>
              </w:rPr>
              <w:t>prasa</w:t>
            </w:r>
            <w:proofErr w:type="spellEnd"/>
            <w:r w:rsidRPr="00EB67DC">
              <w:rPr>
                <w:bCs/>
              </w:rPr>
              <w:t xml:space="preserve"> </w:t>
            </w:r>
            <w:proofErr w:type="spellStart"/>
            <w:r w:rsidRPr="00EB67DC">
              <w:rPr>
                <w:bCs/>
              </w:rPr>
              <w:t>neatliekamu</w:t>
            </w:r>
            <w:proofErr w:type="spellEnd"/>
            <w:r w:rsidRPr="00EB67DC">
              <w:rPr>
                <w:bCs/>
              </w:rPr>
              <w:t xml:space="preserve">, </w:t>
            </w:r>
            <w:proofErr w:type="spellStart"/>
            <w:r w:rsidRPr="00EB67DC">
              <w:rPr>
                <w:bCs/>
              </w:rPr>
              <w:t>tūlītēju</w:t>
            </w:r>
            <w:proofErr w:type="spellEnd"/>
            <w:r w:rsidRPr="00EB67DC">
              <w:rPr>
                <w:bCs/>
              </w:rPr>
              <w:t xml:space="preserve"> </w:t>
            </w:r>
            <w:proofErr w:type="spellStart"/>
            <w:r w:rsidRPr="00EB67DC">
              <w:rPr>
                <w:bCs/>
              </w:rPr>
              <w:t>situācijas</w:t>
            </w:r>
            <w:proofErr w:type="spellEnd"/>
            <w:r w:rsidRPr="00EB67DC">
              <w:rPr>
                <w:bCs/>
              </w:rPr>
              <w:t xml:space="preserve"> </w:t>
            </w:r>
            <w:proofErr w:type="spellStart"/>
            <w:r w:rsidRPr="00EB67DC">
              <w:rPr>
                <w:bCs/>
              </w:rPr>
              <w:t>risinājumu</w:t>
            </w:r>
            <w:proofErr w:type="spellEnd"/>
            <w:r w:rsidRPr="00EB67DC">
              <w:rPr>
                <w:bCs/>
              </w:rPr>
              <w:t xml:space="preserve">. </w:t>
            </w:r>
            <w:proofErr w:type="spellStart"/>
            <w:r w:rsidRPr="00EB67DC">
              <w:rPr>
                <w:bCs/>
              </w:rPr>
              <w:t>Turklāt</w:t>
            </w:r>
            <w:proofErr w:type="spellEnd"/>
            <w:r w:rsidRPr="00EB67DC">
              <w:rPr>
                <w:bCs/>
              </w:rPr>
              <w:t xml:space="preserve">, </w:t>
            </w:r>
            <w:proofErr w:type="spellStart"/>
            <w:r w:rsidRPr="00EB67DC">
              <w:rPr>
                <w:bCs/>
              </w:rPr>
              <w:t>pirmsšķietami</w:t>
            </w:r>
            <w:proofErr w:type="spellEnd"/>
            <w:r w:rsidRPr="00EB67DC">
              <w:rPr>
                <w:bCs/>
              </w:rPr>
              <w:t xml:space="preserve"> </w:t>
            </w:r>
            <w:proofErr w:type="spellStart"/>
            <w:r w:rsidRPr="00EB67DC">
              <w:rPr>
                <w:bCs/>
              </w:rPr>
              <w:t>izskatās</w:t>
            </w:r>
            <w:proofErr w:type="spellEnd"/>
            <w:r w:rsidRPr="00EB67DC">
              <w:rPr>
                <w:bCs/>
              </w:rPr>
              <w:t xml:space="preserve">, ka LTAB </w:t>
            </w:r>
            <w:proofErr w:type="spellStart"/>
            <w:r w:rsidRPr="00EB67DC">
              <w:rPr>
                <w:bCs/>
              </w:rPr>
              <w:t>piedāvātie</w:t>
            </w:r>
            <w:proofErr w:type="spellEnd"/>
            <w:r w:rsidRPr="00EB67DC">
              <w:rPr>
                <w:bCs/>
              </w:rPr>
              <w:t xml:space="preserve"> </w:t>
            </w:r>
            <w:proofErr w:type="spellStart"/>
            <w:r w:rsidRPr="00EB67DC">
              <w:rPr>
                <w:bCs/>
              </w:rPr>
              <w:t>grozījumi</w:t>
            </w:r>
            <w:proofErr w:type="spellEnd"/>
            <w:r w:rsidRPr="00EB67DC">
              <w:rPr>
                <w:bCs/>
              </w:rPr>
              <w:t xml:space="preserve"> </w:t>
            </w:r>
            <w:proofErr w:type="spellStart"/>
            <w:r w:rsidRPr="00EB67DC">
              <w:rPr>
                <w:bCs/>
              </w:rPr>
              <w:t>nevarētu</w:t>
            </w:r>
            <w:proofErr w:type="spellEnd"/>
            <w:r w:rsidRPr="00EB67DC">
              <w:rPr>
                <w:bCs/>
              </w:rPr>
              <w:t xml:space="preserve"> </w:t>
            </w:r>
            <w:proofErr w:type="spellStart"/>
            <w:r w:rsidRPr="00EB67DC">
              <w:rPr>
                <w:bCs/>
              </w:rPr>
              <w:t>atstāt</w:t>
            </w:r>
            <w:proofErr w:type="spellEnd"/>
            <w:r w:rsidRPr="00EB67DC">
              <w:rPr>
                <w:bCs/>
              </w:rPr>
              <w:t xml:space="preserve"> </w:t>
            </w:r>
            <w:proofErr w:type="spellStart"/>
            <w:r w:rsidRPr="00EB67DC">
              <w:rPr>
                <w:bCs/>
              </w:rPr>
              <w:t>ietekmi</w:t>
            </w:r>
            <w:proofErr w:type="spellEnd"/>
            <w:r w:rsidRPr="00EB67DC">
              <w:rPr>
                <w:bCs/>
              </w:rPr>
              <w:t xml:space="preserve"> </w:t>
            </w:r>
            <w:proofErr w:type="spellStart"/>
            <w:r w:rsidRPr="00EB67DC">
              <w:rPr>
                <w:bCs/>
              </w:rPr>
              <w:t>uz</w:t>
            </w:r>
            <w:proofErr w:type="spellEnd"/>
            <w:r w:rsidRPr="00EB67DC">
              <w:rPr>
                <w:bCs/>
              </w:rPr>
              <w:t xml:space="preserve"> </w:t>
            </w:r>
            <w:proofErr w:type="spellStart"/>
            <w:r w:rsidRPr="00EB67DC">
              <w:rPr>
                <w:bCs/>
              </w:rPr>
              <w:t>transportlīdzekļu</w:t>
            </w:r>
            <w:proofErr w:type="spellEnd"/>
            <w:r w:rsidRPr="00EB67DC">
              <w:rPr>
                <w:bCs/>
              </w:rPr>
              <w:t xml:space="preserve"> </w:t>
            </w:r>
            <w:proofErr w:type="spellStart"/>
            <w:r w:rsidRPr="00EB67DC">
              <w:rPr>
                <w:bCs/>
              </w:rPr>
              <w:t>ekspluatācijas</w:t>
            </w:r>
            <w:proofErr w:type="spellEnd"/>
            <w:r w:rsidRPr="00EB67DC">
              <w:rPr>
                <w:bCs/>
              </w:rPr>
              <w:t xml:space="preserve"> </w:t>
            </w:r>
            <w:proofErr w:type="spellStart"/>
            <w:r w:rsidRPr="00EB67DC">
              <w:rPr>
                <w:bCs/>
              </w:rPr>
              <w:t>nodokļa</w:t>
            </w:r>
            <w:proofErr w:type="spellEnd"/>
            <w:r w:rsidRPr="00EB67DC">
              <w:rPr>
                <w:bCs/>
              </w:rPr>
              <w:t xml:space="preserve"> </w:t>
            </w:r>
            <w:proofErr w:type="spellStart"/>
            <w:r w:rsidRPr="00EB67DC">
              <w:rPr>
                <w:bCs/>
              </w:rPr>
              <w:t>iekasēšanas</w:t>
            </w:r>
            <w:proofErr w:type="spellEnd"/>
            <w:r w:rsidRPr="00EB67DC">
              <w:rPr>
                <w:bCs/>
              </w:rPr>
              <w:t xml:space="preserve"> </w:t>
            </w:r>
            <w:proofErr w:type="spellStart"/>
            <w:r w:rsidRPr="00EB67DC">
              <w:rPr>
                <w:bCs/>
              </w:rPr>
              <w:t>kārtību</w:t>
            </w:r>
            <w:proofErr w:type="spellEnd"/>
            <w:r w:rsidRPr="00EB67DC">
              <w:rPr>
                <w:bCs/>
              </w:rPr>
              <w:t xml:space="preserve">. </w:t>
            </w:r>
            <w:proofErr w:type="spellStart"/>
            <w:r w:rsidRPr="00EB67DC">
              <w:rPr>
                <w:bCs/>
              </w:rPr>
              <w:t>Lūdzam</w:t>
            </w:r>
            <w:proofErr w:type="spellEnd"/>
            <w:r w:rsidRPr="00EB67DC">
              <w:rPr>
                <w:bCs/>
              </w:rPr>
              <w:t xml:space="preserve"> Satiksmes </w:t>
            </w:r>
            <w:proofErr w:type="spellStart"/>
            <w:r w:rsidRPr="00EB67DC">
              <w:rPr>
                <w:bCs/>
              </w:rPr>
              <w:t>ministriju</w:t>
            </w:r>
            <w:proofErr w:type="spellEnd"/>
            <w:r w:rsidRPr="00EB67DC">
              <w:rPr>
                <w:bCs/>
              </w:rPr>
              <w:t xml:space="preserve">/CSDD </w:t>
            </w:r>
            <w:proofErr w:type="spellStart"/>
            <w:r w:rsidRPr="00EB67DC">
              <w:rPr>
                <w:bCs/>
              </w:rPr>
              <w:t>noorganizēt</w:t>
            </w:r>
            <w:proofErr w:type="spellEnd"/>
            <w:r w:rsidRPr="00EB67DC">
              <w:rPr>
                <w:bCs/>
              </w:rPr>
              <w:t xml:space="preserve"> </w:t>
            </w:r>
            <w:proofErr w:type="spellStart"/>
            <w:r w:rsidRPr="00EB67DC">
              <w:rPr>
                <w:bCs/>
              </w:rPr>
              <w:t>atsevišķu</w:t>
            </w:r>
            <w:proofErr w:type="spellEnd"/>
            <w:r w:rsidRPr="00EB67DC">
              <w:rPr>
                <w:bCs/>
              </w:rPr>
              <w:t xml:space="preserve"> </w:t>
            </w:r>
            <w:proofErr w:type="spellStart"/>
            <w:r w:rsidRPr="00EB67DC">
              <w:rPr>
                <w:bCs/>
              </w:rPr>
              <w:t>tikšanos</w:t>
            </w:r>
            <w:proofErr w:type="spellEnd"/>
            <w:r w:rsidRPr="00EB67DC">
              <w:rPr>
                <w:bCs/>
              </w:rPr>
              <w:t xml:space="preserve"> </w:t>
            </w:r>
            <w:proofErr w:type="spellStart"/>
            <w:r w:rsidRPr="00EB67DC">
              <w:rPr>
                <w:bCs/>
              </w:rPr>
              <w:t>ar</w:t>
            </w:r>
            <w:proofErr w:type="spellEnd"/>
            <w:r w:rsidRPr="00EB67DC">
              <w:rPr>
                <w:bCs/>
              </w:rPr>
              <w:t xml:space="preserve"> </w:t>
            </w:r>
            <w:proofErr w:type="spellStart"/>
            <w:r w:rsidRPr="00EB67DC">
              <w:rPr>
                <w:bCs/>
              </w:rPr>
              <w:t>Finanšu</w:t>
            </w:r>
            <w:proofErr w:type="spellEnd"/>
            <w:r w:rsidRPr="00EB67DC">
              <w:rPr>
                <w:bCs/>
              </w:rPr>
              <w:t xml:space="preserve"> </w:t>
            </w:r>
            <w:proofErr w:type="spellStart"/>
            <w:r w:rsidRPr="00EB67DC">
              <w:rPr>
                <w:bCs/>
              </w:rPr>
              <w:t>ministrijas</w:t>
            </w:r>
            <w:proofErr w:type="spellEnd"/>
            <w:r w:rsidRPr="00EB67DC">
              <w:rPr>
                <w:bCs/>
              </w:rPr>
              <w:t xml:space="preserve">, </w:t>
            </w:r>
            <w:proofErr w:type="spellStart"/>
            <w:r w:rsidRPr="00EB67DC">
              <w:rPr>
                <w:bCs/>
              </w:rPr>
              <w:t>Valsts</w:t>
            </w:r>
            <w:proofErr w:type="spellEnd"/>
            <w:r w:rsidRPr="00EB67DC">
              <w:rPr>
                <w:bCs/>
              </w:rPr>
              <w:t xml:space="preserve"> </w:t>
            </w:r>
            <w:proofErr w:type="spellStart"/>
            <w:r w:rsidRPr="00EB67DC">
              <w:rPr>
                <w:bCs/>
              </w:rPr>
              <w:t>ieņēmu</w:t>
            </w:r>
            <w:proofErr w:type="spellEnd"/>
            <w:r w:rsidRPr="00EB67DC">
              <w:rPr>
                <w:bCs/>
              </w:rPr>
              <w:t xml:space="preserve"> </w:t>
            </w:r>
            <w:proofErr w:type="spellStart"/>
            <w:r w:rsidRPr="00EB67DC">
              <w:rPr>
                <w:bCs/>
              </w:rPr>
              <w:t>dienesta</w:t>
            </w:r>
            <w:proofErr w:type="spellEnd"/>
            <w:r w:rsidRPr="00EB67DC">
              <w:rPr>
                <w:bCs/>
              </w:rPr>
              <w:t xml:space="preserve"> un LTAB </w:t>
            </w:r>
            <w:proofErr w:type="spellStart"/>
            <w:r w:rsidRPr="00EB67DC">
              <w:rPr>
                <w:bCs/>
              </w:rPr>
              <w:t>pārstāvjiem</w:t>
            </w:r>
            <w:proofErr w:type="spellEnd"/>
            <w:r w:rsidRPr="00EB67DC">
              <w:rPr>
                <w:bCs/>
              </w:rPr>
              <w:t xml:space="preserve">, </w:t>
            </w:r>
            <w:proofErr w:type="spellStart"/>
            <w:r w:rsidRPr="00EB67DC">
              <w:rPr>
                <w:bCs/>
              </w:rPr>
              <w:t>lai</w:t>
            </w:r>
            <w:proofErr w:type="spellEnd"/>
            <w:r w:rsidRPr="00EB67DC">
              <w:rPr>
                <w:bCs/>
              </w:rPr>
              <w:t xml:space="preserve"> </w:t>
            </w:r>
            <w:proofErr w:type="spellStart"/>
            <w:r w:rsidRPr="00EB67DC">
              <w:rPr>
                <w:bCs/>
              </w:rPr>
              <w:t>pārrunātu</w:t>
            </w:r>
            <w:proofErr w:type="spellEnd"/>
            <w:r w:rsidRPr="00EB67DC">
              <w:rPr>
                <w:bCs/>
              </w:rPr>
              <w:t xml:space="preserve"> LTAB </w:t>
            </w:r>
            <w:proofErr w:type="spellStart"/>
            <w:r w:rsidRPr="00EB67DC">
              <w:rPr>
                <w:bCs/>
              </w:rPr>
              <w:t>iebildumus</w:t>
            </w:r>
            <w:proofErr w:type="spellEnd"/>
            <w:r w:rsidRPr="00EB67DC">
              <w:rPr>
                <w:bCs/>
              </w:rPr>
              <w:t xml:space="preserve"> un </w:t>
            </w:r>
            <w:proofErr w:type="spellStart"/>
            <w:r w:rsidRPr="00EB67DC">
              <w:rPr>
                <w:bCs/>
              </w:rPr>
              <w:t>rastu</w:t>
            </w:r>
            <w:proofErr w:type="spellEnd"/>
            <w:r w:rsidRPr="00EB67DC">
              <w:rPr>
                <w:bCs/>
              </w:rPr>
              <w:t xml:space="preserve"> </w:t>
            </w:r>
            <w:proofErr w:type="spellStart"/>
            <w:r w:rsidRPr="00EB67DC">
              <w:rPr>
                <w:bCs/>
              </w:rPr>
              <w:t>risinājumu</w:t>
            </w:r>
            <w:proofErr w:type="spellEnd"/>
            <w:r w:rsidRPr="00EB67DC">
              <w:rPr>
                <w:bCs/>
              </w:rPr>
              <w:t xml:space="preserve"> </w:t>
            </w:r>
            <w:proofErr w:type="spellStart"/>
            <w:r w:rsidRPr="00EB67DC">
              <w:rPr>
                <w:bCs/>
              </w:rPr>
              <w:t>šo</w:t>
            </w:r>
            <w:proofErr w:type="spellEnd"/>
            <w:r w:rsidRPr="00EB67DC">
              <w:rPr>
                <w:bCs/>
              </w:rPr>
              <w:t xml:space="preserve"> </w:t>
            </w:r>
            <w:proofErr w:type="spellStart"/>
            <w:r w:rsidRPr="00EB67DC">
              <w:rPr>
                <w:bCs/>
              </w:rPr>
              <w:t>grozījumu</w:t>
            </w:r>
            <w:proofErr w:type="spellEnd"/>
            <w:r w:rsidRPr="00EB67DC">
              <w:rPr>
                <w:bCs/>
              </w:rPr>
              <w:t xml:space="preserve"> </w:t>
            </w:r>
            <w:proofErr w:type="spellStart"/>
            <w:r w:rsidRPr="00EB67DC">
              <w:rPr>
                <w:bCs/>
              </w:rPr>
              <w:t>ietvaros</w:t>
            </w:r>
            <w:proofErr w:type="spellEnd"/>
            <w:r w:rsidRPr="00EB67DC">
              <w:rPr>
                <w:bCs/>
              </w:rPr>
              <w:t xml:space="preserve"> LTAB </w:t>
            </w:r>
            <w:proofErr w:type="spellStart"/>
            <w:r w:rsidRPr="00EB67DC">
              <w:rPr>
                <w:bCs/>
              </w:rPr>
              <w:t>konstatētajām</w:t>
            </w:r>
            <w:proofErr w:type="spellEnd"/>
            <w:r w:rsidRPr="00EB67DC">
              <w:rPr>
                <w:bCs/>
              </w:rPr>
              <w:t xml:space="preserve"> </w:t>
            </w:r>
            <w:proofErr w:type="spellStart"/>
            <w:r w:rsidRPr="00EB67DC">
              <w:rPr>
                <w:bCs/>
              </w:rPr>
              <w:t>problēmām</w:t>
            </w:r>
            <w:proofErr w:type="spellEnd"/>
            <w:r w:rsidRPr="00EB67DC">
              <w:rPr>
                <w:bCs/>
              </w:rPr>
              <w:t xml:space="preserve">, </w:t>
            </w:r>
            <w:proofErr w:type="spellStart"/>
            <w:r w:rsidRPr="00EB67DC">
              <w:rPr>
                <w:bCs/>
              </w:rPr>
              <w:t>kā</w:t>
            </w:r>
            <w:proofErr w:type="spellEnd"/>
            <w:r w:rsidRPr="00EB67DC">
              <w:rPr>
                <w:bCs/>
              </w:rPr>
              <w:t xml:space="preserve"> </w:t>
            </w:r>
            <w:proofErr w:type="spellStart"/>
            <w:r w:rsidRPr="00EB67DC">
              <w:rPr>
                <w:bCs/>
              </w:rPr>
              <w:t>mazināt</w:t>
            </w:r>
            <w:proofErr w:type="spellEnd"/>
            <w:r w:rsidRPr="00EB67DC">
              <w:rPr>
                <w:bCs/>
              </w:rPr>
              <w:t xml:space="preserve"> OCTA </w:t>
            </w:r>
            <w:proofErr w:type="spellStart"/>
            <w:r w:rsidRPr="00EB67DC">
              <w:rPr>
                <w:bCs/>
              </w:rPr>
              <w:t>Garantijas</w:t>
            </w:r>
            <w:proofErr w:type="spellEnd"/>
            <w:r w:rsidRPr="00EB67DC">
              <w:rPr>
                <w:bCs/>
              </w:rPr>
              <w:t xml:space="preserve"> </w:t>
            </w:r>
            <w:proofErr w:type="spellStart"/>
            <w:r w:rsidRPr="00EB67DC">
              <w:rPr>
                <w:bCs/>
              </w:rPr>
              <w:t>fonda</w:t>
            </w:r>
            <w:proofErr w:type="spellEnd"/>
            <w:r w:rsidRPr="00EB67DC">
              <w:rPr>
                <w:bCs/>
              </w:rPr>
              <w:t xml:space="preserve"> </w:t>
            </w:r>
            <w:proofErr w:type="spellStart"/>
            <w:r w:rsidRPr="00EB67DC">
              <w:rPr>
                <w:bCs/>
              </w:rPr>
              <w:t>atbildību</w:t>
            </w:r>
            <w:proofErr w:type="spellEnd"/>
            <w:r w:rsidRPr="00EB67DC">
              <w:rPr>
                <w:bCs/>
              </w:rPr>
              <w:t xml:space="preserve"> – </w:t>
            </w:r>
            <w:proofErr w:type="spellStart"/>
            <w:r w:rsidRPr="00EB67DC">
              <w:rPr>
                <w:bCs/>
              </w:rPr>
              <w:t>zaudējumu</w:t>
            </w:r>
            <w:proofErr w:type="spellEnd"/>
            <w:r w:rsidRPr="00EB67DC">
              <w:rPr>
                <w:bCs/>
              </w:rPr>
              <w:t xml:space="preserve"> </w:t>
            </w:r>
            <w:proofErr w:type="spellStart"/>
            <w:r w:rsidRPr="00EB67DC">
              <w:rPr>
                <w:bCs/>
              </w:rPr>
              <w:t>segšanu</w:t>
            </w:r>
            <w:proofErr w:type="spellEnd"/>
            <w:r w:rsidRPr="00EB67DC">
              <w:rPr>
                <w:bCs/>
              </w:rPr>
              <w:t xml:space="preserve"> par </w:t>
            </w:r>
            <w:proofErr w:type="spellStart"/>
            <w:r w:rsidRPr="00EB67DC">
              <w:rPr>
                <w:bCs/>
              </w:rPr>
              <w:t>tiem</w:t>
            </w:r>
            <w:proofErr w:type="spellEnd"/>
            <w:r w:rsidRPr="00EB67DC">
              <w:rPr>
                <w:bCs/>
              </w:rPr>
              <w:t xml:space="preserve"> </w:t>
            </w:r>
            <w:proofErr w:type="spellStart"/>
            <w:r w:rsidRPr="00EB67DC">
              <w:rPr>
                <w:bCs/>
              </w:rPr>
              <w:t>transportlīdzekļiem</w:t>
            </w:r>
            <w:proofErr w:type="spellEnd"/>
            <w:r w:rsidRPr="00EB67DC">
              <w:rPr>
                <w:bCs/>
              </w:rPr>
              <w:t xml:space="preserve">, kas </w:t>
            </w:r>
            <w:proofErr w:type="spellStart"/>
            <w:r w:rsidRPr="00EB67DC">
              <w:rPr>
                <w:bCs/>
              </w:rPr>
              <w:t>ilgstoši</w:t>
            </w:r>
            <w:proofErr w:type="spellEnd"/>
            <w:r w:rsidRPr="00EB67DC">
              <w:rPr>
                <w:bCs/>
              </w:rPr>
              <w:t xml:space="preserve"> </w:t>
            </w:r>
            <w:proofErr w:type="spellStart"/>
            <w:r w:rsidRPr="00EB67DC">
              <w:rPr>
                <w:bCs/>
              </w:rPr>
              <w:t>neatrodas</w:t>
            </w:r>
            <w:proofErr w:type="spellEnd"/>
            <w:r w:rsidRPr="00EB67DC">
              <w:rPr>
                <w:bCs/>
              </w:rPr>
              <w:t xml:space="preserve"> </w:t>
            </w:r>
            <w:proofErr w:type="spellStart"/>
            <w:r w:rsidRPr="00EB67DC">
              <w:rPr>
                <w:bCs/>
              </w:rPr>
              <w:t>Latvijā</w:t>
            </w:r>
            <w:proofErr w:type="spellEnd"/>
            <w:r w:rsidRPr="00EB67DC">
              <w:rPr>
                <w:bCs/>
              </w:rPr>
              <w:t xml:space="preserve">, bet kas </w:t>
            </w:r>
            <w:proofErr w:type="spellStart"/>
            <w:r w:rsidRPr="00EB67DC">
              <w:rPr>
                <w:bCs/>
              </w:rPr>
              <w:t>vēl</w:t>
            </w:r>
            <w:proofErr w:type="spellEnd"/>
            <w:r w:rsidRPr="00EB67DC">
              <w:rPr>
                <w:bCs/>
              </w:rPr>
              <w:t xml:space="preserve"> </w:t>
            </w:r>
            <w:proofErr w:type="spellStart"/>
            <w:r w:rsidRPr="00EB67DC">
              <w:rPr>
                <w:bCs/>
              </w:rPr>
              <w:t>joprojām</w:t>
            </w:r>
            <w:proofErr w:type="spellEnd"/>
            <w:r w:rsidRPr="00EB67DC">
              <w:rPr>
                <w:bCs/>
              </w:rPr>
              <w:t xml:space="preserve"> </w:t>
            </w:r>
            <w:proofErr w:type="spellStart"/>
            <w:r w:rsidRPr="00EB67DC">
              <w:rPr>
                <w:bCs/>
              </w:rPr>
              <w:t>skaitās</w:t>
            </w:r>
            <w:proofErr w:type="spellEnd"/>
            <w:r w:rsidRPr="00EB67DC">
              <w:rPr>
                <w:bCs/>
              </w:rPr>
              <w:t xml:space="preserve"> </w:t>
            </w:r>
            <w:proofErr w:type="spellStart"/>
            <w:r w:rsidRPr="00EB67DC">
              <w:rPr>
                <w:bCs/>
              </w:rPr>
              <w:t>reģistrēti</w:t>
            </w:r>
            <w:proofErr w:type="spellEnd"/>
            <w:r w:rsidRPr="00EB67DC">
              <w:rPr>
                <w:bCs/>
              </w:rPr>
              <w:t xml:space="preserve"> </w:t>
            </w:r>
            <w:proofErr w:type="spellStart"/>
            <w:r w:rsidRPr="00EB67DC">
              <w:rPr>
                <w:bCs/>
              </w:rPr>
              <w:t>Latvijas</w:t>
            </w:r>
            <w:proofErr w:type="spellEnd"/>
            <w:r w:rsidRPr="00EB67DC">
              <w:rPr>
                <w:bCs/>
              </w:rPr>
              <w:t xml:space="preserve"> </w:t>
            </w:r>
            <w:proofErr w:type="spellStart"/>
            <w:r w:rsidRPr="00EB67DC">
              <w:rPr>
                <w:bCs/>
              </w:rPr>
              <w:t>Republikā</w:t>
            </w:r>
            <w:proofErr w:type="spellEnd"/>
            <w:r w:rsidRPr="00EB67DC">
              <w:rPr>
                <w:bCs/>
              </w:rPr>
              <w:t>.</w:t>
            </w:r>
          </w:p>
        </w:tc>
        <w:tc>
          <w:tcPr>
            <w:tcW w:w="2598" w:type="dxa"/>
          </w:tcPr>
          <w:p w:rsidRPr="00AC019C" w:rsidR="00AC019C" w:rsidP="00AC019C" w:rsidRDefault="00AC019C" w14:paraId="490ECBD7" w14:textId="77777777">
            <w:pPr>
              <w:jc w:val="center"/>
              <w:rPr>
                <w:b/>
                <w:lang w:val="lv-LV"/>
              </w:rPr>
            </w:pPr>
            <w:r w:rsidRPr="00AC019C">
              <w:rPr>
                <w:b/>
                <w:lang w:val="lv-LV"/>
              </w:rPr>
              <w:lastRenderedPageBreak/>
              <w:t>Iebildums atsaukts.</w:t>
            </w:r>
          </w:p>
          <w:p w:rsidRPr="00AC019C" w:rsidR="00AC019C" w:rsidP="00AC019C" w:rsidRDefault="00AC019C" w14:paraId="57AEC4CE" w14:textId="77777777">
            <w:pPr>
              <w:jc w:val="both"/>
              <w:rPr>
                <w:b/>
                <w:lang w:val="lv-LV"/>
              </w:rPr>
            </w:pPr>
          </w:p>
          <w:p w:rsidRPr="00AC019C" w:rsidR="00EB67DC" w:rsidP="00AC019C" w:rsidRDefault="00AC019C" w14:paraId="18340946" w14:textId="66C0FA89">
            <w:pPr>
              <w:jc w:val="both"/>
              <w:rPr>
                <w:bCs/>
                <w:lang w:val="lv-LV"/>
              </w:rPr>
            </w:pPr>
            <w:r w:rsidRPr="00AC019C">
              <w:rPr>
                <w:bCs/>
                <w:lang w:val="lv-LV"/>
              </w:rPr>
              <w:t>Saskaņā ar Latvijas Transportlīdzekļu apdrošinātāju biroja 2020.gada 6.augusta elektroniskā pasta vēstuli.</w:t>
            </w:r>
          </w:p>
        </w:tc>
        <w:tc>
          <w:tcPr>
            <w:tcW w:w="3065" w:type="dxa"/>
          </w:tcPr>
          <w:p w:rsidRPr="00F65F4A" w:rsidR="00AD2F87" w:rsidP="00D06821" w:rsidRDefault="009E7FF5" w14:paraId="1F5483EB" w14:textId="27F2385F">
            <w:pPr>
              <w:jc w:val="both"/>
              <w:rPr>
                <w:shd w:val="clear" w:color="auto" w:fill="FDFCFD"/>
              </w:rPr>
            </w:pPr>
            <w:proofErr w:type="spellStart"/>
            <w:r>
              <w:rPr>
                <w:shd w:val="clear" w:color="auto" w:fill="FDFCFD"/>
              </w:rPr>
              <w:t>Skatīt</w:t>
            </w:r>
            <w:proofErr w:type="spellEnd"/>
            <w:r>
              <w:rPr>
                <w:shd w:val="clear" w:color="auto" w:fill="FDFCFD"/>
              </w:rPr>
              <w:t xml:space="preserve"> </w:t>
            </w:r>
            <w:proofErr w:type="spellStart"/>
            <w:r w:rsidR="00AC019C">
              <w:rPr>
                <w:shd w:val="clear" w:color="auto" w:fill="FDFCFD"/>
              </w:rPr>
              <w:t>izziņas</w:t>
            </w:r>
            <w:proofErr w:type="spellEnd"/>
            <w:r w:rsidR="00AC019C">
              <w:rPr>
                <w:shd w:val="clear" w:color="auto" w:fill="FDFCFD"/>
              </w:rPr>
              <w:t xml:space="preserve"> 6.punktu</w:t>
            </w:r>
            <w:r>
              <w:rPr>
                <w:shd w:val="clear" w:color="auto" w:fill="FDFCFD"/>
              </w:rPr>
              <w:t>.</w:t>
            </w:r>
          </w:p>
        </w:tc>
      </w:tr>
      <w:tr w:rsidRPr="00F65F4A" w:rsidR="00EB67DC" w:rsidTr="00981976" w14:paraId="2E10D1C9" w14:textId="77777777">
        <w:trPr>
          <w:jc w:val="center"/>
        </w:trPr>
        <w:tc>
          <w:tcPr>
            <w:tcW w:w="977" w:type="dxa"/>
          </w:tcPr>
          <w:p w:rsidR="00EB67DC" w:rsidP="00981976" w:rsidRDefault="00EB67DC" w14:paraId="5033BEB7" w14:textId="5F31F98F">
            <w:pPr>
              <w:jc w:val="both"/>
              <w:rPr>
                <w:lang w:val="lv-LV"/>
              </w:rPr>
            </w:pPr>
            <w:r>
              <w:rPr>
                <w:lang w:val="lv-LV"/>
              </w:rPr>
              <w:t>13.</w:t>
            </w:r>
          </w:p>
        </w:tc>
        <w:tc>
          <w:tcPr>
            <w:tcW w:w="2846" w:type="dxa"/>
          </w:tcPr>
          <w:p w:rsidRPr="009345EF" w:rsidR="00EB67DC" w:rsidP="00981976" w:rsidRDefault="00AC019C" w14:paraId="6C285F33" w14:textId="1F09CF64">
            <w:pPr>
              <w:jc w:val="both"/>
              <w:rPr>
                <w:lang w:val="lv-LV"/>
              </w:rPr>
            </w:pPr>
            <w:r>
              <w:rPr>
                <w:lang w:val="lv-LV"/>
              </w:rPr>
              <w:t>N</w:t>
            </w:r>
            <w:r w:rsidR="0075610A">
              <w:rPr>
                <w:lang w:val="lv-LV"/>
              </w:rPr>
              <w:t>oteikumu projekta anotācij</w:t>
            </w:r>
            <w:r>
              <w:rPr>
                <w:lang w:val="lv-LV"/>
              </w:rPr>
              <w:t>a</w:t>
            </w:r>
            <w:r w:rsidR="0075610A">
              <w:rPr>
                <w:lang w:val="lv-LV"/>
              </w:rPr>
              <w:t>.</w:t>
            </w:r>
          </w:p>
        </w:tc>
        <w:tc>
          <w:tcPr>
            <w:tcW w:w="3770" w:type="dxa"/>
          </w:tcPr>
          <w:p w:rsidR="00AC019C" w:rsidP="00AC019C" w:rsidRDefault="00EB67DC" w14:paraId="7DED9512" w14:textId="77777777">
            <w:pPr>
              <w:jc w:val="center"/>
              <w:rPr>
                <w:b/>
              </w:rPr>
            </w:pPr>
            <w:proofErr w:type="spellStart"/>
            <w:r w:rsidRPr="00C345B3">
              <w:rPr>
                <w:b/>
              </w:rPr>
              <w:t>Latvijas</w:t>
            </w:r>
            <w:proofErr w:type="spellEnd"/>
            <w:r w:rsidRPr="00C345B3">
              <w:rPr>
                <w:b/>
              </w:rPr>
              <w:t xml:space="preserve"> </w:t>
            </w:r>
            <w:proofErr w:type="spellStart"/>
            <w:r w:rsidRPr="00C345B3">
              <w:rPr>
                <w:b/>
              </w:rPr>
              <w:t>Transportlīdzekļu</w:t>
            </w:r>
            <w:proofErr w:type="spellEnd"/>
            <w:r w:rsidRPr="00C345B3">
              <w:rPr>
                <w:b/>
              </w:rPr>
              <w:t xml:space="preserve"> </w:t>
            </w:r>
            <w:proofErr w:type="spellStart"/>
            <w:r w:rsidRPr="00C345B3">
              <w:rPr>
                <w:b/>
              </w:rPr>
              <w:t>apdrošinātāju</w:t>
            </w:r>
            <w:proofErr w:type="spellEnd"/>
            <w:r w:rsidRPr="00C345B3">
              <w:rPr>
                <w:b/>
              </w:rPr>
              <w:t xml:space="preserve"> </w:t>
            </w:r>
            <w:proofErr w:type="spellStart"/>
            <w:r w:rsidRPr="00C345B3">
              <w:rPr>
                <w:b/>
              </w:rPr>
              <w:t>biroj</w:t>
            </w:r>
            <w:r w:rsidR="00AC019C">
              <w:rPr>
                <w:b/>
              </w:rPr>
              <w:t>s</w:t>
            </w:r>
            <w:proofErr w:type="spellEnd"/>
          </w:p>
          <w:p w:rsidR="00AC019C" w:rsidP="00AC019C" w:rsidRDefault="00EB67DC" w14:paraId="103BE2D8" w14:textId="77777777">
            <w:pPr>
              <w:ind w:left="-101" w:firstLine="476"/>
              <w:jc w:val="both"/>
              <w:rPr>
                <w:bCs/>
                <w:lang w:val="lv-LV"/>
              </w:rPr>
            </w:pPr>
            <w:r w:rsidRPr="00AC019C">
              <w:rPr>
                <w:bCs/>
              </w:rPr>
              <w:t xml:space="preserve"> </w:t>
            </w:r>
            <w:r w:rsidR="00AC019C">
              <w:rPr>
                <w:bCs/>
              </w:rPr>
              <w:t>(</w:t>
            </w:r>
            <w:r w:rsidRPr="00AC019C">
              <w:rPr>
                <w:bCs/>
              </w:rPr>
              <w:t>24.07.2020.</w:t>
            </w:r>
            <w:r w:rsidRPr="00C345B3">
              <w:rPr>
                <w:b/>
              </w:rPr>
              <w:t xml:space="preserve"> </w:t>
            </w:r>
            <w:r w:rsidRPr="00AC019C" w:rsidR="00AC019C">
              <w:rPr>
                <w:bCs/>
                <w:lang w:val="lv-LV"/>
              </w:rPr>
              <w:t>elektroniskā pasta ziņojums</w:t>
            </w:r>
            <w:r w:rsidR="00AC019C">
              <w:rPr>
                <w:bCs/>
                <w:lang w:val="lv-LV"/>
              </w:rPr>
              <w:t>)</w:t>
            </w:r>
          </w:p>
          <w:p w:rsidRPr="00AC019C" w:rsidR="00EB67DC" w:rsidP="00AC019C" w:rsidRDefault="009E7FF5" w14:paraId="6D517C0A" w14:textId="647A304A">
            <w:pPr>
              <w:ind w:left="-101" w:firstLine="476"/>
              <w:jc w:val="both"/>
              <w:rPr>
                <w:b/>
                <w:lang w:val="lv-LV"/>
              </w:rPr>
            </w:pPr>
            <w:r w:rsidRPr="00AC019C">
              <w:rPr>
                <w:color w:val="000000"/>
                <w:shd w:val="clear" w:color="auto" w:fill="FFFFFF"/>
                <w:lang w:val="lv-LV"/>
              </w:rPr>
              <w:t xml:space="preserve">2) </w:t>
            </w:r>
            <w:r w:rsidRPr="00AC019C" w:rsidR="00EB67DC">
              <w:rPr>
                <w:color w:val="000000"/>
                <w:shd w:val="clear" w:color="auto" w:fill="FFFFFF"/>
                <w:lang w:val="lv-LV"/>
              </w:rPr>
              <w:t xml:space="preserve">Lūdzu precizēt anotāciju, no tās izslēdzot paskaidrojumus, kas attiecas uz </w:t>
            </w:r>
            <w:r w:rsidRPr="00AC019C" w:rsidR="00EB67DC">
              <w:rPr>
                <w:lang w:val="lv-LV"/>
              </w:rPr>
              <w:t>tranzīta numura kartes derīguma termiņa pagarināšanu no 30 dienām  uz 60 dienām,  jo saskaņā ar izziņā minēto šādi grozījumi noteikumos netiek tālāk virzīti.</w:t>
            </w:r>
          </w:p>
        </w:tc>
        <w:tc>
          <w:tcPr>
            <w:tcW w:w="2598" w:type="dxa"/>
          </w:tcPr>
          <w:p w:rsidRPr="002167A0" w:rsidR="00EB67DC" w:rsidP="00981976" w:rsidRDefault="00EB67DC" w14:paraId="6A107069" w14:textId="77777777">
            <w:pPr>
              <w:jc w:val="both"/>
              <w:rPr>
                <w:b/>
                <w:lang w:val="lv-LV"/>
              </w:rPr>
            </w:pPr>
            <w:r w:rsidRPr="002167A0">
              <w:rPr>
                <w:b/>
                <w:lang w:val="lv-LV"/>
              </w:rPr>
              <w:t>Iebildums ņemts vērā.</w:t>
            </w:r>
          </w:p>
        </w:tc>
        <w:tc>
          <w:tcPr>
            <w:tcW w:w="3065" w:type="dxa"/>
          </w:tcPr>
          <w:p w:rsidRPr="00F65F4A" w:rsidR="00EB67DC" w:rsidP="00981976" w:rsidRDefault="00EB67DC" w14:paraId="13B551D3" w14:textId="7FC1045B">
            <w:pPr>
              <w:jc w:val="both"/>
              <w:rPr>
                <w:shd w:val="clear" w:color="auto" w:fill="FDFCFD"/>
              </w:rPr>
            </w:pPr>
            <w:proofErr w:type="spellStart"/>
            <w:r w:rsidRPr="00F65F4A">
              <w:rPr>
                <w:shd w:val="clear" w:color="auto" w:fill="FDFCFD"/>
              </w:rPr>
              <w:t>Skat</w:t>
            </w:r>
            <w:r w:rsidR="009E7FF5">
              <w:rPr>
                <w:shd w:val="clear" w:color="auto" w:fill="FDFCFD"/>
              </w:rPr>
              <w:t>īt</w:t>
            </w:r>
            <w:proofErr w:type="spellEnd"/>
            <w:r w:rsidRPr="00F65F4A">
              <w:rPr>
                <w:shd w:val="clear" w:color="auto" w:fill="FDFCFD"/>
              </w:rPr>
              <w:t xml:space="preserve"> </w:t>
            </w:r>
            <w:proofErr w:type="spellStart"/>
            <w:r w:rsidRPr="00F65F4A">
              <w:rPr>
                <w:shd w:val="clear" w:color="auto" w:fill="FDFCFD"/>
              </w:rPr>
              <w:t>precizēto</w:t>
            </w:r>
            <w:proofErr w:type="spellEnd"/>
            <w:r w:rsidRPr="00F65F4A">
              <w:rPr>
                <w:shd w:val="clear" w:color="auto" w:fill="FDFCFD"/>
              </w:rPr>
              <w:t xml:space="preserve"> </w:t>
            </w:r>
            <w:proofErr w:type="spellStart"/>
            <w:r w:rsidRPr="00F65F4A">
              <w:rPr>
                <w:shd w:val="clear" w:color="auto" w:fill="FDFCFD"/>
              </w:rPr>
              <w:t>noteikumu</w:t>
            </w:r>
            <w:proofErr w:type="spellEnd"/>
            <w:r w:rsidRPr="00F65F4A">
              <w:rPr>
                <w:shd w:val="clear" w:color="auto" w:fill="FDFCFD"/>
              </w:rPr>
              <w:t xml:space="preserve"> </w:t>
            </w:r>
            <w:proofErr w:type="spellStart"/>
            <w:r w:rsidRPr="00F65F4A">
              <w:rPr>
                <w:shd w:val="clear" w:color="auto" w:fill="FDFCFD"/>
              </w:rPr>
              <w:t>projekta</w:t>
            </w:r>
            <w:proofErr w:type="spellEnd"/>
            <w:r w:rsidRPr="00F65F4A">
              <w:rPr>
                <w:shd w:val="clear" w:color="auto" w:fill="FDFCFD"/>
              </w:rPr>
              <w:t xml:space="preserve"> </w:t>
            </w:r>
            <w:proofErr w:type="spellStart"/>
            <w:r w:rsidRPr="00F65F4A">
              <w:rPr>
                <w:shd w:val="clear" w:color="auto" w:fill="FDFCFD"/>
              </w:rPr>
              <w:t>anotāciju</w:t>
            </w:r>
            <w:proofErr w:type="spellEnd"/>
            <w:r w:rsidRPr="00F65F4A">
              <w:rPr>
                <w:shd w:val="clear" w:color="auto" w:fill="FDFCFD"/>
              </w:rPr>
              <w:t>.</w:t>
            </w:r>
          </w:p>
        </w:tc>
      </w:tr>
    </w:tbl>
    <w:p w:rsidRPr="00BD3C3F" w:rsidR="006B446A" w:rsidP="0052330D" w:rsidRDefault="002C370A" w14:paraId="78363B1A" w14:textId="12696DFB">
      <w:pPr>
        <w:spacing w:before="120"/>
        <w:ind w:firstLine="720"/>
        <w:jc w:val="both"/>
        <w:rPr>
          <w:lang w:val="lv-LV"/>
        </w:rPr>
      </w:pPr>
      <w:r w:rsidRPr="00BD3C3F">
        <w:rPr>
          <w:lang w:val="lv-LV"/>
        </w:rPr>
        <w:t xml:space="preserve">Atbildīgā amatpersona </w:t>
      </w:r>
      <w:r w:rsidRPr="00BD3C3F">
        <w:rPr>
          <w:lang w:val="lv-LV"/>
        </w:rPr>
        <w:tab/>
      </w:r>
      <w:r w:rsidRPr="00BD3C3F">
        <w:rPr>
          <w:lang w:val="lv-LV"/>
        </w:rPr>
        <w:tab/>
      </w:r>
      <w:r w:rsidRPr="00BD3C3F">
        <w:rPr>
          <w:lang w:val="lv-LV"/>
        </w:rPr>
        <w:tab/>
      </w:r>
      <w:r w:rsidRPr="00BD3C3F">
        <w:rPr>
          <w:lang w:val="lv-LV"/>
        </w:rPr>
        <w:tab/>
      </w:r>
      <w:r w:rsidRPr="00BD3C3F">
        <w:rPr>
          <w:lang w:val="lv-LV"/>
        </w:rPr>
        <w:tab/>
      </w:r>
      <w:r w:rsidRPr="00BD3C3F">
        <w:rPr>
          <w:lang w:val="lv-LV"/>
        </w:rPr>
        <w:tab/>
      </w:r>
      <w:r w:rsidRPr="00BD3C3F">
        <w:rPr>
          <w:lang w:val="lv-LV"/>
        </w:rPr>
        <w:tab/>
      </w:r>
      <w:r w:rsidRPr="00BD3C3F">
        <w:rPr>
          <w:lang w:val="lv-LV"/>
        </w:rPr>
        <w:tab/>
      </w:r>
      <w:r w:rsidRPr="00BD3C3F">
        <w:rPr>
          <w:lang w:val="lv-LV"/>
        </w:rPr>
        <w:tab/>
      </w:r>
      <w:r w:rsidRPr="00BD3C3F">
        <w:rPr>
          <w:lang w:val="lv-LV"/>
        </w:rPr>
        <w:tab/>
      </w:r>
      <w:proofErr w:type="spellStart"/>
      <w:r w:rsidR="009E7FF5">
        <w:rPr>
          <w:lang w:val="lv-LV"/>
        </w:rPr>
        <w:t>T.Vectirāns</w:t>
      </w:r>
      <w:proofErr w:type="spellEnd"/>
      <w:r w:rsidRPr="00BD3C3F">
        <w:rPr>
          <w:lang w:val="lv-LV"/>
        </w:rPr>
        <w:tab/>
      </w:r>
    </w:p>
    <w:sectPr w:rsidRPr="00BD3C3F" w:rsidR="006B446A" w:rsidSect="0039052A">
      <w:headerReference w:type="even" r:id="rId8"/>
      <w:headerReference w:type="default" r:id="rId9"/>
      <w:footerReference w:type="default" r:id="rId10"/>
      <w:footerReference w:type="first" r:id="rId11"/>
      <w:pgSz w:w="15840" w:h="12240" w:orient="landscape" w:code="1"/>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C5770" w14:textId="77777777" w:rsidR="00831B84" w:rsidRDefault="00831B84">
      <w:r>
        <w:separator/>
      </w:r>
    </w:p>
  </w:endnote>
  <w:endnote w:type="continuationSeparator" w:id="0">
    <w:p w14:paraId="5B54DB7A" w14:textId="77777777" w:rsidR="00831B84" w:rsidRDefault="0083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Gotham Pro LT">
    <w:altName w:val="Calibri"/>
    <w:charset w:val="BA"/>
    <w:family w:val="auto"/>
    <w:pitch w:val="variable"/>
    <w:sig w:usb0="80000AAF" w:usb1="5000204A"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AB696" w14:textId="4C7A5E94" w:rsidR="00951A35" w:rsidRPr="0039052A" w:rsidRDefault="0039052A">
    <w:pPr>
      <w:pStyle w:val="Footer"/>
      <w:rPr>
        <w:sz w:val="20"/>
        <w:szCs w:val="20"/>
      </w:rPr>
    </w:pPr>
    <w:r w:rsidRPr="0039052A">
      <w:rPr>
        <w:sz w:val="20"/>
        <w:szCs w:val="20"/>
      </w:rPr>
      <w:t>SMIzz_040920_regnot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29798" w14:textId="6B906415" w:rsidR="0074449C" w:rsidRPr="00951A35" w:rsidRDefault="0039052A">
    <w:pPr>
      <w:pStyle w:val="Footer"/>
      <w:rPr>
        <w:sz w:val="20"/>
        <w:szCs w:val="20"/>
      </w:rPr>
    </w:pPr>
    <w:r w:rsidRPr="0039052A">
      <w:rPr>
        <w:sz w:val="20"/>
        <w:szCs w:val="20"/>
      </w:rPr>
      <w:t>SMIzz_040920_regnot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DC60C" w14:textId="77777777" w:rsidR="00831B84" w:rsidRDefault="00831B84">
      <w:r>
        <w:separator/>
      </w:r>
    </w:p>
  </w:footnote>
  <w:footnote w:type="continuationSeparator" w:id="0">
    <w:p w14:paraId="58D13C53" w14:textId="77777777" w:rsidR="00831B84" w:rsidRDefault="0083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37E8F86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9C" w:rsidRDefault="0074449C" w14:paraId="7F8F3B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4449C" w:rsidRDefault="0074449C" w14:paraId="1C857DE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F86">
      <w:rPr>
        <w:rStyle w:val="PageNumber"/>
        <w:noProof/>
      </w:rPr>
      <w:t>2</w:t>
    </w:r>
    <w:r>
      <w:rPr>
        <w:rStyle w:val="PageNumber"/>
      </w:rPr>
      <w:fldChar w:fldCharType="end"/>
    </w:r>
  </w:p>
  <w:p w:rsidR="0074449C" w:rsidRDefault="0074449C" w14:paraId="483B7F4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2651"/>
    <w:multiLevelType w:val="hybridMultilevel"/>
    <w:tmpl w:val="E4E6D2F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E9232AA"/>
    <w:multiLevelType w:val="hybridMultilevel"/>
    <w:tmpl w:val="7C9CEA00"/>
    <w:lvl w:ilvl="0" w:tplc="04260011">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7636C39"/>
    <w:multiLevelType w:val="hybridMultilevel"/>
    <w:tmpl w:val="52BC6342"/>
    <w:lvl w:ilvl="0" w:tplc="95184B3A">
      <w:start w:val="1"/>
      <w:numFmt w:val="decimal"/>
      <w:lvlText w:val="%1."/>
      <w:lvlJc w:val="left"/>
      <w:pPr>
        <w:ind w:left="735" w:hanging="360"/>
      </w:pPr>
    </w:lvl>
    <w:lvl w:ilvl="1" w:tplc="04260019">
      <w:start w:val="1"/>
      <w:numFmt w:val="lowerLetter"/>
      <w:lvlText w:val="%2."/>
      <w:lvlJc w:val="left"/>
      <w:pPr>
        <w:ind w:left="1455" w:hanging="360"/>
      </w:pPr>
    </w:lvl>
    <w:lvl w:ilvl="2" w:tplc="0426001B">
      <w:start w:val="1"/>
      <w:numFmt w:val="lowerRoman"/>
      <w:lvlText w:val="%3."/>
      <w:lvlJc w:val="right"/>
      <w:pPr>
        <w:ind w:left="2175" w:hanging="180"/>
      </w:pPr>
    </w:lvl>
    <w:lvl w:ilvl="3" w:tplc="0426000F">
      <w:start w:val="1"/>
      <w:numFmt w:val="decimal"/>
      <w:lvlText w:val="%4."/>
      <w:lvlJc w:val="left"/>
      <w:pPr>
        <w:ind w:left="2895" w:hanging="360"/>
      </w:pPr>
    </w:lvl>
    <w:lvl w:ilvl="4" w:tplc="04260019">
      <w:start w:val="1"/>
      <w:numFmt w:val="lowerLetter"/>
      <w:lvlText w:val="%5."/>
      <w:lvlJc w:val="left"/>
      <w:pPr>
        <w:ind w:left="3615" w:hanging="360"/>
      </w:pPr>
    </w:lvl>
    <w:lvl w:ilvl="5" w:tplc="0426001B">
      <w:start w:val="1"/>
      <w:numFmt w:val="lowerRoman"/>
      <w:lvlText w:val="%6."/>
      <w:lvlJc w:val="right"/>
      <w:pPr>
        <w:ind w:left="4335" w:hanging="180"/>
      </w:pPr>
    </w:lvl>
    <w:lvl w:ilvl="6" w:tplc="0426000F">
      <w:start w:val="1"/>
      <w:numFmt w:val="decimal"/>
      <w:lvlText w:val="%7."/>
      <w:lvlJc w:val="left"/>
      <w:pPr>
        <w:ind w:left="5055" w:hanging="360"/>
      </w:pPr>
    </w:lvl>
    <w:lvl w:ilvl="7" w:tplc="04260019">
      <w:start w:val="1"/>
      <w:numFmt w:val="lowerLetter"/>
      <w:lvlText w:val="%8."/>
      <w:lvlJc w:val="left"/>
      <w:pPr>
        <w:ind w:left="5775" w:hanging="360"/>
      </w:pPr>
    </w:lvl>
    <w:lvl w:ilvl="8" w:tplc="0426001B">
      <w:start w:val="1"/>
      <w:numFmt w:val="lowerRoman"/>
      <w:lvlText w:val="%9."/>
      <w:lvlJc w:val="right"/>
      <w:pPr>
        <w:ind w:left="6495" w:hanging="180"/>
      </w:pPr>
    </w:lvl>
  </w:abstractNum>
  <w:abstractNum w:abstractNumId="3" w15:restartNumberingAfterBreak="0">
    <w:nsid w:val="517D640D"/>
    <w:multiLevelType w:val="singleLevel"/>
    <w:tmpl w:val="045C92B0"/>
    <w:lvl w:ilvl="0">
      <w:start w:val="1"/>
      <w:numFmt w:val="upperRoman"/>
      <w:pStyle w:val="Heading5"/>
      <w:lvlText w:val="%1."/>
      <w:lvlJc w:val="left"/>
      <w:pPr>
        <w:tabs>
          <w:tab w:val="num" w:pos="720"/>
        </w:tabs>
        <w:ind w:left="720" w:hanging="720"/>
      </w:pPr>
      <w:rPr>
        <w:rFonts w:hint="default"/>
      </w:rPr>
    </w:lvl>
  </w:abstractNum>
  <w:abstractNum w:abstractNumId="4" w15:restartNumberingAfterBreak="0">
    <w:nsid w:val="59E14D56"/>
    <w:multiLevelType w:val="hybridMultilevel"/>
    <w:tmpl w:val="F0EAEF0E"/>
    <w:lvl w:ilvl="0" w:tplc="483A2EC8">
      <w:start w:val="1"/>
      <w:numFmt w:val="decimal"/>
      <w:lvlText w:val="%1."/>
      <w:lvlJc w:val="left"/>
      <w:pPr>
        <w:ind w:left="720" w:hanging="360"/>
      </w:pPr>
    </w:lvl>
    <w:lvl w:ilvl="1" w:tplc="3B2ED022">
      <w:start w:val="1"/>
      <w:numFmt w:val="lowerLetter"/>
      <w:lvlText w:val="%2."/>
      <w:lvlJc w:val="left"/>
      <w:pPr>
        <w:ind w:left="1440" w:hanging="360"/>
      </w:pPr>
    </w:lvl>
    <w:lvl w:ilvl="2" w:tplc="1D6AE5B2">
      <w:start w:val="1"/>
      <w:numFmt w:val="lowerRoman"/>
      <w:lvlText w:val="%3."/>
      <w:lvlJc w:val="right"/>
      <w:pPr>
        <w:ind w:left="2160" w:hanging="180"/>
      </w:pPr>
    </w:lvl>
    <w:lvl w:ilvl="3" w:tplc="9CB0BD6E">
      <w:start w:val="1"/>
      <w:numFmt w:val="decimal"/>
      <w:lvlText w:val="%4."/>
      <w:lvlJc w:val="left"/>
      <w:pPr>
        <w:ind w:left="2880" w:hanging="360"/>
      </w:pPr>
    </w:lvl>
    <w:lvl w:ilvl="4" w:tplc="BE4A8D56">
      <w:start w:val="1"/>
      <w:numFmt w:val="lowerLetter"/>
      <w:lvlText w:val="%5."/>
      <w:lvlJc w:val="left"/>
      <w:pPr>
        <w:ind w:left="3600" w:hanging="360"/>
      </w:pPr>
    </w:lvl>
    <w:lvl w:ilvl="5" w:tplc="90604982">
      <w:start w:val="1"/>
      <w:numFmt w:val="lowerRoman"/>
      <w:lvlText w:val="%6."/>
      <w:lvlJc w:val="right"/>
      <w:pPr>
        <w:ind w:left="4320" w:hanging="180"/>
      </w:pPr>
    </w:lvl>
    <w:lvl w:ilvl="6" w:tplc="8F94C6A2">
      <w:start w:val="1"/>
      <w:numFmt w:val="decimal"/>
      <w:lvlText w:val="%7."/>
      <w:lvlJc w:val="left"/>
      <w:pPr>
        <w:ind w:left="5040" w:hanging="360"/>
      </w:pPr>
    </w:lvl>
    <w:lvl w:ilvl="7" w:tplc="C73E3AB0">
      <w:start w:val="1"/>
      <w:numFmt w:val="lowerLetter"/>
      <w:lvlText w:val="%8."/>
      <w:lvlJc w:val="left"/>
      <w:pPr>
        <w:ind w:left="5760" w:hanging="360"/>
      </w:pPr>
    </w:lvl>
    <w:lvl w:ilvl="8" w:tplc="D2BE77EA">
      <w:start w:val="1"/>
      <w:numFmt w:val="lowerRoman"/>
      <w:lvlText w:val="%9."/>
      <w:lvlJc w:val="right"/>
      <w:pPr>
        <w:ind w:left="6480" w:hanging="180"/>
      </w:pPr>
    </w:lvl>
  </w:abstractNum>
  <w:abstractNum w:abstractNumId="5" w15:restartNumberingAfterBreak="0">
    <w:nsid w:val="5E540F4F"/>
    <w:multiLevelType w:val="hybridMultilevel"/>
    <w:tmpl w:val="AE40708E"/>
    <w:lvl w:ilvl="0" w:tplc="5CC68E8C">
      <w:start w:val="71"/>
      <w:numFmt w:val="bullet"/>
      <w:lvlText w:val="-"/>
      <w:lvlJc w:val="left"/>
      <w:pPr>
        <w:ind w:left="1515" w:hanging="360"/>
      </w:pPr>
      <w:rPr>
        <w:rFonts w:ascii="Gotham Pro LT" w:eastAsia="Times New Roman" w:hAnsi="Gotham Pro LT" w:cs="Gotham Pro LT" w:hint="default"/>
        <w:b w:val="0"/>
        <w:bCs/>
      </w:rPr>
    </w:lvl>
    <w:lvl w:ilvl="1" w:tplc="04260003">
      <w:start w:val="1"/>
      <w:numFmt w:val="bullet"/>
      <w:lvlText w:val="o"/>
      <w:lvlJc w:val="left"/>
      <w:pPr>
        <w:ind w:left="2235" w:hanging="360"/>
      </w:pPr>
      <w:rPr>
        <w:rFonts w:ascii="Courier New" w:hAnsi="Courier New" w:cs="Courier New" w:hint="default"/>
      </w:rPr>
    </w:lvl>
    <w:lvl w:ilvl="2" w:tplc="04260005">
      <w:start w:val="1"/>
      <w:numFmt w:val="bullet"/>
      <w:lvlText w:val=""/>
      <w:lvlJc w:val="left"/>
      <w:pPr>
        <w:ind w:left="2955" w:hanging="360"/>
      </w:pPr>
      <w:rPr>
        <w:rFonts w:ascii="Wingdings" w:hAnsi="Wingdings" w:hint="default"/>
      </w:rPr>
    </w:lvl>
    <w:lvl w:ilvl="3" w:tplc="04260001">
      <w:start w:val="1"/>
      <w:numFmt w:val="bullet"/>
      <w:lvlText w:val=""/>
      <w:lvlJc w:val="left"/>
      <w:pPr>
        <w:ind w:left="3675" w:hanging="360"/>
      </w:pPr>
      <w:rPr>
        <w:rFonts w:ascii="Symbol" w:hAnsi="Symbol" w:hint="default"/>
      </w:rPr>
    </w:lvl>
    <w:lvl w:ilvl="4" w:tplc="04260003">
      <w:start w:val="1"/>
      <w:numFmt w:val="bullet"/>
      <w:lvlText w:val="o"/>
      <w:lvlJc w:val="left"/>
      <w:pPr>
        <w:ind w:left="4395" w:hanging="360"/>
      </w:pPr>
      <w:rPr>
        <w:rFonts w:ascii="Courier New" w:hAnsi="Courier New" w:cs="Courier New" w:hint="default"/>
      </w:rPr>
    </w:lvl>
    <w:lvl w:ilvl="5" w:tplc="04260005">
      <w:start w:val="1"/>
      <w:numFmt w:val="bullet"/>
      <w:lvlText w:val=""/>
      <w:lvlJc w:val="left"/>
      <w:pPr>
        <w:ind w:left="5115" w:hanging="360"/>
      </w:pPr>
      <w:rPr>
        <w:rFonts w:ascii="Wingdings" w:hAnsi="Wingdings" w:hint="default"/>
      </w:rPr>
    </w:lvl>
    <w:lvl w:ilvl="6" w:tplc="04260001">
      <w:start w:val="1"/>
      <w:numFmt w:val="bullet"/>
      <w:lvlText w:val=""/>
      <w:lvlJc w:val="left"/>
      <w:pPr>
        <w:ind w:left="5835" w:hanging="360"/>
      </w:pPr>
      <w:rPr>
        <w:rFonts w:ascii="Symbol" w:hAnsi="Symbol" w:hint="default"/>
      </w:rPr>
    </w:lvl>
    <w:lvl w:ilvl="7" w:tplc="04260003">
      <w:start w:val="1"/>
      <w:numFmt w:val="bullet"/>
      <w:lvlText w:val="o"/>
      <w:lvlJc w:val="left"/>
      <w:pPr>
        <w:ind w:left="6555" w:hanging="360"/>
      </w:pPr>
      <w:rPr>
        <w:rFonts w:ascii="Courier New" w:hAnsi="Courier New" w:cs="Courier New" w:hint="default"/>
      </w:rPr>
    </w:lvl>
    <w:lvl w:ilvl="8" w:tplc="04260005">
      <w:start w:val="1"/>
      <w:numFmt w:val="bullet"/>
      <w:lvlText w:val=""/>
      <w:lvlJc w:val="left"/>
      <w:pPr>
        <w:ind w:left="7275"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34"/>
    <w:rsid w:val="00001E69"/>
    <w:rsid w:val="00002DA3"/>
    <w:rsid w:val="00005EB9"/>
    <w:rsid w:val="000069F2"/>
    <w:rsid w:val="000072CF"/>
    <w:rsid w:val="0000779C"/>
    <w:rsid w:val="00007ECC"/>
    <w:rsid w:val="00011828"/>
    <w:rsid w:val="00013ADE"/>
    <w:rsid w:val="0001567E"/>
    <w:rsid w:val="00016784"/>
    <w:rsid w:val="00016DC1"/>
    <w:rsid w:val="000213CB"/>
    <w:rsid w:val="000217C4"/>
    <w:rsid w:val="00021C4C"/>
    <w:rsid w:val="00022F85"/>
    <w:rsid w:val="000251C3"/>
    <w:rsid w:val="0002778C"/>
    <w:rsid w:val="00030D5F"/>
    <w:rsid w:val="00031275"/>
    <w:rsid w:val="000315EE"/>
    <w:rsid w:val="0003171B"/>
    <w:rsid w:val="00036194"/>
    <w:rsid w:val="00037DF6"/>
    <w:rsid w:val="00040753"/>
    <w:rsid w:val="000424F5"/>
    <w:rsid w:val="000439B9"/>
    <w:rsid w:val="00045944"/>
    <w:rsid w:val="0004689A"/>
    <w:rsid w:val="00046FFA"/>
    <w:rsid w:val="000539A8"/>
    <w:rsid w:val="000548CF"/>
    <w:rsid w:val="00055672"/>
    <w:rsid w:val="00056624"/>
    <w:rsid w:val="00061166"/>
    <w:rsid w:val="000616DF"/>
    <w:rsid w:val="00061C76"/>
    <w:rsid w:val="0006231B"/>
    <w:rsid w:val="00062827"/>
    <w:rsid w:val="00062BEF"/>
    <w:rsid w:val="00063A49"/>
    <w:rsid w:val="00065E02"/>
    <w:rsid w:val="00066482"/>
    <w:rsid w:val="000667D5"/>
    <w:rsid w:val="000706E8"/>
    <w:rsid w:val="0007170F"/>
    <w:rsid w:val="00072BD7"/>
    <w:rsid w:val="0007515F"/>
    <w:rsid w:val="000758FB"/>
    <w:rsid w:val="00076531"/>
    <w:rsid w:val="00076564"/>
    <w:rsid w:val="00077457"/>
    <w:rsid w:val="00077BDE"/>
    <w:rsid w:val="00080F9C"/>
    <w:rsid w:val="0008126D"/>
    <w:rsid w:val="0008197D"/>
    <w:rsid w:val="00082162"/>
    <w:rsid w:val="00082B60"/>
    <w:rsid w:val="00083660"/>
    <w:rsid w:val="000836DF"/>
    <w:rsid w:val="00083A7E"/>
    <w:rsid w:val="000873C4"/>
    <w:rsid w:val="00087E01"/>
    <w:rsid w:val="00091E96"/>
    <w:rsid w:val="00092645"/>
    <w:rsid w:val="00092995"/>
    <w:rsid w:val="0009338C"/>
    <w:rsid w:val="00094C6B"/>
    <w:rsid w:val="00094CAC"/>
    <w:rsid w:val="0009712F"/>
    <w:rsid w:val="00097167"/>
    <w:rsid w:val="0009725F"/>
    <w:rsid w:val="000A3E4F"/>
    <w:rsid w:val="000A6C7C"/>
    <w:rsid w:val="000A6FB6"/>
    <w:rsid w:val="000B0891"/>
    <w:rsid w:val="000B08B6"/>
    <w:rsid w:val="000B1B13"/>
    <w:rsid w:val="000B24BF"/>
    <w:rsid w:val="000B25A6"/>
    <w:rsid w:val="000B2E7D"/>
    <w:rsid w:val="000B3677"/>
    <w:rsid w:val="000B3917"/>
    <w:rsid w:val="000B5840"/>
    <w:rsid w:val="000C2ED9"/>
    <w:rsid w:val="000C4007"/>
    <w:rsid w:val="000C5AF0"/>
    <w:rsid w:val="000C6339"/>
    <w:rsid w:val="000C6371"/>
    <w:rsid w:val="000C797D"/>
    <w:rsid w:val="000C7B30"/>
    <w:rsid w:val="000D2A20"/>
    <w:rsid w:val="000D3AB2"/>
    <w:rsid w:val="000D5973"/>
    <w:rsid w:val="000D6ADC"/>
    <w:rsid w:val="000D6B3B"/>
    <w:rsid w:val="000D6B5E"/>
    <w:rsid w:val="000E1A5D"/>
    <w:rsid w:val="000E3100"/>
    <w:rsid w:val="000E3CFE"/>
    <w:rsid w:val="000F028E"/>
    <w:rsid w:val="000F075B"/>
    <w:rsid w:val="000F0B04"/>
    <w:rsid w:val="000F14F5"/>
    <w:rsid w:val="000F2389"/>
    <w:rsid w:val="000F5BD0"/>
    <w:rsid w:val="000F6A40"/>
    <w:rsid w:val="000F7C52"/>
    <w:rsid w:val="0010052D"/>
    <w:rsid w:val="0010074C"/>
    <w:rsid w:val="00100F28"/>
    <w:rsid w:val="001029E3"/>
    <w:rsid w:val="0010689F"/>
    <w:rsid w:val="00112030"/>
    <w:rsid w:val="00112B80"/>
    <w:rsid w:val="001158C3"/>
    <w:rsid w:val="00115A7A"/>
    <w:rsid w:val="00116212"/>
    <w:rsid w:val="00124F1A"/>
    <w:rsid w:val="0012774C"/>
    <w:rsid w:val="00130EFE"/>
    <w:rsid w:val="001311C6"/>
    <w:rsid w:val="001316A1"/>
    <w:rsid w:val="00131CB2"/>
    <w:rsid w:val="00132A2F"/>
    <w:rsid w:val="001338FC"/>
    <w:rsid w:val="00133AA8"/>
    <w:rsid w:val="00133AB5"/>
    <w:rsid w:val="00133B6B"/>
    <w:rsid w:val="0013554D"/>
    <w:rsid w:val="0014088D"/>
    <w:rsid w:val="00140A4D"/>
    <w:rsid w:val="0014113B"/>
    <w:rsid w:val="00142346"/>
    <w:rsid w:val="00142677"/>
    <w:rsid w:val="0014499F"/>
    <w:rsid w:val="00146B10"/>
    <w:rsid w:val="00146E29"/>
    <w:rsid w:val="00151201"/>
    <w:rsid w:val="001575BC"/>
    <w:rsid w:val="001619A3"/>
    <w:rsid w:val="00161E46"/>
    <w:rsid w:val="0016233A"/>
    <w:rsid w:val="001638F1"/>
    <w:rsid w:val="00163A6A"/>
    <w:rsid w:val="00165938"/>
    <w:rsid w:val="001667CA"/>
    <w:rsid w:val="00170655"/>
    <w:rsid w:val="00173F04"/>
    <w:rsid w:val="00174CCA"/>
    <w:rsid w:val="00176FE1"/>
    <w:rsid w:val="001801FE"/>
    <w:rsid w:val="00180495"/>
    <w:rsid w:val="00181586"/>
    <w:rsid w:val="00181FC8"/>
    <w:rsid w:val="00182511"/>
    <w:rsid w:val="00183555"/>
    <w:rsid w:val="00185A3F"/>
    <w:rsid w:val="00186B07"/>
    <w:rsid w:val="00187239"/>
    <w:rsid w:val="00187598"/>
    <w:rsid w:val="0018765D"/>
    <w:rsid w:val="00190A8A"/>
    <w:rsid w:val="00191248"/>
    <w:rsid w:val="001947FF"/>
    <w:rsid w:val="00195DEB"/>
    <w:rsid w:val="00196681"/>
    <w:rsid w:val="0019684F"/>
    <w:rsid w:val="00196904"/>
    <w:rsid w:val="00197DC5"/>
    <w:rsid w:val="001A1DF0"/>
    <w:rsid w:val="001A3DD2"/>
    <w:rsid w:val="001A6E38"/>
    <w:rsid w:val="001B0A81"/>
    <w:rsid w:val="001B2DEF"/>
    <w:rsid w:val="001B3388"/>
    <w:rsid w:val="001B37AE"/>
    <w:rsid w:val="001B4BF7"/>
    <w:rsid w:val="001B5DD1"/>
    <w:rsid w:val="001B68CB"/>
    <w:rsid w:val="001B718F"/>
    <w:rsid w:val="001B7657"/>
    <w:rsid w:val="001B7D3B"/>
    <w:rsid w:val="001C0D98"/>
    <w:rsid w:val="001C13F5"/>
    <w:rsid w:val="001C2AC5"/>
    <w:rsid w:val="001C41A9"/>
    <w:rsid w:val="001C42D0"/>
    <w:rsid w:val="001C7F1D"/>
    <w:rsid w:val="001D310F"/>
    <w:rsid w:val="001D462F"/>
    <w:rsid w:val="001D4656"/>
    <w:rsid w:val="001D48D3"/>
    <w:rsid w:val="001D5342"/>
    <w:rsid w:val="001D5989"/>
    <w:rsid w:val="001D5AA1"/>
    <w:rsid w:val="001D7C67"/>
    <w:rsid w:val="001E0E18"/>
    <w:rsid w:val="001E1142"/>
    <w:rsid w:val="001E54A5"/>
    <w:rsid w:val="001E7ED5"/>
    <w:rsid w:val="001F12E0"/>
    <w:rsid w:val="001F3AF9"/>
    <w:rsid w:val="001F4823"/>
    <w:rsid w:val="001F752F"/>
    <w:rsid w:val="001F77C0"/>
    <w:rsid w:val="001F77FF"/>
    <w:rsid w:val="00200EC1"/>
    <w:rsid w:val="00201D2E"/>
    <w:rsid w:val="0020265A"/>
    <w:rsid w:val="00205767"/>
    <w:rsid w:val="00206602"/>
    <w:rsid w:val="00206B1F"/>
    <w:rsid w:val="002073E5"/>
    <w:rsid w:val="0020798C"/>
    <w:rsid w:val="00207AFA"/>
    <w:rsid w:val="00210515"/>
    <w:rsid w:val="002135B5"/>
    <w:rsid w:val="002136E8"/>
    <w:rsid w:val="00214201"/>
    <w:rsid w:val="0021440A"/>
    <w:rsid w:val="00214990"/>
    <w:rsid w:val="00214EBC"/>
    <w:rsid w:val="0021601C"/>
    <w:rsid w:val="00216135"/>
    <w:rsid w:val="002167A0"/>
    <w:rsid w:val="00216CA9"/>
    <w:rsid w:val="00221209"/>
    <w:rsid w:val="00221470"/>
    <w:rsid w:val="00222F52"/>
    <w:rsid w:val="002242D3"/>
    <w:rsid w:val="0022441E"/>
    <w:rsid w:val="00225130"/>
    <w:rsid w:val="00225B9D"/>
    <w:rsid w:val="002268C2"/>
    <w:rsid w:val="0022769D"/>
    <w:rsid w:val="00230022"/>
    <w:rsid w:val="0023421D"/>
    <w:rsid w:val="00234C80"/>
    <w:rsid w:val="002419BD"/>
    <w:rsid w:val="00242B3F"/>
    <w:rsid w:val="00242E76"/>
    <w:rsid w:val="00244124"/>
    <w:rsid w:val="002442DC"/>
    <w:rsid w:val="00244CBD"/>
    <w:rsid w:val="00244D5B"/>
    <w:rsid w:val="002504D9"/>
    <w:rsid w:val="002524CE"/>
    <w:rsid w:val="00252A8E"/>
    <w:rsid w:val="00252FA4"/>
    <w:rsid w:val="0025394F"/>
    <w:rsid w:val="00254931"/>
    <w:rsid w:val="002554CE"/>
    <w:rsid w:val="002558A8"/>
    <w:rsid w:val="00263071"/>
    <w:rsid w:val="00263349"/>
    <w:rsid w:val="00264DB1"/>
    <w:rsid w:val="00266D56"/>
    <w:rsid w:val="00270782"/>
    <w:rsid w:val="00272998"/>
    <w:rsid w:val="00273469"/>
    <w:rsid w:val="00274C93"/>
    <w:rsid w:val="00275677"/>
    <w:rsid w:val="002808A5"/>
    <w:rsid w:val="002813EC"/>
    <w:rsid w:val="0028497C"/>
    <w:rsid w:val="00284EA1"/>
    <w:rsid w:val="00290062"/>
    <w:rsid w:val="00291FBB"/>
    <w:rsid w:val="00294410"/>
    <w:rsid w:val="00297F96"/>
    <w:rsid w:val="002A0D69"/>
    <w:rsid w:val="002A1EF3"/>
    <w:rsid w:val="002A2172"/>
    <w:rsid w:val="002A3A12"/>
    <w:rsid w:val="002A4BBE"/>
    <w:rsid w:val="002A4DAF"/>
    <w:rsid w:val="002A668C"/>
    <w:rsid w:val="002B0273"/>
    <w:rsid w:val="002B2F51"/>
    <w:rsid w:val="002B3372"/>
    <w:rsid w:val="002B46C8"/>
    <w:rsid w:val="002B6233"/>
    <w:rsid w:val="002B682A"/>
    <w:rsid w:val="002B6A20"/>
    <w:rsid w:val="002B7FF9"/>
    <w:rsid w:val="002C0B1B"/>
    <w:rsid w:val="002C2569"/>
    <w:rsid w:val="002C2EA3"/>
    <w:rsid w:val="002C370A"/>
    <w:rsid w:val="002C4300"/>
    <w:rsid w:val="002C7454"/>
    <w:rsid w:val="002D066E"/>
    <w:rsid w:val="002D1924"/>
    <w:rsid w:val="002D2FAE"/>
    <w:rsid w:val="002D5A62"/>
    <w:rsid w:val="002D5F72"/>
    <w:rsid w:val="002D6564"/>
    <w:rsid w:val="002D67D7"/>
    <w:rsid w:val="002E0A44"/>
    <w:rsid w:val="002E2101"/>
    <w:rsid w:val="002E235A"/>
    <w:rsid w:val="002E27FA"/>
    <w:rsid w:val="002E386B"/>
    <w:rsid w:val="002F2A5B"/>
    <w:rsid w:val="002F45AB"/>
    <w:rsid w:val="002F6114"/>
    <w:rsid w:val="002F67B4"/>
    <w:rsid w:val="00301452"/>
    <w:rsid w:val="00302A13"/>
    <w:rsid w:val="00306D46"/>
    <w:rsid w:val="0031078D"/>
    <w:rsid w:val="00310C00"/>
    <w:rsid w:val="00312E2C"/>
    <w:rsid w:val="003133BB"/>
    <w:rsid w:val="0031500D"/>
    <w:rsid w:val="00315962"/>
    <w:rsid w:val="00316309"/>
    <w:rsid w:val="00316C4D"/>
    <w:rsid w:val="003179D1"/>
    <w:rsid w:val="0032191B"/>
    <w:rsid w:val="00322A45"/>
    <w:rsid w:val="0032336E"/>
    <w:rsid w:val="00323ECD"/>
    <w:rsid w:val="0032579A"/>
    <w:rsid w:val="00327C8E"/>
    <w:rsid w:val="0033041D"/>
    <w:rsid w:val="00331DF6"/>
    <w:rsid w:val="00332F46"/>
    <w:rsid w:val="00333EF1"/>
    <w:rsid w:val="003340E8"/>
    <w:rsid w:val="003351BC"/>
    <w:rsid w:val="0033657B"/>
    <w:rsid w:val="003368A0"/>
    <w:rsid w:val="00337751"/>
    <w:rsid w:val="00342138"/>
    <w:rsid w:val="00342664"/>
    <w:rsid w:val="00342C5A"/>
    <w:rsid w:val="00346ED6"/>
    <w:rsid w:val="0035066B"/>
    <w:rsid w:val="003522AB"/>
    <w:rsid w:val="00355BA6"/>
    <w:rsid w:val="00356159"/>
    <w:rsid w:val="0035689D"/>
    <w:rsid w:val="00357715"/>
    <w:rsid w:val="0036070B"/>
    <w:rsid w:val="00360C1F"/>
    <w:rsid w:val="00362AB9"/>
    <w:rsid w:val="00363178"/>
    <w:rsid w:val="00363ADF"/>
    <w:rsid w:val="00364823"/>
    <w:rsid w:val="00365F64"/>
    <w:rsid w:val="00366631"/>
    <w:rsid w:val="00367845"/>
    <w:rsid w:val="003707E0"/>
    <w:rsid w:val="00371AAD"/>
    <w:rsid w:val="00372290"/>
    <w:rsid w:val="003723C5"/>
    <w:rsid w:val="00373A82"/>
    <w:rsid w:val="00376A6A"/>
    <w:rsid w:val="00377B70"/>
    <w:rsid w:val="00377DC3"/>
    <w:rsid w:val="00380BAC"/>
    <w:rsid w:val="003810DC"/>
    <w:rsid w:val="00384C66"/>
    <w:rsid w:val="0038582E"/>
    <w:rsid w:val="0038672B"/>
    <w:rsid w:val="003868F0"/>
    <w:rsid w:val="00387EC1"/>
    <w:rsid w:val="0039052A"/>
    <w:rsid w:val="0039451D"/>
    <w:rsid w:val="003959AD"/>
    <w:rsid w:val="00396099"/>
    <w:rsid w:val="00396E75"/>
    <w:rsid w:val="00397C3C"/>
    <w:rsid w:val="003A3640"/>
    <w:rsid w:val="003A720D"/>
    <w:rsid w:val="003B3A05"/>
    <w:rsid w:val="003B5919"/>
    <w:rsid w:val="003B7B3F"/>
    <w:rsid w:val="003C1419"/>
    <w:rsid w:val="003C1F72"/>
    <w:rsid w:val="003C32E0"/>
    <w:rsid w:val="003C583B"/>
    <w:rsid w:val="003C600E"/>
    <w:rsid w:val="003C67BC"/>
    <w:rsid w:val="003D4B73"/>
    <w:rsid w:val="003D6316"/>
    <w:rsid w:val="003D7379"/>
    <w:rsid w:val="003D7FEF"/>
    <w:rsid w:val="003E1A8B"/>
    <w:rsid w:val="003E3721"/>
    <w:rsid w:val="003E4467"/>
    <w:rsid w:val="003E5B2B"/>
    <w:rsid w:val="003E5EEB"/>
    <w:rsid w:val="003E6141"/>
    <w:rsid w:val="003E695D"/>
    <w:rsid w:val="003F51CD"/>
    <w:rsid w:val="003F66B4"/>
    <w:rsid w:val="003F7680"/>
    <w:rsid w:val="003F7C08"/>
    <w:rsid w:val="0040362B"/>
    <w:rsid w:val="00404BB9"/>
    <w:rsid w:val="00406474"/>
    <w:rsid w:val="0040687C"/>
    <w:rsid w:val="00407F98"/>
    <w:rsid w:val="004118B0"/>
    <w:rsid w:val="00414FAE"/>
    <w:rsid w:val="00415914"/>
    <w:rsid w:val="00416FA4"/>
    <w:rsid w:val="004170C0"/>
    <w:rsid w:val="00417BA4"/>
    <w:rsid w:val="00417DDE"/>
    <w:rsid w:val="00422242"/>
    <w:rsid w:val="00422F37"/>
    <w:rsid w:val="00424A88"/>
    <w:rsid w:val="00425A54"/>
    <w:rsid w:val="00426410"/>
    <w:rsid w:val="00431083"/>
    <w:rsid w:val="004346B0"/>
    <w:rsid w:val="004347F9"/>
    <w:rsid w:val="0043576B"/>
    <w:rsid w:val="00435AF1"/>
    <w:rsid w:val="004427D6"/>
    <w:rsid w:val="00444B4D"/>
    <w:rsid w:val="00444BF6"/>
    <w:rsid w:val="00445AA3"/>
    <w:rsid w:val="00447C85"/>
    <w:rsid w:val="00456A8E"/>
    <w:rsid w:val="00457D6A"/>
    <w:rsid w:val="00461360"/>
    <w:rsid w:val="004627C5"/>
    <w:rsid w:val="004628ED"/>
    <w:rsid w:val="00462AFF"/>
    <w:rsid w:val="004665D7"/>
    <w:rsid w:val="00467F75"/>
    <w:rsid w:val="004734A2"/>
    <w:rsid w:val="00473B78"/>
    <w:rsid w:val="00474603"/>
    <w:rsid w:val="00475ED7"/>
    <w:rsid w:val="00477DE3"/>
    <w:rsid w:val="004821B6"/>
    <w:rsid w:val="0048287F"/>
    <w:rsid w:val="004834BE"/>
    <w:rsid w:val="00484F1A"/>
    <w:rsid w:val="00485CF4"/>
    <w:rsid w:val="00485D59"/>
    <w:rsid w:val="0048747B"/>
    <w:rsid w:val="0048766F"/>
    <w:rsid w:val="0049304D"/>
    <w:rsid w:val="004940C5"/>
    <w:rsid w:val="004955E0"/>
    <w:rsid w:val="004960C7"/>
    <w:rsid w:val="0049626D"/>
    <w:rsid w:val="00497F21"/>
    <w:rsid w:val="004A0E27"/>
    <w:rsid w:val="004A3213"/>
    <w:rsid w:val="004A3C56"/>
    <w:rsid w:val="004A44E9"/>
    <w:rsid w:val="004A6494"/>
    <w:rsid w:val="004B0F19"/>
    <w:rsid w:val="004B110A"/>
    <w:rsid w:val="004B2685"/>
    <w:rsid w:val="004B2D73"/>
    <w:rsid w:val="004B39C7"/>
    <w:rsid w:val="004B68FD"/>
    <w:rsid w:val="004B7953"/>
    <w:rsid w:val="004C322C"/>
    <w:rsid w:val="004C3888"/>
    <w:rsid w:val="004C410F"/>
    <w:rsid w:val="004C42B1"/>
    <w:rsid w:val="004C58F9"/>
    <w:rsid w:val="004C5CE5"/>
    <w:rsid w:val="004C5E5C"/>
    <w:rsid w:val="004C5EC2"/>
    <w:rsid w:val="004C6800"/>
    <w:rsid w:val="004D1021"/>
    <w:rsid w:val="004D1BEF"/>
    <w:rsid w:val="004D2F25"/>
    <w:rsid w:val="004D3363"/>
    <w:rsid w:val="004D54A5"/>
    <w:rsid w:val="004D5F16"/>
    <w:rsid w:val="004D6354"/>
    <w:rsid w:val="004D6EF1"/>
    <w:rsid w:val="004E14AA"/>
    <w:rsid w:val="004E2569"/>
    <w:rsid w:val="004E3697"/>
    <w:rsid w:val="004E4595"/>
    <w:rsid w:val="004E5257"/>
    <w:rsid w:val="004E5F9A"/>
    <w:rsid w:val="004E698E"/>
    <w:rsid w:val="004E7DB9"/>
    <w:rsid w:val="004F019C"/>
    <w:rsid w:val="004F1345"/>
    <w:rsid w:val="004F2369"/>
    <w:rsid w:val="004F37B7"/>
    <w:rsid w:val="004F61D4"/>
    <w:rsid w:val="004F677D"/>
    <w:rsid w:val="004F74FF"/>
    <w:rsid w:val="0050061F"/>
    <w:rsid w:val="00502356"/>
    <w:rsid w:val="00507634"/>
    <w:rsid w:val="00507DD8"/>
    <w:rsid w:val="005110DA"/>
    <w:rsid w:val="005125E2"/>
    <w:rsid w:val="00516D9E"/>
    <w:rsid w:val="00522C05"/>
    <w:rsid w:val="0052330D"/>
    <w:rsid w:val="005249BA"/>
    <w:rsid w:val="00525297"/>
    <w:rsid w:val="005276A7"/>
    <w:rsid w:val="00527FC4"/>
    <w:rsid w:val="00530AB5"/>
    <w:rsid w:val="00530F7F"/>
    <w:rsid w:val="00531C85"/>
    <w:rsid w:val="00532090"/>
    <w:rsid w:val="00535810"/>
    <w:rsid w:val="005366BF"/>
    <w:rsid w:val="00537314"/>
    <w:rsid w:val="00541171"/>
    <w:rsid w:val="005420B1"/>
    <w:rsid w:val="00542E3D"/>
    <w:rsid w:val="00543349"/>
    <w:rsid w:val="00545D78"/>
    <w:rsid w:val="00545E25"/>
    <w:rsid w:val="00546B91"/>
    <w:rsid w:val="00547270"/>
    <w:rsid w:val="00551F02"/>
    <w:rsid w:val="005539C9"/>
    <w:rsid w:val="005544E6"/>
    <w:rsid w:val="00555184"/>
    <w:rsid w:val="0055546A"/>
    <w:rsid w:val="005568B8"/>
    <w:rsid w:val="00560643"/>
    <w:rsid w:val="00565F15"/>
    <w:rsid w:val="005665C2"/>
    <w:rsid w:val="00570EB6"/>
    <w:rsid w:val="005712F0"/>
    <w:rsid w:val="00573FCF"/>
    <w:rsid w:val="00575306"/>
    <w:rsid w:val="005779A3"/>
    <w:rsid w:val="00581FEE"/>
    <w:rsid w:val="005827D6"/>
    <w:rsid w:val="00584579"/>
    <w:rsid w:val="005847FF"/>
    <w:rsid w:val="00587153"/>
    <w:rsid w:val="00587437"/>
    <w:rsid w:val="005879D0"/>
    <w:rsid w:val="00587F56"/>
    <w:rsid w:val="005938AE"/>
    <w:rsid w:val="00594F84"/>
    <w:rsid w:val="00595D91"/>
    <w:rsid w:val="005A0578"/>
    <w:rsid w:val="005A0DA1"/>
    <w:rsid w:val="005A0FBB"/>
    <w:rsid w:val="005A14CA"/>
    <w:rsid w:val="005A14D3"/>
    <w:rsid w:val="005A24C3"/>
    <w:rsid w:val="005A33C8"/>
    <w:rsid w:val="005A69CF"/>
    <w:rsid w:val="005A753D"/>
    <w:rsid w:val="005B0B85"/>
    <w:rsid w:val="005B3C27"/>
    <w:rsid w:val="005B4418"/>
    <w:rsid w:val="005B4ACF"/>
    <w:rsid w:val="005B75C8"/>
    <w:rsid w:val="005B79E9"/>
    <w:rsid w:val="005B7EE8"/>
    <w:rsid w:val="005C0A6A"/>
    <w:rsid w:val="005C5E66"/>
    <w:rsid w:val="005C786A"/>
    <w:rsid w:val="005D00CC"/>
    <w:rsid w:val="005D1545"/>
    <w:rsid w:val="005D1695"/>
    <w:rsid w:val="005D2AE5"/>
    <w:rsid w:val="005D5DF1"/>
    <w:rsid w:val="005E1EFB"/>
    <w:rsid w:val="005E3808"/>
    <w:rsid w:val="005E622B"/>
    <w:rsid w:val="005E67A3"/>
    <w:rsid w:val="005E6A32"/>
    <w:rsid w:val="005E6AD7"/>
    <w:rsid w:val="005E7C34"/>
    <w:rsid w:val="005F0591"/>
    <w:rsid w:val="005F10DA"/>
    <w:rsid w:val="005F3961"/>
    <w:rsid w:val="005F40FA"/>
    <w:rsid w:val="005F43CA"/>
    <w:rsid w:val="00600F34"/>
    <w:rsid w:val="0060387D"/>
    <w:rsid w:val="006050DB"/>
    <w:rsid w:val="0060537C"/>
    <w:rsid w:val="00606BC4"/>
    <w:rsid w:val="00610C03"/>
    <w:rsid w:val="006111CF"/>
    <w:rsid w:val="0061322C"/>
    <w:rsid w:val="00613352"/>
    <w:rsid w:val="00614DFD"/>
    <w:rsid w:val="00615613"/>
    <w:rsid w:val="006170C7"/>
    <w:rsid w:val="006215BF"/>
    <w:rsid w:val="006246DD"/>
    <w:rsid w:val="00626E63"/>
    <w:rsid w:val="00627D37"/>
    <w:rsid w:val="006323EB"/>
    <w:rsid w:val="00632EC4"/>
    <w:rsid w:val="006354B9"/>
    <w:rsid w:val="00635EA6"/>
    <w:rsid w:val="00636B6A"/>
    <w:rsid w:val="00636D57"/>
    <w:rsid w:val="00636D92"/>
    <w:rsid w:val="0064039E"/>
    <w:rsid w:val="00641241"/>
    <w:rsid w:val="00641F88"/>
    <w:rsid w:val="00642078"/>
    <w:rsid w:val="00644EEE"/>
    <w:rsid w:val="00646539"/>
    <w:rsid w:val="00650D61"/>
    <w:rsid w:val="006524BB"/>
    <w:rsid w:val="00653977"/>
    <w:rsid w:val="00654F51"/>
    <w:rsid w:val="00655E34"/>
    <w:rsid w:val="00656955"/>
    <w:rsid w:val="00657786"/>
    <w:rsid w:val="00657D98"/>
    <w:rsid w:val="0066068B"/>
    <w:rsid w:val="00660851"/>
    <w:rsid w:val="0066364D"/>
    <w:rsid w:val="006711CA"/>
    <w:rsid w:val="00674DCA"/>
    <w:rsid w:val="0067736F"/>
    <w:rsid w:val="00680840"/>
    <w:rsid w:val="00681082"/>
    <w:rsid w:val="00681158"/>
    <w:rsid w:val="00681532"/>
    <w:rsid w:val="00681EF3"/>
    <w:rsid w:val="0068357E"/>
    <w:rsid w:val="00685BC6"/>
    <w:rsid w:val="0068777C"/>
    <w:rsid w:val="006908D4"/>
    <w:rsid w:val="0069091E"/>
    <w:rsid w:val="00691B33"/>
    <w:rsid w:val="006925F7"/>
    <w:rsid w:val="00693444"/>
    <w:rsid w:val="00694593"/>
    <w:rsid w:val="00694EAE"/>
    <w:rsid w:val="00695569"/>
    <w:rsid w:val="00696FF1"/>
    <w:rsid w:val="00697712"/>
    <w:rsid w:val="00697968"/>
    <w:rsid w:val="006A0BD2"/>
    <w:rsid w:val="006A27F8"/>
    <w:rsid w:val="006A3809"/>
    <w:rsid w:val="006A446E"/>
    <w:rsid w:val="006A4752"/>
    <w:rsid w:val="006A51F0"/>
    <w:rsid w:val="006A59EA"/>
    <w:rsid w:val="006B07D3"/>
    <w:rsid w:val="006B0850"/>
    <w:rsid w:val="006B3166"/>
    <w:rsid w:val="006B334E"/>
    <w:rsid w:val="006B4123"/>
    <w:rsid w:val="006B446A"/>
    <w:rsid w:val="006C259F"/>
    <w:rsid w:val="006C3096"/>
    <w:rsid w:val="006C4387"/>
    <w:rsid w:val="006C4492"/>
    <w:rsid w:val="006C4D45"/>
    <w:rsid w:val="006C5389"/>
    <w:rsid w:val="006C6491"/>
    <w:rsid w:val="006C743E"/>
    <w:rsid w:val="006C7D72"/>
    <w:rsid w:val="006D03D9"/>
    <w:rsid w:val="006D1142"/>
    <w:rsid w:val="006D20E5"/>
    <w:rsid w:val="006D2A25"/>
    <w:rsid w:val="006D395F"/>
    <w:rsid w:val="006D3EFD"/>
    <w:rsid w:val="006D4D44"/>
    <w:rsid w:val="006E0EF8"/>
    <w:rsid w:val="006E165D"/>
    <w:rsid w:val="006E18E2"/>
    <w:rsid w:val="006E1BFC"/>
    <w:rsid w:val="006E5904"/>
    <w:rsid w:val="006E5C48"/>
    <w:rsid w:val="006E5FD7"/>
    <w:rsid w:val="006E61D5"/>
    <w:rsid w:val="006E6D9D"/>
    <w:rsid w:val="006E6DE8"/>
    <w:rsid w:val="006E6E38"/>
    <w:rsid w:val="006E73E4"/>
    <w:rsid w:val="006F0721"/>
    <w:rsid w:val="006F0E57"/>
    <w:rsid w:val="006F1AD4"/>
    <w:rsid w:val="006F1E11"/>
    <w:rsid w:val="006F2741"/>
    <w:rsid w:val="006F3B0D"/>
    <w:rsid w:val="006F450C"/>
    <w:rsid w:val="006F4B46"/>
    <w:rsid w:val="006F6FB2"/>
    <w:rsid w:val="007035A4"/>
    <w:rsid w:val="00703691"/>
    <w:rsid w:val="00703AA3"/>
    <w:rsid w:val="00704457"/>
    <w:rsid w:val="00704D40"/>
    <w:rsid w:val="007052AB"/>
    <w:rsid w:val="007104F2"/>
    <w:rsid w:val="00711A9C"/>
    <w:rsid w:val="00712A3E"/>
    <w:rsid w:val="00716CEB"/>
    <w:rsid w:val="00716D65"/>
    <w:rsid w:val="0071721B"/>
    <w:rsid w:val="00720D88"/>
    <w:rsid w:val="00721DE2"/>
    <w:rsid w:val="00722C17"/>
    <w:rsid w:val="00725305"/>
    <w:rsid w:val="007265E4"/>
    <w:rsid w:val="0072757B"/>
    <w:rsid w:val="0072789D"/>
    <w:rsid w:val="00727B3D"/>
    <w:rsid w:val="0073178F"/>
    <w:rsid w:val="007342C4"/>
    <w:rsid w:val="00741C83"/>
    <w:rsid w:val="0074449C"/>
    <w:rsid w:val="00746785"/>
    <w:rsid w:val="00747141"/>
    <w:rsid w:val="0075051D"/>
    <w:rsid w:val="0075336B"/>
    <w:rsid w:val="0075610A"/>
    <w:rsid w:val="007572DF"/>
    <w:rsid w:val="00760437"/>
    <w:rsid w:val="00762C37"/>
    <w:rsid w:val="0076352B"/>
    <w:rsid w:val="0076369E"/>
    <w:rsid w:val="00765208"/>
    <w:rsid w:val="00767106"/>
    <w:rsid w:val="00767797"/>
    <w:rsid w:val="007718A5"/>
    <w:rsid w:val="007732E4"/>
    <w:rsid w:val="0077395D"/>
    <w:rsid w:val="00776BE2"/>
    <w:rsid w:val="0077752C"/>
    <w:rsid w:val="00777D32"/>
    <w:rsid w:val="00781145"/>
    <w:rsid w:val="00781375"/>
    <w:rsid w:val="00781452"/>
    <w:rsid w:val="007829F4"/>
    <w:rsid w:val="0078305F"/>
    <w:rsid w:val="00785F5C"/>
    <w:rsid w:val="007861C8"/>
    <w:rsid w:val="0079012A"/>
    <w:rsid w:val="00792018"/>
    <w:rsid w:val="00792096"/>
    <w:rsid w:val="007924B9"/>
    <w:rsid w:val="00792A31"/>
    <w:rsid w:val="00793E9C"/>
    <w:rsid w:val="00794290"/>
    <w:rsid w:val="00794454"/>
    <w:rsid w:val="007959FE"/>
    <w:rsid w:val="00795F3E"/>
    <w:rsid w:val="0079735F"/>
    <w:rsid w:val="007A0DFD"/>
    <w:rsid w:val="007A1B93"/>
    <w:rsid w:val="007A3709"/>
    <w:rsid w:val="007A426B"/>
    <w:rsid w:val="007A6B80"/>
    <w:rsid w:val="007A7BD9"/>
    <w:rsid w:val="007B004D"/>
    <w:rsid w:val="007B01B0"/>
    <w:rsid w:val="007B0C05"/>
    <w:rsid w:val="007B1252"/>
    <w:rsid w:val="007B1A5B"/>
    <w:rsid w:val="007B1CB4"/>
    <w:rsid w:val="007B1F34"/>
    <w:rsid w:val="007B3F81"/>
    <w:rsid w:val="007B4924"/>
    <w:rsid w:val="007B53D7"/>
    <w:rsid w:val="007B62A4"/>
    <w:rsid w:val="007B7592"/>
    <w:rsid w:val="007C1FF7"/>
    <w:rsid w:val="007C34E6"/>
    <w:rsid w:val="007C614C"/>
    <w:rsid w:val="007C6687"/>
    <w:rsid w:val="007C738B"/>
    <w:rsid w:val="007D1F5E"/>
    <w:rsid w:val="007D4771"/>
    <w:rsid w:val="007D49ED"/>
    <w:rsid w:val="007D4D54"/>
    <w:rsid w:val="007D56D6"/>
    <w:rsid w:val="007D6C65"/>
    <w:rsid w:val="007E0510"/>
    <w:rsid w:val="007E1E9B"/>
    <w:rsid w:val="007E31CF"/>
    <w:rsid w:val="007E5A25"/>
    <w:rsid w:val="007E60F1"/>
    <w:rsid w:val="007E7ED4"/>
    <w:rsid w:val="007F04E4"/>
    <w:rsid w:val="007F0F37"/>
    <w:rsid w:val="007F205B"/>
    <w:rsid w:val="00803694"/>
    <w:rsid w:val="008057A2"/>
    <w:rsid w:val="008062B8"/>
    <w:rsid w:val="00807F19"/>
    <w:rsid w:val="00812428"/>
    <w:rsid w:val="008133CD"/>
    <w:rsid w:val="008139DF"/>
    <w:rsid w:val="00813F04"/>
    <w:rsid w:val="00814AAF"/>
    <w:rsid w:val="00817088"/>
    <w:rsid w:val="008200A9"/>
    <w:rsid w:val="008209EB"/>
    <w:rsid w:val="00821646"/>
    <w:rsid w:val="00821A23"/>
    <w:rsid w:val="00822D4E"/>
    <w:rsid w:val="00822FD1"/>
    <w:rsid w:val="00830C6A"/>
    <w:rsid w:val="00831B0F"/>
    <w:rsid w:val="00831B84"/>
    <w:rsid w:val="00834C6F"/>
    <w:rsid w:val="0083598A"/>
    <w:rsid w:val="00836EDD"/>
    <w:rsid w:val="00840A25"/>
    <w:rsid w:val="00841F03"/>
    <w:rsid w:val="0084205A"/>
    <w:rsid w:val="008426F2"/>
    <w:rsid w:val="00843D96"/>
    <w:rsid w:val="00844690"/>
    <w:rsid w:val="00844B0A"/>
    <w:rsid w:val="00844D9B"/>
    <w:rsid w:val="008450A5"/>
    <w:rsid w:val="008464BB"/>
    <w:rsid w:val="00852BD0"/>
    <w:rsid w:val="00853056"/>
    <w:rsid w:val="0085550F"/>
    <w:rsid w:val="00856310"/>
    <w:rsid w:val="00856390"/>
    <w:rsid w:val="00856D21"/>
    <w:rsid w:val="00857C55"/>
    <w:rsid w:val="0086002F"/>
    <w:rsid w:val="0086365A"/>
    <w:rsid w:val="00863B09"/>
    <w:rsid w:val="00863B13"/>
    <w:rsid w:val="008646A6"/>
    <w:rsid w:val="00864CE7"/>
    <w:rsid w:val="00864FD4"/>
    <w:rsid w:val="00865353"/>
    <w:rsid w:val="0086590E"/>
    <w:rsid w:val="008674F9"/>
    <w:rsid w:val="00872FDE"/>
    <w:rsid w:val="00873AB5"/>
    <w:rsid w:val="008741E6"/>
    <w:rsid w:val="00876DB2"/>
    <w:rsid w:val="00877ADB"/>
    <w:rsid w:val="00877D80"/>
    <w:rsid w:val="0088195E"/>
    <w:rsid w:val="00882C01"/>
    <w:rsid w:val="00883255"/>
    <w:rsid w:val="00884ADF"/>
    <w:rsid w:val="0089012E"/>
    <w:rsid w:val="00890199"/>
    <w:rsid w:val="008928F3"/>
    <w:rsid w:val="00893582"/>
    <w:rsid w:val="0089381A"/>
    <w:rsid w:val="00894133"/>
    <w:rsid w:val="0089427A"/>
    <w:rsid w:val="0089588E"/>
    <w:rsid w:val="008976C4"/>
    <w:rsid w:val="00897BEF"/>
    <w:rsid w:val="008A052A"/>
    <w:rsid w:val="008A1967"/>
    <w:rsid w:val="008A2D0A"/>
    <w:rsid w:val="008A5A9D"/>
    <w:rsid w:val="008A6041"/>
    <w:rsid w:val="008B4696"/>
    <w:rsid w:val="008B73FA"/>
    <w:rsid w:val="008C150D"/>
    <w:rsid w:val="008C2C46"/>
    <w:rsid w:val="008C41CE"/>
    <w:rsid w:val="008C4DFF"/>
    <w:rsid w:val="008D0BFF"/>
    <w:rsid w:val="008D1851"/>
    <w:rsid w:val="008D4C17"/>
    <w:rsid w:val="008D6DED"/>
    <w:rsid w:val="008D7926"/>
    <w:rsid w:val="008E05C9"/>
    <w:rsid w:val="008E550A"/>
    <w:rsid w:val="008E5E4D"/>
    <w:rsid w:val="008E725A"/>
    <w:rsid w:val="008F074D"/>
    <w:rsid w:val="008F387C"/>
    <w:rsid w:val="008F4F35"/>
    <w:rsid w:val="008F5CA1"/>
    <w:rsid w:val="009017B0"/>
    <w:rsid w:val="00904B4A"/>
    <w:rsid w:val="0090517C"/>
    <w:rsid w:val="009072B8"/>
    <w:rsid w:val="00910202"/>
    <w:rsid w:val="0091053D"/>
    <w:rsid w:val="00911481"/>
    <w:rsid w:val="00913793"/>
    <w:rsid w:val="00914189"/>
    <w:rsid w:val="00914F2E"/>
    <w:rsid w:val="00915643"/>
    <w:rsid w:val="00915AB1"/>
    <w:rsid w:val="0091713B"/>
    <w:rsid w:val="0091726C"/>
    <w:rsid w:val="00920348"/>
    <w:rsid w:val="009212C9"/>
    <w:rsid w:val="00925171"/>
    <w:rsid w:val="00925393"/>
    <w:rsid w:val="00925DB3"/>
    <w:rsid w:val="00925FEE"/>
    <w:rsid w:val="00926CF3"/>
    <w:rsid w:val="009316AF"/>
    <w:rsid w:val="009319F7"/>
    <w:rsid w:val="009345EF"/>
    <w:rsid w:val="0093481D"/>
    <w:rsid w:val="009367A3"/>
    <w:rsid w:val="009406CE"/>
    <w:rsid w:val="00941857"/>
    <w:rsid w:val="00943AEA"/>
    <w:rsid w:val="0094403B"/>
    <w:rsid w:val="00945594"/>
    <w:rsid w:val="009455BF"/>
    <w:rsid w:val="00946225"/>
    <w:rsid w:val="009505F2"/>
    <w:rsid w:val="009507BE"/>
    <w:rsid w:val="00951A35"/>
    <w:rsid w:val="009537BA"/>
    <w:rsid w:val="0095440B"/>
    <w:rsid w:val="009556BF"/>
    <w:rsid w:val="00957E13"/>
    <w:rsid w:val="00961347"/>
    <w:rsid w:val="00961B8C"/>
    <w:rsid w:val="00961FCA"/>
    <w:rsid w:val="00963709"/>
    <w:rsid w:val="009637FC"/>
    <w:rsid w:val="00963F86"/>
    <w:rsid w:val="00964D3B"/>
    <w:rsid w:val="0096570E"/>
    <w:rsid w:val="00965856"/>
    <w:rsid w:val="00965FB7"/>
    <w:rsid w:val="00967A26"/>
    <w:rsid w:val="00971427"/>
    <w:rsid w:val="00971FBE"/>
    <w:rsid w:val="00972E5C"/>
    <w:rsid w:val="009765F5"/>
    <w:rsid w:val="0098106E"/>
    <w:rsid w:val="009836A8"/>
    <w:rsid w:val="0098612D"/>
    <w:rsid w:val="009877E5"/>
    <w:rsid w:val="009907E7"/>
    <w:rsid w:val="009909A4"/>
    <w:rsid w:val="00990E65"/>
    <w:rsid w:val="00993584"/>
    <w:rsid w:val="009936D0"/>
    <w:rsid w:val="00994005"/>
    <w:rsid w:val="0099542A"/>
    <w:rsid w:val="00995B96"/>
    <w:rsid w:val="00995C9D"/>
    <w:rsid w:val="00996F06"/>
    <w:rsid w:val="00996F49"/>
    <w:rsid w:val="00997A6D"/>
    <w:rsid w:val="009A3A3E"/>
    <w:rsid w:val="009A6372"/>
    <w:rsid w:val="009A6C3B"/>
    <w:rsid w:val="009A6D70"/>
    <w:rsid w:val="009A7506"/>
    <w:rsid w:val="009A79F4"/>
    <w:rsid w:val="009B0FA0"/>
    <w:rsid w:val="009B1092"/>
    <w:rsid w:val="009B2D8C"/>
    <w:rsid w:val="009B4133"/>
    <w:rsid w:val="009C14F4"/>
    <w:rsid w:val="009C3F5D"/>
    <w:rsid w:val="009C430F"/>
    <w:rsid w:val="009C49F1"/>
    <w:rsid w:val="009C79E6"/>
    <w:rsid w:val="009C7F69"/>
    <w:rsid w:val="009D272F"/>
    <w:rsid w:val="009D3331"/>
    <w:rsid w:val="009E0CD1"/>
    <w:rsid w:val="009E2749"/>
    <w:rsid w:val="009E71E7"/>
    <w:rsid w:val="009E7FF5"/>
    <w:rsid w:val="009F0CAA"/>
    <w:rsid w:val="009F1AE2"/>
    <w:rsid w:val="009F2CB2"/>
    <w:rsid w:val="009F2CCC"/>
    <w:rsid w:val="009F4D16"/>
    <w:rsid w:val="00A000FB"/>
    <w:rsid w:val="00A006C0"/>
    <w:rsid w:val="00A021ED"/>
    <w:rsid w:val="00A0287E"/>
    <w:rsid w:val="00A02F0D"/>
    <w:rsid w:val="00A05B97"/>
    <w:rsid w:val="00A06779"/>
    <w:rsid w:val="00A07AB7"/>
    <w:rsid w:val="00A125A1"/>
    <w:rsid w:val="00A126AF"/>
    <w:rsid w:val="00A17A87"/>
    <w:rsid w:val="00A21D67"/>
    <w:rsid w:val="00A2321C"/>
    <w:rsid w:val="00A2423B"/>
    <w:rsid w:val="00A2469A"/>
    <w:rsid w:val="00A25FFB"/>
    <w:rsid w:val="00A27FAB"/>
    <w:rsid w:val="00A3488E"/>
    <w:rsid w:val="00A35782"/>
    <w:rsid w:val="00A36AF6"/>
    <w:rsid w:val="00A36FAC"/>
    <w:rsid w:val="00A42B70"/>
    <w:rsid w:val="00A453F5"/>
    <w:rsid w:val="00A45C34"/>
    <w:rsid w:val="00A50006"/>
    <w:rsid w:val="00A51EAA"/>
    <w:rsid w:val="00A528ED"/>
    <w:rsid w:val="00A536F0"/>
    <w:rsid w:val="00A54333"/>
    <w:rsid w:val="00A5556A"/>
    <w:rsid w:val="00A56552"/>
    <w:rsid w:val="00A572E0"/>
    <w:rsid w:val="00A57BEB"/>
    <w:rsid w:val="00A6099A"/>
    <w:rsid w:val="00A60CBD"/>
    <w:rsid w:val="00A6131C"/>
    <w:rsid w:val="00A61A62"/>
    <w:rsid w:val="00A62779"/>
    <w:rsid w:val="00A63D16"/>
    <w:rsid w:val="00A646ED"/>
    <w:rsid w:val="00A64CD8"/>
    <w:rsid w:val="00A6505D"/>
    <w:rsid w:val="00A67A33"/>
    <w:rsid w:val="00A71184"/>
    <w:rsid w:val="00A7163B"/>
    <w:rsid w:val="00A732C9"/>
    <w:rsid w:val="00A74829"/>
    <w:rsid w:val="00A74DE6"/>
    <w:rsid w:val="00A75346"/>
    <w:rsid w:val="00A75825"/>
    <w:rsid w:val="00A76304"/>
    <w:rsid w:val="00A77F87"/>
    <w:rsid w:val="00A81E4E"/>
    <w:rsid w:val="00A8417C"/>
    <w:rsid w:val="00A849CF"/>
    <w:rsid w:val="00A87A00"/>
    <w:rsid w:val="00A90698"/>
    <w:rsid w:val="00A92380"/>
    <w:rsid w:val="00A9431B"/>
    <w:rsid w:val="00A943A3"/>
    <w:rsid w:val="00A95C2E"/>
    <w:rsid w:val="00A95E40"/>
    <w:rsid w:val="00A96BD4"/>
    <w:rsid w:val="00A96E36"/>
    <w:rsid w:val="00AA02CD"/>
    <w:rsid w:val="00AA378E"/>
    <w:rsid w:val="00AA5F14"/>
    <w:rsid w:val="00AA682F"/>
    <w:rsid w:val="00AB1A45"/>
    <w:rsid w:val="00AB6BEB"/>
    <w:rsid w:val="00AC0099"/>
    <w:rsid w:val="00AC019C"/>
    <w:rsid w:val="00AD047E"/>
    <w:rsid w:val="00AD0BEE"/>
    <w:rsid w:val="00AD2D02"/>
    <w:rsid w:val="00AD2F87"/>
    <w:rsid w:val="00AE1273"/>
    <w:rsid w:val="00AE4423"/>
    <w:rsid w:val="00AE56CE"/>
    <w:rsid w:val="00AF0A67"/>
    <w:rsid w:val="00AF2A4D"/>
    <w:rsid w:val="00AF403F"/>
    <w:rsid w:val="00AF667D"/>
    <w:rsid w:val="00B01CFB"/>
    <w:rsid w:val="00B03D14"/>
    <w:rsid w:val="00B03F39"/>
    <w:rsid w:val="00B0453E"/>
    <w:rsid w:val="00B047AA"/>
    <w:rsid w:val="00B057D8"/>
    <w:rsid w:val="00B06BBE"/>
    <w:rsid w:val="00B07370"/>
    <w:rsid w:val="00B07532"/>
    <w:rsid w:val="00B07842"/>
    <w:rsid w:val="00B10A5C"/>
    <w:rsid w:val="00B11961"/>
    <w:rsid w:val="00B13582"/>
    <w:rsid w:val="00B140B8"/>
    <w:rsid w:val="00B20274"/>
    <w:rsid w:val="00B22561"/>
    <w:rsid w:val="00B23ACA"/>
    <w:rsid w:val="00B25248"/>
    <w:rsid w:val="00B255E4"/>
    <w:rsid w:val="00B300FA"/>
    <w:rsid w:val="00B3056D"/>
    <w:rsid w:val="00B30AC4"/>
    <w:rsid w:val="00B346BD"/>
    <w:rsid w:val="00B35AEB"/>
    <w:rsid w:val="00B35D05"/>
    <w:rsid w:val="00B35D23"/>
    <w:rsid w:val="00B4016F"/>
    <w:rsid w:val="00B40217"/>
    <w:rsid w:val="00B413F2"/>
    <w:rsid w:val="00B42B33"/>
    <w:rsid w:val="00B53468"/>
    <w:rsid w:val="00B55435"/>
    <w:rsid w:val="00B55AED"/>
    <w:rsid w:val="00B5697F"/>
    <w:rsid w:val="00B57FF3"/>
    <w:rsid w:val="00B605EF"/>
    <w:rsid w:val="00B673E5"/>
    <w:rsid w:val="00B70C52"/>
    <w:rsid w:val="00B71583"/>
    <w:rsid w:val="00B72641"/>
    <w:rsid w:val="00B72A5E"/>
    <w:rsid w:val="00B72B97"/>
    <w:rsid w:val="00B7505C"/>
    <w:rsid w:val="00B8029E"/>
    <w:rsid w:val="00B80B8E"/>
    <w:rsid w:val="00B80FC8"/>
    <w:rsid w:val="00B83796"/>
    <w:rsid w:val="00B839AE"/>
    <w:rsid w:val="00B84751"/>
    <w:rsid w:val="00B85C19"/>
    <w:rsid w:val="00B870A7"/>
    <w:rsid w:val="00B87395"/>
    <w:rsid w:val="00B9074F"/>
    <w:rsid w:val="00B90982"/>
    <w:rsid w:val="00B90ADE"/>
    <w:rsid w:val="00B94354"/>
    <w:rsid w:val="00B947A4"/>
    <w:rsid w:val="00B97534"/>
    <w:rsid w:val="00BA108B"/>
    <w:rsid w:val="00BA1337"/>
    <w:rsid w:val="00BA1359"/>
    <w:rsid w:val="00BA33BB"/>
    <w:rsid w:val="00BA4D8B"/>
    <w:rsid w:val="00BA588A"/>
    <w:rsid w:val="00BA5C22"/>
    <w:rsid w:val="00BA75C0"/>
    <w:rsid w:val="00BA75F7"/>
    <w:rsid w:val="00BB155A"/>
    <w:rsid w:val="00BB2169"/>
    <w:rsid w:val="00BB2949"/>
    <w:rsid w:val="00BB3629"/>
    <w:rsid w:val="00BB43A9"/>
    <w:rsid w:val="00BB4C14"/>
    <w:rsid w:val="00BB4F1E"/>
    <w:rsid w:val="00BB5A33"/>
    <w:rsid w:val="00BB5CF6"/>
    <w:rsid w:val="00BB63FA"/>
    <w:rsid w:val="00BC0DDC"/>
    <w:rsid w:val="00BC2E13"/>
    <w:rsid w:val="00BC4AFA"/>
    <w:rsid w:val="00BC4E14"/>
    <w:rsid w:val="00BC5286"/>
    <w:rsid w:val="00BC7698"/>
    <w:rsid w:val="00BD1A17"/>
    <w:rsid w:val="00BD3BC9"/>
    <w:rsid w:val="00BD3C3F"/>
    <w:rsid w:val="00BD484D"/>
    <w:rsid w:val="00BE2182"/>
    <w:rsid w:val="00BE3DFB"/>
    <w:rsid w:val="00BE5E19"/>
    <w:rsid w:val="00BE5EE1"/>
    <w:rsid w:val="00BE6FD0"/>
    <w:rsid w:val="00BF0106"/>
    <w:rsid w:val="00BF2025"/>
    <w:rsid w:val="00BF2D80"/>
    <w:rsid w:val="00BF459C"/>
    <w:rsid w:val="00BF5BCF"/>
    <w:rsid w:val="00BF5FE3"/>
    <w:rsid w:val="00BF690A"/>
    <w:rsid w:val="00C00B81"/>
    <w:rsid w:val="00C00E07"/>
    <w:rsid w:val="00C0142B"/>
    <w:rsid w:val="00C02FD4"/>
    <w:rsid w:val="00C04650"/>
    <w:rsid w:val="00C059B4"/>
    <w:rsid w:val="00C10586"/>
    <w:rsid w:val="00C11F30"/>
    <w:rsid w:val="00C128CE"/>
    <w:rsid w:val="00C12E24"/>
    <w:rsid w:val="00C136D4"/>
    <w:rsid w:val="00C1645B"/>
    <w:rsid w:val="00C20272"/>
    <w:rsid w:val="00C21D82"/>
    <w:rsid w:val="00C23D6D"/>
    <w:rsid w:val="00C23F2E"/>
    <w:rsid w:val="00C23F65"/>
    <w:rsid w:val="00C24541"/>
    <w:rsid w:val="00C246DF"/>
    <w:rsid w:val="00C25732"/>
    <w:rsid w:val="00C25C7D"/>
    <w:rsid w:val="00C265C8"/>
    <w:rsid w:val="00C314F4"/>
    <w:rsid w:val="00C31723"/>
    <w:rsid w:val="00C31D32"/>
    <w:rsid w:val="00C32E93"/>
    <w:rsid w:val="00C33889"/>
    <w:rsid w:val="00C345B3"/>
    <w:rsid w:val="00C34B0C"/>
    <w:rsid w:val="00C37B44"/>
    <w:rsid w:val="00C41DF0"/>
    <w:rsid w:val="00C441B5"/>
    <w:rsid w:val="00C457BB"/>
    <w:rsid w:val="00C470F2"/>
    <w:rsid w:val="00C47679"/>
    <w:rsid w:val="00C51840"/>
    <w:rsid w:val="00C51955"/>
    <w:rsid w:val="00C5223D"/>
    <w:rsid w:val="00C54D4B"/>
    <w:rsid w:val="00C55313"/>
    <w:rsid w:val="00C56A30"/>
    <w:rsid w:val="00C57BC0"/>
    <w:rsid w:val="00C6076D"/>
    <w:rsid w:val="00C6097B"/>
    <w:rsid w:val="00C6247E"/>
    <w:rsid w:val="00C62E4D"/>
    <w:rsid w:val="00C644F7"/>
    <w:rsid w:val="00C645F0"/>
    <w:rsid w:val="00C64EA1"/>
    <w:rsid w:val="00C657E7"/>
    <w:rsid w:val="00C7117D"/>
    <w:rsid w:val="00C71316"/>
    <w:rsid w:val="00C716DF"/>
    <w:rsid w:val="00C74288"/>
    <w:rsid w:val="00C769CD"/>
    <w:rsid w:val="00C77DC7"/>
    <w:rsid w:val="00C80CE6"/>
    <w:rsid w:val="00C81B00"/>
    <w:rsid w:val="00C82E81"/>
    <w:rsid w:val="00C83B13"/>
    <w:rsid w:val="00C83B3B"/>
    <w:rsid w:val="00C8665A"/>
    <w:rsid w:val="00C87F40"/>
    <w:rsid w:val="00C916D3"/>
    <w:rsid w:val="00C93925"/>
    <w:rsid w:val="00C93F46"/>
    <w:rsid w:val="00C949B9"/>
    <w:rsid w:val="00C95D1A"/>
    <w:rsid w:val="00C96983"/>
    <w:rsid w:val="00C978F1"/>
    <w:rsid w:val="00CA0677"/>
    <w:rsid w:val="00CA142D"/>
    <w:rsid w:val="00CA18B3"/>
    <w:rsid w:val="00CA5368"/>
    <w:rsid w:val="00CA67A8"/>
    <w:rsid w:val="00CB2AA4"/>
    <w:rsid w:val="00CB4189"/>
    <w:rsid w:val="00CB5CB5"/>
    <w:rsid w:val="00CB7368"/>
    <w:rsid w:val="00CC0C4A"/>
    <w:rsid w:val="00CC0EED"/>
    <w:rsid w:val="00CC216D"/>
    <w:rsid w:val="00CC3C2F"/>
    <w:rsid w:val="00CC450E"/>
    <w:rsid w:val="00CC4A6C"/>
    <w:rsid w:val="00CC6A0E"/>
    <w:rsid w:val="00CD2DE4"/>
    <w:rsid w:val="00CD2F5A"/>
    <w:rsid w:val="00CD4A8F"/>
    <w:rsid w:val="00CD4BFD"/>
    <w:rsid w:val="00CD528F"/>
    <w:rsid w:val="00CD6AEE"/>
    <w:rsid w:val="00CE15E2"/>
    <w:rsid w:val="00CE22C5"/>
    <w:rsid w:val="00CE3028"/>
    <w:rsid w:val="00CE6B6A"/>
    <w:rsid w:val="00CE7E20"/>
    <w:rsid w:val="00CF0A36"/>
    <w:rsid w:val="00CF2FE8"/>
    <w:rsid w:val="00CF3052"/>
    <w:rsid w:val="00CF3176"/>
    <w:rsid w:val="00CF55B4"/>
    <w:rsid w:val="00D01B30"/>
    <w:rsid w:val="00D06043"/>
    <w:rsid w:val="00D0672B"/>
    <w:rsid w:val="00D06821"/>
    <w:rsid w:val="00D10666"/>
    <w:rsid w:val="00D10F52"/>
    <w:rsid w:val="00D11A01"/>
    <w:rsid w:val="00D11DDC"/>
    <w:rsid w:val="00D1267C"/>
    <w:rsid w:val="00D12B7F"/>
    <w:rsid w:val="00D1344C"/>
    <w:rsid w:val="00D16773"/>
    <w:rsid w:val="00D21C30"/>
    <w:rsid w:val="00D23377"/>
    <w:rsid w:val="00D24A4C"/>
    <w:rsid w:val="00D26A76"/>
    <w:rsid w:val="00D323A5"/>
    <w:rsid w:val="00D330D2"/>
    <w:rsid w:val="00D34832"/>
    <w:rsid w:val="00D34FAA"/>
    <w:rsid w:val="00D40051"/>
    <w:rsid w:val="00D40FED"/>
    <w:rsid w:val="00D44F6D"/>
    <w:rsid w:val="00D47AF9"/>
    <w:rsid w:val="00D47CA3"/>
    <w:rsid w:val="00D52A8E"/>
    <w:rsid w:val="00D5457A"/>
    <w:rsid w:val="00D567E9"/>
    <w:rsid w:val="00D60AA2"/>
    <w:rsid w:val="00D6266C"/>
    <w:rsid w:val="00D62FEB"/>
    <w:rsid w:val="00D63736"/>
    <w:rsid w:val="00D63E9F"/>
    <w:rsid w:val="00D646A9"/>
    <w:rsid w:val="00D64865"/>
    <w:rsid w:val="00D675C8"/>
    <w:rsid w:val="00D7086E"/>
    <w:rsid w:val="00D71B79"/>
    <w:rsid w:val="00D73F8C"/>
    <w:rsid w:val="00D7414F"/>
    <w:rsid w:val="00D74156"/>
    <w:rsid w:val="00D753D4"/>
    <w:rsid w:val="00D75A5F"/>
    <w:rsid w:val="00D76C0A"/>
    <w:rsid w:val="00D77695"/>
    <w:rsid w:val="00D80D9B"/>
    <w:rsid w:val="00D81A89"/>
    <w:rsid w:val="00D83C56"/>
    <w:rsid w:val="00D86710"/>
    <w:rsid w:val="00D8681D"/>
    <w:rsid w:val="00D86F32"/>
    <w:rsid w:val="00D87388"/>
    <w:rsid w:val="00D902B1"/>
    <w:rsid w:val="00D91DEE"/>
    <w:rsid w:val="00D93E12"/>
    <w:rsid w:val="00D96092"/>
    <w:rsid w:val="00D961E7"/>
    <w:rsid w:val="00DA2383"/>
    <w:rsid w:val="00DA2D18"/>
    <w:rsid w:val="00DA6B90"/>
    <w:rsid w:val="00DB23B0"/>
    <w:rsid w:val="00DB2E97"/>
    <w:rsid w:val="00DB37DE"/>
    <w:rsid w:val="00DB5BEA"/>
    <w:rsid w:val="00DC0617"/>
    <w:rsid w:val="00DC172E"/>
    <w:rsid w:val="00DD05EC"/>
    <w:rsid w:val="00DD1510"/>
    <w:rsid w:val="00DD179C"/>
    <w:rsid w:val="00DD3789"/>
    <w:rsid w:val="00DD3F18"/>
    <w:rsid w:val="00DD50B9"/>
    <w:rsid w:val="00DD5BA3"/>
    <w:rsid w:val="00DD5C2D"/>
    <w:rsid w:val="00DD5D59"/>
    <w:rsid w:val="00DD5F3E"/>
    <w:rsid w:val="00DE036A"/>
    <w:rsid w:val="00DE59B4"/>
    <w:rsid w:val="00DE5F64"/>
    <w:rsid w:val="00DF0787"/>
    <w:rsid w:val="00DF207C"/>
    <w:rsid w:val="00DF2395"/>
    <w:rsid w:val="00DF2CE4"/>
    <w:rsid w:val="00DF4083"/>
    <w:rsid w:val="00DF4D9D"/>
    <w:rsid w:val="00DF53B5"/>
    <w:rsid w:val="00E023E9"/>
    <w:rsid w:val="00E04A5C"/>
    <w:rsid w:val="00E05019"/>
    <w:rsid w:val="00E0740D"/>
    <w:rsid w:val="00E07774"/>
    <w:rsid w:val="00E078A3"/>
    <w:rsid w:val="00E07C74"/>
    <w:rsid w:val="00E100C7"/>
    <w:rsid w:val="00E10F49"/>
    <w:rsid w:val="00E1144E"/>
    <w:rsid w:val="00E16275"/>
    <w:rsid w:val="00E1725A"/>
    <w:rsid w:val="00E2000D"/>
    <w:rsid w:val="00E21060"/>
    <w:rsid w:val="00E21946"/>
    <w:rsid w:val="00E22202"/>
    <w:rsid w:val="00E25C91"/>
    <w:rsid w:val="00E30790"/>
    <w:rsid w:val="00E316A6"/>
    <w:rsid w:val="00E318A8"/>
    <w:rsid w:val="00E319AC"/>
    <w:rsid w:val="00E32DC3"/>
    <w:rsid w:val="00E3400B"/>
    <w:rsid w:val="00E34524"/>
    <w:rsid w:val="00E34ACF"/>
    <w:rsid w:val="00E34DC4"/>
    <w:rsid w:val="00E352F9"/>
    <w:rsid w:val="00E35B61"/>
    <w:rsid w:val="00E41825"/>
    <w:rsid w:val="00E43045"/>
    <w:rsid w:val="00E554F6"/>
    <w:rsid w:val="00E56CFB"/>
    <w:rsid w:val="00E56FDC"/>
    <w:rsid w:val="00E57867"/>
    <w:rsid w:val="00E60533"/>
    <w:rsid w:val="00E60D0A"/>
    <w:rsid w:val="00E616FE"/>
    <w:rsid w:val="00E6193A"/>
    <w:rsid w:val="00E61CD7"/>
    <w:rsid w:val="00E623B4"/>
    <w:rsid w:val="00E62818"/>
    <w:rsid w:val="00E62A34"/>
    <w:rsid w:val="00E62B84"/>
    <w:rsid w:val="00E63244"/>
    <w:rsid w:val="00E64C63"/>
    <w:rsid w:val="00E65F70"/>
    <w:rsid w:val="00E66B22"/>
    <w:rsid w:val="00E7145C"/>
    <w:rsid w:val="00E74D61"/>
    <w:rsid w:val="00E778C2"/>
    <w:rsid w:val="00E80AE3"/>
    <w:rsid w:val="00E8204A"/>
    <w:rsid w:val="00E82F9E"/>
    <w:rsid w:val="00E84F79"/>
    <w:rsid w:val="00E84FBE"/>
    <w:rsid w:val="00E85128"/>
    <w:rsid w:val="00E8652B"/>
    <w:rsid w:val="00E866D5"/>
    <w:rsid w:val="00E8777D"/>
    <w:rsid w:val="00E87CE4"/>
    <w:rsid w:val="00E87D0C"/>
    <w:rsid w:val="00E91346"/>
    <w:rsid w:val="00E91967"/>
    <w:rsid w:val="00E91A1B"/>
    <w:rsid w:val="00E92672"/>
    <w:rsid w:val="00E92C74"/>
    <w:rsid w:val="00E9313F"/>
    <w:rsid w:val="00E937EC"/>
    <w:rsid w:val="00E951E3"/>
    <w:rsid w:val="00E97563"/>
    <w:rsid w:val="00EA36D9"/>
    <w:rsid w:val="00EA3E09"/>
    <w:rsid w:val="00EA3FF4"/>
    <w:rsid w:val="00EA5260"/>
    <w:rsid w:val="00EA5D04"/>
    <w:rsid w:val="00EB100A"/>
    <w:rsid w:val="00EB37DD"/>
    <w:rsid w:val="00EB67DC"/>
    <w:rsid w:val="00EB7BF3"/>
    <w:rsid w:val="00ED04FA"/>
    <w:rsid w:val="00ED0988"/>
    <w:rsid w:val="00ED2089"/>
    <w:rsid w:val="00ED4E3B"/>
    <w:rsid w:val="00EE0DE4"/>
    <w:rsid w:val="00EE1178"/>
    <w:rsid w:val="00EE1273"/>
    <w:rsid w:val="00EE2379"/>
    <w:rsid w:val="00EE43C2"/>
    <w:rsid w:val="00EE623C"/>
    <w:rsid w:val="00EF098C"/>
    <w:rsid w:val="00EF27DD"/>
    <w:rsid w:val="00EF4327"/>
    <w:rsid w:val="00EF5A2B"/>
    <w:rsid w:val="00EF69E7"/>
    <w:rsid w:val="00F036AF"/>
    <w:rsid w:val="00F037EA"/>
    <w:rsid w:val="00F05B3F"/>
    <w:rsid w:val="00F074CE"/>
    <w:rsid w:val="00F13020"/>
    <w:rsid w:val="00F21C40"/>
    <w:rsid w:val="00F21E92"/>
    <w:rsid w:val="00F23A55"/>
    <w:rsid w:val="00F23B79"/>
    <w:rsid w:val="00F2419E"/>
    <w:rsid w:val="00F24C8C"/>
    <w:rsid w:val="00F27240"/>
    <w:rsid w:val="00F272EB"/>
    <w:rsid w:val="00F32D9C"/>
    <w:rsid w:val="00F339C6"/>
    <w:rsid w:val="00F34BFB"/>
    <w:rsid w:val="00F414DF"/>
    <w:rsid w:val="00F41D97"/>
    <w:rsid w:val="00F42964"/>
    <w:rsid w:val="00F46954"/>
    <w:rsid w:val="00F471B4"/>
    <w:rsid w:val="00F47E9D"/>
    <w:rsid w:val="00F50D35"/>
    <w:rsid w:val="00F5183B"/>
    <w:rsid w:val="00F5254E"/>
    <w:rsid w:val="00F528C2"/>
    <w:rsid w:val="00F537BE"/>
    <w:rsid w:val="00F53DF3"/>
    <w:rsid w:val="00F55DE3"/>
    <w:rsid w:val="00F60C50"/>
    <w:rsid w:val="00F6397F"/>
    <w:rsid w:val="00F647F6"/>
    <w:rsid w:val="00F64CF6"/>
    <w:rsid w:val="00F65F4A"/>
    <w:rsid w:val="00F70FB7"/>
    <w:rsid w:val="00F710C4"/>
    <w:rsid w:val="00F71C2A"/>
    <w:rsid w:val="00F71CCE"/>
    <w:rsid w:val="00F72200"/>
    <w:rsid w:val="00F76B99"/>
    <w:rsid w:val="00F80268"/>
    <w:rsid w:val="00F8095C"/>
    <w:rsid w:val="00F80D3E"/>
    <w:rsid w:val="00F835D2"/>
    <w:rsid w:val="00F84391"/>
    <w:rsid w:val="00F84BC8"/>
    <w:rsid w:val="00F856B5"/>
    <w:rsid w:val="00F86ABC"/>
    <w:rsid w:val="00F86C0C"/>
    <w:rsid w:val="00F87DBC"/>
    <w:rsid w:val="00F90542"/>
    <w:rsid w:val="00F918EF"/>
    <w:rsid w:val="00F921A1"/>
    <w:rsid w:val="00F9398D"/>
    <w:rsid w:val="00F951DA"/>
    <w:rsid w:val="00F965F6"/>
    <w:rsid w:val="00F96BF6"/>
    <w:rsid w:val="00F973E6"/>
    <w:rsid w:val="00F97C6C"/>
    <w:rsid w:val="00FA1354"/>
    <w:rsid w:val="00FA1557"/>
    <w:rsid w:val="00FA71EB"/>
    <w:rsid w:val="00FB3618"/>
    <w:rsid w:val="00FB453C"/>
    <w:rsid w:val="00FB5EE1"/>
    <w:rsid w:val="00FB604D"/>
    <w:rsid w:val="00FB6290"/>
    <w:rsid w:val="00FC0E84"/>
    <w:rsid w:val="00FC2B82"/>
    <w:rsid w:val="00FC2D1F"/>
    <w:rsid w:val="00FC4AB7"/>
    <w:rsid w:val="00FD0382"/>
    <w:rsid w:val="00FD0D9A"/>
    <w:rsid w:val="00FD323E"/>
    <w:rsid w:val="00FD3D9C"/>
    <w:rsid w:val="00FD5E47"/>
    <w:rsid w:val="00FD78EC"/>
    <w:rsid w:val="00FE0D90"/>
    <w:rsid w:val="00FE2623"/>
    <w:rsid w:val="00FE3231"/>
    <w:rsid w:val="00FE3BF7"/>
    <w:rsid w:val="00FE6D3C"/>
    <w:rsid w:val="00FF1309"/>
    <w:rsid w:val="00FF13C3"/>
    <w:rsid w:val="00FF1B69"/>
    <w:rsid w:val="00FF333C"/>
    <w:rsid w:val="00FF3F7D"/>
    <w:rsid w:val="00FF54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BAE5D"/>
  <w15:chartTrackingRefBased/>
  <w15:docId w15:val="{FD4589E0-ADAB-4C9C-B465-86990538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019C"/>
    <w:rPr>
      <w:sz w:val="24"/>
      <w:szCs w:val="24"/>
      <w:lang w:val="en-US" w:eastAsia="en-US"/>
    </w:rPr>
  </w:style>
  <w:style w:type="paragraph" w:styleId="Heading1">
    <w:name w:val="heading 1"/>
    <w:basedOn w:val="Normal"/>
    <w:next w:val="Normal"/>
    <w:qFormat/>
    <w:pPr>
      <w:keepNext/>
      <w:jc w:val="both"/>
      <w:outlineLvl w:val="0"/>
    </w:pPr>
    <w:rPr>
      <w:b/>
      <w:bCs/>
      <w:sz w:val="28"/>
      <w:lang w:val="lv-LV"/>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tabs>
        <w:tab w:val="num" w:pos="720"/>
      </w:tabs>
      <w:ind w:left="720" w:hanging="720"/>
      <w:outlineLvl w:val="2"/>
    </w:pPr>
    <w:rPr>
      <w:b/>
      <w:bCs/>
      <w:sz w:val="32"/>
      <w:szCs w:val="20"/>
      <w:lang w:val="lv-LV"/>
    </w:rPr>
  </w:style>
  <w:style w:type="paragraph" w:styleId="Heading4">
    <w:name w:val="heading 4"/>
    <w:basedOn w:val="Normal"/>
    <w:next w:val="Normal"/>
    <w:qFormat/>
    <w:pPr>
      <w:keepNext/>
      <w:jc w:val="center"/>
      <w:outlineLvl w:val="3"/>
    </w:pPr>
    <w:rPr>
      <w:b/>
      <w:bCs/>
      <w:sz w:val="28"/>
      <w:lang w:val="lv-LV"/>
    </w:rPr>
  </w:style>
  <w:style w:type="paragraph" w:styleId="Heading5">
    <w:name w:val="heading 5"/>
    <w:basedOn w:val="Normal"/>
    <w:next w:val="Normal"/>
    <w:qFormat/>
    <w:pPr>
      <w:keepNext/>
      <w:numPr>
        <w:numId w:val="1"/>
      </w:numPr>
      <w:outlineLvl w:val="4"/>
    </w:pPr>
    <w:rPr>
      <w:b/>
      <w:bCs/>
      <w:sz w:val="28"/>
      <w:szCs w:val="20"/>
      <w:lang w:val="lv-LV"/>
    </w:rPr>
  </w:style>
  <w:style w:type="paragraph" w:styleId="Heading6">
    <w:name w:val="heading 6"/>
    <w:basedOn w:val="Normal"/>
    <w:next w:val="Normal"/>
    <w:qFormat/>
    <w:pPr>
      <w:keepNext/>
      <w:jc w:val="center"/>
      <w:outlineLvl w:val="5"/>
    </w:pPr>
    <w:rPr>
      <w:b/>
      <w:bCs/>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8"/>
      <w:lang w:val="lv-LV"/>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3">
    <w:name w:val="Body Text Indent 3"/>
    <w:basedOn w:val="Normal"/>
    <w:pPr>
      <w:ind w:firstLine="720"/>
      <w:jc w:val="both"/>
    </w:pPr>
    <w:rPr>
      <w:sz w:val="28"/>
      <w:lang w:val="lv-LV"/>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2">
    <w:name w:val="Body Text 2"/>
    <w:basedOn w:val="Normal"/>
    <w:pPr>
      <w:jc w:val="both"/>
    </w:pPr>
    <w:rPr>
      <w:sz w:val="28"/>
      <w:lang w:val="lv-LV"/>
    </w:rPr>
  </w:style>
  <w:style w:type="paragraph" w:styleId="BodyTextIndent">
    <w:name w:val="Body Text Indent"/>
    <w:basedOn w:val="Normal"/>
    <w:pPr>
      <w:ind w:firstLine="567"/>
      <w:jc w:val="both"/>
    </w:pPr>
    <w:rPr>
      <w:sz w:val="28"/>
      <w:lang w:val="lv-LV"/>
    </w:rPr>
  </w:style>
  <w:style w:type="paragraph" w:styleId="BodyTextIndent2">
    <w:name w:val="Body Text Indent 2"/>
    <w:basedOn w:val="Normal"/>
    <w:pPr>
      <w:tabs>
        <w:tab w:val="left" w:pos="-22"/>
      </w:tabs>
      <w:spacing w:before="120"/>
      <w:ind w:left="-22"/>
      <w:jc w:val="both"/>
    </w:pPr>
    <w:rPr>
      <w:sz w:val="28"/>
      <w:lang w:val="lv-LV"/>
    </w:rPr>
  </w:style>
  <w:style w:type="paragraph" w:styleId="BodyText3">
    <w:name w:val="Body Text 3"/>
    <w:basedOn w:val="Normal"/>
    <w:pPr>
      <w:jc w:val="both"/>
    </w:pPr>
    <w:rPr>
      <w:b/>
      <w:bCs/>
      <w:sz w:val="28"/>
      <w:szCs w:val="28"/>
      <w:lang w:val="lv-LV"/>
    </w:rPr>
  </w:style>
  <w:style w:type="paragraph" w:customStyle="1" w:styleId="naisf">
    <w:name w:val="naisf"/>
    <w:basedOn w:val="Normal"/>
    <w:pPr>
      <w:spacing w:before="100" w:beforeAutospacing="1" w:after="100" w:afterAutospacing="1"/>
      <w:jc w:val="both"/>
    </w:pPr>
    <w:rPr>
      <w:rFonts w:ascii="Arial Unicode MS" w:eastAsia="Arial Unicode MS" w:hAnsi="Arial Unicode MS"/>
      <w:lang w:val="en-GB"/>
    </w:rPr>
  </w:style>
  <w:style w:type="paragraph" w:styleId="Title">
    <w:name w:val="Title"/>
    <w:basedOn w:val="Normal"/>
    <w:qFormat/>
    <w:pPr>
      <w:jc w:val="center"/>
    </w:pPr>
    <w:rPr>
      <w:b/>
      <w:bCs/>
      <w:sz w:val="28"/>
      <w:lang w:val="lv-LV"/>
    </w:rPr>
  </w:style>
  <w:style w:type="paragraph" w:styleId="Subtitle">
    <w:name w:val="Subtitle"/>
    <w:basedOn w:val="Normal"/>
    <w:next w:val="Normal"/>
    <w:qFormat/>
    <w:pPr>
      <w:keepNext/>
      <w:keepLines/>
      <w:widowControl w:val="0"/>
      <w:suppressAutoHyphens/>
      <w:spacing w:before="600" w:after="600"/>
      <w:ind w:right="4820"/>
    </w:pPr>
    <w:rPr>
      <w:b/>
      <w:sz w:val="26"/>
      <w:szCs w:val="20"/>
      <w:lang w:val="en-AU"/>
    </w:rPr>
  </w:style>
  <w:style w:type="paragraph" w:customStyle="1" w:styleId="Subtitle14pt">
    <w:name w:val="Subtitle + 14 pt"/>
    <w:aliases w:val="Not Bold,Justified,First line:  1,27 cm,Right:  0 cm,Be..."/>
    <w:basedOn w:val="Subtitle"/>
    <w:pPr>
      <w:spacing w:before="120" w:after="120"/>
      <w:ind w:right="0" w:firstLine="720"/>
      <w:jc w:val="both"/>
    </w:pPr>
    <w:rPr>
      <w:b w:val="0"/>
      <w:sz w:val="28"/>
      <w:lang w:val="lv-LV"/>
    </w:rPr>
  </w:style>
  <w:style w:type="paragraph" w:styleId="BalloonText">
    <w:name w:val="Balloon Text"/>
    <w:basedOn w:val="Normal"/>
    <w:semiHidden/>
    <w:rsid w:val="00363178"/>
    <w:rPr>
      <w:rFonts w:ascii="Tahoma" w:hAnsi="Tahoma" w:cs="Tahoma"/>
      <w:sz w:val="16"/>
      <w:szCs w:val="16"/>
    </w:rPr>
  </w:style>
  <w:style w:type="paragraph" w:customStyle="1" w:styleId="naislab">
    <w:name w:val="naislab"/>
    <w:basedOn w:val="Normal"/>
    <w:rsid w:val="009A3A3E"/>
    <w:pPr>
      <w:spacing w:before="100" w:beforeAutospacing="1" w:after="100" w:afterAutospacing="1"/>
    </w:pPr>
    <w:rPr>
      <w:lang w:val="lv-LV" w:eastAsia="lv-LV"/>
    </w:rPr>
  </w:style>
  <w:style w:type="paragraph" w:customStyle="1" w:styleId="NormalWeb4Char">
    <w:name w:val="Normal (Web)4 Char"/>
    <w:basedOn w:val="Normal"/>
    <w:link w:val="NormalWeb4CharChar"/>
    <w:rsid w:val="000069F2"/>
    <w:rPr>
      <w:rFonts w:ascii="Tahoma" w:hAnsi="Tahoma" w:cs="Tahoma"/>
      <w:color w:val="2D2F30"/>
      <w:sz w:val="17"/>
      <w:szCs w:val="17"/>
      <w:lang w:val="lv-LV" w:eastAsia="lv-LV"/>
    </w:rPr>
  </w:style>
  <w:style w:type="character" w:customStyle="1" w:styleId="NormalWeb4CharChar">
    <w:name w:val="Normal (Web)4 Char Char"/>
    <w:link w:val="NormalWeb4Char"/>
    <w:rsid w:val="000069F2"/>
    <w:rPr>
      <w:rFonts w:ascii="Tahoma" w:hAnsi="Tahoma" w:cs="Tahoma"/>
      <w:color w:val="2D2F30"/>
      <w:sz w:val="17"/>
      <w:szCs w:val="17"/>
      <w:lang w:val="lv-LV" w:eastAsia="lv-LV" w:bidi="ar-SA"/>
    </w:rPr>
  </w:style>
  <w:style w:type="paragraph" w:customStyle="1" w:styleId="Rakstz">
    <w:name w:val="Rakstz."/>
    <w:basedOn w:val="Normal"/>
    <w:rsid w:val="00B9074F"/>
    <w:rPr>
      <w:lang w:val="pl-PL" w:eastAsia="pl-PL"/>
    </w:rPr>
  </w:style>
  <w:style w:type="character" w:styleId="Hyperlink">
    <w:name w:val="Hyperlink"/>
    <w:uiPriority w:val="99"/>
    <w:rsid w:val="007B3F81"/>
    <w:rPr>
      <w:color w:val="0000FF"/>
      <w:u w:val="single"/>
    </w:rPr>
  </w:style>
  <w:style w:type="character" w:styleId="Strong">
    <w:name w:val="Strong"/>
    <w:qFormat/>
    <w:rsid w:val="000D6ADC"/>
    <w:rPr>
      <w:b/>
      <w:bCs/>
    </w:rPr>
  </w:style>
  <w:style w:type="paragraph" w:customStyle="1" w:styleId="RakstzCharCharRakstzCharCharRakstzCharCharRakstz">
    <w:name w:val="Rakstz. Char Char Rakstz. Char Char Rakstz. Char Char Rakstz."/>
    <w:basedOn w:val="Normal"/>
    <w:rsid w:val="008976C4"/>
    <w:pPr>
      <w:spacing w:after="160" w:line="240" w:lineRule="exact"/>
    </w:pPr>
    <w:rPr>
      <w:rFonts w:ascii="Tahoma" w:hAnsi="Tahoma"/>
      <w:sz w:val="20"/>
      <w:szCs w:val="20"/>
    </w:rPr>
  </w:style>
  <w:style w:type="paragraph" w:customStyle="1" w:styleId="ColorfulList-Accent11">
    <w:name w:val="Colorful List - Accent 11"/>
    <w:basedOn w:val="Normal"/>
    <w:qFormat/>
    <w:rsid w:val="002A4DAF"/>
    <w:pPr>
      <w:ind w:left="720"/>
    </w:pPr>
    <w:rPr>
      <w:lang w:val="lv-LV" w:eastAsia="lv-LV"/>
    </w:rPr>
  </w:style>
  <w:style w:type="paragraph" w:customStyle="1" w:styleId="naiskr">
    <w:name w:val="naiskr"/>
    <w:basedOn w:val="Normal"/>
    <w:rsid w:val="007104F2"/>
    <w:pPr>
      <w:spacing w:before="100" w:beforeAutospacing="1" w:after="100" w:afterAutospacing="1"/>
    </w:pPr>
    <w:rPr>
      <w:lang w:val="lv-LV" w:eastAsia="lv-LV"/>
    </w:rPr>
  </w:style>
  <w:style w:type="paragraph" w:customStyle="1" w:styleId="naisnod">
    <w:name w:val="naisnod"/>
    <w:basedOn w:val="Normal"/>
    <w:rsid w:val="00A5556A"/>
    <w:pPr>
      <w:spacing w:before="100" w:beforeAutospacing="1" w:after="100" w:afterAutospacing="1"/>
    </w:pPr>
    <w:rPr>
      <w:lang w:val="lv-LV" w:eastAsia="lv-LV"/>
    </w:rPr>
  </w:style>
  <w:style w:type="paragraph" w:customStyle="1" w:styleId="Default">
    <w:name w:val="Default"/>
    <w:rsid w:val="00E100C7"/>
    <w:pPr>
      <w:autoSpaceDE w:val="0"/>
      <w:autoSpaceDN w:val="0"/>
      <w:adjustRightInd w:val="0"/>
    </w:pPr>
    <w:rPr>
      <w:color w:val="000000"/>
      <w:sz w:val="24"/>
      <w:szCs w:val="24"/>
    </w:rPr>
  </w:style>
  <w:style w:type="paragraph" w:customStyle="1" w:styleId="MediumGrid21">
    <w:name w:val="Medium Grid 21"/>
    <w:uiPriority w:val="1"/>
    <w:qFormat/>
    <w:rsid w:val="0088195E"/>
    <w:rPr>
      <w:rFonts w:ascii="Calibri" w:eastAsia="Calibri" w:hAnsi="Calibri"/>
      <w:sz w:val="22"/>
      <w:szCs w:val="22"/>
      <w:lang w:eastAsia="en-US"/>
    </w:rPr>
  </w:style>
  <w:style w:type="paragraph" w:styleId="ListParagraph">
    <w:name w:val="List Paragraph"/>
    <w:aliases w:val="2"/>
    <w:basedOn w:val="Normal"/>
    <w:link w:val="ListParagraphChar"/>
    <w:uiPriority w:val="34"/>
    <w:qFormat/>
    <w:rsid w:val="002813EC"/>
    <w:pPr>
      <w:ind w:left="720" w:firstLine="425"/>
      <w:contextualSpacing/>
      <w:jc w:val="both"/>
    </w:pPr>
    <w:rPr>
      <w:rFonts w:eastAsia="Calibri"/>
      <w:lang w:val="lv-LV"/>
    </w:rPr>
  </w:style>
  <w:style w:type="paragraph" w:styleId="NoSpacing">
    <w:name w:val="No Spacing"/>
    <w:uiPriority w:val="1"/>
    <w:qFormat/>
    <w:rsid w:val="008674F9"/>
    <w:rPr>
      <w:rFonts w:ascii="Calibri" w:eastAsia="Calibri" w:hAnsi="Calibri"/>
      <w:sz w:val="22"/>
      <w:szCs w:val="22"/>
      <w:lang w:eastAsia="en-US"/>
    </w:rPr>
  </w:style>
  <w:style w:type="character" w:customStyle="1" w:styleId="ListParagraphChar">
    <w:name w:val="List Paragraph Char"/>
    <w:aliases w:val="2 Char"/>
    <w:link w:val="ListParagraph"/>
    <w:uiPriority w:val="34"/>
    <w:locked/>
    <w:rsid w:val="000616DF"/>
    <w:rPr>
      <w:rFonts w:eastAsia="Calibri"/>
      <w:sz w:val="24"/>
      <w:szCs w:val="24"/>
      <w:lang w:eastAsia="en-US"/>
    </w:rPr>
  </w:style>
  <w:style w:type="paragraph" w:customStyle="1" w:styleId="tv213">
    <w:name w:val="tv213"/>
    <w:basedOn w:val="Normal"/>
    <w:rsid w:val="00F9398D"/>
    <w:pPr>
      <w:spacing w:before="100" w:beforeAutospacing="1" w:after="100" w:afterAutospacing="1"/>
    </w:pPr>
    <w:rPr>
      <w:lang w:val="lv-LV" w:eastAsia="lv-LV"/>
    </w:rPr>
  </w:style>
  <w:style w:type="paragraph" w:customStyle="1" w:styleId="naisc">
    <w:name w:val="naisc"/>
    <w:basedOn w:val="Normal"/>
    <w:rsid w:val="00BA5C22"/>
    <w:pPr>
      <w:spacing w:before="75" w:after="75"/>
      <w:jc w:val="center"/>
    </w:pPr>
    <w:rPr>
      <w:lang w:val="lv-LV" w:eastAsia="lv-LV"/>
    </w:rPr>
  </w:style>
  <w:style w:type="character" w:customStyle="1" w:styleId="FooterChar">
    <w:name w:val="Footer Char"/>
    <w:basedOn w:val="DefaultParagraphFont"/>
    <w:link w:val="Footer"/>
    <w:rsid w:val="00951A35"/>
    <w:rPr>
      <w:sz w:val="24"/>
      <w:szCs w:val="24"/>
      <w:lang w:val="en-US" w:eastAsia="en-US"/>
    </w:rPr>
  </w:style>
  <w:style w:type="character" w:styleId="Emphasis">
    <w:name w:val="Emphasis"/>
    <w:basedOn w:val="DefaultParagraphFont"/>
    <w:qFormat/>
    <w:rsid w:val="00390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1246">
      <w:bodyDiv w:val="1"/>
      <w:marLeft w:val="0"/>
      <w:marRight w:val="0"/>
      <w:marTop w:val="0"/>
      <w:marBottom w:val="0"/>
      <w:divBdr>
        <w:top w:val="none" w:sz="0" w:space="0" w:color="auto"/>
        <w:left w:val="none" w:sz="0" w:space="0" w:color="auto"/>
        <w:bottom w:val="none" w:sz="0" w:space="0" w:color="auto"/>
        <w:right w:val="none" w:sz="0" w:space="0" w:color="auto"/>
      </w:divBdr>
    </w:div>
    <w:div w:id="74280847">
      <w:bodyDiv w:val="1"/>
      <w:marLeft w:val="0"/>
      <w:marRight w:val="0"/>
      <w:marTop w:val="0"/>
      <w:marBottom w:val="0"/>
      <w:divBdr>
        <w:top w:val="none" w:sz="0" w:space="0" w:color="auto"/>
        <w:left w:val="none" w:sz="0" w:space="0" w:color="auto"/>
        <w:bottom w:val="none" w:sz="0" w:space="0" w:color="auto"/>
        <w:right w:val="none" w:sz="0" w:space="0" w:color="auto"/>
      </w:divBdr>
    </w:div>
    <w:div w:id="74978739">
      <w:bodyDiv w:val="1"/>
      <w:marLeft w:val="0"/>
      <w:marRight w:val="0"/>
      <w:marTop w:val="0"/>
      <w:marBottom w:val="0"/>
      <w:divBdr>
        <w:top w:val="none" w:sz="0" w:space="0" w:color="auto"/>
        <w:left w:val="none" w:sz="0" w:space="0" w:color="auto"/>
        <w:bottom w:val="none" w:sz="0" w:space="0" w:color="auto"/>
        <w:right w:val="none" w:sz="0" w:space="0" w:color="auto"/>
      </w:divBdr>
    </w:div>
    <w:div w:id="86536530">
      <w:bodyDiv w:val="1"/>
      <w:marLeft w:val="0"/>
      <w:marRight w:val="0"/>
      <w:marTop w:val="0"/>
      <w:marBottom w:val="0"/>
      <w:divBdr>
        <w:top w:val="none" w:sz="0" w:space="0" w:color="auto"/>
        <w:left w:val="none" w:sz="0" w:space="0" w:color="auto"/>
        <w:bottom w:val="none" w:sz="0" w:space="0" w:color="auto"/>
        <w:right w:val="none" w:sz="0" w:space="0" w:color="auto"/>
      </w:divBdr>
    </w:div>
    <w:div w:id="86577829">
      <w:bodyDiv w:val="1"/>
      <w:marLeft w:val="0"/>
      <w:marRight w:val="0"/>
      <w:marTop w:val="0"/>
      <w:marBottom w:val="0"/>
      <w:divBdr>
        <w:top w:val="none" w:sz="0" w:space="0" w:color="auto"/>
        <w:left w:val="none" w:sz="0" w:space="0" w:color="auto"/>
        <w:bottom w:val="none" w:sz="0" w:space="0" w:color="auto"/>
        <w:right w:val="none" w:sz="0" w:space="0" w:color="auto"/>
      </w:divBdr>
    </w:div>
    <w:div w:id="148257380">
      <w:bodyDiv w:val="1"/>
      <w:marLeft w:val="0"/>
      <w:marRight w:val="0"/>
      <w:marTop w:val="0"/>
      <w:marBottom w:val="0"/>
      <w:divBdr>
        <w:top w:val="none" w:sz="0" w:space="0" w:color="auto"/>
        <w:left w:val="none" w:sz="0" w:space="0" w:color="auto"/>
        <w:bottom w:val="none" w:sz="0" w:space="0" w:color="auto"/>
        <w:right w:val="none" w:sz="0" w:space="0" w:color="auto"/>
      </w:divBdr>
    </w:div>
    <w:div w:id="487669163">
      <w:bodyDiv w:val="1"/>
      <w:marLeft w:val="0"/>
      <w:marRight w:val="0"/>
      <w:marTop w:val="0"/>
      <w:marBottom w:val="0"/>
      <w:divBdr>
        <w:top w:val="none" w:sz="0" w:space="0" w:color="auto"/>
        <w:left w:val="none" w:sz="0" w:space="0" w:color="auto"/>
        <w:bottom w:val="none" w:sz="0" w:space="0" w:color="auto"/>
        <w:right w:val="none" w:sz="0" w:space="0" w:color="auto"/>
      </w:divBdr>
    </w:div>
    <w:div w:id="490028173">
      <w:bodyDiv w:val="1"/>
      <w:marLeft w:val="0"/>
      <w:marRight w:val="0"/>
      <w:marTop w:val="0"/>
      <w:marBottom w:val="0"/>
      <w:divBdr>
        <w:top w:val="none" w:sz="0" w:space="0" w:color="auto"/>
        <w:left w:val="none" w:sz="0" w:space="0" w:color="auto"/>
        <w:bottom w:val="none" w:sz="0" w:space="0" w:color="auto"/>
        <w:right w:val="none" w:sz="0" w:space="0" w:color="auto"/>
      </w:divBdr>
    </w:div>
    <w:div w:id="529295005">
      <w:bodyDiv w:val="1"/>
      <w:marLeft w:val="0"/>
      <w:marRight w:val="0"/>
      <w:marTop w:val="0"/>
      <w:marBottom w:val="0"/>
      <w:divBdr>
        <w:top w:val="none" w:sz="0" w:space="0" w:color="auto"/>
        <w:left w:val="none" w:sz="0" w:space="0" w:color="auto"/>
        <w:bottom w:val="none" w:sz="0" w:space="0" w:color="auto"/>
        <w:right w:val="none" w:sz="0" w:space="0" w:color="auto"/>
      </w:divBdr>
    </w:div>
    <w:div w:id="564412013">
      <w:bodyDiv w:val="1"/>
      <w:marLeft w:val="0"/>
      <w:marRight w:val="0"/>
      <w:marTop w:val="0"/>
      <w:marBottom w:val="0"/>
      <w:divBdr>
        <w:top w:val="none" w:sz="0" w:space="0" w:color="auto"/>
        <w:left w:val="none" w:sz="0" w:space="0" w:color="auto"/>
        <w:bottom w:val="none" w:sz="0" w:space="0" w:color="auto"/>
        <w:right w:val="none" w:sz="0" w:space="0" w:color="auto"/>
      </w:divBdr>
    </w:div>
    <w:div w:id="616135625">
      <w:bodyDiv w:val="1"/>
      <w:marLeft w:val="0"/>
      <w:marRight w:val="0"/>
      <w:marTop w:val="0"/>
      <w:marBottom w:val="0"/>
      <w:divBdr>
        <w:top w:val="none" w:sz="0" w:space="0" w:color="auto"/>
        <w:left w:val="none" w:sz="0" w:space="0" w:color="auto"/>
        <w:bottom w:val="none" w:sz="0" w:space="0" w:color="auto"/>
        <w:right w:val="none" w:sz="0" w:space="0" w:color="auto"/>
      </w:divBdr>
    </w:div>
    <w:div w:id="644941402">
      <w:bodyDiv w:val="1"/>
      <w:marLeft w:val="0"/>
      <w:marRight w:val="0"/>
      <w:marTop w:val="0"/>
      <w:marBottom w:val="0"/>
      <w:divBdr>
        <w:top w:val="none" w:sz="0" w:space="0" w:color="auto"/>
        <w:left w:val="none" w:sz="0" w:space="0" w:color="auto"/>
        <w:bottom w:val="none" w:sz="0" w:space="0" w:color="auto"/>
        <w:right w:val="none" w:sz="0" w:space="0" w:color="auto"/>
      </w:divBdr>
    </w:div>
    <w:div w:id="724178844">
      <w:bodyDiv w:val="1"/>
      <w:marLeft w:val="0"/>
      <w:marRight w:val="0"/>
      <w:marTop w:val="0"/>
      <w:marBottom w:val="0"/>
      <w:divBdr>
        <w:top w:val="none" w:sz="0" w:space="0" w:color="auto"/>
        <w:left w:val="none" w:sz="0" w:space="0" w:color="auto"/>
        <w:bottom w:val="none" w:sz="0" w:space="0" w:color="auto"/>
        <w:right w:val="none" w:sz="0" w:space="0" w:color="auto"/>
      </w:divBdr>
    </w:div>
    <w:div w:id="819230039">
      <w:bodyDiv w:val="1"/>
      <w:marLeft w:val="0"/>
      <w:marRight w:val="0"/>
      <w:marTop w:val="0"/>
      <w:marBottom w:val="0"/>
      <w:divBdr>
        <w:top w:val="none" w:sz="0" w:space="0" w:color="auto"/>
        <w:left w:val="none" w:sz="0" w:space="0" w:color="auto"/>
        <w:bottom w:val="none" w:sz="0" w:space="0" w:color="auto"/>
        <w:right w:val="none" w:sz="0" w:space="0" w:color="auto"/>
      </w:divBdr>
    </w:div>
    <w:div w:id="1008407677">
      <w:bodyDiv w:val="1"/>
      <w:marLeft w:val="0"/>
      <w:marRight w:val="0"/>
      <w:marTop w:val="0"/>
      <w:marBottom w:val="0"/>
      <w:divBdr>
        <w:top w:val="none" w:sz="0" w:space="0" w:color="auto"/>
        <w:left w:val="none" w:sz="0" w:space="0" w:color="auto"/>
        <w:bottom w:val="none" w:sz="0" w:space="0" w:color="auto"/>
        <w:right w:val="none" w:sz="0" w:space="0" w:color="auto"/>
      </w:divBdr>
    </w:div>
    <w:div w:id="1116290976">
      <w:bodyDiv w:val="1"/>
      <w:marLeft w:val="0"/>
      <w:marRight w:val="0"/>
      <w:marTop w:val="0"/>
      <w:marBottom w:val="0"/>
      <w:divBdr>
        <w:top w:val="none" w:sz="0" w:space="0" w:color="auto"/>
        <w:left w:val="none" w:sz="0" w:space="0" w:color="auto"/>
        <w:bottom w:val="none" w:sz="0" w:space="0" w:color="auto"/>
        <w:right w:val="none" w:sz="0" w:space="0" w:color="auto"/>
      </w:divBdr>
    </w:div>
    <w:div w:id="1125467380">
      <w:bodyDiv w:val="1"/>
      <w:marLeft w:val="0"/>
      <w:marRight w:val="0"/>
      <w:marTop w:val="0"/>
      <w:marBottom w:val="0"/>
      <w:divBdr>
        <w:top w:val="none" w:sz="0" w:space="0" w:color="auto"/>
        <w:left w:val="none" w:sz="0" w:space="0" w:color="auto"/>
        <w:bottom w:val="none" w:sz="0" w:space="0" w:color="auto"/>
        <w:right w:val="none" w:sz="0" w:space="0" w:color="auto"/>
      </w:divBdr>
    </w:div>
    <w:div w:id="1143111434">
      <w:bodyDiv w:val="1"/>
      <w:marLeft w:val="0"/>
      <w:marRight w:val="0"/>
      <w:marTop w:val="0"/>
      <w:marBottom w:val="0"/>
      <w:divBdr>
        <w:top w:val="none" w:sz="0" w:space="0" w:color="auto"/>
        <w:left w:val="none" w:sz="0" w:space="0" w:color="auto"/>
        <w:bottom w:val="none" w:sz="0" w:space="0" w:color="auto"/>
        <w:right w:val="none" w:sz="0" w:space="0" w:color="auto"/>
      </w:divBdr>
    </w:div>
    <w:div w:id="1143155073">
      <w:bodyDiv w:val="1"/>
      <w:marLeft w:val="0"/>
      <w:marRight w:val="0"/>
      <w:marTop w:val="0"/>
      <w:marBottom w:val="0"/>
      <w:divBdr>
        <w:top w:val="none" w:sz="0" w:space="0" w:color="auto"/>
        <w:left w:val="none" w:sz="0" w:space="0" w:color="auto"/>
        <w:bottom w:val="none" w:sz="0" w:space="0" w:color="auto"/>
        <w:right w:val="none" w:sz="0" w:space="0" w:color="auto"/>
      </w:divBdr>
    </w:div>
    <w:div w:id="1198785515">
      <w:bodyDiv w:val="1"/>
      <w:marLeft w:val="0"/>
      <w:marRight w:val="0"/>
      <w:marTop w:val="0"/>
      <w:marBottom w:val="0"/>
      <w:divBdr>
        <w:top w:val="none" w:sz="0" w:space="0" w:color="auto"/>
        <w:left w:val="none" w:sz="0" w:space="0" w:color="auto"/>
        <w:bottom w:val="none" w:sz="0" w:space="0" w:color="auto"/>
        <w:right w:val="none" w:sz="0" w:space="0" w:color="auto"/>
      </w:divBdr>
    </w:div>
    <w:div w:id="1223371566">
      <w:bodyDiv w:val="1"/>
      <w:marLeft w:val="0"/>
      <w:marRight w:val="0"/>
      <w:marTop w:val="0"/>
      <w:marBottom w:val="0"/>
      <w:divBdr>
        <w:top w:val="none" w:sz="0" w:space="0" w:color="auto"/>
        <w:left w:val="none" w:sz="0" w:space="0" w:color="auto"/>
        <w:bottom w:val="none" w:sz="0" w:space="0" w:color="auto"/>
        <w:right w:val="none" w:sz="0" w:space="0" w:color="auto"/>
      </w:divBdr>
    </w:div>
    <w:div w:id="1265073097">
      <w:bodyDiv w:val="1"/>
      <w:marLeft w:val="0"/>
      <w:marRight w:val="0"/>
      <w:marTop w:val="0"/>
      <w:marBottom w:val="0"/>
      <w:divBdr>
        <w:top w:val="none" w:sz="0" w:space="0" w:color="auto"/>
        <w:left w:val="none" w:sz="0" w:space="0" w:color="auto"/>
        <w:bottom w:val="none" w:sz="0" w:space="0" w:color="auto"/>
        <w:right w:val="none" w:sz="0" w:space="0" w:color="auto"/>
      </w:divBdr>
    </w:div>
    <w:div w:id="1350260762">
      <w:bodyDiv w:val="1"/>
      <w:marLeft w:val="0"/>
      <w:marRight w:val="0"/>
      <w:marTop w:val="0"/>
      <w:marBottom w:val="0"/>
      <w:divBdr>
        <w:top w:val="none" w:sz="0" w:space="0" w:color="auto"/>
        <w:left w:val="none" w:sz="0" w:space="0" w:color="auto"/>
        <w:bottom w:val="none" w:sz="0" w:space="0" w:color="auto"/>
        <w:right w:val="none" w:sz="0" w:space="0" w:color="auto"/>
      </w:divBdr>
    </w:div>
    <w:div w:id="1370495445">
      <w:bodyDiv w:val="1"/>
      <w:marLeft w:val="0"/>
      <w:marRight w:val="0"/>
      <w:marTop w:val="0"/>
      <w:marBottom w:val="0"/>
      <w:divBdr>
        <w:top w:val="none" w:sz="0" w:space="0" w:color="auto"/>
        <w:left w:val="none" w:sz="0" w:space="0" w:color="auto"/>
        <w:bottom w:val="none" w:sz="0" w:space="0" w:color="auto"/>
        <w:right w:val="none" w:sz="0" w:space="0" w:color="auto"/>
      </w:divBdr>
    </w:div>
    <w:div w:id="1413313571">
      <w:bodyDiv w:val="1"/>
      <w:marLeft w:val="0"/>
      <w:marRight w:val="0"/>
      <w:marTop w:val="0"/>
      <w:marBottom w:val="0"/>
      <w:divBdr>
        <w:top w:val="none" w:sz="0" w:space="0" w:color="auto"/>
        <w:left w:val="none" w:sz="0" w:space="0" w:color="auto"/>
        <w:bottom w:val="none" w:sz="0" w:space="0" w:color="auto"/>
        <w:right w:val="none" w:sz="0" w:space="0" w:color="auto"/>
      </w:divBdr>
    </w:div>
    <w:div w:id="1421371480">
      <w:bodyDiv w:val="1"/>
      <w:marLeft w:val="0"/>
      <w:marRight w:val="0"/>
      <w:marTop w:val="0"/>
      <w:marBottom w:val="0"/>
      <w:divBdr>
        <w:top w:val="none" w:sz="0" w:space="0" w:color="auto"/>
        <w:left w:val="none" w:sz="0" w:space="0" w:color="auto"/>
        <w:bottom w:val="none" w:sz="0" w:space="0" w:color="auto"/>
        <w:right w:val="none" w:sz="0" w:space="0" w:color="auto"/>
      </w:divBdr>
    </w:div>
    <w:div w:id="1486318630">
      <w:bodyDiv w:val="1"/>
      <w:marLeft w:val="0"/>
      <w:marRight w:val="0"/>
      <w:marTop w:val="0"/>
      <w:marBottom w:val="0"/>
      <w:divBdr>
        <w:top w:val="none" w:sz="0" w:space="0" w:color="auto"/>
        <w:left w:val="none" w:sz="0" w:space="0" w:color="auto"/>
        <w:bottom w:val="none" w:sz="0" w:space="0" w:color="auto"/>
        <w:right w:val="none" w:sz="0" w:space="0" w:color="auto"/>
      </w:divBdr>
    </w:div>
    <w:div w:id="1523202225">
      <w:bodyDiv w:val="1"/>
      <w:marLeft w:val="0"/>
      <w:marRight w:val="0"/>
      <w:marTop w:val="0"/>
      <w:marBottom w:val="0"/>
      <w:divBdr>
        <w:top w:val="none" w:sz="0" w:space="0" w:color="auto"/>
        <w:left w:val="none" w:sz="0" w:space="0" w:color="auto"/>
        <w:bottom w:val="none" w:sz="0" w:space="0" w:color="auto"/>
        <w:right w:val="none" w:sz="0" w:space="0" w:color="auto"/>
      </w:divBdr>
    </w:div>
    <w:div w:id="1553467084">
      <w:bodyDiv w:val="1"/>
      <w:marLeft w:val="0"/>
      <w:marRight w:val="0"/>
      <w:marTop w:val="0"/>
      <w:marBottom w:val="0"/>
      <w:divBdr>
        <w:top w:val="none" w:sz="0" w:space="0" w:color="auto"/>
        <w:left w:val="none" w:sz="0" w:space="0" w:color="auto"/>
        <w:bottom w:val="none" w:sz="0" w:space="0" w:color="auto"/>
        <w:right w:val="none" w:sz="0" w:space="0" w:color="auto"/>
      </w:divBdr>
    </w:div>
    <w:div w:id="1800412624">
      <w:bodyDiv w:val="1"/>
      <w:marLeft w:val="0"/>
      <w:marRight w:val="0"/>
      <w:marTop w:val="0"/>
      <w:marBottom w:val="0"/>
      <w:divBdr>
        <w:top w:val="none" w:sz="0" w:space="0" w:color="auto"/>
        <w:left w:val="none" w:sz="0" w:space="0" w:color="auto"/>
        <w:bottom w:val="none" w:sz="0" w:space="0" w:color="auto"/>
        <w:right w:val="none" w:sz="0" w:space="0" w:color="auto"/>
      </w:divBdr>
    </w:div>
    <w:div w:id="1816409585">
      <w:bodyDiv w:val="1"/>
      <w:marLeft w:val="0"/>
      <w:marRight w:val="0"/>
      <w:marTop w:val="0"/>
      <w:marBottom w:val="0"/>
      <w:divBdr>
        <w:top w:val="none" w:sz="0" w:space="0" w:color="auto"/>
        <w:left w:val="none" w:sz="0" w:space="0" w:color="auto"/>
        <w:bottom w:val="none" w:sz="0" w:space="0" w:color="auto"/>
        <w:right w:val="none" w:sz="0" w:space="0" w:color="auto"/>
      </w:divBdr>
    </w:div>
    <w:div w:id="1841003097">
      <w:bodyDiv w:val="1"/>
      <w:marLeft w:val="0"/>
      <w:marRight w:val="0"/>
      <w:marTop w:val="0"/>
      <w:marBottom w:val="0"/>
      <w:divBdr>
        <w:top w:val="none" w:sz="0" w:space="0" w:color="auto"/>
        <w:left w:val="none" w:sz="0" w:space="0" w:color="auto"/>
        <w:bottom w:val="none" w:sz="0" w:space="0" w:color="auto"/>
        <w:right w:val="none" w:sz="0" w:space="0" w:color="auto"/>
      </w:divBdr>
    </w:div>
    <w:div w:id="1932273849">
      <w:bodyDiv w:val="1"/>
      <w:marLeft w:val="0"/>
      <w:marRight w:val="0"/>
      <w:marTop w:val="0"/>
      <w:marBottom w:val="0"/>
      <w:divBdr>
        <w:top w:val="none" w:sz="0" w:space="0" w:color="auto"/>
        <w:left w:val="none" w:sz="0" w:space="0" w:color="auto"/>
        <w:bottom w:val="none" w:sz="0" w:space="0" w:color="auto"/>
        <w:right w:val="none" w:sz="0" w:space="0" w:color="auto"/>
      </w:divBdr>
    </w:div>
    <w:div w:id="1967588420">
      <w:bodyDiv w:val="1"/>
      <w:marLeft w:val="0"/>
      <w:marRight w:val="0"/>
      <w:marTop w:val="0"/>
      <w:marBottom w:val="0"/>
      <w:divBdr>
        <w:top w:val="none" w:sz="0" w:space="0" w:color="auto"/>
        <w:left w:val="none" w:sz="0" w:space="0" w:color="auto"/>
        <w:bottom w:val="none" w:sz="0" w:space="0" w:color="auto"/>
        <w:right w:val="none" w:sz="0" w:space="0" w:color="auto"/>
      </w:divBdr>
    </w:div>
    <w:div w:id="2018648711">
      <w:bodyDiv w:val="1"/>
      <w:marLeft w:val="0"/>
      <w:marRight w:val="0"/>
      <w:marTop w:val="0"/>
      <w:marBottom w:val="0"/>
      <w:divBdr>
        <w:top w:val="none" w:sz="0" w:space="0" w:color="auto"/>
        <w:left w:val="none" w:sz="0" w:space="0" w:color="auto"/>
        <w:bottom w:val="none" w:sz="0" w:space="0" w:color="auto"/>
        <w:right w:val="none" w:sz="0" w:space="0" w:color="auto"/>
      </w:divBdr>
    </w:div>
    <w:div w:id="2028436547">
      <w:bodyDiv w:val="1"/>
      <w:marLeft w:val="0"/>
      <w:marRight w:val="0"/>
      <w:marTop w:val="0"/>
      <w:marBottom w:val="0"/>
      <w:divBdr>
        <w:top w:val="none" w:sz="0" w:space="0" w:color="auto"/>
        <w:left w:val="none" w:sz="0" w:space="0" w:color="auto"/>
        <w:bottom w:val="none" w:sz="0" w:space="0" w:color="auto"/>
        <w:right w:val="none" w:sz="0" w:space="0" w:color="auto"/>
      </w:divBdr>
      <w:divsChild>
        <w:div w:id="1876383870">
          <w:marLeft w:val="0"/>
          <w:marRight w:val="0"/>
          <w:marTop w:val="0"/>
          <w:marBottom w:val="0"/>
          <w:divBdr>
            <w:top w:val="none" w:sz="0" w:space="0" w:color="auto"/>
            <w:left w:val="none" w:sz="0" w:space="0" w:color="auto"/>
            <w:bottom w:val="none" w:sz="0" w:space="0" w:color="auto"/>
            <w:right w:val="none" w:sz="0" w:space="0" w:color="auto"/>
          </w:divBdr>
          <w:divsChild>
            <w:div w:id="252594597">
              <w:marLeft w:val="0"/>
              <w:marRight w:val="0"/>
              <w:marTop w:val="0"/>
              <w:marBottom w:val="0"/>
              <w:divBdr>
                <w:top w:val="none" w:sz="0" w:space="0" w:color="auto"/>
                <w:left w:val="none" w:sz="0" w:space="0" w:color="auto"/>
                <w:bottom w:val="none" w:sz="0" w:space="0" w:color="auto"/>
                <w:right w:val="none" w:sz="0" w:space="0" w:color="auto"/>
              </w:divBdr>
              <w:divsChild>
                <w:div w:id="1630864491">
                  <w:marLeft w:val="0"/>
                  <w:marRight w:val="0"/>
                  <w:marTop w:val="0"/>
                  <w:marBottom w:val="0"/>
                  <w:divBdr>
                    <w:top w:val="none" w:sz="0" w:space="0" w:color="auto"/>
                    <w:left w:val="none" w:sz="0" w:space="0" w:color="auto"/>
                    <w:bottom w:val="none" w:sz="0" w:space="0" w:color="auto"/>
                    <w:right w:val="none" w:sz="0" w:space="0" w:color="auto"/>
                  </w:divBdr>
                  <w:divsChild>
                    <w:div w:id="374428967">
                      <w:marLeft w:val="0"/>
                      <w:marRight w:val="0"/>
                      <w:marTop w:val="0"/>
                      <w:marBottom w:val="0"/>
                      <w:divBdr>
                        <w:top w:val="none" w:sz="0" w:space="0" w:color="auto"/>
                        <w:left w:val="none" w:sz="0" w:space="0" w:color="auto"/>
                        <w:bottom w:val="none" w:sz="0" w:space="0" w:color="auto"/>
                        <w:right w:val="none" w:sz="0" w:space="0" w:color="auto"/>
                      </w:divBdr>
                      <w:divsChild>
                        <w:div w:id="671107726">
                          <w:marLeft w:val="0"/>
                          <w:marRight w:val="0"/>
                          <w:marTop w:val="0"/>
                          <w:marBottom w:val="0"/>
                          <w:divBdr>
                            <w:top w:val="none" w:sz="0" w:space="0" w:color="auto"/>
                            <w:left w:val="none" w:sz="0" w:space="0" w:color="auto"/>
                            <w:bottom w:val="none" w:sz="0" w:space="0" w:color="auto"/>
                            <w:right w:val="none" w:sz="0" w:space="0" w:color="auto"/>
                          </w:divBdr>
                          <w:divsChild>
                            <w:div w:id="5459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125937">
      <w:bodyDiv w:val="1"/>
      <w:marLeft w:val="0"/>
      <w:marRight w:val="0"/>
      <w:marTop w:val="0"/>
      <w:marBottom w:val="0"/>
      <w:divBdr>
        <w:top w:val="none" w:sz="0" w:space="0" w:color="auto"/>
        <w:left w:val="none" w:sz="0" w:space="0" w:color="auto"/>
        <w:bottom w:val="none" w:sz="0" w:space="0" w:color="auto"/>
        <w:right w:val="none" w:sz="0" w:space="0" w:color="auto"/>
      </w:divBdr>
    </w:div>
    <w:div w:id="21273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9A36-6DCC-4DCB-B5E8-F6BA2E6D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Pages>
  <Words>2462</Words>
  <Characters>17819</Characters>
  <Application>Microsoft Office Word</Application>
  <DocSecurity>0</DocSecurity>
  <Lines>148</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projekts „Grozījumi Ministru kabineta 2010.gada 30.novembra noteikumos Nr.1080 „Transportlīdzekļu reģistrācijas noteikumi"”</vt:lpstr>
      <vt:lpstr>Izziņa par atzinumos sniegtajiem iebildumiem Ministru kabineta noteikumu projekts „Grozījumi Ministru kabineta 2010.gada 30.novembra noteikumos Nr.1080 „Transportlīdzekļu reģistrācijas noteikumi"”</vt:lpstr>
    </vt:vector>
  </TitlesOfParts>
  <Company>Satiksmes ministrija</Company>
  <LinksUpToDate>false</LinksUpToDate>
  <CharactersWithSpaces>20241</CharactersWithSpaces>
  <SharedDoc>false</SharedDoc>
  <HLinks>
    <vt:vector size="36" baseType="variant">
      <vt:variant>
        <vt:i4>2687024</vt:i4>
      </vt:variant>
      <vt:variant>
        <vt:i4>15</vt:i4>
      </vt:variant>
      <vt:variant>
        <vt:i4>0</vt:i4>
      </vt:variant>
      <vt:variant>
        <vt:i4>5</vt:i4>
      </vt:variant>
      <vt:variant>
        <vt:lpwstr>https://likumi.lv/ta/id/222145</vt:lpwstr>
      </vt:variant>
      <vt:variant>
        <vt:lpwstr>p19.2</vt:lpwstr>
      </vt:variant>
      <vt:variant>
        <vt:i4>3014776</vt:i4>
      </vt:variant>
      <vt:variant>
        <vt:i4>12</vt:i4>
      </vt:variant>
      <vt:variant>
        <vt:i4>0</vt:i4>
      </vt:variant>
      <vt:variant>
        <vt:i4>5</vt:i4>
      </vt:variant>
      <vt:variant>
        <vt:lpwstr>https://likumi.lv/ta/id/225418-civillikums</vt:lpwstr>
      </vt:variant>
      <vt:variant>
        <vt:lpwstr>p1474</vt:lpwstr>
      </vt:variant>
      <vt:variant>
        <vt:i4>2621500</vt:i4>
      </vt:variant>
      <vt:variant>
        <vt:i4>9</vt:i4>
      </vt:variant>
      <vt:variant>
        <vt:i4>0</vt:i4>
      </vt:variant>
      <vt:variant>
        <vt:i4>5</vt:i4>
      </vt:variant>
      <vt:variant>
        <vt:lpwstr>https://likumi.lv/ta/id/225418-civillikums</vt:lpwstr>
      </vt:variant>
      <vt:variant>
        <vt:lpwstr/>
      </vt:variant>
      <vt:variant>
        <vt:i4>2687024</vt:i4>
      </vt:variant>
      <vt:variant>
        <vt:i4>6</vt:i4>
      </vt:variant>
      <vt:variant>
        <vt:i4>0</vt:i4>
      </vt:variant>
      <vt:variant>
        <vt:i4>5</vt:i4>
      </vt:variant>
      <vt:variant>
        <vt:lpwstr>https://likumi.lv/ta/id/222145</vt:lpwstr>
      </vt:variant>
      <vt:variant>
        <vt:lpwstr>p19.2</vt:lpwstr>
      </vt:variant>
      <vt:variant>
        <vt:i4>3014776</vt:i4>
      </vt:variant>
      <vt:variant>
        <vt:i4>3</vt:i4>
      </vt:variant>
      <vt:variant>
        <vt:i4>0</vt:i4>
      </vt:variant>
      <vt:variant>
        <vt:i4>5</vt:i4>
      </vt:variant>
      <vt:variant>
        <vt:lpwstr>https://likumi.lv/ta/id/225418-civillikums</vt:lpwstr>
      </vt:variant>
      <vt:variant>
        <vt:lpwstr>p1474</vt:lpwstr>
      </vt:variant>
      <vt:variant>
        <vt:i4>2621500</vt:i4>
      </vt:variant>
      <vt:variant>
        <vt:i4>0</vt:i4>
      </vt:variant>
      <vt:variant>
        <vt:i4>0</vt:i4>
      </vt:variant>
      <vt:variant>
        <vt:i4>5</vt:i4>
      </vt:variant>
      <vt:variant>
        <vt:lpwstr>https://likumi.lv/ta/id/225418-civillikums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projekts „Grozījumi Ministru kabineta 2010.gada 30.novembra noteikumos Nr.1080 „Transportlīdzekļu reģistrācijas noteikumi"”</dc:title>
  <dc:subject>Izziņa par atzinumos sniegtajiem iebildumiem</dc:subject>
  <dc:creator>Talivaldis.Vectirans@sam.gov.lv</dc:creator>
  <cp:keywords/>
  <cp:lastModifiedBy>Ineta Vula</cp:lastModifiedBy>
  <cp:revision>29</cp:revision>
  <cp:lastPrinted>2018-10-03T05:38:00Z</cp:lastPrinted>
  <dcterms:created xsi:type="dcterms:W3CDTF">2020-08-05T06:33:00Z</dcterms:created>
  <dcterms:modified xsi:type="dcterms:W3CDTF">2020-09-15T06:20:00Z</dcterms:modified>
</cp:coreProperties>
</file>