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00AD11BD" w:rsidP="005B7B05" w:rsidRDefault="000A531F" w14:paraId="63A147AF" w14:textId="77777777">
      <w:pPr>
        <w:jc w:val="center"/>
        <w:rPr>
          <w:b/>
          <w:sz w:val="28"/>
          <w:szCs w:val="28"/>
        </w:rPr>
      </w:pPr>
      <w:r w:rsidRPr="00AA30C8">
        <w:rPr>
          <w:b/>
          <w:sz w:val="28"/>
          <w:szCs w:val="28"/>
        </w:rPr>
        <w:t>„</w:t>
      </w:r>
      <w:r w:rsidRPr="00AD11BD" w:rsidR="00AD11BD">
        <w:rPr>
          <w:b/>
          <w:sz w:val="28"/>
          <w:szCs w:val="28"/>
        </w:rPr>
        <w:t xml:space="preserve">Par Limbažu novada pašvaldībai piederošā nekustamā īpašuma “Līgotnes A” Limbažu pagastā, </w:t>
      </w:r>
    </w:p>
    <w:p w:rsidRPr="005B7B05" w:rsidR="000A531F" w:rsidP="005B7B05" w:rsidRDefault="00AD11BD" w14:paraId="458B585A" w14:textId="52961B47">
      <w:pPr>
        <w:jc w:val="center"/>
        <w:rPr>
          <w:b/>
          <w:sz w:val="28"/>
          <w:szCs w:val="28"/>
        </w:rPr>
      </w:pPr>
      <w:r w:rsidRPr="00AD11BD">
        <w:rPr>
          <w:b/>
          <w:sz w:val="28"/>
          <w:szCs w:val="28"/>
        </w:rPr>
        <w:t>Limbažu novadā,  domājamo daļu pārņemšanu valsts īpašumā</w:t>
      </w:r>
      <w:r>
        <w:rPr>
          <w:b/>
          <w:sz w:val="28"/>
          <w:szCs w:val="28"/>
        </w:rPr>
        <w:t xml:space="preserve">” </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35984" w:rsidRDefault="000A531F" w14:paraId="0C266C57" w14:textId="517A8363">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A531F" w:rsidRDefault="00D201AD" w14:paraId="0545056E" w14:textId="3BC9EF62">
            <w:r>
              <w:t xml:space="preserve">2020.gada </w:t>
            </w:r>
            <w:r w:rsidR="000A03C8">
              <w:t>6</w:t>
            </w:r>
            <w:r w:rsidR="00AD11BD">
              <w:t>.augusts</w:t>
            </w:r>
            <w:r>
              <w:t xml:space="preserve"> (elektroniskā saskaņošana).</w:t>
            </w:r>
          </w:p>
          <w:p w:rsidR="00836B21" w:rsidP="000A531F" w:rsidRDefault="00836B21" w14:paraId="27112096" w14:textId="77777777">
            <w:r>
              <w:t>2020.gada 24.augusts (elektroniskā saskaņošana).</w:t>
            </w:r>
          </w:p>
          <w:p w:rsidRPr="003A7944" w:rsidR="00023A27" w:rsidP="000A531F" w:rsidRDefault="00023A27" w14:paraId="43E80F13" w14:textId="5387A291">
            <w:r>
              <w:t>2020.gada 2.septembris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D201AD" w:rsidP="00D47019" w:rsidRDefault="00AD11BD" w14:paraId="11A709A3" w14:textId="72D35AF0">
            <w:r>
              <w:t>Tieslietu ministrija</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5B7B05" w:rsidP="00390339" w:rsidRDefault="005B7B05" w14:paraId="2F6422A3"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846"/>
        <w:gridCol w:w="1559"/>
        <w:gridCol w:w="4394"/>
        <w:gridCol w:w="3828"/>
        <w:gridCol w:w="3547"/>
      </w:tblGrid>
      <w:tr w:rsidR="005D403F" w:rsidTr="00335984" w14:paraId="19535BC7" w14:textId="77777777">
        <w:tc>
          <w:tcPr>
            <w:tcW w:w="846"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155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394"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3828"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547"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335984" w14:paraId="4254AEA4" w14:textId="77777777">
        <w:tc>
          <w:tcPr>
            <w:tcW w:w="846" w:type="dxa"/>
          </w:tcPr>
          <w:p w:rsidR="005D403F" w:rsidP="005D403F" w:rsidRDefault="005D403F" w14:paraId="2DF49046" w14:textId="15F06FAC">
            <w:pPr>
              <w:pStyle w:val="naisf"/>
              <w:spacing w:before="0" w:after="0"/>
              <w:ind w:firstLine="0"/>
              <w:jc w:val="center"/>
            </w:pPr>
            <w:r>
              <w:t>1</w:t>
            </w:r>
            <w:r w:rsidR="00D47019">
              <w:t>.</w:t>
            </w:r>
          </w:p>
        </w:tc>
        <w:tc>
          <w:tcPr>
            <w:tcW w:w="1559" w:type="dxa"/>
          </w:tcPr>
          <w:p w:rsidR="00491E1F" w:rsidP="00491E1F" w:rsidRDefault="00491E1F" w14:paraId="1A4FA300" w14:textId="55221ED5">
            <w:pPr>
              <w:jc w:val="both"/>
              <w:rPr>
                <w:lang w:eastAsia="ko-KR"/>
              </w:rPr>
            </w:pPr>
          </w:p>
        </w:tc>
        <w:tc>
          <w:tcPr>
            <w:tcW w:w="4394" w:type="dxa"/>
          </w:tcPr>
          <w:p w:rsidRPr="009B15AE" w:rsidR="005B7B05" w:rsidP="007F5237" w:rsidRDefault="00AD11BD" w14:paraId="593B021F" w14:textId="77777777">
            <w:pPr>
              <w:widowControl w:val="0"/>
              <w:jc w:val="both"/>
            </w:pPr>
            <w:r w:rsidRPr="009B15AE">
              <w:rPr>
                <w:b/>
                <w:bCs/>
              </w:rPr>
              <w:t>Tieslietu ministrijas</w:t>
            </w:r>
            <w:r w:rsidRPr="009B15AE">
              <w:t xml:space="preserve"> 2020.gada 4.augusta atzinums Nr.1-9.1/589.</w:t>
            </w:r>
          </w:p>
          <w:p w:rsidRPr="009B15AE" w:rsidR="00AD11BD" w:rsidP="00AD11BD" w:rsidRDefault="00AD11BD" w14:paraId="298367A7" w14:textId="77777777">
            <w:pPr>
              <w:widowControl w:val="0"/>
              <w:tabs>
                <w:tab w:val="left" w:pos="9356"/>
              </w:tabs>
              <w:ind w:firstLine="720"/>
              <w:jc w:val="both"/>
              <w:rPr>
                <w:rFonts w:eastAsia="Calibri"/>
                <w:lang w:eastAsia="en-US"/>
              </w:rPr>
            </w:pPr>
            <w:r w:rsidRPr="009B15AE">
              <w:rPr>
                <w:rFonts w:eastAsia="Calibri"/>
                <w:lang w:eastAsia="en-US" w:bidi="en-US"/>
              </w:rPr>
              <w:t>Projekta 1. punkts paredz s</w:t>
            </w:r>
            <w:r w:rsidRPr="009B15AE">
              <w:rPr>
                <w:rFonts w:eastAsia="Calibri"/>
                <w:lang w:eastAsia="en-US"/>
              </w:rPr>
              <w:t xml:space="preserve">askaņā ar Publiskas personas mantas atsavināšanas likuma 42. panta otro daļu un 43. pantu un likuma „Par autoceļiem” 4. panta pirmo daļu pārņemt valsts īpašumā un nodot Satiksmes ministrijas valdījumā Limbažu novada pašvaldībai piederošās nekustamā īpašuma “Līgotnes A” (nekustamā īpašuma kadastra Nr. 6664 005 0025) – zemes vienības (zemes vienības kadastra apzīmējums 6664 005 0104) 0,0309 ha platībā – Limbažu pagastā, Limbažu novadā, 254/1364 domājamās daļas. Vēršam uzmanību, ka saskaņā Publiskas personas mantas atsavināšanas likuma 42. panta otro daļu atvasinātas publiskas personas, tajā skaitā pašvaldības, nekustamo īpašumu var nodot bez atlīdzības citas atvasinātas publiskas personas vai valsts īpašumā. Atvasinātas </w:t>
            </w:r>
            <w:r w:rsidRPr="009B15AE">
              <w:rPr>
                <w:rFonts w:eastAsia="Calibri"/>
                <w:lang w:eastAsia="en-US"/>
              </w:rPr>
              <w:lastRenderedPageBreak/>
              <w:t>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Pr="009B15AE" w:rsidR="00AD11BD" w:rsidP="00AD11BD" w:rsidRDefault="00AD11BD" w14:paraId="312C3867" w14:textId="77777777">
            <w:pPr>
              <w:widowControl w:val="0"/>
              <w:tabs>
                <w:tab w:val="left" w:pos="9356"/>
              </w:tabs>
              <w:ind w:firstLine="720"/>
              <w:jc w:val="both"/>
              <w:rPr>
                <w:rFonts w:eastAsia="Calibri"/>
                <w:lang w:eastAsia="en-US"/>
              </w:rPr>
            </w:pPr>
            <w:r w:rsidRPr="009B15AE">
              <w:rPr>
                <w:rFonts w:eastAsia="Calibri"/>
                <w:lang w:eastAsia="en-US"/>
              </w:rPr>
              <w:t xml:space="preserve">Ņemot vērā minēto, secināms, ka saskaņā ar Publiskas personas mantas atsavināšanas likuma 42. panta otro daļu pašvaldības nekustamais īpašums nododams valsts īpašumā vienīgi uz laiku, kamēr attiecīgais nekustamais īpašums tiek izmantots pašvaldības domes lēmumā par attiecīgā nekustamā īpašuma atsavināšanu noteiktās valsts pārvaldes funkcijas īstenošanai ar pienākumu to bez atlīdzības atdot atpakaļ pašvaldībai, kura šo nekustamo īpašumu nodevusi valstij, ja atsavinātais nekustamais īpašums vairs nav </w:t>
            </w:r>
            <w:r w:rsidRPr="009B15AE">
              <w:rPr>
                <w:rFonts w:eastAsia="Calibri"/>
                <w:lang w:eastAsia="en-US"/>
              </w:rPr>
              <w:lastRenderedPageBreak/>
              <w:t>nepieciešams valstij.</w:t>
            </w:r>
          </w:p>
          <w:p w:rsidRPr="009B15AE" w:rsidR="00AD11BD" w:rsidP="00AD11BD" w:rsidRDefault="00AD11BD" w14:paraId="087C8CE1" w14:textId="77777777">
            <w:pPr>
              <w:widowControl w:val="0"/>
              <w:ind w:right="-7" w:firstLine="720"/>
              <w:jc w:val="both"/>
              <w:rPr>
                <w:rFonts w:eastAsia="Calibri"/>
                <w:lang w:eastAsia="en-US"/>
              </w:rPr>
            </w:pPr>
            <w:r w:rsidRPr="009B15AE">
              <w:rPr>
                <w:rFonts w:eastAsia="Calibri"/>
                <w:lang w:eastAsia="en-US"/>
              </w:rPr>
              <w:t xml:space="preserve"> No projektam pievienotajiem paskaidrojošajiem dokumentiem secināms, ka atlikušās 1110/1364 domājamās daļas no atsavināmā nekustamā īpašuma pieder divām fiziskām personām. Turklāt projekta sākotnējās ietekmes novērtējuma ziņojuma (anotācijas) (turpmāk – anotācija) I  sadaļas 2. punktā norādīts, ka nekustamā īpašuma “Līgotnes A” (nekustamā īpašuma kadastra Nr. 6664 005 0025) domājamās daļas, kas pieder fiziskām personām, tiks atsavinātas saskaņā ar Sabiedrības vajadzībām nepieciešamā nekustamā īpašuma atsavināšanas likumā noteikto kārtību.</w:t>
            </w:r>
          </w:p>
          <w:p w:rsidRPr="009B15AE" w:rsidR="00AD11BD" w:rsidP="00AD11BD" w:rsidRDefault="00AD11BD" w14:paraId="2D3555D4" w14:textId="77777777">
            <w:pPr>
              <w:ind w:firstLine="720"/>
              <w:jc w:val="both"/>
            </w:pPr>
            <w:r w:rsidRPr="009B15AE">
              <w:rPr>
                <w:lang w:bidi="en-US"/>
              </w:rPr>
              <w:t>Paskaidrojam, ka saskaņā ar Sabiedrības vajadzībām nepieciešamā nekustamā īpašuma atsavināšanas likuma 2. pantu n</w:t>
            </w:r>
            <w:r w:rsidRPr="009B15AE">
              <w:t xml:space="preserve">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Turklāt saskaņā ar Sabiedrības vajadzībām nepieciešamā īpašuma atsavināšanas likuma 34. panta pirmo daļu, ja institūcija gada laikā no dienas, kad valsts vai </w:t>
            </w:r>
            <w:r w:rsidRPr="009B15AE">
              <w:lastRenderedPageBreak/>
              <w:t xml:space="preserve">pašvaldības īpašuma tiesības uz atsavināto nekustamo īpašumu nostiprinātas zemesgrāmatā, atzīst minēto nekustamo īpašumu vai tā daļu par nevajadzīgu, bijušais īpašnieks, atmaksājot saņemto atlīdzību, var atsavināto nekustamo īpašumu atgūt atpakaļ. Ja atsavinātajam nekustamajam īpašumam ir veikti uzlabojumi, nekustamā īpašuma bijušais īpašnieks var izmantot šā panta pirmajā daļā minētās tiesības, atlīdzinot institūcijai izdevumus par uzlabojumiem, ar kuriem nekustamais īpašums tiek nodots atpakaļ. Pēc šā panta pirmajā daļā minētā termiņa notecējuma bijušajam īpašniekam ir pirmpirkuma tiesības uz atsavināto nekustamo īpašumu. </w:t>
            </w:r>
          </w:p>
          <w:p w:rsidRPr="009B15AE" w:rsidR="00AD11BD" w:rsidP="00AD11BD" w:rsidRDefault="00AD11BD" w14:paraId="722A616E" w14:textId="77777777">
            <w:pPr>
              <w:ind w:firstLine="720"/>
              <w:jc w:val="both"/>
            </w:pPr>
            <w:r w:rsidRPr="009B15AE">
              <w:t xml:space="preserve">Vienlaikus saskaņā ar </w:t>
            </w:r>
            <w:r w:rsidRPr="009B15AE">
              <w:rPr>
                <w:lang w:bidi="en-US"/>
              </w:rPr>
              <w:t xml:space="preserve">Sabiedrības vajadzībām nepieciešamā īpašuma atsavināšanas likuma </w:t>
            </w:r>
            <w:r w:rsidRPr="009B15AE">
              <w:t xml:space="preserve">35. pantu paziņojumu par iespēju atgūt atpakaļ nekustamo īpašumu institūcija nosūta nekustamā īpašuma bijušajam īpašniekam vai, ja viņa dzīvesvieta nav zināma, publicē oficiālajā izdevumā “Latvijas Vēstnesis”. Paziņojumā norāda nekustamā īpašuma sastāvu, izdevumus par nekustamajam īpašumam veiktajiem uzlabojumiem, kuri tiks saglabāti, apgrūtinājumus un nastas, kā arī nosaka 30 dienu termiņu atbildes sniegšanai, skaitot no dienas, kad paziņojums saņemts vai publicēts oficiālajā </w:t>
            </w:r>
            <w:r w:rsidRPr="009B15AE">
              <w:lastRenderedPageBreak/>
              <w:t>izdevumā “Latvijas Vēstnesis”. Turklāt minētā likuma</w:t>
            </w:r>
            <w:r w:rsidRPr="009B15AE">
              <w:rPr>
                <w:lang w:bidi="en-US"/>
              </w:rPr>
              <w:t xml:space="preserve"> </w:t>
            </w:r>
            <w:r w:rsidRPr="009B15AE">
              <w:t xml:space="preserve">36. pants paredz, ka, ja nekustamā īpašuma bijušais īpašnieks šā likuma </w:t>
            </w:r>
            <w:hyperlink w:history="1" w:anchor="p35" r:id="rId8">
              <w:r w:rsidRPr="009B15AE">
                <w:t>35. pantā</w:t>
              </w:r>
            </w:hyperlink>
            <w:r w:rsidRPr="009B15AE">
              <w:t xml:space="preserve"> noteiktajā termiņā atbildi nesniedz vai nevēlas atgūt nekustamo īpašumu, šis īpašums paliek valsts vai pašvaldības īpašumā.</w:t>
            </w:r>
          </w:p>
          <w:p w:rsidRPr="009B15AE" w:rsidR="00AD11BD" w:rsidP="00AD11BD" w:rsidRDefault="00AD11BD" w14:paraId="5EE8BABC" w14:textId="77777777">
            <w:pPr>
              <w:widowControl w:val="0"/>
              <w:tabs>
                <w:tab w:val="left" w:pos="9356"/>
              </w:tabs>
              <w:ind w:firstLine="720"/>
              <w:jc w:val="both"/>
              <w:rPr>
                <w:rFonts w:eastAsia="Calibri"/>
                <w:lang w:eastAsia="en-US" w:bidi="en-US"/>
              </w:rPr>
            </w:pPr>
            <w:r w:rsidRPr="009B15AE">
              <w:rPr>
                <w:rFonts w:eastAsia="Calibri"/>
                <w:lang w:eastAsia="en-US" w:bidi="en-US"/>
              </w:rPr>
              <w:t xml:space="preserve">Ņemot vērā minēto un Publiskas personas mantas atsavināšanas likuma un Sabiedrības vajadzībām nepieciešamā īpašuma atsavināšanas likuma atšķirīgos mērķus un atšķirīgu atsavināto nekustamo īpašumu atsavināšanas kārtību to iepriekšējam īpašniekam, ja attiecīgais nekustamais īpašums vairs nav nepieciešams valstij tās funkciju īstenošanai, no projekta un anotācijas nav saprotams, kādā veidā Satiksmes ministrija nodrošinās Publiskas personas mantas atsavināšanas likuma 42. panta otrā daļā un Sabiedrības vajadzībām nepieciešamā īpašuma atsavināšanas likuma  34. pantā noteikto pienākumu atsavināt atpakaļ attiecīgās domājamās daļas no </w:t>
            </w:r>
            <w:r w:rsidRPr="009B15AE">
              <w:rPr>
                <w:rFonts w:eastAsia="Calibri"/>
                <w:lang w:eastAsia="en-US"/>
              </w:rPr>
              <w:t xml:space="preserve">nekustamā īpašuma “Līgotnes A” (nekustamā īpašuma kadastra Nr. 6664 005 0025) – zemes vienības (zemes vienības kadastra apzīmējums 6664 005 0104) 0,0309 ha platībā to sākotnējiem īpašniekiem (Limbažu novada pašvaldībai un privātpersonām), it īpaši, ja uz minētās zemes vienības tiks uzbūvēts autoceļš, kā </w:t>
            </w:r>
            <w:r w:rsidRPr="009B15AE">
              <w:rPr>
                <w:rFonts w:eastAsia="Calibri"/>
                <w:lang w:eastAsia="en-US"/>
              </w:rPr>
              <w:lastRenderedPageBreak/>
              <w:t xml:space="preserve">arī, kā Satiksmes ministrija rīkosies, iestājoties </w:t>
            </w:r>
            <w:r w:rsidRPr="009B15AE">
              <w:rPr>
                <w:rFonts w:eastAsia="Calibri"/>
                <w:lang w:eastAsia="en-US" w:bidi="en-US"/>
              </w:rPr>
              <w:t>Sabiedrības vajadzībām nepieciešamā īpašuma atsavināšanas likuma 36. pantā minētajiem apstākļiem.</w:t>
            </w:r>
          </w:p>
          <w:p w:rsidRPr="009B15AE" w:rsidR="00AD11BD" w:rsidP="00AD11BD" w:rsidRDefault="00AD11BD" w14:paraId="724A8C63" w14:textId="74450ABC">
            <w:pPr>
              <w:ind w:right="11" w:firstLine="709"/>
              <w:contextualSpacing/>
              <w:jc w:val="both"/>
              <w:rPr>
                <w:bCs/>
              </w:rPr>
            </w:pPr>
            <w:r w:rsidRPr="009B15AE">
              <w:rPr>
                <w:bCs/>
              </w:rPr>
              <w:t>Kamēr nav skaidrības par minēto likuma prasību īstenošanu, Tieslietu ministrija nevar atbalstīt projekta tālāku virzību.</w:t>
            </w:r>
          </w:p>
        </w:tc>
        <w:tc>
          <w:tcPr>
            <w:tcW w:w="3828" w:type="dxa"/>
          </w:tcPr>
          <w:p w:rsidR="009B15AE" w:rsidP="009B15AE" w:rsidRDefault="00D56442" w14:paraId="3998155A" w14:textId="77777777">
            <w:pPr>
              <w:pStyle w:val="naisf"/>
              <w:spacing w:before="0" w:after="0"/>
              <w:ind w:firstLine="0"/>
              <w:jc w:val="center"/>
              <w:rPr>
                <w:b/>
                <w:bCs/>
              </w:rPr>
            </w:pPr>
            <w:r>
              <w:rPr>
                <w:b/>
                <w:bCs/>
              </w:rPr>
              <w:lastRenderedPageBreak/>
              <w:t>Saskaņošanas procesā</w:t>
            </w:r>
          </w:p>
          <w:p w:rsidR="00955F6B" w:rsidP="009B15AE" w:rsidRDefault="00D56442" w14:paraId="3CF3398A" w14:textId="17628514">
            <w:pPr>
              <w:pStyle w:val="naisf"/>
              <w:spacing w:before="0" w:after="0"/>
              <w:ind w:firstLine="0"/>
              <w:jc w:val="center"/>
              <w:rPr>
                <w:b/>
                <w:bCs/>
              </w:rPr>
            </w:pPr>
            <w:r>
              <w:rPr>
                <w:b/>
                <w:bCs/>
              </w:rPr>
              <w:t>panākta vienošanās.</w:t>
            </w:r>
          </w:p>
          <w:p w:rsidRPr="009B15AE" w:rsidR="00136416" w:rsidP="00D56442" w:rsidRDefault="00506860" w14:paraId="0E09F6E8" w14:textId="50990229">
            <w:pPr>
              <w:pStyle w:val="naisf"/>
            </w:pPr>
            <w:r w:rsidRPr="009B15AE">
              <w:t xml:space="preserve">Ņemot vērā situāciju, ka rīkojuma projekts ir sagatavots par nekustamo īpašumu, kas pieder </w:t>
            </w:r>
            <w:r w:rsidRPr="009B15AE" w:rsidR="00F12CA2">
              <w:t xml:space="preserve">kopīpašumā </w:t>
            </w:r>
            <w:r w:rsidRPr="009B15AE">
              <w:t xml:space="preserve">Limbažu novada pašvaldībai un privātpersonām, </w:t>
            </w:r>
            <w:r w:rsidRPr="009B15AE" w:rsidR="00DD7B61">
              <w:t xml:space="preserve">Tieslietu ministrija lūdz vērtēt, kādas </w:t>
            </w:r>
            <w:r w:rsidRPr="009B15AE" w:rsidR="00F12CA2">
              <w:t>tiesiskās</w:t>
            </w:r>
            <w:r w:rsidRPr="009B15AE" w:rsidR="00DD7B61">
              <w:t xml:space="preserve"> sekas varētu iestāties nākotnē iespējamo prasījumu celšanas gadījumā.</w:t>
            </w:r>
            <w:r w:rsidRPr="009B15AE" w:rsidR="00F12CA2">
              <w:t xml:space="preserve"> </w:t>
            </w:r>
          </w:p>
          <w:p w:rsidRPr="009B15AE" w:rsidR="000F14A8" w:rsidP="00D56442" w:rsidRDefault="00151005" w14:paraId="34BB1E53" w14:textId="237C44C0">
            <w:pPr>
              <w:pStyle w:val="naisf"/>
            </w:pPr>
            <w:r>
              <w:t>Privātpersonas atsavināto nekustamo īpašumu var atgūt Sabiedrības vajadzībām nepieciešamā nekustamā īpašuma atsavināšanas likuma noteiktajā kārtībā</w:t>
            </w:r>
            <w:r w:rsidR="008555B9">
              <w:t>, proti, ja institūcija gada laikā pēc dienas, kad īpašuma tiesības nostiprinātas zemesgrāmatā, atzīst nekustamo īpašumu vai tā daļu par nevajadzīgu.</w:t>
            </w:r>
            <w:r w:rsidRPr="009B15AE" w:rsidR="000F14A8">
              <w:t xml:space="preserve"> </w:t>
            </w:r>
          </w:p>
          <w:p w:rsidRPr="009B15AE" w:rsidR="00DD7B61" w:rsidP="000F14A8" w:rsidRDefault="00C706AC" w14:paraId="01E4A0B2" w14:textId="226E3A46">
            <w:pPr>
              <w:pStyle w:val="naisf"/>
            </w:pPr>
            <w:r>
              <w:t xml:space="preserve">Pašvaldība atsavināto nekustamo īpašumu var atgūt saskaņā ar </w:t>
            </w:r>
            <w:r>
              <w:lastRenderedPageBreak/>
              <w:t>Publiskas personas mantas atsavināšanas likuma 42.panta otrajā daļā</w:t>
            </w:r>
            <w:r w:rsidR="00B0792E">
              <w:t xml:space="preserve"> noteikto</w:t>
            </w:r>
            <w:r>
              <w:t>, proti, ja nodotais nekustamais īpašums vairs netiek izmantots valsts pārvaldes funkciju veikšanai, tas ir nododams atpakaļ pašvaldībai.</w:t>
            </w:r>
          </w:p>
          <w:p w:rsidRPr="009B15AE" w:rsidR="00F12CA2" w:rsidP="000661E6" w:rsidRDefault="00F12CA2" w14:paraId="47C2ED11" w14:textId="698C102A">
            <w:pPr>
              <w:pStyle w:val="naisf"/>
            </w:pPr>
            <w:r w:rsidRPr="009B15AE">
              <w:t xml:space="preserve">Satiksmes ministrija vēlas norādīt, ka nekustamā īpašuma pārņemšana valsts īpašumā notiek spēkā esošo normatīvo aktu kārtībā, nevis vienošanās </w:t>
            </w:r>
            <w:r w:rsidRPr="009B15AE" w:rsidR="00BF1B92">
              <w:t>ceļā</w:t>
            </w:r>
            <w:r w:rsidRPr="009B15AE" w:rsidR="000661E6">
              <w:t>.</w:t>
            </w:r>
          </w:p>
          <w:p w:rsidRPr="009B15AE" w:rsidR="000661E6" w:rsidP="000F14A8" w:rsidRDefault="00506860" w14:paraId="5DEB732B" w14:textId="3C29F385">
            <w:pPr>
              <w:pStyle w:val="naisf"/>
            </w:pPr>
            <w:r w:rsidRPr="009B15AE">
              <w:t>Nākotnes iespējam</w:t>
            </w:r>
            <w:r w:rsidRPr="009B15AE" w:rsidR="00F12CA2">
              <w:t>ie</w:t>
            </w:r>
            <w:r w:rsidRPr="009B15AE">
              <w:t xml:space="preserve"> prasījum</w:t>
            </w:r>
            <w:r w:rsidRPr="009B15AE" w:rsidR="00F12CA2">
              <w:t xml:space="preserve">i </w:t>
            </w:r>
            <w:r w:rsidRPr="009B15AE">
              <w:t xml:space="preserve"> </w:t>
            </w:r>
            <w:r w:rsidRPr="009B15AE" w:rsidR="000661E6">
              <w:t>nevar ietekmēt pašreiz īstenojamo darbību kopumu, secību, to vajadzībām noformējamo dokumentu saturu un formu.</w:t>
            </w:r>
          </w:p>
          <w:p w:rsidRPr="009B15AE" w:rsidR="000661E6" w:rsidP="000F14A8" w:rsidRDefault="00F12CA2" w14:paraId="4B80EB51" w14:textId="2C4D4EB7">
            <w:pPr>
              <w:pStyle w:val="naisf"/>
            </w:pPr>
            <w:r w:rsidRPr="009B15AE">
              <w:t xml:space="preserve">Atpakaļ atdošanas prasījuma tiesības </w:t>
            </w:r>
            <w:r w:rsidRPr="009B15AE" w:rsidR="000661E6">
              <w:t>pie konkrētiem apstākļiem piederēs nekustamā īpašuma kopīpašniekiem atbilstoši tiem piederošo domājamo daļu apmēram</w:t>
            </w:r>
            <w:r w:rsidRPr="009B15AE" w:rsidR="00C770D2">
              <w:t>, kāds tām piederēja</w:t>
            </w:r>
            <w:r w:rsidRPr="009B15AE" w:rsidR="000661E6">
              <w:t xml:space="preserve"> pirms nekustamā īpašuma atsavināšanas</w:t>
            </w:r>
            <w:r w:rsidRPr="009B15AE" w:rsidR="00567ED8">
              <w:t xml:space="preserve">, un neskatoties uz to, ka sastāvā ziņā </w:t>
            </w:r>
            <w:r w:rsidRPr="009B15AE" w:rsidR="000A03C8">
              <w:t xml:space="preserve">nekustamais īpašums </w:t>
            </w:r>
            <w:r w:rsidRPr="009B15AE" w:rsidR="00567ED8">
              <w:t xml:space="preserve">būs mainīts. </w:t>
            </w:r>
          </w:p>
          <w:p w:rsidRPr="009B15AE" w:rsidR="0002064F" w:rsidP="000F14A8" w:rsidRDefault="0002064F" w14:paraId="1906AD46" w14:textId="24AF5146">
            <w:pPr>
              <w:pStyle w:val="naisf"/>
            </w:pPr>
            <w:r w:rsidRPr="009B15AE">
              <w:t xml:space="preserve">Prasījumi būs izskatāmi normatīvā regulējuma kārtībā, panākot risinājumu pēc </w:t>
            </w:r>
            <w:r w:rsidRPr="009B15AE" w:rsidR="00567ED8">
              <w:t xml:space="preserve">iestājušos </w:t>
            </w:r>
            <w:r w:rsidRPr="009B15AE">
              <w:t xml:space="preserve">faktisko apstākļu juridiskā skaidrojuma.  </w:t>
            </w:r>
          </w:p>
          <w:p w:rsidRPr="009B15AE" w:rsidR="00D56442" w:rsidP="00D56442" w:rsidRDefault="00D56442" w14:paraId="26218B68" w14:textId="61297212">
            <w:pPr>
              <w:pStyle w:val="naisf"/>
            </w:pPr>
            <w:r w:rsidRPr="009B15AE">
              <w:lastRenderedPageBreak/>
              <w:t>Rīkojuma projekts ir izstrādāts, pamatojoties uz Publiskas personas mantas atsavināšanas likumu. Šā likuma 3.panta otrajā daļā ir noteikts, ka publisku personu mantas atsavināšanas pamatveids ir mantas pārdošana izsolē. Citus mantas atsavināšanas veidus var izmantot tikai šajā likumā paredzētajos gadījumos.</w:t>
            </w:r>
          </w:p>
          <w:p w:rsidRPr="009B15AE" w:rsidR="00D56442" w:rsidP="00D56442" w:rsidRDefault="00D56442" w14:paraId="6FEDE2EE" w14:textId="5B5FF4F2">
            <w:pPr>
              <w:pStyle w:val="naisf"/>
            </w:pPr>
            <w:r w:rsidRPr="009B15AE">
              <w:t xml:space="preserve">Tādējādi ir piemērots Publiskas personas mantas atsavināšanas likuma 42.panta otrās daļas regulējums. </w:t>
            </w:r>
          </w:p>
          <w:p w:rsidRPr="009B15AE" w:rsidR="0002064F" w:rsidP="00D56442" w:rsidRDefault="0002064F" w14:paraId="0B44BC83" w14:textId="7943F9D0">
            <w:pPr>
              <w:pStyle w:val="naisf"/>
            </w:pPr>
            <w:r w:rsidRPr="009B15AE">
              <w:t xml:space="preserve">Pēc Publiskas personas mantas atsavināšanas likuma cita veida risinājums </w:t>
            </w:r>
            <w:r w:rsidRPr="009B15AE" w:rsidR="00C770D2">
              <w:t xml:space="preserve">par </w:t>
            </w:r>
            <w:r w:rsidRPr="009B15AE">
              <w:t>pašvaldībai piederošas mantas pārņemšan</w:t>
            </w:r>
            <w:r w:rsidRPr="009B15AE" w:rsidR="00C770D2">
              <w:t>u</w:t>
            </w:r>
            <w:r w:rsidRPr="009B15AE">
              <w:t xml:space="preserve"> </w:t>
            </w:r>
            <w:r w:rsidRPr="009B15AE" w:rsidR="00567ED8">
              <w:t xml:space="preserve">valsts īpašumā </w:t>
            </w:r>
            <w:r w:rsidRPr="009B15AE">
              <w:t xml:space="preserve">nav iespējams, tai skaitā arī nekustamo īpašumu apmaiņas </w:t>
            </w:r>
            <w:r w:rsidRPr="009B15AE" w:rsidR="00C770D2">
              <w:t>variants</w:t>
            </w:r>
            <w:r w:rsidRPr="009B15AE">
              <w:t>.</w:t>
            </w:r>
          </w:p>
          <w:p w:rsidR="00136416" w:rsidP="00D56442" w:rsidRDefault="00136416" w14:paraId="24A4CBC1" w14:textId="77777777">
            <w:pPr>
              <w:pStyle w:val="naisf"/>
              <w:rPr>
                <w:b/>
                <w:bCs/>
              </w:rPr>
            </w:pPr>
          </w:p>
          <w:p w:rsidRPr="007F5237" w:rsidR="00D56442" w:rsidP="00D56442" w:rsidRDefault="00D56442" w14:paraId="4F11965E" w14:textId="585BB2EA">
            <w:pPr>
              <w:pStyle w:val="naisf"/>
              <w:spacing w:before="0" w:after="0"/>
              <w:ind w:firstLine="0"/>
              <w:rPr>
                <w:b/>
                <w:bCs/>
              </w:rPr>
            </w:pPr>
            <w:r w:rsidRPr="00D56442">
              <w:rPr>
                <w:b/>
                <w:bCs/>
              </w:rPr>
              <w:t xml:space="preserve">  </w:t>
            </w:r>
          </w:p>
        </w:tc>
        <w:tc>
          <w:tcPr>
            <w:tcW w:w="3547" w:type="dxa"/>
          </w:tcPr>
          <w:p w:rsidRPr="007A439B" w:rsidR="007A439B" w:rsidP="007A439B" w:rsidRDefault="007A439B" w14:paraId="50C4C788" w14:textId="26C3EFBD">
            <w:pPr>
              <w:ind w:left="54"/>
              <w:jc w:val="both"/>
              <w:rPr>
                <w:b/>
                <w:bCs/>
              </w:rPr>
            </w:pPr>
            <w:r w:rsidRPr="007A439B">
              <w:rPr>
                <w:b/>
                <w:bCs/>
                <w:color w:val="201F1E"/>
                <w:shd w:val="clear" w:color="auto" w:fill="FFFFFF"/>
              </w:rPr>
              <w:lastRenderedPageBreak/>
              <w:t xml:space="preserve"> </w:t>
            </w:r>
          </w:p>
          <w:p w:rsidR="005B7B05" w:rsidP="00491E1F" w:rsidRDefault="005B7B05" w14:paraId="6C730B88" w14:textId="77777777">
            <w:pPr>
              <w:jc w:val="both"/>
              <w:rPr>
                <w:b/>
              </w:rPr>
            </w:pPr>
          </w:p>
          <w:p w:rsidRPr="00491E1F" w:rsidR="005B7B05" w:rsidP="00491E1F" w:rsidRDefault="005B7B05" w14:paraId="2BB4635D" w14:textId="762C8EFE">
            <w:pPr>
              <w:jc w:val="both"/>
              <w:rPr>
                <w:b/>
              </w:rPr>
            </w:pPr>
          </w:p>
        </w:tc>
      </w:tr>
      <w:tr w:rsidR="00836B21" w:rsidTr="00335984" w14:paraId="74A4CC49" w14:textId="77777777">
        <w:tc>
          <w:tcPr>
            <w:tcW w:w="846" w:type="dxa"/>
          </w:tcPr>
          <w:p w:rsidR="00836B21" w:rsidP="005D403F" w:rsidRDefault="00836B21" w14:paraId="602F7C78" w14:textId="713C2C67">
            <w:pPr>
              <w:pStyle w:val="naisf"/>
              <w:spacing w:before="0" w:after="0"/>
              <w:ind w:firstLine="0"/>
              <w:jc w:val="center"/>
            </w:pPr>
            <w:r>
              <w:lastRenderedPageBreak/>
              <w:t>2.</w:t>
            </w:r>
          </w:p>
        </w:tc>
        <w:tc>
          <w:tcPr>
            <w:tcW w:w="1559" w:type="dxa"/>
          </w:tcPr>
          <w:p w:rsidR="00836B21" w:rsidP="00491E1F" w:rsidRDefault="00836B21" w14:paraId="18C70387" w14:textId="77777777">
            <w:pPr>
              <w:jc w:val="both"/>
              <w:rPr>
                <w:lang w:eastAsia="ko-KR"/>
              </w:rPr>
            </w:pPr>
          </w:p>
        </w:tc>
        <w:tc>
          <w:tcPr>
            <w:tcW w:w="4394" w:type="dxa"/>
          </w:tcPr>
          <w:p w:rsidR="00836B21" w:rsidP="007F5237" w:rsidRDefault="00836B21" w14:paraId="41452C45" w14:textId="38BB0C9A">
            <w:pPr>
              <w:widowControl w:val="0"/>
              <w:jc w:val="both"/>
            </w:pPr>
            <w:r>
              <w:rPr>
                <w:b/>
                <w:bCs/>
              </w:rPr>
              <w:t xml:space="preserve"> Tieslietu ministrijas </w:t>
            </w:r>
            <w:r w:rsidRPr="00836B21">
              <w:t>2020.gada 11.augusta e-pasta izdruka.</w:t>
            </w:r>
          </w:p>
          <w:p w:rsidRPr="00836B21" w:rsidR="00836B21" w:rsidP="007F5237" w:rsidRDefault="00836B21" w14:paraId="25DF1628" w14:textId="22BD2A4B">
            <w:pPr>
              <w:widowControl w:val="0"/>
              <w:jc w:val="both"/>
            </w:pPr>
            <w:r w:rsidRPr="009C5A7A">
              <w:t>1.</w:t>
            </w:r>
            <w:r>
              <w:t xml:space="preserve"> No projekta un anotācijas nav saprotams, kādā veidā Satiksmes ministrija nodrošinās Publiskas personas mantas atsavināšanas likuma 42. panta otrajā daļā un Sabiedrības vajadzībām nepieciešamā nekustamā īpašuma atsavināšanas likuma  34. pantā noteikto pienākumu atsavināt atpakaļ attiecīgās domājamās daļas no nekustamā īpašuma “Līgotnes A” (nekustamā īpašuma kadastra Nr. 6664 005 0025) – zemes vienības (zemes vienības kadastra apzīmējums 6664 005 0104) 0,0309 ha platībā to sākotnējiem īpašniekiem (Limbažu novada pašvaldībai un privātpersonām), it īpaši, ja uz minētās zemes vienības tiks uzbūvēts autoceļš, kā arī, kā Satiksmes ministrija rīkosies, iestājoties Sabiedrības vajadzībām nepieciešamā nekustamā īpašuma atsavināšanas likuma 36. pantā minētajiem apstākļiem. Tiesiskās skaidrības nodrošināšanai lūdzam papildināt anotāciju </w:t>
            </w:r>
            <w:r>
              <w:lastRenderedPageBreak/>
              <w:t>ar attiecīgu skaidrojumu.</w:t>
            </w:r>
          </w:p>
        </w:tc>
        <w:tc>
          <w:tcPr>
            <w:tcW w:w="3828" w:type="dxa"/>
          </w:tcPr>
          <w:p w:rsidR="00836B21" w:rsidP="009B15AE" w:rsidRDefault="00403920" w14:paraId="201C9E41" w14:textId="0457F75D">
            <w:pPr>
              <w:pStyle w:val="naisf"/>
              <w:spacing w:before="0" w:after="0"/>
              <w:ind w:firstLine="0"/>
              <w:jc w:val="center"/>
            </w:pPr>
            <w:r>
              <w:rPr>
                <w:b/>
                <w:bCs/>
              </w:rPr>
              <w:lastRenderedPageBreak/>
              <w:t>Iebildums ņemts vērā.</w:t>
            </w:r>
          </w:p>
          <w:p w:rsidR="00403920" w:rsidP="00D47019" w:rsidRDefault="00F35554" w14:paraId="23D13656" w14:textId="77777777">
            <w:pPr>
              <w:pStyle w:val="naisf"/>
              <w:spacing w:before="0" w:after="0"/>
              <w:ind w:firstLine="0"/>
            </w:pPr>
            <w:r>
              <w:t>Saskaņā ar Publiskas personas mantas atsavināšanas likuma 42.panta otro daļu no pašvaldības valsts īpašumā tiek pārņemta nekustamā īpašuma daļa, kas paredzēta valsts autoceļa būvprojekta īstenošanai.</w:t>
            </w:r>
          </w:p>
          <w:p w:rsidR="00C86D94" w:rsidP="00D47019" w:rsidRDefault="00F35554" w14:paraId="0D8B20E5" w14:textId="73AD8B8D">
            <w:pPr>
              <w:pStyle w:val="naisf"/>
              <w:spacing w:before="0" w:after="0"/>
              <w:ind w:firstLine="0"/>
            </w:pPr>
            <w:r>
              <w:t xml:space="preserve">Atlikušās šā pārņemamā īpašuma daļas </w:t>
            </w:r>
            <w:r w:rsidR="00C86D94">
              <w:t xml:space="preserve">minētā mērķa īstenošanai ir </w:t>
            </w:r>
            <w:r>
              <w:t>atsavināmas no privātpersonām Sabiedrības vajadzībām nepieciešamā nekustamā īpašuma atsavināšanas likuma kārtībā</w:t>
            </w:r>
            <w:r w:rsidR="00C86D94">
              <w:t xml:space="preserve">. </w:t>
            </w:r>
          </w:p>
          <w:p w:rsidR="00C86D94" w:rsidP="00D47019" w:rsidRDefault="00C86D94" w14:paraId="619BED70" w14:textId="7D11F04A">
            <w:pPr>
              <w:pStyle w:val="naisf"/>
              <w:spacing w:before="0" w:after="0"/>
              <w:ind w:firstLine="0"/>
            </w:pPr>
            <w:r>
              <w:t xml:space="preserve">Atsavināmā nekustamā īpašuma izmantošanas mērķis - </w:t>
            </w:r>
            <w:r w:rsidRPr="00C86D94">
              <w:t>valsts reģionālā autoceļa P53 Duči-Limbaži posma 9,0.-18,9.km pārbūves projekt</w:t>
            </w:r>
            <w:r>
              <w:t>a īstenošana.</w:t>
            </w:r>
          </w:p>
          <w:p w:rsidR="00B36B95" w:rsidP="00D47019" w:rsidRDefault="00C86D94" w14:paraId="04EC6CE0" w14:textId="29F09EDF">
            <w:pPr>
              <w:pStyle w:val="naisf"/>
              <w:spacing w:before="0" w:after="0"/>
              <w:ind w:firstLine="0"/>
            </w:pPr>
            <w:r w:rsidRPr="00C86D94">
              <w:t xml:space="preserve">Autoceļu attīstību </w:t>
            </w:r>
            <w:r w:rsidR="00D52179">
              <w:t xml:space="preserve">valstī </w:t>
            </w:r>
            <w:r w:rsidRPr="00C86D94">
              <w:t xml:space="preserve">plāno Latvijas Republikas Satiksmes ministrija, ievērojot ekonomiskās, ekoloģiskās un sociālās attīstības tendences, valsts un pašvaldību intereses un par pamatu izvirzot </w:t>
            </w:r>
            <w:r w:rsidRPr="00C86D94">
              <w:lastRenderedPageBreak/>
              <w:t>reģionu vienlīdzīgas attīstības principu.</w:t>
            </w:r>
            <w:r w:rsidR="00CC7CC0">
              <w:t xml:space="preserve"> Ņemot vērā</w:t>
            </w:r>
            <w:r w:rsidR="00D52179">
              <w:t xml:space="preserve"> </w:t>
            </w:r>
            <w:r w:rsidRPr="00CC7CC0" w:rsidR="00CC7CC0">
              <w:t>valsts reģionālā autoceļa P53 Duči-Limbaži posma 9,0.-18,9.km pārbūves projekta īstenošan</w:t>
            </w:r>
            <w:r w:rsidR="00B36B95">
              <w:t xml:space="preserve">as aktivitātes un gaitu, nav paredzama </w:t>
            </w:r>
            <w:r w:rsidR="00840320">
              <w:t xml:space="preserve">projekta īstenošanas </w:t>
            </w:r>
            <w:r w:rsidR="00B36B95">
              <w:t>apturēšana</w:t>
            </w:r>
            <w:r w:rsidR="00D52179">
              <w:t xml:space="preserve"> un atsavināmā nekustamā īpašuma atzīšana par nevajadzīgu.</w:t>
            </w:r>
          </w:p>
          <w:p w:rsidRPr="008A4725" w:rsidR="00F35554" w:rsidP="00D47019" w:rsidRDefault="008A4725" w14:paraId="7A61B446" w14:textId="3E3C8599">
            <w:pPr>
              <w:pStyle w:val="naisf"/>
              <w:spacing w:before="0" w:after="0"/>
              <w:ind w:firstLine="0"/>
            </w:pPr>
            <w:r>
              <w:t>Saskaņā ar likuma “Par autoceļiem” 4.panta pirmo daļu p</w:t>
            </w:r>
            <w:r w:rsidR="00B36B95">
              <w:t xml:space="preserve">ēc valsts reģionālā autoceļa izbūves </w:t>
            </w:r>
            <w:r w:rsidR="00CC7CC0">
              <w:t xml:space="preserve"> </w:t>
            </w:r>
            <w:r w:rsidRPr="008A4725">
              <w:t>Valsts autoceļi un to zemes, tai skaitā ceļu zemes nodalījuma joslas, ar visām šo autoceļu kompleksā ietilpstošajām būvēm ir Latvijas Republikas īpašums</w:t>
            </w:r>
            <w:r>
              <w:t xml:space="preserve"> un izmantojams Satiksmes ministrijas kompetencē esošo funkciju īstenošanai. Tādēļ nav analizējama atsavināmā nekustamā īpašuma </w:t>
            </w:r>
            <w:r w:rsidR="004F10A3">
              <w:t xml:space="preserve">atzīšana par nevajadzīgu </w:t>
            </w:r>
            <w:r>
              <w:t xml:space="preserve">valstij pēc valsts autoceļa izbūves.  </w:t>
            </w:r>
          </w:p>
        </w:tc>
        <w:tc>
          <w:tcPr>
            <w:tcW w:w="3547" w:type="dxa"/>
          </w:tcPr>
          <w:p w:rsidRPr="008E1842" w:rsidR="008E1842" w:rsidP="008E1842" w:rsidRDefault="009B15AE" w14:paraId="4AD593DE" w14:textId="762CD216">
            <w:pPr>
              <w:ind w:right="-7" w:firstLine="297"/>
              <w:jc w:val="both"/>
            </w:pPr>
            <w:r>
              <w:lastRenderedPageBreak/>
              <w:t>Papildināts rīkojuma projekta a</w:t>
            </w:r>
            <w:r w:rsidR="008E1842">
              <w:t>notācijas I sadaļas 2.punkts</w:t>
            </w:r>
            <w:r>
              <w:t>:</w:t>
            </w:r>
          </w:p>
          <w:p w:rsidRPr="009B15AE" w:rsidR="000D7AD1" w:rsidP="000D7AD1" w:rsidRDefault="009B15AE" w14:paraId="57AB4AB1" w14:textId="1730105E">
            <w:pPr>
              <w:ind w:right="-7" w:firstLine="297"/>
              <w:jc w:val="both"/>
            </w:pPr>
            <w:r>
              <w:t>“</w:t>
            </w:r>
            <w:r w:rsidRPr="009B15AE" w:rsidR="000D7AD1">
              <w:t xml:space="preserve">Ņemot vērā valsts reģionālā autoceļa P53 Duči-Limbaži posma 9,0.-18,9.km pārbūves projekta īstenošanas aktivitātes un gaitu, nav paredzama </w:t>
            </w:r>
            <w:r w:rsidR="00840320">
              <w:t>projekta īstenošanas</w:t>
            </w:r>
            <w:r w:rsidRPr="009B15AE" w:rsidR="00840320">
              <w:t xml:space="preserve"> </w:t>
            </w:r>
            <w:r w:rsidRPr="009B15AE" w:rsidR="000D7AD1">
              <w:t xml:space="preserve">apturēšana un atsavināmā nekustamā īpašuma atzīšana par nevajadzīgu, lai risinātu jautājumu par tā atdošanu pašvaldībai un privātpersonām pirms autoceļa izbūves. </w:t>
            </w:r>
          </w:p>
          <w:p w:rsidRPr="008E1842" w:rsidR="00836B21" w:rsidP="000D7AD1" w:rsidRDefault="000D7AD1" w14:paraId="114DE708" w14:textId="0695D17C">
            <w:pPr>
              <w:ind w:right="-7" w:firstLine="297"/>
              <w:jc w:val="both"/>
              <w:rPr>
                <w:b/>
                <w:bCs/>
              </w:rPr>
            </w:pPr>
            <w:r w:rsidRPr="009B15AE">
              <w:t xml:space="preserve">Savukārt situācijā pēc autoceļa izbūves - autoceļš un tā zeme, tai skaitā ceļu zemes nodalījuma josla, ar visām šī autoceļa kompleksā ietilpstošajām būvēm – tas ir atzīstams par Latvijas Republikas īpašumu, pamatojoties uz likuma “Par autoceļiem” 4.panta pirmo daļu, un ir izmantojams Satiksmes ministrijas kompetencē esošās funkcijas īstenošanai. Tādēļ nav </w:t>
            </w:r>
            <w:r w:rsidRPr="009B15AE">
              <w:lastRenderedPageBreak/>
              <w:t>analizējama atsavināmā nekustamā īpašuma atzīšana par nevajadzīgu valstij pēc valsts autoceļa izbūves.</w:t>
            </w:r>
            <w:r w:rsidR="009B15AE">
              <w:t>”</w:t>
            </w:r>
            <w:r w:rsidRPr="000D7AD1">
              <w:rPr>
                <w:b/>
                <w:bCs/>
              </w:rPr>
              <w:t xml:space="preserve">   </w:t>
            </w:r>
            <w:r w:rsidRPr="008E1842" w:rsidR="008E1842">
              <w:rPr>
                <w:b/>
                <w:bCs/>
              </w:rPr>
              <w:t xml:space="preserve"> </w:t>
            </w:r>
          </w:p>
        </w:tc>
      </w:tr>
      <w:tr w:rsidR="00836B21" w:rsidTr="00335984" w14:paraId="50305091" w14:textId="77777777">
        <w:tc>
          <w:tcPr>
            <w:tcW w:w="846" w:type="dxa"/>
          </w:tcPr>
          <w:p w:rsidR="00836B21" w:rsidP="005D403F" w:rsidRDefault="00836B21" w14:paraId="36EE1C36" w14:textId="6A0BC919">
            <w:pPr>
              <w:pStyle w:val="naisf"/>
              <w:spacing w:before="0" w:after="0"/>
              <w:ind w:firstLine="0"/>
              <w:jc w:val="center"/>
            </w:pPr>
            <w:r>
              <w:lastRenderedPageBreak/>
              <w:t>3.</w:t>
            </w:r>
          </w:p>
        </w:tc>
        <w:tc>
          <w:tcPr>
            <w:tcW w:w="1559" w:type="dxa"/>
          </w:tcPr>
          <w:p w:rsidR="00836B21" w:rsidP="00491E1F" w:rsidRDefault="00836B21" w14:paraId="67BD0660" w14:textId="77777777">
            <w:pPr>
              <w:jc w:val="both"/>
              <w:rPr>
                <w:lang w:eastAsia="ko-KR"/>
              </w:rPr>
            </w:pPr>
          </w:p>
        </w:tc>
        <w:tc>
          <w:tcPr>
            <w:tcW w:w="4394" w:type="dxa"/>
          </w:tcPr>
          <w:p w:rsidRPr="00836B21" w:rsidR="00836B21" w:rsidP="00836B21" w:rsidRDefault="00836B21" w14:paraId="35843B9B" w14:textId="77777777">
            <w:pPr>
              <w:widowControl w:val="0"/>
              <w:jc w:val="both"/>
            </w:pPr>
            <w:r w:rsidRPr="00836B21">
              <w:rPr>
                <w:b/>
                <w:bCs/>
              </w:rPr>
              <w:t>Tieslietu ministrijas</w:t>
            </w:r>
            <w:r w:rsidRPr="00836B21">
              <w:t xml:space="preserve"> 2020.gada 11.augusta e-pasta izdruka.</w:t>
            </w:r>
          </w:p>
          <w:p w:rsidR="00836B21" w:rsidP="00836B21" w:rsidRDefault="00836B21" w14:paraId="59AA8B02" w14:textId="5B9D7EBE">
            <w:pPr>
              <w:widowControl w:val="0"/>
              <w:jc w:val="both"/>
              <w:rPr>
                <w:b/>
                <w:bCs/>
              </w:rPr>
            </w:pPr>
            <w:r w:rsidRPr="009C5A7A">
              <w:t>2.</w:t>
            </w:r>
            <w:r w:rsidRPr="00836B21">
              <w:t xml:space="preserve"> Lai no projekta anotācijas būtu skaidrs, ka viss projekta 1. punktā minētais nekustamais īpašums “Līgotnes A” (nekustamā īpašuma kadastra Nr. 6664 005 0025) pāries valsts īpašumā, atsavinot to no kopīpašniekiem pilnā platībā, saskaņā ar Ministru kabineta 2009. gada 15. decembra instrukcijas Nr.19 “Tiesību akta projekta sākotnējās ietekmes izvērtēšanas kārtība” </w:t>
            </w:r>
            <w:r w:rsidRPr="00836B21">
              <w:lastRenderedPageBreak/>
              <w:t>54. punktu, nepieciešams aizpildīt anotācijas IV sadaļu, norādot informāciju par saistītā Ministru kabineta rīkojuma projekta “Par nekustamā īpašuma “Līgotnes A”, Limbažu pagastā, Limbažu novadā, domājamo daļu pirkšanu valsts reģionālā autoceļa P53 Duči-Limbaži pārbūves projekta īstenošanai” (VSS-609) (izsludināts 2020. gada 23. jūlija Valsts sekretāru sanāksmē, prot. Nr.29. 15.§) virzību.</w:t>
            </w:r>
          </w:p>
        </w:tc>
        <w:tc>
          <w:tcPr>
            <w:tcW w:w="3828" w:type="dxa"/>
          </w:tcPr>
          <w:p w:rsidR="00836B21" w:rsidP="009C5A7A" w:rsidRDefault="00DD4D3D" w14:paraId="7EA3A869" w14:textId="6F27C76A">
            <w:pPr>
              <w:pStyle w:val="naisf"/>
              <w:spacing w:before="0" w:after="0"/>
              <w:ind w:firstLine="0"/>
              <w:jc w:val="center"/>
              <w:rPr>
                <w:b/>
                <w:bCs/>
              </w:rPr>
            </w:pPr>
            <w:r>
              <w:rPr>
                <w:b/>
                <w:bCs/>
              </w:rPr>
              <w:lastRenderedPageBreak/>
              <w:t>Iebildums ņemts vērā.</w:t>
            </w:r>
          </w:p>
        </w:tc>
        <w:tc>
          <w:tcPr>
            <w:tcW w:w="3547" w:type="dxa"/>
          </w:tcPr>
          <w:p w:rsidR="00435488" w:rsidP="00435488" w:rsidRDefault="009C5A7A" w14:paraId="63F2C6F8" w14:textId="6C726813">
            <w:pPr>
              <w:ind w:left="54"/>
              <w:jc w:val="both"/>
            </w:pPr>
            <w:r>
              <w:t>Papildināts rīkojuma projekta a</w:t>
            </w:r>
            <w:r w:rsidR="00435488">
              <w:t>notācijas IV sadaļas 1.punkts</w:t>
            </w:r>
            <w:r>
              <w:t>:</w:t>
            </w:r>
          </w:p>
          <w:p w:rsidRPr="009C5A7A" w:rsidR="00836B21" w:rsidP="007A439B" w:rsidRDefault="00435488" w14:paraId="6780B86E" w14:textId="13E68930">
            <w:pPr>
              <w:ind w:left="54"/>
              <w:jc w:val="both"/>
              <w:rPr>
                <w:color w:val="201F1E"/>
                <w:shd w:val="clear" w:color="auto" w:fill="FFFFFF"/>
              </w:rPr>
            </w:pPr>
            <w:r>
              <w:rPr>
                <w:b/>
                <w:bCs/>
              </w:rPr>
              <w:t xml:space="preserve">  </w:t>
            </w:r>
            <w:r w:rsidR="009C5A7A">
              <w:rPr>
                <w:b/>
                <w:bCs/>
              </w:rPr>
              <w:t>“</w:t>
            </w:r>
            <w:r w:rsidRPr="009C5A7A">
              <w:t xml:space="preserve">Ministru kabineta rīkojums projekts “Par nekustamā īpašuma “Līgotnes A”, Limbažu pagastā, Limbažu novadā, domājamo daļu pirkšanu valsts reģionālā autoceļa P53 Duči-Limbaži pārbūves projekta īstenošanai” VSS – 609 (2020.gada 23.jūlija Valsts </w:t>
            </w:r>
            <w:r w:rsidRPr="009C5A7A">
              <w:lastRenderedPageBreak/>
              <w:t>sekretāru sanāksmes protokols Nr.29 15.§).</w:t>
            </w:r>
            <w:r w:rsidR="009C5A7A">
              <w:t>”</w:t>
            </w:r>
          </w:p>
        </w:tc>
      </w:tr>
      <w:tr w:rsidR="00023A27" w:rsidTr="00335984" w14:paraId="36753022" w14:textId="77777777">
        <w:tc>
          <w:tcPr>
            <w:tcW w:w="846" w:type="dxa"/>
          </w:tcPr>
          <w:p w:rsidR="00023A27" w:rsidP="005D403F" w:rsidRDefault="00023A27" w14:paraId="211C27C3" w14:textId="3059AA96">
            <w:pPr>
              <w:pStyle w:val="naisf"/>
              <w:spacing w:before="0" w:after="0"/>
              <w:ind w:firstLine="0"/>
              <w:jc w:val="center"/>
            </w:pPr>
            <w:r>
              <w:lastRenderedPageBreak/>
              <w:t>4.</w:t>
            </w:r>
          </w:p>
        </w:tc>
        <w:tc>
          <w:tcPr>
            <w:tcW w:w="1559" w:type="dxa"/>
          </w:tcPr>
          <w:p w:rsidR="00023A27" w:rsidP="00491E1F" w:rsidRDefault="00023A27" w14:paraId="502E1CDC" w14:textId="77777777">
            <w:pPr>
              <w:jc w:val="both"/>
              <w:rPr>
                <w:lang w:eastAsia="ko-KR"/>
              </w:rPr>
            </w:pPr>
          </w:p>
        </w:tc>
        <w:tc>
          <w:tcPr>
            <w:tcW w:w="4394" w:type="dxa"/>
          </w:tcPr>
          <w:p w:rsidR="00023A27" w:rsidP="00023A27" w:rsidRDefault="00023A27" w14:paraId="2A57B35D" w14:textId="25C9AD8E">
            <w:pPr>
              <w:jc w:val="both"/>
              <w:rPr>
                <w:rFonts w:eastAsia="Calibri"/>
                <w:lang w:eastAsia="en-US"/>
              </w:rPr>
            </w:pPr>
            <w:r w:rsidRPr="00023A27">
              <w:rPr>
                <w:rFonts w:eastAsia="Calibri"/>
                <w:b/>
                <w:bCs/>
                <w:lang w:eastAsia="en-US"/>
              </w:rPr>
              <w:t>Tieslietu ministrijas</w:t>
            </w:r>
            <w:r>
              <w:rPr>
                <w:rFonts w:eastAsia="Calibri"/>
                <w:lang w:eastAsia="en-US"/>
              </w:rPr>
              <w:t xml:space="preserve"> 2020.gada 26.augusta e-pasta ziņojums.</w:t>
            </w:r>
          </w:p>
          <w:p w:rsidRPr="00023A27" w:rsidR="00023A27" w:rsidP="00023A27" w:rsidRDefault="00023A27" w14:paraId="7AF2125B" w14:textId="411A55BB">
            <w:pPr>
              <w:ind w:firstLine="720"/>
              <w:jc w:val="both"/>
              <w:rPr>
                <w:rFonts w:eastAsia="Calibri"/>
                <w:lang w:eastAsia="en-US"/>
              </w:rPr>
            </w:pPr>
            <w:r w:rsidRPr="00023A27">
              <w:rPr>
                <w:rFonts w:eastAsia="Calibri"/>
                <w:lang w:eastAsia="en-US"/>
              </w:rPr>
              <w:t>Tieslietu ministrija secina, ka Satiksmes ministrija nav ņēmusi vērā Tieslietu ministrijas 2020.gada 11.augusta atzinumā izteikto pirmo iebildumu. Proti, no projekta un tā anotācijas nav saprotams, kādā veidā Satiksmes ministrija nodrošinās Publiskas personas mantas atsavināšanas likuma 42. panta otrajā daļā un Sabiedrības vajadzībām nepieciešamā nekustamā īpašuma atsavināšanas likuma  34. pantā noteikto pienākumu atsavināt atpakaļ attiecīgās domājamās daļas no nekustamā īpašuma “Līgotnes A” (nekustamā īpašuma kadastra Nr. 6664 005 0025) to sākotnējiem īpašniekiem (Limbažu novada pašvaldībai un privātpersonām).</w:t>
            </w:r>
          </w:p>
          <w:p w:rsidRPr="00023A27" w:rsidR="00023A27" w:rsidP="00023A27" w:rsidRDefault="00023A27" w14:paraId="33B73368" w14:textId="77777777">
            <w:pPr>
              <w:ind w:firstLine="720"/>
              <w:jc w:val="both"/>
              <w:rPr>
                <w:rFonts w:eastAsia="Calibri"/>
                <w:lang w:eastAsia="en-US"/>
              </w:rPr>
            </w:pPr>
            <w:r w:rsidRPr="00023A27">
              <w:rPr>
                <w:rFonts w:eastAsia="Calibri"/>
                <w:lang w:eastAsia="en-US"/>
              </w:rPr>
              <w:t xml:space="preserve">Norādām, ka ar Projektu paredzēts Limbažu novada pašvaldībai piederošo īpašumu nodot valstij Satiksmes ministrijas </w:t>
            </w:r>
            <w:r w:rsidRPr="00023A27">
              <w:rPr>
                <w:rFonts w:eastAsia="Calibri"/>
                <w:lang w:eastAsia="en-US"/>
              </w:rPr>
              <w:lastRenderedPageBreak/>
              <w:t xml:space="preserve">personā, pamatojoties uz Publiskas personas mantas atsavināšanas likumu. No minētā likuma izriet, ka nekustamajam īpašumam pēc tam, kad tas nav vajadzīgs konkrētas funkcijas pildīšanai, ir jābūt atgriežamam pašvaldības īpašumā. </w:t>
            </w:r>
          </w:p>
          <w:p w:rsidRPr="00023A27" w:rsidR="00023A27" w:rsidP="00023A27" w:rsidRDefault="00023A27" w14:paraId="14160688" w14:textId="40C783DC">
            <w:pPr>
              <w:ind w:firstLine="720"/>
              <w:jc w:val="both"/>
              <w:rPr>
                <w:rFonts w:eastAsia="Calibri"/>
                <w:lang w:eastAsia="en-US"/>
              </w:rPr>
            </w:pPr>
            <w:r w:rsidRPr="00023A27">
              <w:rPr>
                <w:rFonts w:eastAsia="Calibri"/>
                <w:lang w:eastAsia="en-US"/>
              </w:rPr>
              <w:t>Ievērojot minēto, tiesiskās skaidrības nodrošināšanai atkārtoti lūdzam papildināt anotāciju ar attiecīgu skaidrojumu.</w:t>
            </w:r>
          </w:p>
        </w:tc>
        <w:tc>
          <w:tcPr>
            <w:tcW w:w="3828" w:type="dxa"/>
          </w:tcPr>
          <w:p w:rsidR="00023A27" w:rsidP="009C5A7A" w:rsidRDefault="00023A27" w14:paraId="2C054462" w14:textId="6F03AC34">
            <w:pPr>
              <w:pStyle w:val="naisf"/>
              <w:spacing w:before="0" w:after="0"/>
              <w:ind w:firstLine="0"/>
              <w:jc w:val="center"/>
              <w:rPr>
                <w:b/>
                <w:bCs/>
              </w:rPr>
            </w:pPr>
            <w:r>
              <w:rPr>
                <w:b/>
                <w:bCs/>
              </w:rPr>
              <w:lastRenderedPageBreak/>
              <w:t>Iebildums ņemts vērā.</w:t>
            </w:r>
          </w:p>
        </w:tc>
        <w:tc>
          <w:tcPr>
            <w:tcW w:w="3547" w:type="dxa"/>
          </w:tcPr>
          <w:p w:rsidRPr="0019252B" w:rsidR="0019252B" w:rsidP="0019252B" w:rsidRDefault="009C5A7A" w14:paraId="1FB4532E" w14:textId="31559590">
            <w:pPr>
              <w:ind w:right="-7"/>
              <w:jc w:val="both"/>
            </w:pPr>
            <w:r>
              <w:t>Papildināts rīkojuma projekta a</w:t>
            </w:r>
            <w:r w:rsidR="0019252B">
              <w:t>notācijas I sadaļas 2.punkts</w:t>
            </w:r>
            <w:r>
              <w:t>:</w:t>
            </w:r>
          </w:p>
          <w:p w:rsidRPr="009C5A7A" w:rsidR="0019252B" w:rsidP="0019252B" w:rsidRDefault="009C5A7A" w14:paraId="32177EF3" w14:textId="54BBB7B2">
            <w:pPr>
              <w:ind w:right="-7" w:firstLine="297"/>
              <w:jc w:val="both"/>
            </w:pPr>
            <w:bookmarkStart w:name="_Hlk51142285" w:id="1"/>
            <w:r>
              <w:t>“</w:t>
            </w:r>
            <w:r w:rsidRPr="00B0792E" w:rsidR="0019252B">
              <w:rPr>
                <w:i/>
                <w:iCs/>
              </w:rPr>
              <w:t>Par pienākuma atsavināt atpakaļ attiecīgās domājamās daļas no nekustamā īpašuma “Līgotnes A” to sākotnējiem īpašniekiem (Limbažu novada pašvaldībai un privātpersonām) izpildes kārtību</w:t>
            </w:r>
            <w:r w:rsidRPr="009C5A7A" w:rsidR="0019252B">
              <w:t>.</w:t>
            </w:r>
          </w:p>
          <w:p w:rsidRPr="009C5A7A" w:rsidR="0019252B" w:rsidP="0019252B" w:rsidRDefault="0019252B" w14:paraId="4A6E08B1" w14:textId="0F0B97BF">
            <w:pPr>
              <w:ind w:right="-7" w:firstLine="297"/>
              <w:jc w:val="both"/>
            </w:pPr>
            <w:r w:rsidRPr="009C5A7A">
              <w:t xml:space="preserve">Ņemot vērā valsts reģionālā autoceļa P53 Duči-Limbaži posma 9,0.-18,9.km pārbūves projekta īstenošanas aktivitātes un gaitu, nav paredzama </w:t>
            </w:r>
            <w:r w:rsidR="00840320">
              <w:t>projekta īstenošanas</w:t>
            </w:r>
            <w:r w:rsidRPr="009C5A7A" w:rsidR="00840320">
              <w:t xml:space="preserve"> </w:t>
            </w:r>
            <w:r w:rsidRPr="009C5A7A">
              <w:t xml:space="preserve">apturēšana un nekustamā īpašuma “Līgotnes A” atzīšana par nevajadzīgu, lai risinātu jautājumu par tā atdošanu pašvaldībai un privātpersonām pirms autoceļa izbūves. </w:t>
            </w:r>
          </w:p>
          <w:p w:rsidRPr="009C5A7A" w:rsidR="0019252B" w:rsidP="0019252B" w:rsidRDefault="0019252B" w14:paraId="7A505506" w14:textId="77777777">
            <w:pPr>
              <w:ind w:right="-7" w:firstLine="297"/>
              <w:jc w:val="both"/>
            </w:pPr>
            <w:r w:rsidRPr="009C5A7A">
              <w:lastRenderedPageBreak/>
              <w:t xml:space="preserve">Savukārt situācijā pēc autoceļa izbūves - autoceļš un tā zeme, tai skaitā ceļu zemes nodalījuma josla, ar visām šī autoceļa kompleksā ietilpstošajām būvēm – ir izmantojams Satiksmes ministrijas kompetencē esošās funkcijas īstenošanai, pamatojoties uz likuma “Par autoceļiem” 4.panta pirmo daļu un 7.panta pirmo daļu, ministrijai īstenojot autoceļu valsts pārvaldi. </w:t>
            </w:r>
          </w:p>
          <w:p w:rsidRPr="009C5A7A" w:rsidR="0019252B" w:rsidP="0019252B" w:rsidRDefault="0019252B" w14:paraId="76DAC881" w14:textId="38F093AF">
            <w:pPr>
              <w:ind w:right="-7" w:firstLine="297"/>
              <w:jc w:val="both"/>
            </w:pPr>
            <w:r w:rsidRPr="009C5A7A">
              <w:t xml:space="preserve">Nekustamais īpašums “Līgotnes A” </w:t>
            </w:r>
            <w:r w:rsidR="00840320">
              <w:t>varētu tikt atzīts</w:t>
            </w:r>
            <w:r w:rsidRPr="009C5A7A" w:rsidR="00840320">
              <w:t xml:space="preserve"> </w:t>
            </w:r>
            <w:r w:rsidRPr="009C5A7A">
              <w:t xml:space="preserve">par neizmantojamu attiecīgās valsts pārvaldes funkcijas īstenošanai tikai situācijā, ja izbūvētais autoceļa posms </w:t>
            </w:r>
            <w:r w:rsidR="00840320">
              <w:t>tiktu</w:t>
            </w:r>
            <w:r w:rsidRPr="009C5A7A" w:rsidR="00840320">
              <w:t xml:space="preserve"> </w:t>
            </w:r>
            <w:r w:rsidRPr="009C5A7A">
              <w:t xml:space="preserve">demontēts un auto transporta virzībai pa valsts reģionālo autoceļu P53 Duči-Limbaži </w:t>
            </w:r>
            <w:r w:rsidR="00840320">
              <w:t>tiktu</w:t>
            </w:r>
            <w:r w:rsidRPr="009C5A7A" w:rsidR="00840320">
              <w:t xml:space="preserve"> </w:t>
            </w:r>
            <w:r w:rsidRPr="009C5A7A">
              <w:t xml:space="preserve">noteikts cits autoceļa savienojums vai arī, ja šim autoceļa posmam </w:t>
            </w:r>
            <w:r w:rsidR="00840320">
              <w:t>tiktu</w:t>
            </w:r>
            <w:r w:rsidRPr="009C5A7A" w:rsidR="00840320">
              <w:t xml:space="preserve"> </w:t>
            </w:r>
            <w:r w:rsidRPr="009C5A7A">
              <w:t xml:space="preserve">mainīts statuss, piemēram, uz tranzīta ielu. </w:t>
            </w:r>
          </w:p>
          <w:p w:rsidRPr="009C5A7A" w:rsidR="0019252B" w:rsidP="0019252B" w:rsidRDefault="0019252B" w14:paraId="424AEA7C" w14:textId="77777777">
            <w:pPr>
              <w:ind w:right="-7" w:firstLine="297"/>
              <w:jc w:val="both"/>
            </w:pPr>
            <w:r w:rsidRPr="009C5A7A">
              <w:t xml:space="preserve"> Pēc autoceļa demontāžas, pamatojoties uz Publiskas personas mantas atsavināšanas likuma 42.panta otro daļu, Limbažu novada pašvaldībai tiek atgriezta iepriekš piederošā nekustamā īpašuma “Līgotnes A” domājamā daļa bez atlīdzības, </w:t>
            </w:r>
            <w:r w:rsidRPr="009C5A7A">
              <w:lastRenderedPageBreak/>
              <w:t xml:space="preserve">pusēm vienojoties par tās reālo atrašanās vietu dabā. </w:t>
            </w:r>
          </w:p>
          <w:p w:rsidRPr="009C5A7A" w:rsidR="0019252B" w:rsidP="0019252B" w:rsidRDefault="0019252B" w14:paraId="4F1266FF" w14:textId="005E7027">
            <w:pPr>
              <w:ind w:right="-7" w:firstLine="297"/>
              <w:jc w:val="both"/>
            </w:pPr>
            <w:r w:rsidRPr="009C5A7A">
              <w:t xml:space="preserve">Savstarpējās kopīpašuma tiesiskās attiecības starp pašvaldību un valsti </w:t>
            </w:r>
            <w:r w:rsidR="00840320">
              <w:t>varētu</w:t>
            </w:r>
            <w:r w:rsidRPr="009C5A7A" w:rsidR="00840320">
              <w:t xml:space="preserve"> </w:t>
            </w:r>
            <w:r w:rsidRPr="009C5A7A">
              <w:t xml:space="preserve">tikt izbeigtas ar nekustamā īpašuma “Līgotnes A” reālo sadali, vai arī publiskās izsoles procesuālajā kārtībā, valstij ievērojot Sabiedrības vajadzībām nepieciešamā nekustamā īpašuma atsavināšanas likuma 34.panta trešajā daļā noteikto par pirmpirkuma tiesību piekritību nekustamā īpašuma bijušajiem īpašniekiem.  </w:t>
            </w:r>
          </w:p>
          <w:p w:rsidRPr="00770F34" w:rsidR="0019252B" w:rsidP="0019252B" w:rsidRDefault="0019252B" w14:paraId="10061736" w14:textId="590B8ADA">
            <w:pPr>
              <w:ind w:right="-7" w:firstLine="297"/>
              <w:jc w:val="both"/>
            </w:pPr>
            <w:r w:rsidRPr="009C5A7A">
              <w:t>Ja attiecīgais autoceļa posms iegū</w:t>
            </w:r>
            <w:r w:rsidR="00840320">
              <w:t>tu</w:t>
            </w:r>
            <w:r w:rsidRPr="009C5A7A">
              <w:t xml:space="preserve"> tranzīta ielas statusu, šis posms </w:t>
            </w:r>
            <w:r w:rsidR="00840320">
              <w:t>būtu</w:t>
            </w:r>
            <w:r w:rsidRPr="009C5A7A" w:rsidR="00840320">
              <w:t xml:space="preserve"> </w:t>
            </w:r>
            <w:r w:rsidRPr="009C5A7A">
              <w:t xml:space="preserve">nododams pašvaldībai saskaņā ar likuma “Par autoceļiem” 2.panta </w:t>
            </w:r>
            <w:r w:rsidR="00840320">
              <w:t>sesto</w:t>
            </w:r>
            <w:r w:rsidRPr="009C5A7A">
              <w:t xml:space="preserve"> daļu</w:t>
            </w:r>
            <w:r w:rsidR="00840320">
              <w:t>, saskaņā ar kuru</w:t>
            </w:r>
            <w:r w:rsidRPr="009C5A7A">
              <w:t xml:space="preserve"> </w:t>
            </w:r>
            <w:r w:rsidRPr="00770F34" w:rsidR="00840320">
              <w:t>t</w:t>
            </w:r>
            <w:r w:rsidRPr="00770F34">
              <w:t>ranzīta iela ir pašvaldības īpašumā esoša pilsētas iela, kura ir valsts autoceļa sākums vai turpinājums un pa kuru notiek tranzīta satiksme.</w:t>
            </w:r>
          </w:p>
          <w:p w:rsidRPr="0019252B" w:rsidR="00023A27" w:rsidP="0019252B" w:rsidRDefault="0019252B" w14:paraId="611D272F" w14:textId="24B66E5F">
            <w:pPr>
              <w:ind w:right="-7" w:firstLine="297"/>
              <w:jc w:val="both"/>
              <w:rPr>
                <w:b/>
                <w:bCs/>
              </w:rPr>
            </w:pPr>
            <w:r w:rsidRPr="009C5A7A">
              <w:t xml:space="preserve">Ja nekustamais īpašums “Līgotnes A” </w:t>
            </w:r>
            <w:r w:rsidR="00840320">
              <w:t>tiktu</w:t>
            </w:r>
            <w:r w:rsidRPr="009C5A7A" w:rsidR="00840320">
              <w:t xml:space="preserve"> </w:t>
            </w:r>
            <w:r w:rsidRPr="009C5A7A">
              <w:t xml:space="preserve">atzīts par nevajadzīgu valstij pirms autoceļa būvniecības darbu uzsākšanas un pirms Sabiedrības vajadzībām nepieciešamā nekustamā īpašuma </w:t>
            </w:r>
            <w:r w:rsidRPr="009C5A7A">
              <w:lastRenderedPageBreak/>
              <w:t xml:space="preserve">atsavināšanas likuma 34.panta pirmajā daļā noteiktā viena gada termiņa iestāšanās, par to šā likuma 35.panta kārtībā </w:t>
            </w:r>
            <w:r w:rsidR="00840320">
              <w:t>tiktu</w:t>
            </w:r>
            <w:r w:rsidRPr="009C5A7A" w:rsidR="00840320">
              <w:t xml:space="preserve"> </w:t>
            </w:r>
            <w:r w:rsidRPr="009C5A7A">
              <w:t>informēti nekustamā īpašuma bijušie īpašnieki – privātpersonas. Atbilstoši šo personu paustajai gribai nekustamais īpašums “Līgotnes A” pāriet</w:t>
            </w:r>
            <w:r w:rsidR="00840320">
              <w:t>u</w:t>
            </w:r>
            <w:r w:rsidRPr="009C5A7A">
              <w:t xml:space="preserve"> to īpašumā iepriekš piederošo domājamo daļu apmērā, pretī saņemot izmaksāto atlīdzību. Pastāv kopīpašuma izveidošanās iespēja starp privātpersonu, pašvaldību un valsti, kas var</w:t>
            </w:r>
            <w:r w:rsidR="00840320">
              <w:t>ētu</w:t>
            </w:r>
            <w:r w:rsidRPr="009C5A7A">
              <w:t xml:space="preserve"> tikt izbeigta iepriekš minētajā kārtībā ar nekustamā īpašuma reālo sadali vai atsavināšanu.</w:t>
            </w:r>
            <w:r w:rsidR="009C5A7A">
              <w:t>”</w:t>
            </w:r>
            <w:bookmarkEnd w:id="1"/>
          </w:p>
        </w:tc>
      </w:tr>
    </w:tbl>
    <w:p w:rsidR="002E3DBA" w:rsidP="000A531F" w:rsidRDefault="002E3DBA" w14:paraId="6DD613F6"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9"/>
      <w:headerReference w:type="default" r:id="rId10"/>
      <w:footerReference w:type="default" r:id="rId11"/>
      <w:footerReference w:type="first" r:id="rId12"/>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68675837" w:rsidR="00FC51C5" w:rsidRPr="00FC51C5" w:rsidRDefault="008D3595" w:rsidP="00FC51C5">
    <w:pPr>
      <w:jc w:val="both"/>
      <w:rPr>
        <w:bCs/>
        <w:sz w:val="20"/>
        <w:szCs w:val="20"/>
        <w:lang w:eastAsia="ko-KR"/>
      </w:rPr>
    </w:pPr>
    <w:r>
      <w:rPr>
        <w:sz w:val="20"/>
        <w:szCs w:val="20"/>
      </w:rPr>
      <w:t>SMi</w:t>
    </w:r>
    <w:r w:rsidR="00AA30C8">
      <w:rPr>
        <w:sz w:val="20"/>
        <w:szCs w:val="20"/>
      </w:rPr>
      <w:t>zz_</w:t>
    </w:r>
    <w:r w:rsidR="00AD11BD">
      <w:rPr>
        <w:sz w:val="20"/>
        <w:szCs w:val="20"/>
      </w:rPr>
      <w:t>040820_VSS_412</w:t>
    </w:r>
  </w:p>
  <w:p w14:paraId="0E9B010F" w14:textId="77777777" w:rsidR="00013AD7" w:rsidRPr="00570BB9" w:rsidRDefault="00B0792E"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79C7E65A" w:rsidR="00EA4FB1" w:rsidRPr="00FC51C5" w:rsidRDefault="008D3595" w:rsidP="00EA4FB1">
    <w:pPr>
      <w:jc w:val="both"/>
      <w:rPr>
        <w:bCs/>
        <w:sz w:val="20"/>
        <w:szCs w:val="20"/>
        <w:lang w:eastAsia="ko-KR"/>
      </w:rPr>
    </w:pPr>
    <w:r>
      <w:rPr>
        <w:sz w:val="20"/>
        <w:szCs w:val="20"/>
      </w:rPr>
      <w:t>SMi</w:t>
    </w:r>
    <w:r w:rsidR="00E9372F">
      <w:rPr>
        <w:sz w:val="20"/>
        <w:szCs w:val="20"/>
      </w:rPr>
      <w:t>zz_</w:t>
    </w:r>
    <w:r w:rsidR="00AD11BD">
      <w:rPr>
        <w:sz w:val="20"/>
        <w:szCs w:val="20"/>
      </w:rPr>
      <w:t>040820_VSS-412</w:t>
    </w:r>
  </w:p>
  <w:p w14:paraId="71D70F49" w14:textId="77777777" w:rsidR="00E65AF3" w:rsidRPr="00E15A76" w:rsidRDefault="00E65AF3" w:rsidP="00E65AF3">
    <w:pPr>
      <w:jc w:val="both"/>
      <w:rPr>
        <w:bCs/>
        <w:sz w:val="20"/>
        <w:szCs w:val="20"/>
      </w:rPr>
    </w:pPr>
  </w:p>
  <w:p w14:paraId="627254F6" w14:textId="77777777" w:rsidR="00013AD7" w:rsidRPr="0022701B" w:rsidRDefault="00B0792E"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B0792E"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B0792E"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064F"/>
    <w:rsid w:val="00023A27"/>
    <w:rsid w:val="00036659"/>
    <w:rsid w:val="00054FE8"/>
    <w:rsid w:val="0006139E"/>
    <w:rsid w:val="000661E6"/>
    <w:rsid w:val="000A03C8"/>
    <w:rsid w:val="000A39DD"/>
    <w:rsid w:val="000A531F"/>
    <w:rsid w:val="000B045E"/>
    <w:rsid w:val="000B5ECF"/>
    <w:rsid w:val="000D7AD1"/>
    <w:rsid w:val="000F14A8"/>
    <w:rsid w:val="00120338"/>
    <w:rsid w:val="00120A54"/>
    <w:rsid w:val="0013486B"/>
    <w:rsid w:val="00136416"/>
    <w:rsid w:val="00151005"/>
    <w:rsid w:val="001616A0"/>
    <w:rsid w:val="00161C98"/>
    <w:rsid w:val="00180E9A"/>
    <w:rsid w:val="00185895"/>
    <w:rsid w:val="001914B9"/>
    <w:rsid w:val="0019252B"/>
    <w:rsid w:val="001B0C1E"/>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C2A9D"/>
    <w:rsid w:val="002D588B"/>
    <w:rsid w:val="002D7A98"/>
    <w:rsid w:val="002E3DBA"/>
    <w:rsid w:val="002E51C4"/>
    <w:rsid w:val="00302611"/>
    <w:rsid w:val="00304936"/>
    <w:rsid w:val="00307E7E"/>
    <w:rsid w:val="003101D8"/>
    <w:rsid w:val="00326543"/>
    <w:rsid w:val="00335984"/>
    <w:rsid w:val="003501C0"/>
    <w:rsid w:val="003712CD"/>
    <w:rsid w:val="00390339"/>
    <w:rsid w:val="003C1E3D"/>
    <w:rsid w:val="003D2373"/>
    <w:rsid w:val="003D37F3"/>
    <w:rsid w:val="003E112E"/>
    <w:rsid w:val="004021B9"/>
    <w:rsid w:val="00403920"/>
    <w:rsid w:val="00405454"/>
    <w:rsid w:val="00417E4A"/>
    <w:rsid w:val="004227B4"/>
    <w:rsid w:val="004273F5"/>
    <w:rsid w:val="00431A7C"/>
    <w:rsid w:val="00435488"/>
    <w:rsid w:val="004401DB"/>
    <w:rsid w:val="00444A47"/>
    <w:rsid w:val="00453894"/>
    <w:rsid w:val="00457251"/>
    <w:rsid w:val="00474825"/>
    <w:rsid w:val="00483870"/>
    <w:rsid w:val="00485BEE"/>
    <w:rsid w:val="00486CEF"/>
    <w:rsid w:val="00490480"/>
    <w:rsid w:val="004911C0"/>
    <w:rsid w:val="00491E1F"/>
    <w:rsid w:val="0049672C"/>
    <w:rsid w:val="004A3325"/>
    <w:rsid w:val="004A4217"/>
    <w:rsid w:val="004F10A3"/>
    <w:rsid w:val="004F65A9"/>
    <w:rsid w:val="005023AC"/>
    <w:rsid w:val="00506860"/>
    <w:rsid w:val="00511A74"/>
    <w:rsid w:val="00517539"/>
    <w:rsid w:val="00523477"/>
    <w:rsid w:val="0053729A"/>
    <w:rsid w:val="00546049"/>
    <w:rsid w:val="00557845"/>
    <w:rsid w:val="00557BA5"/>
    <w:rsid w:val="005617F5"/>
    <w:rsid w:val="00562EF2"/>
    <w:rsid w:val="00567ED8"/>
    <w:rsid w:val="0057339C"/>
    <w:rsid w:val="005776CA"/>
    <w:rsid w:val="00580CD2"/>
    <w:rsid w:val="005A5CE7"/>
    <w:rsid w:val="005B5C10"/>
    <w:rsid w:val="005B7B05"/>
    <w:rsid w:val="005C28F5"/>
    <w:rsid w:val="005D403F"/>
    <w:rsid w:val="005F3723"/>
    <w:rsid w:val="005F3BB5"/>
    <w:rsid w:val="005F437F"/>
    <w:rsid w:val="005F4B79"/>
    <w:rsid w:val="00602FC3"/>
    <w:rsid w:val="00606571"/>
    <w:rsid w:val="00640D28"/>
    <w:rsid w:val="006523CA"/>
    <w:rsid w:val="00664A66"/>
    <w:rsid w:val="006854E4"/>
    <w:rsid w:val="00693260"/>
    <w:rsid w:val="006A2F79"/>
    <w:rsid w:val="006A335A"/>
    <w:rsid w:val="006B04E7"/>
    <w:rsid w:val="006B302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70F34"/>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B21"/>
    <w:rsid w:val="00836D01"/>
    <w:rsid w:val="00840320"/>
    <w:rsid w:val="00840AC1"/>
    <w:rsid w:val="008454B7"/>
    <w:rsid w:val="00845C31"/>
    <w:rsid w:val="0085341D"/>
    <w:rsid w:val="008555B9"/>
    <w:rsid w:val="00857BEB"/>
    <w:rsid w:val="00861F81"/>
    <w:rsid w:val="00863A75"/>
    <w:rsid w:val="008655DA"/>
    <w:rsid w:val="00887A13"/>
    <w:rsid w:val="008973CB"/>
    <w:rsid w:val="008A3BA3"/>
    <w:rsid w:val="008A4725"/>
    <w:rsid w:val="008B1CF5"/>
    <w:rsid w:val="008C2198"/>
    <w:rsid w:val="008C7596"/>
    <w:rsid w:val="008D3595"/>
    <w:rsid w:val="008D74D3"/>
    <w:rsid w:val="008D7795"/>
    <w:rsid w:val="008E1842"/>
    <w:rsid w:val="008E5699"/>
    <w:rsid w:val="0090000D"/>
    <w:rsid w:val="00906110"/>
    <w:rsid w:val="0091003F"/>
    <w:rsid w:val="00930695"/>
    <w:rsid w:val="00940187"/>
    <w:rsid w:val="0094059F"/>
    <w:rsid w:val="00955F6B"/>
    <w:rsid w:val="00961073"/>
    <w:rsid w:val="009637BC"/>
    <w:rsid w:val="009702A1"/>
    <w:rsid w:val="00971B02"/>
    <w:rsid w:val="00974FA1"/>
    <w:rsid w:val="00975516"/>
    <w:rsid w:val="00977DFB"/>
    <w:rsid w:val="009903D9"/>
    <w:rsid w:val="009B15AE"/>
    <w:rsid w:val="009C5A7A"/>
    <w:rsid w:val="009D0DE2"/>
    <w:rsid w:val="009D6B36"/>
    <w:rsid w:val="009E765A"/>
    <w:rsid w:val="009E7D11"/>
    <w:rsid w:val="00A06B04"/>
    <w:rsid w:val="00A34347"/>
    <w:rsid w:val="00A36F3C"/>
    <w:rsid w:val="00A67E47"/>
    <w:rsid w:val="00A91A94"/>
    <w:rsid w:val="00AA30C8"/>
    <w:rsid w:val="00AA4796"/>
    <w:rsid w:val="00AA6CE9"/>
    <w:rsid w:val="00AB2D31"/>
    <w:rsid w:val="00AC59EC"/>
    <w:rsid w:val="00AD0322"/>
    <w:rsid w:val="00AD080E"/>
    <w:rsid w:val="00AD11BD"/>
    <w:rsid w:val="00AD3972"/>
    <w:rsid w:val="00AF7C82"/>
    <w:rsid w:val="00B06A0E"/>
    <w:rsid w:val="00B0792E"/>
    <w:rsid w:val="00B13F24"/>
    <w:rsid w:val="00B14512"/>
    <w:rsid w:val="00B36B95"/>
    <w:rsid w:val="00B44F89"/>
    <w:rsid w:val="00B45DE0"/>
    <w:rsid w:val="00B641E0"/>
    <w:rsid w:val="00B65773"/>
    <w:rsid w:val="00B87422"/>
    <w:rsid w:val="00B93C32"/>
    <w:rsid w:val="00BA5981"/>
    <w:rsid w:val="00BA5B5C"/>
    <w:rsid w:val="00BB5CE6"/>
    <w:rsid w:val="00BC0E1F"/>
    <w:rsid w:val="00BF1B92"/>
    <w:rsid w:val="00BF46D9"/>
    <w:rsid w:val="00BF56C6"/>
    <w:rsid w:val="00C03748"/>
    <w:rsid w:val="00C24317"/>
    <w:rsid w:val="00C24CE5"/>
    <w:rsid w:val="00C319A3"/>
    <w:rsid w:val="00C6361E"/>
    <w:rsid w:val="00C706AC"/>
    <w:rsid w:val="00C708D6"/>
    <w:rsid w:val="00C73711"/>
    <w:rsid w:val="00C759D4"/>
    <w:rsid w:val="00C770D2"/>
    <w:rsid w:val="00C77313"/>
    <w:rsid w:val="00C80A32"/>
    <w:rsid w:val="00C86D94"/>
    <w:rsid w:val="00C908F5"/>
    <w:rsid w:val="00CA0484"/>
    <w:rsid w:val="00CA590E"/>
    <w:rsid w:val="00CC0355"/>
    <w:rsid w:val="00CC7CC0"/>
    <w:rsid w:val="00CD3D34"/>
    <w:rsid w:val="00CD59D2"/>
    <w:rsid w:val="00CD5ABC"/>
    <w:rsid w:val="00CF228A"/>
    <w:rsid w:val="00D17E2B"/>
    <w:rsid w:val="00D201AD"/>
    <w:rsid w:val="00D47019"/>
    <w:rsid w:val="00D52179"/>
    <w:rsid w:val="00D56442"/>
    <w:rsid w:val="00D56DC4"/>
    <w:rsid w:val="00D66F4C"/>
    <w:rsid w:val="00D84BD2"/>
    <w:rsid w:val="00DA2FA4"/>
    <w:rsid w:val="00DA5A2A"/>
    <w:rsid w:val="00DC28A7"/>
    <w:rsid w:val="00DD4D3D"/>
    <w:rsid w:val="00DD7B61"/>
    <w:rsid w:val="00DF3EEC"/>
    <w:rsid w:val="00DF59E7"/>
    <w:rsid w:val="00DF5CFC"/>
    <w:rsid w:val="00E15A76"/>
    <w:rsid w:val="00E41B15"/>
    <w:rsid w:val="00E51EB0"/>
    <w:rsid w:val="00E5280C"/>
    <w:rsid w:val="00E65AF3"/>
    <w:rsid w:val="00E71BDB"/>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F07B97"/>
    <w:rsid w:val="00F12CA2"/>
    <w:rsid w:val="00F35554"/>
    <w:rsid w:val="00F429E7"/>
    <w:rsid w:val="00F5533C"/>
    <w:rsid w:val="00F57C7D"/>
    <w:rsid w:val="00F62623"/>
    <w:rsid w:val="00F6373F"/>
    <w:rsid w:val="00F73D99"/>
    <w:rsid w:val="00F77C0F"/>
    <w:rsid w:val="00F87749"/>
    <w:rsid w:val="00FC51C5"/>
    <w:rsid w:val="00FD4691"/>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840320"/>
    <w:rPr>
      <w:sz w:val="20"/>
      <w:szCs w:val="20"/>
    </w:rPr>
  </w:style>
  <w:style w:type="character" w:customStyle="1" w:styleId="CommentTextChar">
    <w:name w:val="Comment Text Char"/>
    <w:basedOn w:val="DefaultParagraphFont"/>
    <w:link w:val="CommentText"/>
    <w:uiPriority w:val="99"/>
    <w:semiHidden/>
    <w:rsid w:val="008403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40320"/>
    <w:rPr>
      <w:b/>
      <w:bCs/>
    </w:rPr>
  </w:style>
  <w:style w:type="character" w:customStyle="1" w:styleId="CommentSubjectChar">
    <w:name w:val="Comment Subject Char"/>
    <w:basedOn w:val="CommentTextChar"/>
    <w:link w:val="CommentSubject"/>
    <w:uiPriority w:val="99"/>
    <w:semiHidden/>
    <w:rsid w:val="00840320"/>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05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9A88-9072-4700-B10F-8B074F2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12</Pages>
  <Words>12077</Words>
  <Characters>6884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Par Limbažu novada pašvaldībai piederošā nekustamā īpašuma “Līgotnes A” Limbažu pagastā, Limbažu novadā,  domājamo daļu pārņemšanu valsts īpašumā</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Limbažu novada pašvaldībai piederošā nekustamā īpašuma “Līgotnes A” Limbažu pagastā, Limbažu novadā,  domājamo daļu pārņemšanu valsts īpašumā</dc:title>
  <dc:creator>Sandra.Silina@sam.gov.lv;Satiksmes ministrijas Juridiskā departamenta Nekustamo īpašumu nodaļas vecākā referente;tālr. 67028031;VAS "Latvijas Valsts ceļi" jurists Varis Putāns;67028149;varis.putans@lvceli.lv</dc:creator>
  <cp:keywords>Izziņa par atzinumos sniegtajiem iebidlumiem</cp:keywords>
  <dc:description>varis.putans@lvceli.lv, 67028149; sandra.silina@sam.gov.lv, 67028031</dc:description>
  <cp:lastModifiedBy>Baiba Jirgena</cp:lastModifiedBy>
  <cp:revision>54</cp:revision>
  <cp:lastPrinted>2018-07-23T10:08:00Z</cp:lastPrinted>
  <dcterms:created xsi:type="dcterms:W3CDTF">2019-12-09T14:00:00Z</dcterms:created>
  <dcterms:modified xsi:type="dcterms:W3CDTF">2020-09-16T08:07:00Z</dcterms:modified>
</cp:coreProperties>
</file>