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020A2" w:rsidR="007020A2" w:rsidP="007020A2" w:rsidRDefault="007020A2" w14:paraId="03A71B14" w14:textId="7777777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Likumprojekts</w:t>
      </w:r>
    </w:p>
    <w:p w:rsidRPr="007020A2" w:rsidR="007020A2" w:rsidP="007020A2" w:rsidRDefault="007020A2" w14:paraId="3CC68736" w14:textId="7777777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Pr="007020A2" w:rsidR="007020A2" w:rsidP="007020A2" w:rsidRDefault="007020A2" w14:paraId="273DFE42" w14:textId="7777777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Pr="007020A2" w:rsidR="007020A2" w:rsidP="007020A2" w:rsidRDefault="007020A2" w14:paraId="104FE313" w14:textId="77777777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Pr="007020A2" w:rsidR="007020A2" w:rsidP="007020A2" w:rsidRDefault="007020A2" w14:paraId="63C7131C" w14:textId="7777777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020A2">
        <w:rPr>
          <w:rStyle w:val="normaltextrun"/>
          <w:b/>
          <w:bCs/>
          <w:sz w:val="28"/>
          <w:szCs w:val="28"/>
        </w:rPr>
        <w:t>Grozījumi Oficiālo publikāciju un tiesiskās informācijas likumā</w:t>
      </w:r>
    </w:p>
    <w:p w:rsidRPr="007020A2" w:rsidR="007020A2" w:rsidP="007020A2" w:rsidRDefault="007020A2" w14:paraId="673516C0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Pr="007020A2" w:rsidR="007020A2" w:rsidP="007020A2" w:rsidRDefault="007020A2" w14:paraId="7AB6AE12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Izdarīt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Oficiālo publikāciju un tiesiskās informācijas likumā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(Latvijas Vēstnesis, 2012, 96.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nr.; 2015, 248.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nr.; 2016, 241.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nr.) šādus grozījumus:</w:t>
      </w:r>
    </w:p>
    <w:p w:rsidRPr="007020A2" w:rsidR="007020A2" w:rsidP="007020A2" w:rsidRDefault="007020A2" w14:paraId="4D40DF13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4CBAC387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1.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Izslēgt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3.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panta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pirmās daļas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otro teikumu.</w:t>
      </w:r>
    </w:p>
    <w:p w:rsidRPr="007020A2" w:rsidR="007020A2" w:rsidP="007020A2" w:rsidRDefault="007020A2" w14:paraId="33EBF3E6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7DF8A0EF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2. 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Izteikt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13.,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14.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un 15.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pantu šādā redakcijā:</w:t>
      </w: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4642DD9F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"</w:t>
      </w:r>
      <w:r w:rsidRPr="007020A2">
        <w:rPr>
          <w:rStyle w:val="normaltextrun"/>
          <w:b/>
          <w:bCs/>
          <w:sz w:val="28"/>
          <w:szCs w:val="28"/>
        </w:rPr>
        <w:t>13.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pants.</w:t>
      </w:r>
      <w:r w:rsidR="002B11E8">
        <w:rPr>
          <w:rStyle w:val="normaltextrun"/>
          <w:b/>
          <w:bCs/>
          <w:sz w:val="28"/>
          <w:szCs w:val="28"/>
        </w:rPr>
        <w:t xml:space="preserve"> </w:t>
      </w:r>
      <w:r w:rsidRPr="007020A2">
        <w:rPr>
          <w:rStyle w:val="normaltextrun"/>
          <w:b/>
          <w:bCs/>
          <w:sz w:val="28"/>
          <w:szCs w:val="28"/>
        </w:rPr>
        <w:t>Oficiālās publikācijas un tiesiskās informācijas nodrošināšanas izmaksas</w:t>
      </w: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0E3CECB7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(1) Oficiālās publikācijas un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tiesiskās informācijas nodrošināšanas izmaksas sedz no:</w:t>
      </w:r>
    </w:p>
    <w:p w:rsidRPr="007020A2" w:rsidR="007020A2" w:rsidP="007020A2" w:rsidRDefault="007020A2" w14:paraId="5251D4B0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1) valsts budžeta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dotācijas;</w:t>
      </w:r>
    </w:p>
    <w:p w:rsidRPr="007020A2" w:rsidR="007020A2" w:rsidP="007020A2" w:rsidRDefault="007020A2" w14:paraId="28594439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2) oficiālā izdevuma izdevēja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paša ieņēmumiem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no saimnieciskās darbības;</w:t>
      </w:r>
    </w:p>
    <w:p w:rsidRPr="007020A2" w:rsidR="007020A2" w:rsidP="007020A2" w:rsidRDefault="007020A2" w14:paraId="039B01D9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3) citiem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normatīvajos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aktos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paredzētiem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finanšu avotiem.</w:t>
      </w:r>
    </w:p>
    <w:p w:rsidR="007020A2" w:rsidP="007020A2" w:rsidRDefault="007020A2" w14:paraId="6CA28BB7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7020A2">
        <w:rPr>
          <w:rStyle w:val="normaltextrun"/>
          <w:sz w:val="28"/>
          <w:szCs w:val="28"/>
        </w:rPr>
        <w:t>(2) Maksu par šā likuma 14.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panta otrās daļas 4.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un 7.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punktā paredzētajiem pakalpojumiem nosaka oficiālā izdevuma izdevēja izpildinstitūcija, nepārsniedzot šo pakalpojumu sniegšanas pašizmaksu.</w:t>
      </w:r>
    </w:p>
    <w:p w:rsidRPr="007020A2" w:rsidR="007020A2" w:rsidP="007020A2" w:rsidRDefault="007020A2" w14:paraId="32D6D9ED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7773290B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b/>
          <w:bCs/>
          <w:sz w:val="28"/>
          <w:szCs w:val="28"/>
        </w:rPr>
        <w:t>14.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pants.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Par oficiālo publikāciju un tiesiskās informācijas</w:t>
      </w:r>
      <w:r w:rsidR="002B11E8">
        <w:rPr>
          <w:rStyle w:val="normaltextrun"/>
          <w:b/>
          <w:bCs/>
          <w:sz w:val="28"/>
          <w:szCs w:val="28"/>
        </w:rPr>
        <w:t xml:space="preserve"> </w:t>
      </w:r>
      <w:r w:rsidRPr="007020A2">
        <w:rPr>
          <w:rStyle w:val="normaltextrun"/>
          <w:b/>
          <w:bCs/>
          <w:sz w:val="28"/>
          <w:szCs w:val="28"/>
        </w:rPr>
        <w:t>pieejamību</w:t>
      </w:r>
      <w:r w:rsidR="002B11E8">
        <w:rPr>
          <w:rStyle w:val="normaltextrun"/>
          <w:b/>
          <w:bCs/>
          <w:sz w:val="28"/>
          <w:szCs w:val="28"/>
        </w:rPr>
        <w:t xml:space="preserve"> </w:t>
      </w:r>
      <w:r w:rsidRPr="007020A2">
        <w:rPr>
          <w:rStyle w:val="normaltextrun"/>
          <w:b/>
          <w:bCs/>
          <w:sz w:val="28"/>
          <w:szCs w:val="28"/>
        </w:rPr>
        <w:t>atbildīgās institūcijas un to kompetence</w:t>
      </w:r>
    </w:p>
    <w:p w:rsidRPr="007020A2" w:rsidR="007020A2" w:rsidP="007020A2" w:rsidRDefault="007020A2" w14:paraId="17FA83EF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(1) Tieslietu ministrija ir vadošā (augstākā) iestāde oficiālās publikācijas, tajā ietvertās informācijas sistematizācijas un tiesiskās informācijas pieejamības jomā.</w:t>
      </w: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00A421E6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(2) Valsts sabiedrība ar ierobežotu atbildību "Latvijas Vēstnesis" ir Latvijas Republikas oficiālais izdevējs,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kas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īsteno valsts politiku oficiālās publikācijas un tajā ietvertās informācijas sistematizācijas jomā un, veicinot privātpersonu izpratni par normatīvajos aktos noteiktajām tiesībām un pienākumiem,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kā arī veicinot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sabiedrības līdzdalību un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normatīvo aktu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 xml:space="preserve">kvalitāti, nodrošina </w:t>
      </w:r>
      <w:proofErr w:type="gramStart"/>
      <w:r w:rsidRPr="007020A2">
        <w:rPr>
          <w:rStyle w:val="normaltextrun"/>
          <w:sz w:val="28"/>
          <w:szCs w:val="28"/>
        </w:rPr>
        <w:t>vienotu valsts</w:t>
      </w:r>
      <w:proofErr w:type="gramEnd"/>
      <w:r w:rsidRPr="007020A2">
        <w:rPr>
          <w:rStyle w:val="normaltextrun"/>
          <w:sz w:val="28"/>
          <w:szCs w:val="28"/>
        </w:rPr>
        <w:t>, tiesiskās un pilsoniskās informācijas platformu, kuras ietvaros:</w:t>
      </w:r>
    </w:p>
    <w:p w:rsidRPr="007020A2" w:rsidR="007020A2" w:rsidP="007020A2" w:rsidRDefault="007020A2" w14:paraId="33B51F44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1) izdod oficiālo izdevumu "Latvijas Vēstnesis" un nodrošina tā pieejamību tīmekļa vietnē</w:t>
      </w:r>
      <w:r w:rsidR="002B11E8">
        <w:rPr>
          <w:rStyle w:val="normaltextrun"/>
          <w:sz w:val="28"/>
          <w:szCs w:val="28"/>
        </w:rPr>
        <w:t xml:space="preserve"> </w:t>
      </w:r>
      <w:proofErr w:type="spellStart"/>
      <w:r w:rsidRPr="007020A2">
        <w:rPr>
          <w:rStyle w:val="normaltextrun"/>
          <w:sz w:val="28"/>
          <w:szCs w:val="28"/>
        </w:rPr>
        <w:t>www.vestnesis.lv</w:t>
      </w:r>
      <w:proofErr w:type="spellEnd"/>
      <w:r w:rsidRPr="007020A2">
        <w:rPr>
          <w:rStyle w:val="normaltextrun"/>
          <w:sz w:val="28"/>
          <w:szCs w:val="28"/>
        </w:rPr>
        <w:t>;</w:t>
      </w:r>
    </w:p>
    <w:p w:rsidRPr="007020A2" w:rsidR="007020A2" w:rsidP="007020A2" w:rsidRDefault="007020A2" w14:paraId="467D3BB6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2) sistematizē tiesību aktus un nodrošina to pieejamību tīmekļa vietnē</w:t>
      </w:r>
      <w:r w:rsidR="002B11E8">
        <w:rPr>
          <w:rStyle w:val="normaltextrun"/>
          <w:sz w:val="28"/>
          <w:szCs w:val="28"/>
        </w:rPr>
        <w:t xml:space="preserve"> </w:t>
      </w:r>
      <w:proofErr w:type="spellStart"/>
      <w:r w:rsidRPr="007020A2">
        <w:rPr>
          <w:rStyle w:val="normaltextrun"/>
          <w:sz w:val="28"/>
          <w:szCs w:val="28"/>
        </w:rPr>
        <w:t>www.likumi.lv</w:t>
      </w:r>
      <w:proofErr w:type="spellEnd"/>
      <w:r w:rsidRPr="007020A2">
        <w:rPr>
          <w:rStyle w:val="normaltextrun"/>
          <w:sz w:val="28"/>
          <w:szCs w:val="28"/>
        </w:rPr>
        <w:t>;</w:t>
      </w: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4D688973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3) uztur valsts, tiesiskās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informācijas un pilsoniskās izglītības portālu "Cilvēks. Valsts. Likums" tīmekļa vietnē </w:t>
      </w:r>
      <w:proofErr w:type="spellStart"/>
      <w:r w:rsidRPr="007020A2">
        <w:rPr>
          <w:rStyle w:val="normaltextrun"/>
          <w:sz w:val="28"/>
          <w:szCs w:val="28"/>
        </w:rPr>
        <w:t>www.lvportals.lv</w:t>
      </w:r>
      <w:proofErr w:type="spellEnd"/>
      <w:r w:rsidRPr="007020A2">
        <w:rPr>
          <w:rStyle w:val="normaltextrun"/>
          <w:sz w:val="28"/>
          <w:szCs w:val="28"/>
        </w:rPr>
        <w:t>;</w:t>
      </w:r>
    </w:p>
    <w:p w:rsidRPr="007020A2" w:rsidR="007020A2" w:rsidP="007020A2" w:rsidRDefault="007020A2" w14:paraId="3E6DD825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4) izdod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spellingerror"/>
          <w:sz w:val="28"/>
          <w:szCs w:val="28"/>
        </w:rPr>
        <w:t>tiesībpolitikas</w:t>
      </w:r>
      <w:r w:rsidRPr="007020A2">
        <w:rPr>
          <w:rStyle w:val="normaltextrun"/>
          <w:sz w:val="28"/>
          <w:szCs w:val="28"/>
        </w:rPr>
        <w:t>, tiesību piemērošanas un juridiskās tālākizglītības specializēto žurnālu "Jurista Vārds" un uztur tā tīmekļa vietni</w:t>
      </w:r>
      <w:r w:rsidR="002B11E8">
        <w:rPr>
          <w:rStyle w:val="normaltextrun"/>
          <w:sz w:val="28"/>
          <w:szCs w:val="28"/>
        </w:rPr>
        <w:t xml:space="preserve"> </w:t>
      </w:r>
      <w:proofErr w:type="spellStart"/>
      <w:r w:rsidRPr="007020A2">
        <w:rPr>
          <w:rStyle w:val="normaltextrun"/>
          <w:sz w:val="28"/>
          <w:szCs w:val="28"/>
        </w:rPr>
        <w:t>www.juristavards.lv</w:t>
      </w:r>
      <w:proofErr w:type="spellEnd"/>
      <w:r w:rsidRPr="007020A2">
        <w:rPr>
          <w:rStyle w:val="normaltextrun"/>
          <w:sz w:val="28"/>
          <w:szCs w:val="28"/>
        </w:rPr>
        <w:t>;</w:t>
      </w:r>
    </w:p>
    <w:p w:rsidRPr="007020A2" w:rsidR="007020A2" w:rsidP="007020A2" w:rsidRDefault="007020A2" w14:paraId="1709D557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lastRenderedPageBreak/>
        <w:t>5) uztur Oficiālo publikāciju un tiesiskās informācijas sistēmu, kā arī nodrošina tajā esošās informācijas arhivēšanu;</w:t>
      </w:r>
    </w:p>
    <w:p w:rsidRPr="007020A2" w:rsidR="007020A2" w:rsidP="007020A2" w:rsidRDefault="007020A2" w14:paraId="6F4A3289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6) izplata valsts operatīvo informāciju ārkārtējās situācijas laikā un citos nepieciešamajos gadījumos;</w:t>
      </w:r>
    </w:p>
    <w:p w:rsidRPr="007020A2" w:rsidR="007020A2" w:rsidP="007020A2" w:rsidRDefault="007020A2" w14:paraId="0C819A00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7) izdod iespieddarbus, organizē pasākumus un veic citas nepieciešamās darbības šajā pantā paredzēto uzdevumu izpildes nodrošināšanai.</w:t>
      </w:r>
    </w:p>
    <w:p w:rsidRPr="007020A2" w:rsidR="007020A2" w:rsidP="007020A2" w:rsidRDefault="007020A2" w14:paraId="62FD9896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(3) Valsts sabiedrības ar ierobežotu atbildību "Latvijas Vēstnesis" kapitāla daļas ir valsts īpašums un nav privatizējamas, atsavināmas</w:t>
      </w:r>
      <w:proofErr w:type="gramStart"/>
      <w:r w:rsidRPr="007020A2">
        <w:rPr>
          <w:rStyle w:val="normaltextrun"/>
          <w:sz w:val="28"/>
          <w:szCs w:val="28"/>
        </w:rPr>
        <w:t xml:space="preserve"> vai citādi apgrūtināmas</w:t>
      </w:r>
      <w:proofErr w:type="gramEnd"/>
      <w:r w:rsidRPr="007020A2">
        <w:rPr>
          <w:rStyle w:val="normaltextrun"/>
          <w:sz w:val="28"/>
          <w:szCs w:val="28"/>
        </w:rPr>
        <w:t>.</w:t>
      </w:r>
    </w:p>
    <w:p w:rsidRPr="007020A2" w:rsidR="007020A2" w:rsidP="007020A2" w:rsidRDefault="007020A2" w14:paraId="35D3A13D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12DD6679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b/>
          <w:bCs/>
          <w:sz w:val="28"/>
          <w:szCs w:val="28"/>
        </w:rPr>
        <w:t>15.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pants. Oficiālo publikāciju un tiesiskās informācijas sistēma</w:t>
      </w: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52B0E41B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(1) Oficiālo publikāciju un tiesiskās informācijas sistēma ir valsts informācijas sistēma, kurā nodrošina oficiālo publikāciju, tajā ietvertās informācijas sistematizēšanu un tiesiskās informācijas apstrādi un pieejamību.</w:t>
      </w:r>
    </w:p>
    <w:p w:rsidRPr="007020A2" w:rsidR="007020A2" w:rsidP="007020A2" w:rsidRDefault="007020A2" w14:paraId="672BC9D4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(2) Oficiālo publikāciju un tiesiskās informācijas sistēmas īpašniece ir Latvijas valsts. Oficiālo publikāciju un tiesiskās informācijas sistēmas pārzine ir valsts sabiedrība ar ierobežotu atbildību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"Latvijas Vēstnesis".</w:t>
      </w:r>
    </w:p>
    <w:p w:rsidRPr="007020A2" w:rsidR="007020A2" w:rsidP="007020A2" w:rsidRDefault="007020A2" w14:paraId="15EACB0C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6B7C3697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3. Aizstāt 16.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panta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pirmajā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daļā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vārdu "aģentūra" ar vārdiem "sabiedrība ar ierobežotu atbildību".</w:t>
      </w:r>
    </w:p>
    <w:p w:rsidRPr="007020A2" w:rsidR="007020A2" w:rsidP="007020A2" w:rsidRDefault="007020A2" w14:paraId="174737A5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222E60ED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4. Aizstāt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17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 panta otrajā daļā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vārdu "aģentūras" ar vārdiem "sabiedrības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ar ierobežotu atbildību".</w:t>
      </w:r>
    </w:p>
    <w:p w:rsidRPr="007020A2" w:rsidR="007020A2" w:rsidP="007020A2" w:rsidRDefault="007020A2" w14:paraId="68492F79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5AAF2AD1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5. Papildināt 18. panta otro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daļu pēc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vārda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"publikāciju"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ar vārdiem "un tiesiskās".</w:t>
      </w:r>
    </w:p>
    <w:p w:rsidRPr="007020A2" w:rsidR="007020A2" w:rsidP="007020A2" w:rsidRDefault="007020A2" w14:paraId="0D0A896B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eop"/>
          <w:sz w:val="28"/>
          <w:szCs w:val="28"/>
        </w:rPr>
        <w:t> </w:t>
      </w:r>
    </w:p>
    <w:p w:rsidRPr="007020A2" w:rsidR="007020A2" w:rsidP="007020A2" w:rsidRDefault="007020A2" w14:paraId="68467A27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6. Izteikt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19.</w:t>
      </w:r>
      <w:r w:rsidR="002B11E8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pantu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šādā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redakcijā:</w:t>
      </w:r>
    </w:p>
    <w:p w:rsidRPr="007020A2" w:rsidR="007020A2" w:rsidP="007020A2" w:rsidRDefault="007020A2" w14:paraId="72C9116B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"</w:t>
      </w:r>
      <w:r w:rsidRPr="007020A2">
        <w:rPr>
          <w:rStyle w:val="normaltextrun"/>
          <w:b/>
          <w:bCs/>
          <w:sz w:val="28"/>
          <w:szCs w:val="28"/>
        </w:rPr>
        <w:t>19.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pants.</w:t>
      </w:r>
      <w:r w:rsidR="002B11E8">
        <w:rPr>
          <w:rStyle w:val="normaltextrun"/>
          <w:b/>
          <w:bCs/>
          <w:sz w:val="28"/>
          <w:szCs w:val="28"/>
        </w:rPr>
        <w:t> </w:t>
      </w:r>
      <w:r w:rsidRPr="007020A2">
        <w:rPr>
          <w:rStyle w:val="normaltextrun"/>
          <w:b/>
          <w:bCs/>
          <w:sz w:val="28"/>
          <w:szCs w:val="28"/>
        </w:rPr>
        <w:t>Oficiālo publikāciju kā nacionālā kultūras mantojuma saglabāšana</w:t>
      </w:r>
    </w:p>
    <w:p w:rsidRPr="007020A2" w:rsidR="007020A2" w:rsidP="007020A2" w:rsidRDefault="007020A2" w14:paraId="26AE1B40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Oficiālā izdevuma izdevējs oficiālās publikācijas nodod Latvijas Nacionālajai bibliotēkai vienas darba dienas laikā no laidiena publicēšanas dienas, lai nodrošinātu</w:t>
      </w:r>
      <w:r w:rsidR="002B11E8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oficiālās publikācijas kā nacionālā kultūras mantojuma pastāvīgu saglabāšanu, apstrādi un izmantošanu."</w:t>
      </w:r>
    </w:p>
    <w:p w:rsidRPr="007020A2" w:rsidR="007020A2" w:rsidP="007020A2" w:rsidRDefault="007020A2" w14:paraId="005836F4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5340D3CE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7. Pārejas noteikumos:</w:t>
      </w:r>
    </w:p>
    <w:p w:rsidRPr="007020A2" w:rsidR="007020A2" w:rsidP="007020A2" w:rsidRDefault="002661EF" w14:paraId="790A6345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i</w:t>
      </w:r>
      <w:r w:rsidRPr="007020A2" w:rsidR="007020A2">
        <w:rPr>
          <w:rStyle w:val="normaltextrun"/>
          <w:sz w:val="28"/>
          <w:szCs w:val="28"/>
        </w:rPr>
        <w:t>zslēgt</w:t>
      </w:r>
      <w:r w:rsidR="002B11E8">
        <w:rPr>
          <w:rStyle w:val="normaltextrun"/>
          <w:sz w:val="28"/>
          <w:szCs w:val="28"/>
        </w:rPr>
        <w:t xml:space="preserve"> </w:t>
      </w:r>
      <w:r w:rsidRPr="007020A2" w:rsidR="007020A2">
        <w:rPr>
          <w:rStyle w:val="normaltextrun"/>
          <w:sz w:val="28"/>
          <w:szCs w:val="28"/>
        </w:rPr>
        <w:t>3.</w:t>
      </w:r>
      <w:r w:rsidR="002B11E8">
        <w:rPr>
          <w:rStyle w:val="normaltextrun"/>
          <w:sz w:val="28"/>
          <w:szCs w:val="28"/>
        </w:rPr>
        <w:t> </w:t>
      </w:r>
      <w:r w:rsidRPr="007020A2" w:rsidR="007020A2">
        <w:rPr>
          <w:rStyle w:val="normaltextrun"/>
          <w:sz w:val="28"/>
          <w:szCs w:val="28"/>
        </w:rPr>
        <w:t>punktu;</w:t>
      </w:r>
    </w:p>
    <w:p w:rsidRPr="007020A2" w:rsidR="007020A2" w:rsidP="007020A2" w:rsidRDefault="007020A2" w14:paraId="1E8F49B3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papildināt</w:t>
      </w:r>
      <w:r w:rsidR="002661EF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pārejas noteikumus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ar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10. un 11.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punktu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šādā redakcijā:</w:t>
      </w:r>
    </w:p>
    <w:p w:rsidRPr="007020A2" w:rsidR="007020A2" w:rsidP="007020A2" w:rsidRDefault="007020A2" w14:paraId="7A0B26C6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 xml:space="preserve">"10. Ja </w:t>
      </w:r>
      <w:proofErr w:type="gramStart"/>
      <w:r w:rsidRPr="007020A2">
        <w:rPr>
          <w:rStyle w:val="normaltextrun"/>
          <w:sz w:val="28"/>
          <w:szCs w:val="28"/>
        </w:rPr>
        <w:t>citā normatīvajā aktā</w:t>
      </w:r>
      <w:proofErr w:type="gramEnd"/>
      <w:r w:rsidRPr="007020A2">
        <w:rPr>
          <w:rStyle w:val="normaltextrun"/>
          <w:sz w:val="28"/>
          <w:szCs w:val="28"/>
        </w:rPr>
        <w:t xml:space="preserve"> ir paredzēts, ka par oficiālo publikāciju ir maksājama noteikta maksa, pēc 2021.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gada 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janvāra šo maksu nepiemēro.</w:t>
      </w:r>
    </w:p>
    <w:p w:rsidRPr="007020A2" w:rsidR="007020A2" w:rsidP="007020A2" w:rsidRDefault="007020A2" w14:paraId="18DB7677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11. Grozījums šā likuma 3.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panta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pirmajā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daļā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par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otrā teikuma izslēgšanu stājas spēkā 2021.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gada 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 xml:space="preserve">jūlijā. </w:t>
      </w:r>
      <w:proofErr w:type="gramStart"/>
      <w:r w:rsidRPr="007020A2">
        <w:rPr>
          <w:rStyle w:val="normaltextrun"/>
          <w:sz w:val="28"/>
          <w:szCs w:val="28"/>
        </w:rPr>
        <w:t>Sākot ar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2021.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gada 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jūliju,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visu pašvaldību saistošos</w:t>
      </w:r>
      <w:proofErr w:type="gramEnd"/>
      <w:r w:rsidRPr="007020A2">
        <w:rPr>
          <w:rStyle w:val="normaltextrun"/>
          <w:sz w:val="28"/>
          <w:szCs w:val="28"/>
        </w:rPr>
        <w:t xml:space="preserve"> noteikumus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izsludina, tos publicējot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oficiālajā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izdevumā.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Iesniedzot publicēšanai grozījumus saistošajos noteikumos,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kuri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nav pieejami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tīmekļa vietnē</w:t>
      </w:r>
      <w:r w:rsidR="005B6286">
        <w:rPr>
          <w:rStyle w:val="normaltextrun"/>
          <w:sz w:val="28"/>
          <w:szCs w:val="28"/>
        </w:rPr>
        <w:t xml:space="preserve"> </w:t>
      </w:r>
      <w:proofErr w:type="spellStart"/>
      <w:r w:rsidRPr="007020A2">
        <w:rPr>
          <w:rStyle w:val="normaltextrun"/>
          <w:sz w:val="28"/>
          <w:szCs w:val="28"/>
        </w:rPr>
        <w:lastRenderedPageBreak/>
        <w:t>www.likumi.lv</w:t>
      </w:r>
      <w:proofErr w:type="spellEnd"/>
      <w:r w:rsidRPr="007020A2">
        <w:rPr>
          <w:rStyle w:val="normaltextrun"/>
          <w:sz w:val="28"/>
          <w:szCs w:val="28"/>
        </w:rPr>
        <w:t>, vienlaikus iesniedz grozīto saistošo noteikumu konsolidēto redakciju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rediģējamā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formātā, kurā ietverti arī publicēšanai iesniegtie grozījumi."</w:t>
      </w:r>
    </w:p>
    <w:p w:rsidRPr="007020A2" w:rsidR="007020A2" w:rsidP="007020A2" w:rsidRDefault="007020A2" w14:paraId="365C6283" w14:textId="7777777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113C06AC" w14:textId="7777777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Likums stājas spēkā</w:t>
      </w:r>
      <w:r w:rsidR="005B6286">
        <w:rPr>
          <w:rStyle w:val="normaltextrun"/>
          <w:sz w:val="28"/>
          <w:szCs w:val="28"/>
        </w:rPr>
        <w:t xml:space="preserve"> </w:t>
      </w:r>
      <w:r w:rsidRPr="007020A2">
        <w:rPr>
          <w:rStyle w:val="normaltextrun"/>
          <w:sz w:val="28"/>
          <w:szCs w:val="28"/>
        </w:rPr>
        <w:t>2021.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gada 1.</w:t>
      </w:r>
      <w:r w:rsidR="005B6286">
        <w:rPr>
          <w:rStyle w:val="normaltextrun"/>
          <w:sz w:val="28"/>
          <w:szCs w:val="28"/>
        </w:rPr>
        <w:t> </w:t>
      </w:r>
      <w:r w:rsidRPr="007020A2">
        <w:rPr>
          <w:rStyle w:val="normaltextrun"/>
          <w:sz w:val="28"/>
          <w:szCs w:val="28"/>
        </w:rPr>
        <w:t>janvārī.</w:t>
      </w:r>
    </w:p>
    <w:p w:rsidRPr="007020A2" w:rsidR="007020A2" w:rsidP="007020A2" w:rsidRDefault="007020A2" w14:paraId="46D8A81C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00B619C9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6507DECD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Ministru prezidenta biedrs,</w:t>
      </w:r>
    </w:p>
    <w:p w:rsidRPr="007020A2" w:rsidR="007020A2" w:rsidP="007020A2" w:rsidRDefault="005B6286" w14:paraId="79FB53CF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t</w:t>
      </w:r>
      <w:r w:rsidRPr="007020A2" w:rsidR="007020A2">
        <w:rPr>
          <w:rStyle w:val="normaltextrun"/>
          <w:sz w:val="28"/>
          <w:szCs w:val="28"/>
        </w:rPr>
        <w:t>ieslietu</w:t>
      </w:r>
      <w:r>
        <w:rPr>
          <w:rStyle w:val="normaltextrun"/>
          <w:sz w:val="28"/>
          <w:szCs w:val="28"/>
        </w:rPr>
        <w:t xml:space="preserve"> </w:t>
      </w:r>
      <w:r w:rsidRPr="007020A2" w:rsidR="007020A2">
        <w:rPr>
          <w:rStyle w:val="spellingerror"/>
          <w:sz w:val="28"/>
          <w:szCs w:val="28"/>
        </w:rPr>
        <w:t>ministrs</w:t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Pr="007020A2" w:rsidR="007020A2">
        <w:rPr>
          <w:rStyle w:val="spellingerror"/>
          <w:sz w:val="28"/>
          <w:szCs w:val="28"/>
        </w:rPr>
        <w:t>Jānis</w:t>
      </w:r>
      <w:r>
        <w:rPr>
          <w:rStyle w:val="normaltextrun"/>
          <w:sz w:val="28"/>
          <w:szCs w:val="28"/>
        </w:rPr>
        <w:t xml:space="preserve"> </w:t>
      </w:r>
      <w:r w:rsidRPr="007020A2" w:rsidR="007020A2">
        <w:rPr>
          <w:rStyle w:val="spellingerror"/>
          <w:sz w:val="28"/>
          <w:szCs w:val="28"/>
        </w:rPr>
        <w:t>Bordāns</w:t>
      </w:r>
    </w:p>
    <w:p w:rsidRPr="007020A2" w:rsidR="007020A2" w:rsidP="007020A2" w:rsidRDefault="007020A2" w14:paraId="39CB22BD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Pr="007020A2" w:rsidR="007020A2" w:rsidP="007020A2" w:rsidRDefault="007020A2" w14:paraId="41006DEC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Iesniedzējs:</w:t>
      </w:r>
    </w:p>
    <w:p w:rsidRPr="007020A2" w:rsidR="007020A2" w:rsidP="007020A2" w:rsidRDefault="007020A2" w14:paraId="4885D897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20A2">
        <w:rPr>
          <w:rStyle w:val="normaltextrun"/>
          <w:sz w:val="28"/>
          <w:szCs w:val="28"/>
        </w:rPr>
        <w:t>Ministru prezidenta biedrs,</w:t>
      </w:r>
    </w:p>
    <w:p w:rsidRPr="007020A2" w:rsidR="00576D63" w:rsidP="005B6286" w:rsidRDefault="00D64F04" w14:paraId="51D2FB3C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t</w:t>
      </w:r>
      <w:r w:rsidRPr="007020A2" w:rsidR="007020A2">
        <w:rPr>
          <w:rStyle w:val="normaltextrun"/>
          <w:sz w:val="28"/>
          <w:szCs w:val="28"/>
        </w:rPr>
        <w:t>ieslietu</w:t>
      </w:r>
      <w:r w:rsidR="005B6286">
        <w:rPr>
          <w:rStyle w:val="normaltextrun"/>
          <w:sz w:val="28"/>
          <w:szCs w:val="28"/>
        </w:rPr>
        <w:t xml:space="preserve"> </w:t>
      </w:r>
      <w:r w:rsidRPr="007020A2" w:rsidR="007020A2">
        <w:rPr>
          <w:rStyle w:val="spellingerror"/>
          <w:sz w:val="28"/>
          <w:szCs w:val="28"/>
        </w:rPr>
        <w:t>ministrs</w:t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="007020A2">
        <w:rPr>
          <w:rStyle w:val="spellingerror"/>
          <w:sz w:val="28"/>
          <w:szCs w:val="28"/>
        </w:rPr>
        <w:tab/>
      </w:r>
      <w:r w:rsidRPr="007020A2" w:rsidR="007020A2">
        <w:rPr>
          <w:rStyle w:val="spellingerror"/>
          <w:sz w:val="28"/>
          <w:szCs w:val="28"/>
        </w:rPr>
        <w:t>Jānis</w:t>
      </w:r>
      <w:r w:rsidR="005B6286">
        <w:rPr>
          <w:rStyle w:val="normaltextrun"/>
          <w:sz w:val="28"/>
          <w:szCs w:val="28"/>
        </w:rPr>
        <w:t xml:space="preserve"> </w:t>
      </w:r>
      <w:r w:rsidRPr="007020A2" w:rsidR="007020A2">
        <w:rPr>
          <w:rStyle w:val="spellingerror"/>
          <w:sz w:val="28"/>
          <w:szCs w:val="28"/>
        </w:rPr>
        <w:t>Bordāns</w:t>
      </w:r>
    </w:p>
    <w:sectPr w:rsidRPr="007020A2" w:rsidR="00576D63" w:rsidSect="005B6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CE6DE" w14:textId="77777777" w:rsidR="005B6286" w:rsidRDefault="005B6286" w:rsidP="005B6286">
      <w:pPr>
        <w:spacing w:after="0" w:line="240" w:lineRule="auto"/>
      </w:pPr>
      <w:r>
        <w:separator/>
      </w:r>
    </w:p>
  </w:endnote>
  <w:endnote w:type="continuationSeparator" w:id="0">
    <w:p w14:paraId="77B6A5B8" w14:textId="77777777" w:rsidR="005B6286" w:rsidRDefault="005B6286" w:rsidP="005B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2AD6E" w14:textId="77777777" w:rsidR="00932E23" w:rsidRDefault="00932E2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1D7F" w14:textId="421A058F" w:rsidR="005B6286" w:rsidRPr="005B6286" w:rsidRDefault="005B6286" w:rsidP="005B6286">
    <w:pPr>
      <w:pStyle w:val="Kjene"/>
    </w:pPr>
    <w:r w:rsidRPr="005B6286">
      <w:rPr>
        <w:rFonts w:ascii="Times New Roman" w:hAnsi="Times New Roman" w:cs="Times New Roman"/>
        <w:sz w:val="20"/>
        <w:szCs w:val="20"/>
      </w:rPr>
      <w:fldChar w:fldCharType="begin"/>
    </w:r>
    <w:r w:rsidRPr="005B628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5B6286">
      <w:rPr>
        <w:rFonts w:ascii="Times New Roman" w:hAnsi="Times New Roman" w:cs="Times New Roman"/>
        <w:sz w:val="20"/>
        <w:szCs w:val="20"/>
      </w:rPr>
      <w:fldChar w:fldCharType="separate"/>
    </w:r>
    <w:r w:rsidR="00932E23">
      <w:rPr>
        <w:rFonts w:ascii="Times New Roman" w:hAnsi="Times New Roman" w:cs="Times New Roman"/>
        <w:noProof/>
        <w:sz w:val="20"/>
        <w:szCs w:val="20"/>
      </w:rPr>
      <w:t>TMLik_051020_grOPTIL</w:t>
    </w:r>
    <w:r w:rsidRPr="005B6286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642BB" w14:textId="59EF52A0" w:rsidR="005B6286" w:rsidRPr="00D64F04" w:rsidRDefault="00D64F04" w:rsidP="00D64F04">
    <w:pPr>
      <w:pStyle w:val="Kjene"/>
      <w:rPr>
        <w:rFonts w:ascii="Times New Roman" w:hAnsi="Times New Roman" w:cs="Times New Roman"/>
        <w:sz w:val="20"/>
        <w:szCs w:val="20"/>
      </w:rPr>
    </w:pPr>
    <w:r w:rsidRPr="00D64F04">
      <w:rPr>
        <w:rFonts w:ascii="Times New Roman" w:hAnsi="Times New Roman" w:cs="Times New Roman"/>
        <w:sz w:val="20"/>
        <w:szCs w:val="20"/>
      </w:rPr>
      <w:fldChar w:fldCharType="begin"/>
    </w:r>
    <w:r w:rsidRPr="00D64F0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64F04">
      <w:rPr>
        <w:rFonts w:ascii="Times New Roman" w:hAnsi="Times New Roman" w:cs="Times New Roman"/>
        <w:sz w:val="20"/>
        <w:szCs w:val="20"/>
      </w:rPr>
      <w:fldChar w:fldCharType="separate"/>
    </w:r>
    <w:r w:rsidR="00932E23">
      <w:rPr>
        <w:rFonts w:ascii="Times New Roman" w:hAnsi="Times New Roman" w:cs="Times New Roman"/>
        <w:noProof/>
        <w:sz w:val="20"/>
        <w:szCs w:val="20"/>
      </w:rPr>
      <w:t>TMLik_051020_grOPTIL</w:t>
    </w:r>
    <w:r w:rsidRPr="00D64F0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1998" w14:textId="77777777" w:rsidR="005B6286" w:rsidRDefault="005B6286" w:rsidP="005B6286">
      <w:pPr>
        <w:spacing w:after="0" w:line="240" w:lineRule="auto"/>
      </w:pPr>
      <w:r>
        <w:separator/>
      </w:r>
    </w:p>
  </w:footnote>
  <w:footnote w:type="continuationSeparator" w:id="0">
    <w:p w14:paraId="1598C032" w14:textId="77777777" w:rsidR="005B6286" w:rsidRDefault="005B6286" w:rsidP="005B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E23" w:rsidRDefault="00932E23" w14:paraId="75D678A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4249145"/>
      <w:docPartObj>
        <w:docPartGallery w:val="Page Numbers (Top of Page)"/>
        <w:docPartUnique/>
      </w:docPartObj>
    </w:sdtPr>
    <w:sdtEndPr/>
    <w:sdtContent>
      <w:p w:rsidR="005B6286" w:rsidRDefault="005B6286" w14:paraId="6E52837D" w14:textId="7777777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B6286" w:rsidRDefault="005B6286" w14:paraId="6E8B3F0E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E23" w:rsidRDefault="00932E23" w14:paraId="6E072C51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0A2"/>
    <w:rsid w:val="00074F10"/>
    <w:rsid w:val="001D19D1"/>
    <w:rsid w:val="002661EF"/>
    <w:rsid w:val="002B11E8"/>
    <w:rsid w:val="004B77D1"/>
    <w:rsid w:val="00576D63"/>
    <w:rsid w:val="005B6286"/>
    <w:rsid w:val="007020A2"/>
    <w:rsid w:val="00932E23"/>
    <w:rsid w:val="00D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DAEBA"/>
  <w15:chartTrackingRefBased/>
  <w15:docId w15:val="{E7CCD0F0-FFC8-45EE-AD2F-A0B1286A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70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7020A2"/>
  </w:style>
  <w:style w:type="character" w:customStyle="1" w:styleId="eop">
    <w:name w:val="eop"/>
    <w:basedOn w:val="Noklusjumarindkopasfonts"/>
    <w:rsid w:val="007020A2"/>
  </w:style>
  <w:style w:type="character" w:customStyle="1" w:styleId="spellingerror">
    <w:name w:val="spellingerror"/>
    <w:basedOn w:val="Noklusjumarindkopasfonts"/>
    <w:rsid w:val="007020A2"/>
  </w:style>
  <w:style w:type="paragraph" w:styleId="Galvene">
    <w:name w:val="header"/>
    <w:basedOn w:val="Parasts"/>
    <w:link w:val="GalveneRakstz"/>
    <w:uiPriority w:val="99"/>
    <w:unhideWhenUsed/>
    <w:rsid w:val="005B6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6286"/>
  </w:style>
  <w:style w:type="paragraph" w:styleId="Kjene">
    <w:name w:val="footer"/>
    <w:basedOn w:val="Parasts"/>
    <w:link w:val="KjeneRakstz"/>
    <w:uiPriority w:val="99"/>
    <w:unhideWhenUsed/>
    <w:rsid w:val="005B6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5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3011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Oficiālo publikāciju un tiesiskās informācijas likumā</vt:lpstr>
    </vt:vector>
  </TitlesOfParts>
  <Company>Tieslietu ministrija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Oficiālo publikāciju un tiesiskās informācijas likumā</dc:title>
  <dc:subject>Likumprojekts</dc:subject>
  <dc:creator>Ilze Brazauska</dc:creator>
  <cp:keywords/>
  <dc:description>67036933, ilze.brazauska@tm.gov.lv</dc:description>
  <cp:lastModifiedBy>Kristīne Kuprijanova</cp:lastModifiedBy>
  <cp:revision>4</cp:revision>
  <dcterms:created xsi:type="dcterms:W3CDTF">2020-09-29T09:37:00Z</dcterms:created>
  <dcterms:modified xsi:type="dcterms:W3CDTF">2020-10-05T11:39:00Z</dcterms:modified>
</cp:coreProperties>
</file>