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E1C4" w14:textId="437A1473" w:rsidR="00EC1AC1" w:rsidRDefault="00EC1AC1" w:rsidP="00EA5230">
      <w:pPr>
        <w:tabs>
          <w:tab w:val="left" w:pos="6663"/>
        </w:tabs>
        <w:rPr>
          <w:sz w:val="28"/>
          <w:szCs w:val="28"/>
        </w:rPr>
      </w:pPr>
    </w:p>
    <w:p w14:paraId="3D6F5BA4" w14:textId="741B7093" w:rsidR="00772AA6" w:rsidRDefault="00772AA6" w:rsidP="00EA5230">
      <w:pPr>
        <w:tabs>
          <w:tab w:val="left" w:pos="6663"/>
        </w:tabs>
        <w:rPr>
          <w:sz w:val="28"/>
          <w:szCs w:val="28"/>
        </w:rPr>
      </w:pPr>
    </w:p>
    <w:p w14:paraId="5BBABAFA" w14:textId="77777777" w:rsidR="00772AA6" w:rsidRPr="006219B0" w:rsidRDefault="00772AA6" w:rsidP="00EA5230">
      <w:pPr>
        <w:tabs>
          <w:tab w:val="left" w:pos="6663"/>
        </w:tabs>
        <w:rPr>
          <w:sz w:val="28"/>
          <w:szCs w:val="28"/>
        </w:rPr>
      </w:pPr>
    </w:p>
    <w:p w14:paraId="3E444ED3" w14:textId="379B7D0E" w:rsidR="006219B0" w:rsidRPr="006219B0" w:rsidRDefault="006219B0" w:rsidP="00C91CA9">
      <w:pPr>
        <w:tabs>
          <w:tab w:val="left" w:pos="6663"/>
        </w:tabs>
        <w:rPr>
          <w:b/>
          <w:sz w:val="28"/>
          <w:szCs w:val="28"/>
        </w:rPr>
      </w:pPr>
      <w:r w:rsidRPr="006219B0">
        <w:rPr>
          <w:sz w:val="28"/>
          <w:szCs w:val="28"/>
        </w:rPr>
        <w:t xml:space="preserve">2020. gada </w:t>
      </w:r>
      <w:r w:rsidR="005317DF">
        <w:rPr>
          <w:sz w:val="28"/>
          <w:szCs w:val="28"/>
        </w:rPr>
        <w:t>20. oktobrī</w:t>
      </w:r>
      <w:r w:rsidRPr="006219B0">
        <w:rPr>
          <w:sz w:val="28"/>
          <w:szCs w:val="28"/>
        </w:rPr>
        <w:tab/>
        <w:t>Rīkojums Nr.</w:t>
      </w:r>
      <w:r w:rsidR="005317DF">
        <w:rPr>
          <w:sz w:val="28"/>
          <w:szCs w:val="28"/>
        </w:rPr>
        <w:t> 613</w:t>
      </w:r>
    </w:p>
    <w:p w14:paraId="5D90DAA1" w14:textId="55BF289F" w:rsidR="006219B0" w:rsidRPr="006219B0" w:rsidRDefault="006219B0" w:rsidP="00C91CA9">
      <w:pPr>
        <w:tabs>
          <w:tab w:val="left" w:pos="6663"/>
        </w:tabs>
        <w:rPr>
          <w:sz w:val="28"/>
          <w:szCs w:val="28"/>
        </w:rPr>
      </w:pPr>
      <w:r w:rsidRPr="006219B0">
        <w:rPr>
          <w:sz w:val="28"/>
          <w:szCs w:val="28"/>
        </w:rPr>
        <w:t>Rīgā</w:t>
      </w:r>
      <w:r w:rsidRPr="006219B0">
        <w:rPr>
          <w:sz w:val="28"/>
          <w:szCs w:val="28"/>
        </w:rPr>
        <w:tab/>
        <w:t>(prot. Nr.</w:t>
      </w:r>
      <w:r w:rsidR="005317DF">
        <w:rPr>
          <w:sz w:val="28"/>
          <w:szCs w:val="28"/>
        </w:rPr>
        <w:t> 62 18</w:t>
      </w:r>
      <w:bookmarkStart w:id="0" w:name="_GoBack"/>
      <w:bookmarkEnd w:id="0"/>
      <w:r w:rsidRPr="006219B0">
        <w:rPr>
          <w:sz w:val="28"/>
          <w:szCs w:val="28"/>
        </w:rPr>
        <w:t>. §)</w:t>
      </w:r>
    </w:p>
    <w:p w14:paraId="1C0528C6" w14:textId="77777777" w:rsidR="00205847" w:rsidRPr="006219B0" w:rsidRDefault="00205847" w:rsidP="00BB00C7">
      <w:pPr>
        <w:rPr>
          <w:bCs/>
          <w:sz w:val="28"/>
          <w:szCs w:val="28"/>
        </w:rPr>
      </w:pPr>
    </w:p>
    <w:p w14:paraId="362152DA" w14:textId="77777777" w:rsidR="006219B0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6219B0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6219B0">
        <w:rPr>
          <w:b/>
          <w:sz w:val="28"/>
          <w:szCs w:val="28"/>
        </w:rPr>
        <w:t xml:space="preserve"> </w:t>
      </w:r>
    </w:p>
    <w:p w14:paraId="69F5D50A" w14:textId="28148439" w:rsidR="002B7BBD" w:rsidRPr="006219B0" w:rsidRDefault="006219B0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6219B0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FABFB8" w14:textId="77777777" w:rsidR="002B7BBD" w:rsidRPr="006219B0" w:rsidRDefault="002B7BBD" w:rsidP="002B7BBD">
      <w:pPr>
        <w:jc w:val="both"/>
        <w:rPr>
          <w:sz w:val="28"/>
          <w:szCs w:val="28"/>
        </w:rPr>
      </w:pPr>
    </w:p>
    <w:p w14:paraId="2AEA2F95" w14:textId="3D1B3323" w:rsidR="005F4E82" w:rsidRPr="006219B0" w:rsidRDefault="005F4E82" w:rsidP="006219B0">
      <w:pPr>
        <w:pStyle w:val="tv213"/>
        <w:numPr>
          <w:ilvl w:val="0"/>
          <w:numId w:val="12"/>
        </w:numPr>
        <w:tabs>
          <w:tab w:val="left" w:pos="-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9B0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6219B0">
          <w:rPr>
            <w:sz w:val="28"/>
            <w:szCs w:val="28"/>
          </w:rPr>
          <w:t>02.00.00</w:t>
        </w:r>
      </w:smartTag>
      <w:r w:rsidRPr="006219B0">
        <w:rPr>
          <w:sz w:val="28"/>
          <w:szCs w:val="28"/>
        </w:rPr>
        <w:t xml:space="preserve"> </w:t>
      </w:r>
      <w:r w:rsidR="006219B0">
        <w:rPr>
          <w:sz w:val="28"/>
          <w:szCs w:val="28"/>
        </w:rPr>
        <w:t>"</w:t>
      </w:r>
      <w:r w:rsidRPr="006219B0">
        <w:rPr>
          <w:sz w:val="28"/>
          <w:szCs w:val="28"/>
        </w:rPr>
        <w:t>Līdzekļi neparedzētiem gadījumiem</w:t>
      </w:r>
      <w:r w:rsidR="006219B0">
        <w:rPr>
          <w:sz w:val="28"/>
          <w:szCs w:val="28"/>
        </w:rPr>
        <w:t>"</w:t>
      </w:r>
      <w:r w:rsidRPr="006219B0">
        <w:rPr>
          <w:sz w:val="28"/>
          <w:szCs w:val="28"/>
        </w:rPr>
        <w:t xml:space="preserve"> piešķirt Veselības ministrijai (Nacionālajam veselības dienestam) finansējumu 3 009 8</w:t>
      </w:r>
      <w:r w:rsidR="00D44755" w:rsidRPr="006219B0">
        <w:rPr>
          <w:sz w:val="28"/>
          <w:szCs w:val="28"/>
        </w:rPr>
        <w:t>55</w:t>
      </w:r>
      <w:r w:rsidRPr="006219B0">
        <w:rPr>
          <w:sz w:val="28"/>
          <w:szCs w:val="28"/>
        </w:rPr>
        <w:t> </w:t>
      </w:r>
      <w:r w:rsidRPr="006219B0">
        <w:rPr>
          <w:i/>
          <w:sz w:val="28"/>
          <w:szCs w:val="28"/>
        </w:rPr>
        <w:t xml:space="preserve">euro </w:t>
      </w:r>
      <w:r w:rsidRPr="006219B0">
        <w:rPr>
          <w:iCs/>
          <w:sz w:val="28"/>
          <w:szCs w:val="28"/>
        </w:rPr>
        <w:t>apmērā</w:t>
      </w:r>
      <w:r w:rsidRPr="006219B0">
        <w:rPr>
          <w:sz w:val="28"/>
          <w:szCs w:val="28"/>
        </w:rPr>
        <w:t xml:space="preserve">, lai segtu izdevumus, kas radušies saistībā ar </w:t>
      </w:r>
      <w:proofErr w:type="spellStart"/>
      <w:r w:rsidRPr="006219B0">
        <w:rPr>
          <w:sz w:val="28"/>
          <w:szCs w:val="28"/>
        </w:rPr>
        <w:t>Covid-19</w:t>
      </w:r>
      <w:proofErr w:type="spellEnd"/>
      <w:r w:rsidRPr="006219B0">
        <w:rPr>
          <w:sz w:val="28"/>
          <w:szCs w:val="28"/>
        </w:rPr>
        <w:t xml:space="preserve"> uzliesmojumu un seku novēršanu, tai skaitā: </w:t>
      </w:r>
    </w:p>
    <w:p w14:paraId="5564B0D8" w14:textId="53E32CDE" w:rsidR="005F4E82" w:rsidRPr="006219B0" w:rsidRDefault="005F4E82" w:rsidP="006219B0">
      <w:pPr>
        <w:pStyle w:val="tv213"/>
        <w:numPr>
          <w:ilvl w:val="1"/>
          <w:numId w:val="17"/>
        </w:numPr>
        <w:tabs>
          <w:tab w:val="left" w:pos="142"/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9B0">
        <w:rPr>
          <w:sz w:val="28"/>
          <w:szCs w:val="28"/>
        </w:rPr>
        <w:t xml:space="preserve">ambulatorajiem veselības aprūpes pakalpojumiem 436 273 </w:t>
      </w:r>
      <w:proofErr w:type="spellStart"/>
      <w:r w:rsidRPr="006219B0">
        <w:rPr>
          <w:i/>
          <w:iCs/>
          <w:sz w:val="28"/>
          <w:szCs w:val="28"/>
        </w:rPr>
        <w:t>euro</w:t>
      </w:r>
      <w:proofErr w:type="spellEnd"/>
      <w:r w:rsidRPr="006219B0">
        <w:rPr>
          <w:sz w:val="28"/>
          <w:szCs w:val="28"/>
        </w:rPr>
        <w:t>;</w:t>
      </w:r>
    </w:p>
    <w:p w14:paraId="12E13B7E" w14:textId="5852129F" w:rsidR="005F4E82" w:rsidRPr="006219B0" w:rsidRDefault="005F4E82" w:rsidP="006219B0">
      <w:pPr>
        <w:pStyle w:val="tv213"/>
        <w:numPr>
          <w:ilvl w:val="1"/>
          <w:numId w:val="17"/>
        </w:numPr>
        <w:tabs>
          <w:tab w:val="left" w:pos="-142"/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9B0">
        <w:rPr>
          <w:sz w:val="28"/>
          <w:szCs w:val="28"/>
        </w:rPr>
        <w:t>stacionārajiem veselības aprūpes pakalpojumiem 12 8</w:t>
      </w:r>
      <w:r w:rsidR="00D44755" w:rsidRPr="006219B0">
        <w:rPr>
          <w:sz w:val="28"/>
          <w:szCs w:val="28"/>
        </w:rPr>
        <w:t>51</w:t>
      </w:r>
      <w:r w:rsidRPr="006219B0">
        <w:rPr>
          <w:sz w:val="28"/>
          <w:szCs w:val="28"/>
        </w:rPr>
        <w:t xml:space="preserve"> </w:t>
      </w:r>
      <w:r w:rsidRPr="006219B0">
        <w:rPr>
          <w:i/>
          <w:iCs/>
          <w:sz w:val="28"/>
          <w:szCs w:val="28"/>
        </w:rPr>
        <w:t>euro</w:t>
      </w:r>
      <w:r w:rsidRPr="006219B0">
        <w:rPr>
          <w:sz w:val="28"/>
          <w:szCs w:val="28"/>
        </w:rPr>
        <w:t>;</w:t>
      </w:r>
    </w:p>
    <w:p w14:paraId="5E49AAF8" w14:textId="4774971A" w:rsidR="00F54916" w:rsidRPr="006219B0" w:rsidRDefault="005F4E82" w:rsidP="006219B0">
      <w:pPr>
        <w:pStyle w:val="tv213"/>
        <w:numPr>
          <w:ilvl w:val="1"/>
          <w:numId w:val="17"/>
        </w:numPr>
        <w:tabs>
          <w:tab w:val="left" w:pos="-142"/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9B0">
        <w:rPr>
          <w:sz w:val="28"/>
          <w:szCs w:val="28"/>
        </w:rPr>
        <w:t>laboratorisko izmeklējumu organizēšanai un veikšanai 2 560</w:t>
      </w:r>
      <w:r w:rsidR="00C55AE9">
        <w:rPr>
          <w:sz w:val="28"/>
          <w:szCs w:val="28"/>
        </w:rPr>
        <w:t> </w:t>
      </w:r>
      <w:r w:rsidRPr="006219B0">
        <w:rPr>
          <w:sz w:val="28"/>
          <w:szCs w:val="28"/>
        </w:rPr>
        <w:t>731</w:t>
      </w:r>
      <w:r w:rsidR="00C55AE9">
        <w:rPr>
          <w:sz w:val="28"/>
          <w:szCs w:val="28"/>
        </w:rPr>
        <w:t> </w:t>
      </w:r>
      <w:proofErr w:type="spellStart"/>
      <w:r w:rsidRPr="006219B0">
        <w:rPr>
          <w:i/>
          <w:iCs/>
          <w:sz w:val="28"/>
          <w:szCs w:val="28"/>
        </w:rPr>
        <w:t>euro</w:t>
      </w:r>
      <w:proofErr w:type="spellEnd"/>
      <w:r w:rsidRPr="006219B0">
        <w:rPr>
          <w:sz w:val="28"/>
          <w:szCs w:val="28"/>
        </w:rPr>
        <w:t>.</w:t>
      </w:r>
    </w:p>
    <w:p w14:paraId="068E041D" w14:textId="77777777" w:rsidR="005F4E82" w:rsidRPr="006219B0" w:rsidRDefault="005F4E82" w:rsidP="006219B0">
      <w:pPr>
        <w:pStyle w:val="tv213"/>
        <w:tabs>
          <w:tab w:val="left" w:pos="-142"/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0D16CDFD" w:rsidR="009B6496" w:rsidRPr="006219B0" w:rsidRDefault="009B6496" w:rsidP="006219B0">
      <w:pPr>
        <w:pStyle w:val="tv213"/>
        <w:numPr>
          <w:ilvl w:val="0"/>
          <w:numId w:val="12"/>
        </w:numPr>
        <w:tabs>
          <w:tab w:val="left" w:pos="-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9B0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6219B0">
        <w:rPr>
          <w:sz w:val="28"/>
          <w:szCs w:val="28"/>
        </w:rPr>
        <w:t> </w:t>
      </w:r>
      <w:r w:rsidRPr="006219B0">
        <w:rPr>
          <w:sz w:val="28"/>
          <w:szCs w:val="28"/>
        </w:rPr>
        <w:t xml:space="preserve">punktā minēto līdzekļu piešķiršanu no valsts budžeta programmas 02.00.00 </w:t>
      </w:r>
      <w:r w:rsidR="006219B0">
        <w:rPr>
          <w:sz w:val="28"/>
          <w:szCs w:val="28"/>
        </w:rPr>
        <w:t>"</w:t>
      </w:r>
      <w:r w:rsidRPr="006219B0">
        <w:rPr>
          <w:sz w:val="28"/>
          <w:szCs w:val="28"/>
        </w:rPr>
        <w:t>Līdzekļi neparedzētiem gadījumiem</w:t>
      </w:r>
      <w:r w:rsidR="006219B0">
        <w:rPr>
          <w:sz w:val="28"/>
          <w:szCs w:val="28"/>
        </w:rPr>
        <w:t>"</w:t>
      </w:r>
      <w:r w:rsidRPr="006219B0">
        <w:rPr>
          <w:sz w:val="28"/>
          <w:szCs w:val="28"/>
        </w:rPr>
        <w:t>.</w:t>
      </w:r>
    </w:p>
    <w:p w14:paraId="385320E1" w14:textId="77777777" w:rsidR="00F54916" w:rsidRPr="006219B0" w:rsidRDefault="00F54916" w:rsidP="006219B0">
      <w:pPr>
        <w:pStyle w:val="ListParagraph"/>
        <w:tabs>
          <w:tab w:val="left" w:pos="1134"/>
        </w:tabs>
        <w:ind w:left="0" w:firstLine="709"/>
        <w:rPr>
          <w:sz w:val="28"/>
          <w:szCs w:val="28"/>
        </w:rPr>
      </w:pPr>
    </w:p>
    <w:p w14:paraId="1450D321" w14:textId="6733BD76" w:rsidR="004A10F3" w:rsidRPr="006219B0" w:rsidRDefault="004A10F3" w:rsidP="006219B0">
      <w:pPr>
        <w:pStyle w:val="tv213"/>
        <w:numPr>
          <w:ilvl w:val="0"/>
          <w:numId w:val="12"/>
        </w:numPr>
        <w:tabs>
          <w:tab w:val="left" w:pos="-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9B0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C55AE9" w:rsidRPr="006219B0">
        <w:rPr>
          <w:sz w:val="28"/>
          <w:szCs w:val="28"/>
        </w:rPr>
        <w:t xml:space="preserve">apropriācijas izmaiņām </w:t>
      </w:r>
      <w:r w:rsidR="00C55AE9">
        <w:rPr>
          <w:sz w:val="28"/>
          <w:szCs w:val="28"/>
        </w:rPr>
        <w:t xml:space="preserve">atbilstoši </w:t>
      </w:r>
      <w:r w:rsidRPr="006219B0">
        <w:rPr>
          <w:sz w:val="28"/>
          <w:szCs w:val="28"/>
        </w:rPr>
        <w:t>šā rīkojuma 1.</w:t>
      </w:r>
      <w:r w:rsidR="00EC1AC1" w:rsidRPr="006219B0">
        <w:rPr>
          <w:sz w:val="28"/>
          <w:szCs w:val="28"/>
        </w:rPr>
        <w:t> </w:t>
      </w:r>
      <w:r w:rsidRPr="006219B0">
        <w:rPr>
          <w:sz w:val="28"/>
          <w:szCs w:val="28"/>
        </w:rPr>
        <w:t>punkt</w:t>
      </w:r>
      <w:r w:rsidR="00C55AE9">
        <w:rPr>
          <w:sz w:val="28"/>
          <w:szCs w:val="28"/>
        </w:rPr>
        <w:t>am</w:t>
      </w:r>
      <w:r w:rsidRPr="006219B0">
        <w:rPr>
          <w:sz w:val="28"/>
          <w:szCs w:val="28"/>
        </w:rPr>
        <w:t xml:space="preserve"> un, ja Saeimas Budžeta un finanšu (nodokļu) komisija piecu darbdienu laikā </w:t>
      </w:r>
      <w:r w:rsidR="00C55AE9">
        <w:rPr>
          <w:sz w:val="28"/>
          <w:szCs w:val="28"/>
        </w:rPr>
        <w:t>pēc</w:t>
      </w:r>
      <w:r w:rsidRPr="006219B0">
        <w:rPr>
          <w:sz w:val="28"/>
          <w:szCs w:val="28"/>
        </w:rPr>
        <w:t xml:space="preserve"> attiecīgās informācijas saņemšanas nav </w:t>
      </w:r>
      <w:r w:rsidR="00C55AE9">
        <w:rPr>
          <w:sz w:val="28"/>
          <w:szCs w:val="28"/>
        </w:rPr>
        <w:t xml:space="preserve">izteikusi </w:t>
      </w:r>
      <w:r w:rsidRPr="006219B0">
        <w:rPr>
          <w:sz w:val="28"/>
          <w:szCs w:val="28"/>
        </w:rPr>
        <w:t>iebildu</w:t>
      </w:r>
      <w:r w:rsidR="00C55AE9">
        <w:rPr>
          <w:sz w:val="28"/>
          <w:szCs w:val="28"/>
        </w:rPr>
        <w:t>mus,</w:t>
      </w:r>
      <w:r w:rsidRPr="006219B0">
        <w:rPr>
          <w:sz w:val="28"/>
          <w:szCs w:val="28"/>
        </w:rPr>
        <w:t xml:space="preserve"> veikt apropriācijas izmaiņas.</w:t>
      </w:r>
    </w:p>
    <w:p w14:paraId="77BE2DF3" w14:textId="77777777" w:rsidR="006219B0" w:rsidRPr="006219B0" w:rsidRDefault="006219B0" w:rsidP="0012377C">
      <w:pPr>
        <w:ind w:firstLine="709"/>
        <w:jc w:val="both"/>
        <w:rPr>
          <w:noProof/>
          <w:sz w:val="28"/>
          <w:szCs w:val="28"/>
        </w:rPr>
      </w:pPr>
    </w:p>
    <w:p w14:paraId="55F5B265" w14:textId="77777777" w:rsidR="006219B0" w:rsidRPr="006219B0" w:rsidRDefault="006219B0" w:rsidP="0012377C">
      <w:pPr>
        <w:ind w:firstLine="709"/>
        <w:jc w:val="both"/>
        <w:rPr>
          <w:noProof/>
          <w:sz w:val="28"/>
          <w:szCs w:val="28"/>
        </w:rPr>
      </w:pPr>
    </w:p>
    <w:p w14:paraId="4DC9B4EB" w14:textId="77777777" w:rsidR="006219B0" w:rsidRPr="006219B0" w:rsidRDefault="006219B0" w:rsidP="0012377C">
      <w:pPr>
        <w:ind w:firstLine="709"/>
        <w:jc w:val="both"/>
        <w:rPr>
          <w:noProof/>
          <w:sz w:val="28"/>
          <w:szCs w:val="28"/>
        </w:rPr>
      </w:pPr>
    </w:p>
    <w:p w14:paraId="4E2E683F" w14:textId="77777777" w:rsidR="006219B0" w:rsidRPr="006219B0" w:rsidRDefault="006219B0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6219B0">
        <w:rPr>
          <w:sz w:val="28"/>
          <w:szCs w:val="28"/>
        </w:rPr>
        <w:t>Ministru prezidents</w:t>
      </w:r>
      <w:r w:rsidRPr="006219B0">
        <w:rPr>
          <w:sz w:val="28"/>
          <w:szCs w:val="28"/>
        </w:rPr>
        <w:tab/>
        <w:t>A. K. Kariņš</w:t>
      </w:r>
    </w:p>
    <w:p w14:paraId="656220A9" w14:textId="77777777" w:rsidR="006219B0" w:rsidRPr="006219B0" w:rsidRDefault="006219B0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008BE331" w14:textId="77777777" w:rsidR="006219B0" w:rsidRPr="006219B0" w:rsidRDefault="006219B0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11978294" w14:textId="77777777" w:rsidR="006219B0" w:rsidRPr="006219B0" w:rsidRDefault="006219B0" w:rsidP="0012377C">
      <w:pPr>
        <w:ind w:firstLine="709"/>
        <w:jc w:val="both"/>
        <w:rPr>
          <w:bCs/>
          <w:sz w:val="28"/>
          <w:szCs w:val="28"/>
        </w:rPr>
      </w:pPr>
    </w:p>
    <w:p w14:paraId="7C792EF2" w14:textId="77777777" w:rsidR="006219B0" w:rsidRPr="006219B0" w:rsidRDefault="006219B0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6219B0">
        <w:rPr>
          <w:sz w:val="28"/>
          <w:szCs w:val="28"/>
        </w:rPr>
        <w:t>Veselības ministre</w:t>
      </w:r>
      <w:r w:rsidRPr="006219B0">
        <w:rPr>
          <w:sz w:val="28"/>
          <w:szCs w:val="28"/>
        </w:rPr>
        <w:tab/>
      </w:r>
      <w:r w:rsidRPr="006219B0">
        <w:rPr>
          <w:rFonts w:eastAsia="Calibri"/>
          <w:sz w:val="28"/>
          <w:szCs w:val="28"/>
        </w:rPr>
        <w:t>I. </w:t>
      </w:r>
      <w:proofErr w:type="spellStart"/>
      <w:r w:rsidRPr="006219B0">
        <w:rPr>
          <w:rFonts w:eastAsia="Calibri"/>
          <w:sz w:val="28"/>
          <w:szCs w:val="28"/>
        </w:rPr>
        <w:t>Viņķele</w:t>
      </w:r>
      <w:proofErr w:type="spellEnd"/>
    </w:p>
    <w:sectPr w:rsidR="006219B0" w:rsidRPr="006219B0" w:rsidSect="006219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ACFB" w14:textId="77777777" w:rsidR="00D75543" w:rsidRDefault="00D75543">
      <w:r>
        <w:separator/>
      </w:r>
    </w:p>
  </w:endnote>
  <w:endnote w:type="continuationSeparator" w:id="0">
    <w:p w14:paraId="27B7FDE0" w14:textId="77777777" w:rsidR="00D75543" w:rsidRDefault="00D7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297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24E9" w14:textId="08C73FAB" w:rsidR="002831B0" w:rsidRPr="006219B0" w:rsidRDefault="006219B0" w:rsidP="006219B0">
    <w:pPr>
      <w:jc w:val="both"/>
      <w:rPr>
        <w:sz w:val="16"/>
        <w:szCs w:val="16"/>
      </w:rPr>
    </w:pPr>
    <w:r>
      <w:rPr>
        <w:sz w:val="16"/>
        <w:szCs w:val="16"/>
      </w:rPr>
      <w:t>R1961_0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AD8E" w14:textId="77777777" w:rsidR="00D75543" w:rsidRDefault="00D75543">
      <w:r>
        <w:separator/>
      </w:r>
    </w:p>
  </w:footnote>
  <w:footnote w:type="continuationSeparator" w:id="0">
    <w:p w14:paraId="5BFDA01F" w14:textId="77777777" w:rsidR="00D75543" w:rsidRDefault="00D7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D516" w14:textId="3B1FAD74" w:rsidR="006219B0" w:rsidRDefault="006219B0">
    <w:pPr>
      <w:pStyle w:val="Header"/>
    </w:pPr>
  </w:p>
  <w:p w14:paraId="026E17FB" w14:textId="77777777" w:rsidR="006219B0" w:rsidRDefault="006219B0">
    <w:pPr>
      <w:pStyle w:val="Header"/>
    </w:pPr>
    <w:r>
      <w:rPr>
        <w:noProof/>
      </w:rPr>
      <w:drawing>
        <wp:inline distT="0" distB="0" distL="0" distR="0" wp14:anchorId="549AB8FF" wp14:editId="4EB7ED0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25B5"/>
    <w:rsid w:val="001658D8"/>
    <w:rsid w:val="0017372D"/>
    <w:rsid w:val="00191006"/>
    <w:rsid w:val="00192E63"/>
    <w:rsid w:val="001973B1"/>
    <w:rsid w:val="0019784D"/>
    <w:rsid w:val="001A0EEB"/>
    <w:rsid w:val="001A2540"/>
    <w:rsid w:val="001A472E"/>
    <w:rsid w:val="001B66FF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52F"/>
    <w:rsid w:val="002D297D"/>
    <w:rsid w:val="002D46D9"/>
    <w:rsid w:val="002D69C4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257A"/>
    <w:rsid w:val="00394CF0"/>
    <w:rsid w:val="003A1DEB"/>
    <w:rsid w:val="003A45D6"/>
    <w:rsid w:val="003A6C32"/>
    <w:rsid w:val="003A79B6"/>
    <w:rsid w:val="003B16E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4481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317DF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E51"/>
    <w:rsid w:val="005F4E82"/>
    <w:rsid w:val="005F58EC"/>
    <w:rsid w:val="005F7ADA"/>
    <w:rsid w:val="00603072"/>
    <w:rsid w:val="00604EC5"/>
    <w:rsid w:val="00610377"/>
    <w:rsid w:val="006219B0"/>
    <w:rsid w:val="00624BEE"/>
    <w:rsid w:val="00630992"/>
    <w:rsid w:val="0063158D"/>
    <w:rsid w:val="006541F3"/>
    <w:rsid w:val="00656DA9"/>
    <w:rsid w:val="0065735D"/>
    <w:rsid w:val="006648D2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5FB0"/>
    <w:rsid w:val="007153C7"/>
    <w:rsid w:val="00715A56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2AA6"/>
    <w:rsid w:val="00773793"/>
    <w:rsid w:val="00773CAD"/>
    <w:rsid w:val="0077483C"/>
    <w:rsid w:val="0077525F"/>
    <w:rsid w:val="00787C43"/>
    <w:rsid w:val="00792F8A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3715"/>
    <w:rsid w:val="0084540F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966EA"/>
    <w:rsid w:val="008B3756"/>
    <w:rsid w:val="008B5A9F"/>
    <w:rsid w:val="008B7EDE"/>
    <w:rsid w:val="008F1639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56E6"/>
    <w:rsid w:val="00A54B28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3FBE"/>
    <w:rsid w:val="00AC54D5"/>
    <w:rsid w:val="00AC65C8"/>
    <w:rsid w:val="00AC694D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5AE9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4755"/>
    <w:rsid w:val="00D46B76"/>
    <w:rsid w:val="00D47712"/>
    <w:rsid w:val="00D5506E"/>
    <w:rsid w:val="00D55526"/>
    <w:rsid w:val="00D57074"/>
    <w:rsid w:val="00D57D8F"/>
    <w:rsid w:val="00D61050"/>
    <w:rsid w:val="00D614A9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74B7D"/>
    <w:rsid w:val="00E8056B"/>
    <w:rsid w:val="00E80EB6"/>
    <w:rsid w:val="00E81FE8"/>
    <w:rsid w:val="00E8425E"/>
    <w:rsid w:val="00E85B42"/>
    <w:rsid w:val="00E9724E"/>
    <w:rsid w:val="00E979FD"/>
    <w:rsid w:val="00EA4A52"/>
    <w:rsid w:val="00EA5230"/>
    <w:rsid w:val="00EA7A67"/>
    <w:rsid w:val="00EB125A"/>
    <w:rsid w:val="00EB342B"/>
    <w:rsid w:val="00EC1AC1"/>
    <w:rsid w:val="00EC494F"/>
    <w:rsid w:val="00EC534C"/>
    <w:rsid w:val="00EC7C2F"/>
    <w:rsid w:val="00ED4400"/>
    <w:rsid w:val="00ED5551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34A8"/>
    <w:rsid w:val="00F5399C"/>
    <w:rsid w:val="00F54916"/>
    <w:rsid w:val="00F63314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73729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5075-506F-42F3-A0C3-9C509B0D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1309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Leontine Babkina</cp:lastModifiedBy>
  <cp:revision>123</cp:revision>
  <cp:lastPrinted>2020-10-13T08:20:00Z</cp:lastPrinted>
  <dcterms:created xsi:type="dcterms:W3CDTF">2020-03-20T07:07:00Z</dcterms:created>
  <dcterms:modified xsi:type="dcterms:W3CDTF">2020-10-21T08:51:00Z</dcterms:modified>
</cp:coreProperties>
</file>