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715" w:rsidRPr="00A556DB" w:rsidRDefault="00F12715" w:rsidP="00853887">
      <w:pPr>
        <w:spacing w:after="0"/>
        <w:jc w:val="center"/>
        <w:rPr>
          <w:rFonts w:ascii="Times New Roman" w:eastAsia="Times New Roman" w:hAnsi="Times New Roman"/>
          <w:sz w:val="28"/>
          <w:szCs w:val="28"/>
          <w:lang w:eastAsia="lv-LV"/>
        </w:rPr>
      </w:pPr>
      <w:smartTag w:uri="schemas-tilde-lv/tildestengine" w:element="veidnes">
        <w:smartTagPr>
          <w:attr w:name="text" w:val="Izziņa"/>
          <w:attr w:name="baseform" w:val="Izziņa"/>
          <w:attr w:name="id" w:val="-1"/>
        </w:smartTagPr>
        <w:r w:rsidRPr="00A556DB">
          <w:rPr>
            <w:rFonts w:ascii="Times New Roman" w:eastAsia="Times New Roman" w:hAnsi="Times New Roman"/>
            <w:b/>
            <w:sz w:val="28"/>
            <w:szCs w:val="28"/>
            <w:lang w:eastAsia="lv-LV"/>
          </w:rPr>
          <w:t>Izziņa</w:t>
        </w:r>
      </w:smartTag>
      <w:r w:rsidRPr="00A556DB">
        <w:rPr>
          <w:rFonts w:ascii="Times New Roman" w:eastAsia="Times New Roman" w:hAnsi="Times New Roman"/>
          <w:b/>
          <w:sz w:val="28"/>
          <w:szCs w:val="28"/>
          <w:lang w:eastAsia="lv-LV"/>
        </w:rPr>
        <w:t xml:space="preserve"> par atzinumos sniegtajiem iebildumiem par</w:t>
      </w:r>
      <w:r w:rsidR="00845FDC">
        <w:rPr>
          <w:rFonts w:ascii="Times New Roman" w:eastAsia="Times New Roman" w:hAnsi="Times New Roman"/>
          <w:b/>
          <w:sz w:val="28"/>
          <w:szCs w:val="28"/>
          <w:lang w:eastAsia="lv-LV"/>
        </w:rPr>
        <w:t xml:space="preserve"> Ministru kabineta</w:t>
      </w:r>
      <w:r w:rsidRPr="00A556DB">
        <w:rPr>
          <w:rFonts w:ascii="Times New Roman" w:eastAsia="Times New Roman" w:hAnsi="Times New Roman"/>
          <w:b/>
          <w:sz w:val="28"/>
          <w:szCs w:val="28"/>
          <w:lang w:eastAsia="lv-LV"/>
        </w:rPr>
        <w:t xml:space="preserve"> </w:t>
      </w:r>
      <w:r w:rsidR="00845FDC">
        <w:rPr>
          <w:rFonts w:ascii="Times New Roman" w:eastAsia="Times New Roman" w:hAnsi="Times New Roman"/>
          <w:b/>
          <w:sz w:val="28"/>
          <w:szCs w:val="28"/>
          <w:lang w:eastAsia="lv-LV"/>
        </w:rPr>
        <w:t>noteikumu projektu</w:t>
      </w:r>
      <w:r w:rsidR="00845FDC" w:rsidRPr="00845FDC">
        <w:rPr>
          <w:rFonts w:ascii="Times New Roman" w:eastAsia="Times New Roman" w:hAnsi="Times New Roman"/>
          <w:b/>
          <w:sz w:val="28"/>
          <w:szCs w:val="28"/>
          <w:lang w:eastAsia="lv-LV"/>
        </w:rPr>
        <w:t xml:space="preserve"> "Medību saimniecības attīstības fonda nolikums"</w:t>
      </w:r>
    </w:p>
    <w:p w:rsidR="00F12715" w:rsidRPr="00A556DB" w:rsidRDefault="00F12715" w:rsidP="00F12715">
      <w:pPr>
        <w:spacing w:after="0"/>
        <w:jc w:val="center"/>
        <w:rPr>
          <w:rFonts w:ascii="Times New Roman" w:eastAsia="Times New Roman" w:hAnsi="Times New Roman"/>
          <w:sz w:val="28"/>
          <w:szCs w:val="28"/>
          <w:lang w:eastAsia="lv-LV"/>
        </w:rPr>
      </w:pPr>
      <w:r w:rsidRPr="00A556DB">
        <w:rPr>
          <w:rFonts w:ascii="Times New Roman" w:eastAsia="Times New Roman" w:hAnsi="Times New Roman"/>
          <w:sz w:val="28"/>
          <w:szCs w:val="28"/>
          <w:lang w:eastAsia="lv-LV"/>
        </w:rPr>
        <w:t>(VSS-</w:t>
      </w:r>
      <w:r w:rsidR="00845FDC">
        <w:rPr>
          <w:rFonts w:ascii="Times New Roman" w:eastAsia="Times New Roman" w:hAnsi="Times New Roman"/>
          <w:sz w:val="28"/>
          <w:szCs w:val="28"/>
          <w:lang w:eastAsia="lv-LV"/>
        </w:rPr>
        <w:t>50</w:t>
      </w:r>
      <w:r w:rsidR="00853887" w:rsidRPr="00A556DB">
        <w:rPr>
          <w:rFonts w:ascii="Times New Roman" w:eastAsia="Times New Roman" w:hAnsi="Times New Roman"/>
          <w:sz w:val="28"/>
          <w:szCs w:val="28"/>
          <w:lang w:eastAsia="lv-LV"/>
        </w:rPr>
        <w:t>6</w:t>
      </w:r>
      <w:r w:rsidRPr="00A556DB">
        <w:rPr>
          <w:rFonts w:ascii="Times New Roman" w:eastAsia="Times New Roman" w:hAnsi="Times New Roman"/>
          <w:sz w:val="28"/>
          <w:szCs w:val="28"/>
          <w:lang w:eastAsia="lv-LV"/>
        </w:rPr>
        <w:t xml:space="preserve">, </w:t>
      </w:r>
      <w:r w:rsidR="00845FDC">
        <w:rPr>
          <w:rFonts w:ascii="Times New Roman" w:eastAsia="Times New Roman" w:hAnsi="Times New Roman"/>
          <w:sz w:val="28"/>
          <w:szCs w:val="28"/>
          <w:lang w:eastAsia="lv-LV"/>
        </w:rPr>
        <w:t>18.06</w:t>
      </w:r>
      <w:r w:rsidR="00853887" w:rsidRPr="00A556DB">
        <w:rPr>
          <w:rFonts w:ascii="Times New Roman" w:eastAsia="Times New Roman" w:hAnsi="Times New Roman"/>
          <w:sz w:val="28"/>
          <w:szCs w:val="28"/>
          <w:lang w:eastAsia="lv-LV"/>
        </w:rPr>
        <w:t>.2020</w:t>
      </w:r>
      <w:r w:rsidRPr="00A556DB">
        <w:rPr>
          <w:rFonts w:ascii="Times New Roman" w:eastAsia="Times New Roman" w:hAnsi="Times New Roman"/>
          <w:sz w:val="28"/>
          <w:szCs w:val="28"/>
          <w:lang w:eastAsia="lv-LV"/>
        </w:rPr>
        <w:t xml:space="preserve">., </w:t>
      </w:r>
      <w:r w:rsidR="00845FDC">
        <w:rPr>
          <w:rFonts w:ascii="Times New Roman" w:eastAsia="Times New Roman" w:hAnsi="Times New Roman"/>
          <w:sz w:val="28"/>
          <w:szCs w:val="28"/>
          <w:lang w:eastAsia="lv-LV"/>
        </w:rPr>
        <w:t>Nr.25</w:t>
      </w:r>
      <w:r w:rsidR="00853887" w:rsidRPr="00A556DB">
        <w:rPr>
          <w:rFonts w:ascii="Times New Roman" w:eastAsia="Times New Roman" w:hAnsi="Times New Roman"/>
          <w:sz w:val="28"/>
          <w:szCs w:val="28"/>
          <w:lang w:eastAsia="lv-LV"/>
        </w:rPr>
        <w:t xml:space="preserve">, </w:t>
      </w:r>
      <w:r w:rsidR="00845FDC">
        <w:rPr>
          <w:rFonts w:ascii="Times New Roman" w:eastAsia="Times New Roman" w:hAnsi="Times New Roman"/>
          <w:sz w:val="28"/>
          <w:szCs w:val="28"/>
          <w:lang w:eastAsia="lv-LV"/>
        </w:rPr>
        <w:t>30.</w:t>
      </w:r>
      <w:r w:rsidR="00853887" w:rsidRPr="00A556DB">
        <w:rPr>
          <w:rFonts w:ascii="Times New Roman" w:eastAsia="Times New Roman" w:hAnsi="Times New Roman"/>
          <w:sz w:val="28"/>
          <w:szCs w:val="28"/>
          <w:lang w:eastAsia="lv-LV"/>
        </w:rPr>
        <w:t>§</w:t>
      </w:r>
      <w:r w:rsidRPr="00A556DB">
        <w:rPr>
          <w:rFonts w:ascii="Times New Roman" w:eastAsia="Times New Roman" w:hAnsi="Times New Roman"/>
          <w:sz w:val="28"/>
          <w:szCs w:val="28"/>
          <w:lang w:eastAsia="lv-LV"/>
        </w:rPr>
        <w:t>)</w:t>
      </w:r>
    </w:p>
    <w:p w:rsidR="00F12715" w:rsidRPr="005A0CE3" w:rsidRDefault="00F12715" w:rsidP="00F12715">
      <w:pPr>
        <w:spacing w:before="150" w:after="150" w:line="240" w:lineRule="auto"/>
        <w:jc w:val="center"/>
        <w:rPr>
          <w:rFonts w:ascii="Times New Roman" w:eastAsia="Times New Roman" w:hAnsi="Times New Roman"/>
          <w:b/>
          <w:bCs/>
          <w:sz w:val="24"/>
          <w:szCs w:val="24"/>
          <w:lang w:eastAsia="lv-LV"/>
        </w:rPr>
      </w:pPr>
      <w:r w:rsidRPr="005A0CE3">
        <w:rPr>
          <w:rFonts w:ascii="Times New Roman" w:eastAsia="Times New Roman" w:hAnsi="Times New Roman"/>
          <w:b/>
          <w:bCs/>
          <w:sz w:val="24"/>
          <w:szCs w:val="24"/>
          <w:lang w:eastAsia="lv-LV"/>
        </w:rPr>
        <w:t>I. Jautājumi, par kuriem saskaņošanā vienošanās nav panākta</w:t>
      </w:r>
    </w:p>
    <w:tbl>
      <w:tblPr>
        <w:tblW w:w="13907" w:type="dxa"/>
        <w:tblCellSpacing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000" w:firstRow="0" w:lastRow="0" w:firstColumn="0" w:lastColumn="0" w:noHBand="0" w:noVBand="0"/>
      </w:tblPr>
      <w:tblGrid>
        <w:gridCol w:w="716"/>
        <w:gridCol w:w="2276"/>
        <w:gridCol w:w="3544"/>
        <w:gridCol w:w="3014"/>
        <w:gridCol w:w="1466"/>
        <w:gridCol w:w="2891"/>
      </w:tblGrid>
      <w:tr w:rsidR="00F12715" w:rsidRPr="005A0CE3" w:rsidTr="00E04888">
        <w:trPr>
          <w:tblCellSpacing w:w="0" w:type="dxa"/>
        </w:trPr>
        <w:tc>
          <w:tcPr>
            <w:tcW w:w="716"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Nr.</w:t>
            </w:r>
            <w:r w:rsidRPr="005A0CE3">
              <w:rPr>
                <w:rFonts w:ascii="Times New Roman" w:eastAsia="Times New Roman" w:hAnsi="Times New Roman"/>
                <w:sz w:val="24"/>
                <w:szCs w:val="24"/>
                <w:lang w:eastAsia="lv-LV"/>
              </w:rPr>
              <w:br/>
              <w:t> p.k.</w:t>
            </w:r>
          </w:p>
        </w:tc>
        <w:tc>
          <w:tcPr>
            <w:tcW w:w="2276"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Saskaņošanai nosūtītā projekta redakcija (konkrēta punkta (panta) redakcija)</w:t>
            </w:r>
          </w:p>
        </w:tc>
        <w:tc>
          <w:tcPr>
            <w:tcW w:w="3544"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3014"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Atbildīgās ministrijas pamatojums iebilduma noraidījumam</w:t>
            </w:r>
          </w:p>
        </w:tc>
        <w:tc>
          <w:tcPr>
            <w:tcW w:w="1466"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Atzinuma sniedzēja uzturētais iebildums, ja tas atšķiras no atzinumā norādītā iebilduma pamatojuma</w:t>
            </w:r>
          </w:p>
        </w:tc>
        <w:tc>
          <w:tcPr>
            <w:tcW w:w="2891"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Projekta attiecīgā punkta (panta) galīgā redakcija</w:t>
            </w:r>
          </w:p>
        </w:tc>
      </w:tr>
      <w:tr w:rsidR="00F12715" w:rsidRPr="005A0CE3" w:rsidTr="00E04888">
        <w:trPr>
          <w:tblCellSpacing w:w="0" w:type="dxa"/>
        </w:trPr>
        <w:tc>
          <w:tcPr>
            <w:tcW w:w="71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227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2</w:t>
            </w:r>
          </w:p>
        </w:tc>
        <w:tc>
          <w:tcPr>
            <w:tcW w:w="3544"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3</w:t>
            </w:r>
          </w:p>
        </w:tc>
        <w:tc>
          <w:tcPr>
            <w:tcW w:w="3014"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4</w:t>
            </w:r>
          </w:p>
        </w:tc>
        <w:tc>
          <w:tcPr>
            <w:tcW w:w="146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5</w:t>
            </w:r>
          </w:p>
        </w:tc>
        <w:tc>
          <w:tcPr>
            <w:tcW w:w="2891"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6</w:t>
            </w:r>
          </w:p>
        </w:tc>
      </w:tr>
      <w:tr w:rsidR="00F12715" w:rsidRPr="005A0CE3" w:rsidTr="00E04888">
        <w:trPr>
          <w:tblCellSpacing w:w="0" w:type="dxa"/>
        </w:trPr>
        <w:tc>
          <w:tcPr>
            <w:tcW w:w="716" w:type="dxa"/>
          </w:tcPr>
          <w:p w:rsidR="00F12715" w:rsidRPr="005A0CE3" w:rsidRDefault="000D1543" w:rsidP="00E04888">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F12715" w:rsidRPr="005A0CE3">
              <w:rPr>
                <w:rFonts w:ascii="Times New Roman" w:eastAsia="Times New Roman" w:hAnsi="Times New Roman"/>
                <w:sz w:val="24"/>
                <w:szCs w:val="24"/>
                <w:lang w:eastAsia="lv-LV"/>
              </w:rPr>
              <w:t>.</w:t>
            </w:r>
          </w:p>
        </w:tc>
        <w:tc>
          <w:tcPr>
            <w:tcW w:w="2276" w:type="dxa"/>
          </w:tcPr>
          <w:p w:rsidR="00F12715" w:rsidRPr="005A0CE3" w:rsidRDefault="00F12715" w:rsidP="00E04888">
            <w:pPr>
              <w:spacing w:after="0"/>
              <w:jc w:val="both"/>
              <w:rPr>
                <w:rFonts w:ascii="Times New Roman" w:eastAsia="Times New Roman" w:hAnsi="Times New Roman"/>
                <w:color w:val="000000"/>
                <w:sz w:val="24"/>
                <w:szCs w:val="24"/>
                <w:lang w:eastAsia="lv-LV"/>
              </w:rPr>
            </w:pPr>
          </w:p>
        </w:tc>
        <w:tc>
          <w:tcPr>
            <w:tcW w:w="3544" w:type="dxa"/>
          </w:tcPr>
          <w:p w:rsidR="00F12715" w:rsidRPr="005A0CE3" w:rsidRDefault="00F12715" w:rsidP="00E04888">
            <w:pPr>
              <w:spacing w:after="0" w:line="240" w:lineRule="auto"/>
              <w:jc w:val="both"/>
              <w:rPr>
                <w:rFonts w:ascii="Times New Roman" w:eastAsia="Times New Roman" w:hAnsi="Times New Roman"/>
                <w:b/>
                <w:sz w:val="24"/>
                <w:szCs w:val="24"/>
                <w:lang w:eastAsia="lv-LV"/>
              </w:rPr>
            </w:pPr>
          </w:p>
        </w:tc>
        <w:tc>
          <w:tcPr>
            <w:tcW w:w="3014" w:type="dxa"/>
          </w:tcPr>
          <w:p w:rsidR="00F12715" w:rsidRPr="005A0CE3" w:rsidRDefault="00F12715" w:rsidP="00E04888">
            <w:pPr>
              <w:spacing w:after="0"/>
              <w:jc w:val="both"/>
              <w:rPr>
                <w:rFonts w:ascii="Times New Roman" w:eastAsia="Times New Roman" w:hAnsi="Times New Roman"/>
                <w:color w:val="000000"/>
                <w:sz w:val="24"/>
                <w:szCs w:val="24"/>
                <w:lang w:eastAsia="lv-LV"/>
              </w:rPr>
            </w:pPr>
          </w:p>
        </w:tc>
        <w:tc>
          <w:tcPr>
            <w:tcW w:w="146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p>
        </w:tc>
        <w:tc>
          <w:tcPr>
            <w:tcW w:w="2891" w:type="dxa"/>
          </w:tcPr>
          <w:p w:rsidR="00F12715" w:rsidRPr="005A0CE3" w:rsidRDefault="00F12715" w:rsidP="00E04888">
            <w:pPr>
              <w:spacing w:after="0" w:line="240" w:lineRule="auto"/>
              <w:ind w:left="54"/>
              <w:rPr>
                <w:rFonts w:ascii="Times New Roman" w:eastAsia="Times New Roman" w:hAnsi="Times New Roman"/>
                <w:sz w:val="24"/>
                <w:szCs w:val="24"/>
                <w:lang w:eastAsia="lv-LV"/>
              </w:rPr>
            </w:pPr>
          </w:p>
        </w:tc>
      </w:tr>
      <w:tr w:rsidR="00F12715" w:rsidRPr="005A0CE3" w:rsidTr="00E04888">
        <w:trPr>
          <w:tblCellSpacing w:w="0" w:type="dxa"/>
        </w:trPr>
        <w:tc>
          <w:tcPr>
            <w:tcW w:w="716" w:type="dxa"/>
          </w:tcPr>
          <w:p w:rsidR="00F12715" w:rsidRPr="005A0CE3" w:rsidRDefault="000D1543" w:rsidP="00E04888">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F12715" w:rsidRPr="005A0CE3">
              <w:rPr>
                <w:rFonts w:ascii="Times New Roman" w:eastAsia="Times New Roman" w:hAnsi="Times New Roman"/>
                <w:sz w:val="24"/>
                <w:szCs w:val="24"/>
                <w:lang w:eastAsia="lv-LV"/>
              </w:rPr>
              <w:t>.</w:t>
            </w:r>
          </w:p>
        </w:tc>
        <w:tc>
          <w:tcPr>
            <w:tcW w:w="2276" w:type="dxa"/>
          </w:tcPr>
          <w:p w:rsidR="00F12715" w:rsidRPr="005A0CE3" w:rsidRDefault="00F12715" w:rsidP="00E04888">
            <w:pPr>
              <w:spacing w:before="75" w:after="75" w:line="240" w:lineRule="auto"/>
              <w:rPr>
                <w:rFonts w:ascii="Times New Roman" w:eastAsia="Times New Roman" w:hAnsi="Times New Roman"/>
                <w:sz w:val="24"/>
                <w:szCs w:val="24"/>
                <w:lang w:eastAsia="lv-LV"/>
              </w:rPr>
            </w:pPr>
          </w:p>
        </w:tc>
        <w:tc>
          <w:tcPr>
            <w:tcW w:w="3544" w:type="dxa"/>
          </w:tcPr>
          <w:p w:rsidR="00F12715" w:rsidRPr="005A0CE3" w:rsidRDefault="00F12715" w:rsidP="00E04888">
            <w:pPr>
              <w:spacing w:before="75" w:after="75" w:line="240" w:lineRule="auto"/>
              <w:rPr>
                <w:rFonts w:ascii="Times New Roman" w:eastAsia="Times New Roman" w:hAnsi="Times New Roman"/>
                <w:sz w:val="24"/>
                <w:szCs w:val="24"/>
                <w:lang w:eastAsia="lv-LV"/>
              </w:rPr>
            </w:pPr>
          </w:p>
        </w:tc>
        <w:tc>
          <w:tcPr>
            <w:tcW w:w="3014" w:type="dxa"/>
          </w:tcPr>
          <w:p w:rsidR="00F12715" w:rsidRPr="005A0CE3" w:rsidRDefault="00F12715" w:rsidP="00E04888">
            <w:pPr>
              <w:spacing w:after="0" w:line="240" w:lineRule="auto"/>
              <w:jc w:val="both"/>
              <w:rPr>
                <w:rFonts w:ascii="Times New Roman" w:eastAsia="Times New Roman" w:hAnsi="Times New Roman"/>
                <w:sz w:val="24"/>
                <w:szCs w:val="24"/>
                <w:lang w:eastAsia="lv-LV"/>
              </w:rPr>
            </w:pPr>
          </w:p>
        </w:tc>
        <w:tc>
          <w:tcPr>
            <w:tcW w:w="146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p>
        </w:tc>
        <w:tc>
          <w:tcPr>
            <w:tcW w:w="2891" w:type="dxa"/>
          </w:tcPr>
          <w:p w:rsidR="00F12715" w:rsidRPr="005A0CE3" w:rsidRDefault="00F12715" w:rsidP="00E04888">
            <w:pPr>
              <w:spacing w:after="0" w:line="240" w:lineRule="auto"/>
              <w:ind w:left="54"/>
              <w:rPr>
                <w:rFonts w:ascii="Times New Roman" w:eastAsia="Times New Roman" w:hAnsi="Times New Roman"/>
                <w:sz w:val="24"/>
                <w:szCs w:val="24"/>
                <w:lang w:eastAsia="lv-LV"/>
              </w:rPr>
            </w:pPr>
          </w:p>
        </w:tc>
      </w:tr>
    </w:tbl>
    <w:p w:rsidR="00F12715" w:rsidRPr="00D96F38" w:rsidRDefault="00F12715" w:rsidP="00D96F38">
      <w:pPr>
        <w:pStyle w:val="Bezatstarpm"/>
        <w:rPr>
          <w:sz w:val="16"/>
          <w:lang w:eastAsia="lv-LV"/>
        </w:rPr>
      </w:pPr>
    </w:p>
    <w:p w:rsidR="00F12715" w:rsidRPr="005A0CE3" w:rsidRDefault="00F12715" w:rsidP="00F12715">
      <w:pPr>
        <w:spacing w:before="75" w:after="75" w:line="240" w:lineRule="auto"/>
        <w:jc w:val="both"/>
        <w:rPr>
          <w:rFonts w:ascii="Times New Roman" w:eastAsia="Times New Roman" w:hAnsi="Times New Roman"/>
          <w:b/>
          <w:sz w:val="24"/>
          <w:szCs w:val="24"/>
          <w:lang w:eastAsia="lv-LV"/>
        </w:rPr>
      </w:pPr>
      <w:r w:rsidRPr="005A0CE3">
        <w:rPr>
          <w:rFonts w:ascii="Times New Roman" w:eastAsia="Times New Roman" w:hAnsi="Times New Roman"/>
          <w:b/>
          <w:sz w:val="24"/>
          <w:szCs w:val="24"/>
          <w:lang w:eastAsia="lv-LV"/>
        </w:rPr>
        <w:t>Informācija par starpministriju (starpinstitūciju) sanāksmi vai elektronisko saskaņošanu</w:t>
      </w:r>
    </w:p>
    <w:tbl>
      <w:tblPr>
        <w:tblW w:w="0" w:type="auto"/>
        <w:tblLook w:val="04A0" w:firstRow="1" w:lastRow="0" w:firstColumn="1" w:lastColumn="0" w:noHBand="0" w:noVBand="1"/>
      </w:tblPr>
      <w:tblGrid>
        <w:gridCol w:w="396"/>
        <w:gridCol w:w="6379"/>
        <w:gridCol w:w="7448"/>
      </w:tblGrid>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Datums</w:t>
            </w:r>
          </w:p>
        </w:tc>
        <w:tc>
          <w:tcPr>
            <w:tcW w:w="7448" w:type="dxa"/>
          </w:tcPr>
          <w:p w:rsidR="00F12715" w:rsidRPr="005A0CE3" w:rsidRDefault="000142F6" w:rsidP="00F12715">
            <w:pPr>
              <w:spacing w:before="75" w:after="75"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r w:rsidR="00845FDC">
              <w:rPr>
                <w:rFonts w:ascii="Times New Roman" w:eastAsia="Times New Roman" w:hAnsi="Times New Roman"/>
                <w:sz w:val="24"/>
                <w:szCs w:val="24"/>
                <w:lang w:eastAsia="lv-LV"/>
              </w:rPr>
              <w:t>.07</w:t>
            </w:r>
            <w:r w:rsidR="00853887">
              <w:rPr>
                <w:rFonts w:ascii="Times New Roman" w:eastAsia="Times New Roman" w:hAnsi="Times New Roman"/>
                <w:sz w:val="24"/>
                <w:szCs w:val="24"/>
                <w:lang w:eastAsia="lv-LV"/>
              </w:rPr>
              <w:t>.2020</w:t>
            </w:r>
            <w:r w:rsidR="00F12715" w:rsidRPr="005A0CE3">
              <w:rPr>
                <w:rFonts w:ascii="Times New Roman" w:eastAsia="Times New Roman" w:hAnsi="Times New Roman"/>
                <w:sz w:val="24"/>
                <w:szCs w:val="24"/>
                <w:lang w:eastAsia="lv-LV"/>
              </w:rPr>
              <w:t>.</w:t>
            </w:r>
          </w:p>
        </w:tc>
      </w:tr>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Saskaņošanas dalībnieki </w:t>
            </w:r>
          </w:p>
        </w:tc>
        <w:tc>
          <w:tcPr>
            <w:tcW w:w="7448" w:type="dxa"/>
          </w:tcPr>
          <w:p w:rsidR="00F12715" w:rsidRPr="00A742A0" w:rsidRDefault="001B749E" w:rsidP="001B749E">
            <w:pPr>
              <w:spacing w:before="75" w:after="75" w:line="240" w:lineRule="auto"/>
              <w:jc w:val="both"/>
              <w:rPr>
                <w:rFonts w:ascii="Times New Roman" w:eastAsia="Times New Roman" w:hAnsi="Times New Roman"/>
                <w:sz w:val="24"/>
                <w:szCs w:val="24"/>
                <w:lang w:eastAsia="lv-LV"/>
              </w:rPr>
            </w:pPr>
            <w:r w:rsidRPr="00A742A0">
              <w:rPr>
                <w:rFonts w:ascii="Times New Roman" w:eastAsia="Times New Roman" w:hAnsi="Times New Roman"/>
                <w:sz w:val="24"/>
                <w:szCs w:val="24"/>
                <w:lang w:eastAsia="lv-LV"/>
              </w:rPr>
              <w:t>Tieslietu ministrija, Finanšu ministrija, Vides aizsardzības un reģionālās attīstības ministrija,</w:t>
            </w:r>
            <w:r w:rsidR="00853887">
              <w:rPr>
                <w:rFonts w:ascii="Times New Roman" w:eastAsia="Times New Roman" w:hAnsi="Times New Roman"/>
                <w:sz w:val="24"/>
                <w:szCs w:val="24"/>
                <w:lang w:eastAsia="lv-LV"/>
              </w:rPr>
              <w:t xml:space="preserve"> Latvijas Pašvaldību savienība</w:t>
            </w:r>
            <w:r w:rsidR="00845FDC">
              <w:rPr>
                <w:rFonts w:ascii="Times New Roman" w:eastAsia="Times New Roman" w:hAnsi="Times New Roman"/>
                <w:sz w:val="24"/>
                <w:szCs w:val="24"/>
                <w:lang w:eastAsia="lv-LV"/>
              </w:rPr>
              <w:t xml:space="preserve">, </w:t>
            </w:r>
            <w:r w:rsidR="00845FDC" w:rsidRPr="00845FDC">
              <w:rPr>
                <w:rFonts w:ascii="Times New Roman" w:eastAsia="Times New Roman" w:hAnsi="Times New Roman"/>
                <w:sz w:val="24"/>
                <w:szCs w:val="24"/>
                <w:lang w:eastAsia="lv-LV"/>
              </w:rPr>
              <w:t xml:space="preserve">Korupcijas </w:t>
            </w:r>
            <w:r w:rsidR="00845FDC">
              <w:rPr>
                <w:rFonts w:ascii="Times New Roman" w:eastAsia="Times New Roman" w:hAnsi="Times New Roman"/>
                <w:sz w:val="24"/>
                <w:szCs w:val="24"/>
                <w:lang w:eastAsia="lv-LV"/>
              </w:rPr>
              <w:t>novēršanas un apkarošanas birojs</w:t>
            </w:r>
            <w:r w:rsidR="00F12715" w:rsidRPr="00A742A0">
              <w:rPr>
                <w:rFonts w:ascii="Times New Roman" w:eastAsia="Times New Roman" w:hAnsi="Times New Roman"/>
                <w:sz w:val="24"/>
                <w:szCs w:val="24"/>
                <w:lang w:eastAsia="lv-LV"/>
              </w:rPr>
              <w:t>.</w:t>
            </w:r>
          </w:p>
          <w:p w:rsidR="00F12715" w:rsidRPr="00A742A0" w:rsidRDefault="00F12715" w:rsidP="00E04888">
            <w:pPr>
              <w:spacing w:before="75" w:after="75" w:line="240" w:lineRule="auto"/>
              <w:jc w:val="both"/>
              <w:rPr>
                <w:rFonts w:ascii="Times New Roman" w:eastAsia="Times New Roman" w:hAnsi="Times New Roman"/>
                <w:sz w:val="24"/>
                <w:szCs w:val="24"/>
                <w:lang w:eastAsia="lv-LV"/>
              </w:rPr>
            </w:pPr>
          </w:p>
        </w:tc>
      </w:tr>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Saskaņošanas dalībnieki izskatīja šādu ministriju (citu) institūciju iebildumus</w:t>
            </w:r>
          </w:p>
        </w:tc>
        <w:tc>
          <w:tcPr>
            <w:tcW w:w="7448" w:type="dxa"/>
          </w:tcPr>
          <w:p w:rsidR="00F12715" w:rsidRPr="00A742A0" w:rsidRDefault="00853887" w:rsidP="004C4C2E">
            <w:pPr>
              <w:spacing w:before="75" w:after="75" w:line="240" w:lineRule="auto"/>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 xml:space="preserve">Tieslietu ministrija, Finanšu ministrija, </w:t>
            </w:r>
            <w:r w:rsidR="006553D5" w:rsidRPr="006553D5">
              <w:rPr>
                <w:rFonts w:ascii="Times New Roman" w:eastAsia="Times New Roman" w:hAnsi="Times New Roman"/>
                <w:sz w:val="24"/>
                <w:szCs w:val="24"/>
                <w:lang w:eastAsia="lv-LV"/>
              </w:rPr>
              <w:t>Korupcijas novēršanas un apkarošanas birojs</w:t>
            </w:r>
            <w:r w:rsidR="0037437D" w:rsidRPr="00A742A0">
              <w:rPr>
                <w:rFonts w:ascii="Times New Roman" w:eastAsia="Times New Roman" w:hAnsi="Times New Roman"/>
                <w:sz w:val="24"/>
                <w:szCs w:val="24"/>
                <w:lang w:eastAsia="lv-LV"/>
              </w:rPr>
              <w:t>.</w:t>
            </w:r>
          </w:p>
        </w:tc>
      </w:tr>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Ministrijas (citas) institūcijas, kuras nav ieradušās uz sanāksmi vai kuras nav atbildējušās uz uzaicinājumu piedalīties elektroniskajā saskaņošanā </w:t>
            </w:r>
          </w:p>
        </w:tc>
        <w:tc>
          <w:tcPr>
            <w:tcW w:w="7448"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r>
    </w:tbl>
    <w:p w:rsidR="00F12715" w:rsidRPr="005A0CE3" w:rsidRDefault="00F12715" w:rsidP="00D96F38">
      <w:pPr>
        <w:pStyle w:val="Bezatstarpm"/>
        <w:rPr>
          <w:lang w:eastAsia="lv-LV"/>
        </w:rPr>
      </w:pPr>
    </w:p>
    <w:p w:rsidR="00F12715" w:rsidRPr="005A0CE3" w:rsidRDefault="00F12715" w:rsidP="00F12715">
      <w:pPr>
        <w:spacing w:before="150" w:after="150" w:line="240" w:lineRule="auto"/>
        <w:jc w:val="center"/>
        <w:rPr>
          <w:rFonts w:ascii="Times New Roman" w:eastAsia="Times New Roman" w:hAnsi="Times New Roman"/>
          <w:b/>
          <w:bCs/>
          <w:sz w:val="24"/>
          <w:szCs w:val="24"/>
          <w:lang w:eastAsia="lv-LV"/>
        </w:rPr>
      </w:pPr>
      <w:r w:rsidRPr="005A0CE3">
        <w:rPr>
          <w:rFonts w:ascii="Times New Roman" w:eastAsia="Times New Roman" w:hAnsi="Times New Roman"/>
          <w:b/>
          <w:bCs/>
          <w:sz w:val="24"/>
          <w:szCs w:val="24"/>
          <w:lang w:eastAsia="lv-LV"/>
        </w:rPr>
        <w:t>II. Jautājumi, par kuriem saskaņošanā vienošanās ir panākta</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4252"/>
        <w:gridCol w:w="2693"/>
        <w:gridCol w:w="3119"/>
      </w:tblGrid>
      <w:tr w:rsidR="00F12715" w:rsidRPr="005A0CE3" w:rsidTr="009C6F70">
        <w:tc>
          <w:tcPr>
            <w:tcW w:w="709"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Nr. p.k.</w:t>
            </w:r>
          </w:p>
        </w:tc>
        <w:tc>
          <w:tcPr>
            <w:tcW w:w="3119"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Saskaņošanai nosūtītā projekta redakcija (konkrēta punkta (panta) redakcija)</w:t>
            </w:r>
          </w:p>
        </w:tc>
        <w:tc>
          <w:tcPr>
            <w:tcW w:w="4252"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693"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Atbildīgās ministrijas norāde par to, </w:t>
            </w:r>
            <w:r w:rsidR="00B15C63">
              <w:rPr>
                <w:rFonts w:ascii="Times New Roman" w:eastAsia="Times New Roman" w:hAnsi="Times New Roman"/>
                <w:sz w:val="24"/>
                <w:szCs w:val="24"/>
                <w:lang w:eastAsia="lv-LV"/>
              </w:rPr>
              <w:t>ka iebildums ir</w:t>
            </w:r>
            <w:r w:rsidRPr="005A0CE3">
              <w:rPr>
                <w:rFonts w:ascii="Times New Roman" w:eastAsia="Times New Roman" w:hAnsi="Times New Roman"/>
                <w:sz w:val="24"/>
                <w:szCs w:val="24"/>
                <w:lang w:eastAsia="lv-LV"/>
              </w:rPr>
              <w:t xml:space="preserve"> ņemts vērā, vai informācija par saskaņošanā panākto alternatīvo risinājumu</w:t>
            </w:r>
          </w:p>
        </w:tc>
        <w:tc>
          <w:tcPr>
            <w:tcW w:w="3119"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Projekta attiecīgā punkta (panta) galīgā redakcija</w:t>
            </w:r>
          </w:p>
        </w:tc>
      </w:tr>
      <w:tr w:rsidR="00F12715" w:rsidRPr="005A0CE3" w:rsidTr="009C6F70">
        <w:tc>
          <w:tcPr>
            <w:tcW w:w="70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311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2</w:t>
            </w:r>
          </w:p>
        </w:tc>
        <w:tc>
          <w:tcPr>
            <w:tcW w:w="4252"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3</w:t>
            </w:r>
          </w:p>
        </w:tc>
        <w:tc>
          <w:tcPr>
            <w:tcW w:w="2693"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4</w:t>
            </w:r>
          </w:p>
        </w:tc>
        <w:tc>
          <w:tcPr>
            <w:tcW w:w="311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5</w:t>
            </w:r>
          </w:p>
        </w:tc>
      </w:tr>
      <w:tr w:rsidR="00E26A29" w:rsidRPr="005A0CE3" w:rsidTr="009C6F70">
        <w:tc>
          <w:tcPr>
            <w:tcW w:w="709" w:type="dxa"/>
          </w:tcPr>
          <w:p w:rsidR="00E26A29" w:rsidRPr="005A0CE3" w:rsidRDefault="00853887"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119" w:type="dxa"/>
          </w:tcPr>
          <w:p w:rsidR="006553D5" w:rsidRPr="006553D5" w:rsidRDefault="006553D5" w:rsidP="006553D5">
            <w:pPr>
              <w:spacing w:after="0" w:line="240" w:lineRule="auto"/>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 xml:space="preserve">Izdoti saskaņā ar </w:t>
            </w:r>
          </w:p>
          <w:p w:rsidR="006553D5" w:rsidRPr="006553D5" w:rsidRDefault="006553D5" w:rsidP="006553D5">
            <w:pPr>
              <w:spacing w:after="0" w:line="240" w:lineRule="auto"/>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Medību likuma 31. panta ceturto daļu un</w:t>
            </w:r>
          </w:p>
          <w:p w:rsidR="006553D5" w:rsidRPr="006553D5" w:rsidRDefault="006553D5" w:rsidP="006553D5">
            <w:pPr>
              <w:spacing w:after="0" w:line="240" w:lineRule="auto"/>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 xml:space="preserve">Lauksaimniecības un lauku attīstības likuma 5. panta </w:t>
            </w:r>
          </w:p>
          <w:p w:rsidR="00C46563" w:rsidRPr="005A0CE3" w:rsidRDefault="006553D5" w:rsidP="006553D5">
            <w:pPr>
              <w:spacing w:after="0" w:line="240" w:lineRule="auto"/>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ceturto daļu</w:t>
            </w:r>
          </w:p>
        </w:tc>
        <w:tc>
          <w:tcPr>
            <w:tcW w:w="4252" w:type="dxa"/>
          </w:tcPr>
          <w:p w:rsidR="00E26A29" w:rsidRDefault="006553D5" w:rsidP="006553D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w:t>
            </w:r>
          </w:p>
          <w:p w:rsidR="006553D5" w:rsidRPr="005A0CE3" w:rsidRDefault="00E05560" w:rsidP="0085388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6553D5" w:rsidRPr="006553D5">
              <w:rPr>
                <w:rFonts w:ascii="Times New Roman" w:eastAsia="Times New Roman" w:hAnsi="Times New Roman"/>
                <w:sz w:val="24"/>
                <w:szCs w:val="24"/>
                <w:lang w:eastAsia="lv-LV"/>
              </w:rPr>
              <w:t xml:space="preserve">Projekta izdošanas pamats ir norādīts Medību likuma 31. panta ceturtā daļa un Lauksaimniecības un lauku attīstības likuma 5. panta ceturtā daļa. Atbilstoši iepriekš minētajām tiesību normām, Ministru kabinets apstiprina medību saimniecības attīstības fonda nolikumu. Ministru kabinets nosaka kārtību, kādā tiek piešķirts valsts un Eiropas Savienības atbalsts lauksaimniecībai, un kārtību, kādā tiek piešķirts valsts un Eiropas Savienības atbalsts lauku un zivsaimniecības attīstībai. Atsevišķu valsts atbalsta pasākumu īstenošanu Zemkopības ministrija Valsts pārvaldes iekārtas likumā noteiktajā kārtībā var deleģēt privāto vai publisko tiesību subjektam. Saskaņā ar projekta 1. punktu </w:t>
            </w:r>
            <w:r w:rsidR="006553D5" w:rsidRPr="006553D5">
              <w:rPr>
                <w:rFonts w:ascii="Times New Roman" w:eastAsia="Times New Roman" w:hAnsi="Times New Roman"/>
                <w:sz w:val="24"/>
                <w:szCs w:val="24"/>
                <w:lang w:eastAsia="lv-LV"/>
              </w:rPr>
              <w:lastRenderedPageBreak/>
              <w:t>noteikumi nosaka medību saimniecības attīstības fonda (turpmāk – fonds) pārvaldīšanas un izlietošanas, kā arī valsts atbalsta piešķiršanas, administrēšanas un uzraudzības kārtību fonda projektiem. Ievērojot minēto, norādām, ka projekta 1. punktā un projektā ietvertais regulējums neatbilst Lauksaimniecības un lauku attīstības likuma 5. panta ceturtajā daļā ietvertajam deleģējumam. Tādējādi lūdzam precizēt projektu atbilstoši deleģējumam vai arī papildināt norādi uz izdošanas pamatu ar atbilstošu tiesību normu (piemēram, Lauksaimniecības un lauku attīstības likuma 5. panta septīto daļu).</w:t>
            </w:r>
          </w:p>
        </w:tc>
        <w:tc>
          <w:tcPr>
            <w:tcW w:w="2693" w:type="dxa"/>
          </w:tcPr>
          <w:p w:rsidR="00E26A29" w:rsidRPr="007D400F" w:rsidRDefault="00853887" w:rsidP="00E0488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Iebildums</w:t>
            </w:r>
            <w:r w:rsidR="00B71D70" w:rsidRPr="007D400F">
              <w:rPr>
                <w:rFonts w:ascii="Times New Roman" w:eastAsia="Times New Roman" w:hAnsi="Times New Roman"/>
                <w:b/>
                <w:sz w:val="24"/>
                <w:szCs w:val="24"/>
                <w:lang w:eastAsia="lv-LV"/>
              </w:rPr>
              <w:t xml:space="preserve"> ņemts vērā</w:t>
            </w:r>
          </w:p>
        </w:tc>
        <w:tc>
          <w:tcPr>
            <w:tcW w:w="3119" w:type="dxa"/>
          </w:tcPr>
          <w:p w:rsidR="006553D5" w:rsidRPr="006553D5" w:rsidRDefault="006553D5" w:rsidP="006553D5">
            <w:pPr>
              <w:pStyle w:val="Sarakstarindkopa"/>
              <w:spacing w:after="0" w:line="240" w:lineRule="auto"/>
              <w:ind w:left="-108"/>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 xml:space="preserve">Izdoti saskaņā ar </w:t>
            </w:r>
          </w:p>
          <w:p w:rsidR="006553D5" w:rsidRPr="006553D5" w:rsidRDefault="006553D5" w:rsidP="006553D5">
            <w:pPr>
              <w:pStyle w:val="Sarakstarindkopa"/>
              <w:spacing w:after="0" w:line="240" w:lineRule="auto"/>
              <w:ind w:left="-108"/>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Medību likuma 31. panta ceturto daļu un</w:t>
            </w:r>
          </w:p>
          <w:p w:rsidR="006553D5" w:rsidRPr="006553D5" w:rsidRDefault="006553D5" w:rsidP="006553D5">
            <w:pPr>
              <w:pStyle w:val="Sarakstarindkopa"/>
              <w:spacing w:after="0" w:line="240" w:lineRule="auto"/>
              <w:ind w:left="-108"/>
              <w:jc w:val="both"/>
              <w:rPr>
                <w:rFonts w:ascii="Times New Roman" w:eastAsia="Times New Roman" w:hAnsi="Times New Roman"/>
                <w:sz w:val="24"/>
                <w:szCs w:val="24"/>
                <w:lang w:eastAsia="lv-LV"/>
              </w:rPr>
            </w:pPr>
            <w:r w:rsidRPr="006553D5">
              <w:rPr>
                <w:rFonts w:ascii="Times New Roman" w:eastAsia="Times New Roman" w:hAnsi="Times New Roman"/>
                <w:sz w:val="24"/>
                <w:szCs w:val="24"/>
                <w:lang w:eastAsia="lv-LV"/>
              </w:rPr>
              <w:t xml:space="preserve">Lauksaimniecības un lauku attīstības likuma 5. panta </w:t>
            </w:r>
          </w:p>
          <w:p w:rsidR="00B71D70" w:rsidRPr="00B71D70" w:rsidRDefault="006553D5" w:rsidP="006553D5">
            <w:pPr>
              <w:pStyle w:val="Sarakstarindkopa"/>
              <w:spacing w:after="0" w:line="240" w:lineRule="auto"/>
              <w:ind w:left="-10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septīto</w:t>
            </w:r>
            <w:r w:rsidRPr="006553D5">
              <w:rPr>
                <w:rFonts w:ascii="Times New Roman" w:eastAsia="Times New Roman" w:hAnsi="Times New Roman"/>
                <w:sz w:val="24"/>
                <w:szCs w:val="24"/>
                <w:lang w:eastAsia="lv-LV"/>
              </w:rPr>
              <w:t xml:space="preserve"> daļu</w:t>
            </w:r>
          </w:p>
        </w:tc>
      </w:tr>
      <w:tr w:rsidR="00533858" w:rsidRPr="005A0CE3" w:rsidTr="009C6F70">
        <w:tc>
          <w:tcPr>
            <w:tcW w:w="709" w:type="dxa"/>
          </w:tcPr>
          <w:p w:rsidR="00533858"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119" w:type="dxa"/>
          </w:tcPr>
          <w:p w:rsidR="008C33A9" w:rsidRDefault="008C33A9" w:rsidP="006553D5">
            <w:pPr>
              <w:spacing w:after="0" w:line="240" w:lineRule="auto"/>
              <w:jc w:val="both"/>
              <w:rPr>
                <w:rFonts w:ascii="Times New Roman" w:eastAsia="Times New Roman" w:hAnsi="Times New Roman"/>
                <w:sz w:val="24"/>
                <w:szCs w:val="24"/>
                <w:lang w:eastAsia="lv-LV"/>
              </w:rPr>
            </w:pPr>
            <w:r w:rsidRPr="008C33A9">
              <w:rPr>
                <w:rFonts w:ascii="Times New Roman" w:eastAsia="Times New Roman" w:hAnsi="Times New Roman"/>
                <w:sz w:val="24"/>
                <w:szCs w:val="24"/>
                <w:lang w:eastAsia="lv-LV"/>
              </w:rPr>
              <w:t>10. Padome:</w:t>
            </w:r>
          </w:p>
          <w:p w:rsidR="00533858" w:rsidRPr="006553D5" w:rsidRDefault="008C33A9" w:rsidP="006553D5">
            <w:pPr>
              <w:spacing w:after="0" w:line="240" w:lineRule="auto"/>
              <w:jc w:val="both"/>
              <w:rPr>
                <w:rFonts w:ascii="Times New Roman" w:eastAsia="Times New Roman" w:hAnsi="Times New Roman"/>
                <w:sz w:val="24"/>
                <w:szCs w:val="24"/>
                <w:lang w:eastAsia="lv-LV"/>
              </w:rPr>
            </w:pPr>
            <w:r w:rsidRPr="008C33A9">
              <w:rPr>
                <w:rFonts w:ascii="Times New Roman" w:eastAsia="Times New Roman" w:hAnsi="Times New Roman"/>
                <w:sz w:val="24"/>
                <w:szCs w:val="24"/>
                <w:lang w:eastAsia="lv-LV"/>
              </w:rPr>
              <w:t xml:space="preserve">10.2. pieņem lēmumu par projekta īstenošanas pārskata apstiprināšanu vai neapstiprināšanu, par projekta īstenošanas termiņa pagarināšanu, atbalsta izmaksas apmēra vai kārtības maiņu, kā arī par piešķirtā atbalsta atmaksu, ja finansējums nav izlietots atbilstoši projekta iesniegumā paredzētajiem uzdevumiem un mērķiem, projekts nav īstenots kvalitatīvi vai piešķirtie līdzekļi nav izlietoti </w:t>
            </w:r>
            <w:r w:rsidRPr="008C33A9">
              <w:rPr>
                <w:rFonts w:ascii="Times New Roman" w:eastAsia="Times New Roman" w:hAnsi="Times New Roman"/>
                <w:sz w:val="24"/>
                <w:szCs w:val="24"/>
                <w:lang w:eastAsia="lv-LV"/>
              </w:rPr>
              <w:lastRenderedPageBreak/>
              <w:t>paredzētajā termiņā;</w:t>
            </w:r>
          </w:p>
        </w:tc>
        <w:tc>
          <w:tcPr>
            <w:tcW w:w="4252" w:type="dxa"/>
          </w:tcPr>
          <w:p w:rsidR="00533858" w:rsidRDefault="00533858" w:rsidP="0053385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Finanšu ministrija</w:t>
            </w:r>
          </w:p>
          <w:p w:rsidR="00533858" w:rsidRPr="00533858" w:rsidRDefault="00533858" w:rsidP="00533858">
            <w:pPr>
              <w:spacing w:after="0" w:line="240" w:lineRule="auto"/>
              <w:jc w:val="both"/>
              <w:rPr>
                <w:rFonts w:ascii="Times New Roman" w:eastAsia="Times New Roman" w:hAnsi="Times New Roman"/>
                <w:sz w:val="24"/>
                <w:szCs w:val="24"/>
                <w:lang w:eastAsia="lv-LV"/>
              </w:rPr>
            </w:pPr>
            <w:r w:rsidRPr="00533858">
              <w:rPr>
                <w:rFonts w:ascii="Times New Roman" w:eastAsia="Times New Roman" w:hAnsi="Times New Roman"/>
                <w:sz w:val="24"/>
                <w:szCs w:val="24"/>
                <w:lang w:eastAsia="lv-LV"/>
              </w:rPr>
              <w:t>1.</w:t>
            </w:r>
            <w:r w:rsidRPr="00533858">
              <w:rPr>
                <w:rFonts w:ascii="Times New Roman" w:eastAsia="Times New Roman" w:hAnsi="Times New Roman"/>
                <w:sz w:val="24"/>
                <w:szCs w:val="24"/>
                <w:lang w:eastAsia="lv-LV"/>
              </w:rPr>
              <w:tab/>
              <w:t>Lūdzam pārskatīt noteikumu projekta 10.2.apakšpunktā noteikto redakciju “projekts nav īstenots kvalitatīvi”, jo no esošās redakcijas nav skaidrs, kā Medību saimniecības attīstības fonda padomē (turpmāk – Padome) tiks novērtēta projekta īstenošanas kvalitāte, attiecīgi lūdzam izvērtēt iespēju kvalitātes novērtēšanu sasaistīt ar projektā plānoto rezultātu sasniegšanu.</w:t>
            </w:r>
          </w:p>
        </w:tc>
        <w:tc>
          <w:tcPr>
            <w:tcW w:w="2693" w:type="dxa"/>
          </w:tcPr>
          <w:p w:rsidR="00533858" w:rsidRDefault="006F5149" w:rsidP="00E04888">
            <w:pPr>
              <w:spacing w:after="0" w:line="240" w:lineRule="auto"/>
              <w:jc w:val="center"/>
              <w:rPr>
                <w:rFonts w:ascii="Times New Roman" w:eastAsia="Times New Roman" w:hAnsi="Times New Roman"/>
                <w:b/>
                <w:sz w:val="24"/>
                <w:szCs w:val="24"/>
                <w:lang w:eastAsia="lv-LV"/>
              </w:rPr>
            </w:pPr>
            <w:r w:rsidRPr="006F5149">
              <w:rPr>
                <w:rFonts w:ascii="Times New Roman" w:eastAsia="Times New Roman" w:hAnsi="Times New Roman"/>
                <w:b/>
                <w:sz w:val="24"/>
                <w:szCs w:val="24"/>
                <w:lang w:eastAsia="lv-LV"/>
              </w:rPr>
              <w:t>Iebildums ņemts vērā</w:t>
            </w:r>
          </w:p>
        </w:tc>
        <w:tc>
          <w:tcPr>
            <w:tcW w:w="3119" w:type="dxa"/>
          </w:tcPr>
          <w:p w:rsidR="00533858" w:rsidRPr="006553D5" w:rsidRDefault="007C3F01" w:rsidP="006553D5">
            <w:pPr>
              <w:pStyle w:val="Sarakstarindkopa"/>
              <w:spacing w:after="0" w:line="240" w:lineRule="auto"/>
              <w:ind w:left="-108"/>
              <w:jc w:val="both"/>
              <w:rPr>
                <w:rFonts w:ascii="Times New Roman" w:eastAsia="Times New Roman" w:hAnsi="Times New Roman"/>
                <w:sz w:val="24"/>
                <w:szCs w:val="24"/>
                <w:lang w:eastAsia="lv-LV"/>
              </w:rPr>
            </w:pPr>
            <w:r w:rsidRPr="007C3F01">
              <w:rPr>
                <w:rFonts w:ascii="Times New Roman" w:eastAsia="Times New Roman" w:hAnsi="Times New Roman"/>
                <w:sz w:val="24"/>
                <w:szCs w:val="24"/>
                <w:lang w:eastAsia="lv-LV"/>
              </w:rPr>
              <w:t xml:space="preserve">10.2. pieņem lēmumu par projekta īstenošanas pārskata apstiprināšanu vai neapstiprināšanu, par projekta īstenošanas termiņa pagarināšanu, atbalsta izmaksas apmēra vai kārtības maiņu, kā arī par piešķirtā atbalsta atmaksu, ja finansējums nav izlietots atbilstoši projekta iesniegumā paredzētajiem uzdevumiem un mērķiem, </w:t>
            </w:r>
            <w:r w:rsidRPr="00291765">
              <w:rPr>
                <w:rFonts w:ascii="Times New Roman" w:eastAsia="Times New Roman" w:hAnsi="Times New Roman"/>
                <w:sz w:val="24"/>
                <w:szCs w:val="24"/>
                <w:u w:val="single"/>
                <w:lang w:eastAsia="lv-LV"/>
              </w:rPr>
              <w:t>projektā plānotie rezultāti nav sasniegti</w:t>
            </w:r>
            <w:r w:rsidRPr="007C3F01">
              <w:rPr>
                <w:rFonts w:ascii="Times New Roman" w:eastAsia="Times New Roman" w:hAnsi="Times New Roman"/>
                <w:sz w:val="24"/>
                <w:szCs w:val="24"/>
                <w:lang w:eastAsia="lv-LV"/>
              </w:rPr>
              <w:t xml:space="preserve"> vai piešķirtie līdzekļi nav izlietoti paredzētajā termiņā;</w:t>
            </w:r>
          </w:p>
        </w:tc>
      </w:tr>
      <w:tr w:rsidR="00F3448F" w:rsidRPr="005A0CE3" w:rsidTr="009C6F70">
        <w:tc>
          <w:tcPr>
            <w:tcW w:w="709" w:type="dxa"/>
          </w:tcPr>
          <w:p w:rsidR="00F3448F"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53887">
              <w:rPr>
                <w:rFonts w:ascii="Times New Roman" w:eastAsia="Times New Roman" w:hAnsi="Times New Roman"/>
                <w:sz w:val="24"/>
                <w:szCs w:val="24"/>
                <w:lang w:eastAsia="lv-LV"/>
              </w:rPr>
              <w:t>.</w:t>
            </w:r>
          </w:p>
        </w:tc>
        <w:tc>
          <w:tcPr>
            <w:tcW w:w="3119" w:type="dxa"/>
          </w:tcPr>
          <w:p w:rsidR="002204A5" w:rsidRPr="002204A5" w:rsidRDefault="002204A5" w:rsidP="002204A5">
            <w:pPr>
              <w:spacing w:after="0" w:line="240" w:lineRule="auto"/>
              <w:jc w:val="both"/>
              <w:rPr>
                <w:rFonts w:ascii="Times New Roman" w:eastAsia="Times New Roman" w:hAnsi="Times New Roman"/>
                <w:sz w:val="24"/>
                <w:szCs w:val="24"/>
                <w:lang w:eastAsia="lv-LV"/>
              </w:rPr>
            </w:pPr>
            <w:r w:rsidRPr="002204A5">
              <w:rPr>
                <w:rFonts w:ascii="Times New Roman" w:eastAsia="Times New Roman" w:hAnsi="Times New Roman"/>
                <w:sz w:val="24"/>
                <w:szCs w:val="24"/>
                <w:lang w:eastAsia="lv-LV"/>
              </w:rPr>
              <w:t>13. Lai nodrošinātu fonda finansējuma izlietojuma atklātumu un veicinātu sabiedrības interešu ievērošanu fonda līdzekļu sadalē, kā arī sabiedrības līdzdalību lēmumu pieņemšanā, zemkopības ministrs apstiprina konsultatīvās padomes nolikumu un tās personālsastāvu uz pieciem gadiem, uzaicinot tajā piedalīties:</w:t>
            </w:r>
          </w:p>
          <w:p w:rsidR="002204A5" w:rsidRPr="002204A5" w:rsidRDefault="002204A5" w:rsidP="002204A5">
            <w:pPr>
              <w:spacing w:after="0" w:line="240" w:lineRule="auto"/>
              <w:jc w:val="both"/>
              <w:rPr>
                <w:rFonts w:ascii="Times New Roman" w:eastAsia="Times New Roman" w:hAnsi="Times New Roman"/>
                <w:sz w:val="24"/>
                <w:szCs w:val="24"/>
                <w:lang w:eastAsia="lv-LV"/>
              </w:rPr>
            </w:pPr>
            <w:r w:rsidRPr="002204A5">
              <w:rPr>
                <w:rFonts w:ascii="Times New Roman" w:eastAsia="Times New Roman" w:hAnsi="Times New Roman"/>
                <w:sz w:val="24"/>
                <w:szCs w:val="24"/>
                <w:lang w:eastAsia="lv-LV"/>
              </w:rPr>
              <w:t>13.1. trīs pārstāvjus no mednieku organizācijām, kurās ir vismaz 500 biedru;</w:t>
            </w:r>
          </w:p>
          <w:p w:rsidR="002204A5" w:rsidRPr="002204A5" w:rsidRDefault="002204A5" w:rsidP="002204A5">
            <w:pPr>
              <w:spacing w:after="0" w:line="240" w:lineRule="auto"/>
              <w:jc w:val="both"/>
              <w:rPr>
                <w:rFonts w:ascii="Times New Roman" w:eastAsia="Times New Roman" w:hAnsi="Times New Roman"/>
                <w:sz w:val="24"/>
                <w:szCs w:val="24"/>
                <w:lang w:eastAsia="lv-LV"/>
              </w:rPr>
            </w:pPr>
            <w:r w:rsidRPr="002204A5">
              <w:rPr>
                <w:rFonts w:ascii="Times New Roman" w:eastAsia="Times New Roman" w:hAnsi="Times New Roman"/>
                <w:sz w:val="24"/>
                <w:szCs w:val="24"/>
                <w:lang w:eastAsia="lv-LV"/>
              </w:rPr>
              <w:t>13.2. divus pārstāvjus no zinātnes un izpētes organizācijām;</w:t>
            </w:r>
          </w:p>
          <w:p w:rsidR="002204A5" w:rsidRPr="002204A5" w:rsidRDefault="002204A5" w:rsidP="002204A5">
            <w:pPr>
              <w:spacing w:after="0" w:line="240" w:lineRule="auto"/>
              <w:jc w:val="both"/>
              <w:rPr>
                <w:rFonts w:ascii="Times New Roman" w:eastAsia="Times New Roman" w:hAnsi="Times New Roman"/>
                <w:sz w:val="24"/>
                <w:szCs w:val="24"/>
                <w:lang w:eastAsia="lv-LV"/>
              </w:rPr>
            </w:pPr>
            <w:r w:rsidRPr="002204A5">
              <w:rPr>
                <w:rFonts w:ascii="Times New Roman" w:eastAsia="Times New Roman" w:hAnsi="Times New Roman"/>
                <w:sz w:val="24"/>
                <w:szCs w:val="24"/>
                <w:lang w:eastAsia="lv-LV"/>
              </w:rPr>
              <w:t>13.3. divus pārstāvjus no vides un dabas aizsardzības organizācijām, kurās ir vismaz 500 biedru;</w:t>
            </w:r>
          </w:p>
          <w:p w:rsidR="00F3448F" w:rsidRPr="00F3448F" w:rsidRDefault="002204A5" w:rsidP="002204A5">
            <w:pPr>
              <w:spacing w:after="0" w:line="240" w:lineRule="auto"/>
              <w:jc w:val="both"/>
              <w:rPr>
                <w:rFonts w:ascii="Times New Roman" w:eastAsia="Times New Roman" w:hAnsi="Times New Roman"/>
                <w:sz w:val="24"/>
                <w:szCs w:val="24"/>
                <w:lang w:eastAsia="lv-LV"/>
              </w:rPr>
            </w:pPr>
            <w:r w:rsidRPr="002204A5">
              <w:rPr>
                <w:rFonts w:ascii="Times New Roman" w:eastAsia="Times New Roman" w:hAnsi="Times New Roman"/>
                <w:sz w:val="24"/>
                <w:szCs w:val="24"/>
                <w:lang w:eastAsia="lv-LV"/>
              </w:rPr>
              <w:t>13.4. vienu privāto mežu īpašnieku vai pārvaldītāju pārstāvi un vienu publisko –valsts vai pašvaldību – mežu pārvaldītāju pārstāvi.</w:t>
            </w:r>
          </w:p>
        </w:tc>
        <w:tc>
          <w:tcPr>
            <w:tcW w:w="4252" w:type="dxa"/>
          </w:tcPr>
          <w:p w:rsidR="00F3448F" w:rsidRDefault="00E05560" w:rsidP="00853887">
            <w:pPr>
              <w:spacing w:after="0" w:line="240" w:lineRule="auto"/>
              <w:jc w:val="center"/>
              <w:rPr>
                <w:rFonts w:ascii="Times New Roman" w:eastAsia="Times New Roman" w:hAnsi="Times New Roman"/>
                <w:b/>
                <w:sz w:val="24"/>
                <w:szCs w:val="24"/>
                <w:lang w:eastAsia="lv-LV"/>
              </w:rPr>
            </w:pPr>
            <w:r w:rsidRPr="00E05560">
              <w:rPr>
                <w:rFonts w:ascii="Times New Roman" w:eastAsia="Times New Roman" w:hAnsi="Times New Roman"/>
                <w:b/>
                <w:sz w:val="24"/>
                <w:szCs w:val="24"/>
                <w:lang w:eastAsia="lv-LV"/>
              </w:rPr>
              <w:t>Tieslietu ministrija</w:t>
            </w:r>
          </w:p>
          <w:p w:rsidR="00853887" w:rsidRPr="00853887" w:rsidRDefault="00E05560" w:rsidP="00F3448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Pr="00E05560">
              <w:rPr>
                <w:rFonts w:ascii="Times New Roman" w:eastAsia="Times New Roman" w:hAnsi="Times New Roman"/>
                <w:sz w:val="24"/>
                <w:szCs w:val="24"/>
                <w:lang w:eastAsia="lv-LV"/>
              </w:rPr>
              <w:t>Atbilstoši projekta 13. punktam zemkopības ministrs apstiprina konsultatīvās padomes nolikumu un tās personālsastāvu, kā arī uzaicina konsultatīvajā padomē piedalīties uzskaitīto organizāciju pārstāvjus. No minētā nav saprotams, pēc kādiem kritērijiem zemkopības ministrs izraudzīsies attiecīgo organizāciju pārstāvjus. Tādējādi līdzam precizēt projektu vai arī papildināt projekta anotāciju ar atbilstošu skaidrojumu.</w:t>
            </w:r>
          </w:p>
        </w:tc>
        <w:tc>
          <w:tcPr>
            <w:tcW w:w="2693" w:type="dxa"/>
          </w:tcPr>
          <w:p w:rsidR="00F3448F" w:rsidRPr="0056301E" w:rsidRDefault="00853887" w:rsidP="00E04888">
            <w:pPr>
              <w:spacing w:after="0" w:line="240" w:lineRule="auto"/>
              <w:jc w:val="center"/>
              <w:rPr>
                <w:rFonts w:ascii="Times New Roman" w:eastAsia="Times New Roman" w:hAnsi="Times New Roman"/>
                <w:b/>
                <w:sz w:val="24"/>
                <w:szCs w:val="24"/>
                <w:lang w:eastAsia="lv-LV"/>
              </w:rPr>
            </w:pPr>
            <w:r w:rsidRPr="00853887">
              <w:rPr>
                <w:rFonts w:ascii="Times New Roman" w:eastAsia="Times New Roman" w:hAnsi="Times New Roman"/>
                <w:b/>
                <w:sz w:val="24"/>
                <w:szCs w:val="24"/>
                <w:lang w:eastAsia="lv-LV"/>
              </w:rPr>
              <w:t>Iebildums ņemts vērā</w:t>
            </w:r>
          </w:p>
        </w:tc>
        <w:tc>
          <w:tcPr>
            <w:tcW w:w="3119" w:type="dxa"/>
          </w:tcPr>
          <w:p w:rsidR="00A04B4B" w:rsidRDefault="00C43AF7" w:rsidP="00C43AF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Skat precizēto anotāciju</w:t>
            </w:r>
            <w:r w:rsidR="005F1956">
              <w:rPr>
                <w:rFonts w:ascii="Times New Roman" w:eastAsia="Times New Roman" w:hAnsi="Times New Roman"/>
                <w:sz w:val="24"/>
                <w:szCs w:val="24"/>
                <w:lang w:eastAsia="lv-LV"/>
              </w:rPr>
              <w:t>, kā arī projekta 7.1.apakšpunktu</w:t>
            </w:r>
            <w:r>
              <w:rPr>
                <w:rFonts w:ascii="Times New Roman" w:eastAsia="Times New Roman" w:hAnsi="Times New Roman"/>
                <w:sz w:val="24"/>
                <w:szCs w:val="24"/>
                <w:lang w:eastAsia="lv-LV"/>
              </w:rPr>
              <w:t>.</w:t>
            </w:r>
          </w:p>
          <w:p w:rsidR="00291765" w:rsidRPr="00291765" w:rsidRDefault="00291765" w:rsidP="00291765">
            <w:pPr>
              <w:spacing w:after="0" w:line="240" w:lineRule="auto"/>
              <w:jc w:val="both"/>
              <w:rPr>
                <w:rFonts w:ascii="Times New Roman" w:eastAsia="Times New Roman" w:hAnsi="Times New Roman"/>
                <w:sz w:val="24"/>
                <w:szCs w:val="24"/>
                <w:lang w:eastAsia="lv-LV"/>
              </w:rPr>
            </w:pPr>
            <w:r w:rsidRPr="00291765">
              <w:rPr>
                <w:rFonts w:ascii="Times New Roman" w:eastAsia="Times New Roman" w:hAnsi="Times New Roman"/>
                <w:sz w:val="24"/>
                <w:szCs w:val="24"/>
                <w:lang w:eastAsia="lv-LV"/>
              </w:rPr>
              <w:t xml:space="preserve">13. Lai nodrošinātu fonda finansējuma izlietojuma atklātumu un veicinātu sabiedrības interešu ievērošanu fonda līdzekļu sadalē, kā arī sabiedrības līdzdalību lēmumu pieņemšanā, zemkopības ministrs apstiprina konsultatīvās padomes nolikumu un tās personālsastāvu uz pieciem gadiem, </w:t>
            </w:r>
            <w:r w:rsidRPr="00291765">
              <w:rPr>
                <w:rFonts w:ascii="Times New Roman" w:eastAsia="Times New Roman" w:hAnsi="Times New Roman"/>
                <w:sz w:val="24"/>
                <w:szCs w:val="24"/>
                <w:u w:val="single"/>
                <w:lang w:eastAsia="lv-LV"/>
              </w:rPr>
              <w:t>iekļaujot</w:t>
            </w:r>
            <w:r w:rsidRPr="00291765">
              <w:rPr>
                <w:rFonts w:ascii="Times New Roman" w:eastAsia="Times New Roman" w:hAnsi="Times New Roman"/>
                <w:sz w:val="24"/>
                <w:szCs w:val="24"/>
                <w:lang w:eastAsia="lv-LV"/>
              </w:rPr>
              <w:t xml:space="preserve"> tajā:</w:t>
            </w:r>
          </w:p>
          <w:p w:rsidR="00291765" w:rsidRPr="00291765" w:rsidRDefault="00291765" w:rsidP="00291765">
            <w:pPr>
              <w:spacing w:after="0" w:line="240" w:lineRule="auto"/>
              <w:jc w:val="both"/>
              <w:rPr>
                <w:rFonts w:ascii="Times New Roman" w:eastAsia="Times New Roman" w:hAnsi="Times New Roman"/>
                <w:sz w:val="24"/>
                <w:szCs w:val="24"/>
                <w:lang w:eastAsia="lv-LV"/>
              </w:rPr>
            </w:pPr>
            <w:r w:rsidRPr="00291765">
              <w:rPr>
                <w:rFonts w:ascii="Times New Roman" w:eastAsia="Times New Roman" w:hAnsi="Times New Roman"/>
                <w:sz w:val="24"/>
                <w:szCs w:val="24"/>
                <w:lang w:eastAsia="lv-LV"/>
              </w:rPr>
              <w:t>13.1. trīs pārstāvjus no mednieku organizācijām, kurās ir vismaz 500 biedru;</w:t>
            </w:r>
          </w:p>
          <w:p w:rsidR="00291765" w:rsidRPr="00291765" w:rsidRDefault="00291765" w:rsidP="00291765">
            <w:pPr>
              <w:spacing w:after="0" w:line="240" w:lineRule="auto"/>
              <w:jc w:val="both"/>
              <w:rPr>
                <w:rFonts w:ascii="Times New Roman" w:eastAsia="Times New Roman" w:hAnsi="Times New Roman"/>
                <w:sz w:val="24"/>
                <w:szCs w:val="24"/>
                <w:lang w:eastAsia="lv-LV"/>
              </w:rPr>
            </w:pPr>
            <w:r w:rsidRPr="00291765">
              <w:rPr>
                <w:rFonts w:ascii="Times New Roman" w:eastAsia="Times New Roman" w:hAnsi="Times New Roman"/>
                <w:sz w:val="24"/>
                <w:szCs w:val="24"/>
                <w:lang w:eastAsia="lv-LV"/>
              </w:rPr>
              <w:t>13.2. divus pārstāvjus no zinātnes un izpētes organizācijām;</w:t>
            </w:r>
          </w:p>
          <w:p w:rsidR="00291765" w:rsidRPr="00291765" w:rsidRDefault="00291765" w:rsidP="00291765">
            <w:pPr>
              <w:spacing w:after="0" w:line="240" w:lineRule="auto"/>
              <w:jc w:val="both"/>
              <w:rPr>
                <w:rFonts w:ascii="Times New Roman" w:eastAsia="Times New Roman" w:hAnsi="Times New Roman"/>
                <w:sz w:val="24"/>
                <w:szCs w:val="24"/>
                <w:lang w:eastAsia="lv-LV"/>
              </w:rPr>
            </w:pPr>
            <w:r w:rsidRPr="00291765">
              <w:rPr>
                <w:rFonts w:ascii="Times New Roman" w:eastAsia="Times New Roman" w:hAnsi="Times New Roman"/>
                <w:sz w:val="24"/>
                <w:szCs w:val="24"/>
                <w:lang w:eastAsia="lv-LV"/>
              </w:rPr>
              <w:t>13.3. divus pārstāvjus no vides un dabas aizsardzības organizācijām, kurās ir vismaz 500 biedru;</w:t>
            </w:r>
          </w:p>
          <w:p w:rsidR="00291765" w:rsidRPr="005A0CE3" w:rsidRDefault="00291765" w:rsidP="00291765">
            <w:pPr>
              <w:spacing w:after="0" w:line="240" w:lineRule="auto"/>
              <w:jc w:val="both"/>
              <w:rPr>
                <w:rFonts w:ascii="Times New Roman" w:eastAsia="Times New Roman" w:hAnsi="Times New Roman"/>
                <w:sz w:val="24"/>
                <w:szCs w:val="24"/>
                <w:lang w:eastAsia="lv-LV"/>
              </w:rPr>
            </w:pPr>
            <w:r w:rsidRPr="00291765">
              <w:rPr>
                <w:rFonts w:ascii="Times New Roman" w:eastAsia="Times New Roman" w:hAnsi="Times New Roman"/>
                <w:sz w:val="24"/>
                <w:szCs w:val="24"/>
                <w:lang w:eastAsia="lv-LV"/>
              </w:rPr>
              <w:t>13.4. vienu privāto mežu īpašnieku vai pārvaldītāju pārstāvi un vienu publisko –valsts vai pašvaldību – mežu pārvaldītāju pārstāvi.</w:t>
            </w:r>
          </w:p>
        </w:tc>
      </w:tr>
      <w:tr w:rsidR="00070493" w:rsidRPr="005A0CE3" w:rsidTr="009C6F70">
        <w:tc>
          <w:tcPr>
            <w:tcW w:w="709" w:type="dxa"/>
          </w:tcPr>
          <w:p w:rsidR="00070493"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853887">
              <w:rPr>
                <w:rFonts w:ascii="Times New Roman" w:eastAsia="Times New Roman" w:hAnsi="Times New Roman"/>
                <w:sz w:val="24"/>
                <w:szCs w:val="24"/>
                <w:lang w:eastAsia="lv-LV"/>
              </w:rPr>
              <w:t>.</w:t>
            </w:r>
          </w:p>
        </w:tc>
        <w:tc>
          <w:tcPr>
            <w:tcW w:w="3119" w:type="dxa"/>
          </w:tcPr>
          <w:p w:rsidR="00070493" w:rsidRPr="005A0CE3" w:rsidRDefault="00D35FC5" w:rsidP="00AB611C">
            <w:pPr>
              <w:spacing w:after="0" w:line="240" w:lineRule="auto"/>
              <w:jc w:val="both"/>
              <w:rPr>
                <w:rFonts w:ascii="Times New Roman" w:eastAsia="Times New Roman" w:hAnsi="Times New Roman"/>
                <w:sz w:val="24"/>
                <w:szCs w:val="24"/>
                <w:lang w:eastAsia="lv-LV"/>
              </w:rPr>
            </w:pPr>
            <w:r w:rsidRPr="00D35FC5">
              <w:rPr>
                <w:rFonts w:ascii="Times New Roman" w:eastAsia="Times New Roman" w:hAnsi="Times New Roman"/>
                <w:sz w:val="24"/>
                <w:szCs w:val="24"/>
                <w:lang w:eastAsia="lv-LV"/>
              </w:rPr>
              <w:t xml:space="preserve">14. Šo noteikumu 13. punktā </w:t>
            </w:r>
            <w:r w:rsidRPr="00D35FC5">
              <w:rPr>
                <w:rFonts w:ascii="Times New Roman" w:eastAsia="Times New Roman" w:hAnsi="Times New Roman"/>
                <w:sz w:val="24"/>
                <w:szCs w:val="24"/>
                <w:lang w:eastAsia="lv-LV"/>
              </w:rPr>
              <w:lastRenderedPageBreak/>
              <w:t>minētās interešu grupas veido viena vai vairākas biedrības un nodibinājumi, kas pārstāv attiecīgo interešu grupu.</w:t>
            </w:r>
          </w:p>
        </w:tc>
        <w:tc>
          <w:tcPr>
            <w:tcW w:w="4252" w:type="dxa"/>
          </w:tcPr>
          <w:p w:rsidR="00853887" w:rsidRPr="00B23FAA" w:rsidRDefault="00B23FAA" w:rsidP="00B23FAA">
            <w:pPr>
              <w:spacing w:after="0" w:line="240" w:lineRule="auto"/>
              <w:jc w:val="center"/>
              <w:rPr>
                <w:rFonts w:ascii="Times New Roman" w:eastAsia="Times New Roman" w:hAnsi="Times New Roman"/>
                <w:b/>
                <w:sz w:val="24"/>
                <w:szCs w:val="24"/>
                <w:lang w:eastAsia="lv-LV"/>
              </w:rPr>
            </w:pPr>
            <w:r w:rsidRPr="00B23FAA">
              <w:rPr>
                <w:rFonts w:ascii="Times New Roman" w:eastAsia="Times New Roman" w:hAnsi="Times New Roman"/>
                <w:b/>
                <w:sz w:val="24"/>
                <w:szCs w:val="24"/>
                <w:lang w:eastAsia="lv-LV"/>
              </w:rPr>
              <w:lastRenderedPageBreak/>
              <w:t>Tieslietu ministrija</w:t>
            </w:r>
          </w:p>
          <w:p w:rsidR="007F4B40" w:rsidRPr="001D0EB1" w:rsidRDefault="007F4B40" w:rsidP="00070493">
            <w:pPr>
              <w:spacing w:after="0" w:line="240" w:lineRule="auto"/>
              <w:jc w:val="both"/>
              <w:rPr>
                <w:rFonts w:ascii="Times New Roman" w:eastAsia="Times New Roman" w:hAnsi="Times New Roman"/>
                <w:sz w:val="24"/>
                <w:szCs w:val="24"/>
                <w:lang w:eastAsia="lv-LV"/>
              </w:rPr>
            </w:pPr>
            <w:r w:rsidRPr="007F4B40">
              <w:rPr>
                <w:rFonts w:ascii="Times New Roman" w:eastAsia="Times New Roman" w:hAnsi="Times New Roman"/>
                <w:sz w:val="24"/>
                <w:szCs w:val="24"/>
                <w:lang w:eastAsia="lv-LV"/>
              </w:rPr>
              <w:lastRenderedPageBreak/>
              <w:t>3. Projekta 14. punkts noteic, ka šo noteikumu 13. punktā minētās interešu grupas veido viena vai vairākas biedrības un nodibinājumi, kas pārstāv attiecīgo interešu grupu. Norādām, ka projekta 13. punktā nav minētas interešu grupas, bet gan organizācijas, līdz ar to lūdzam precizēt šo projekta punktu.</w:t>
            </w:r>
          </w:p>
        </w:tc>
        <w:tc>
          <w:tcPr>
            <w:tcW w:w="2693" w:type="dxa"/>
          </w:tcPr>
          <w:p w:rsidR="00A04B4B" w:rsidRPr="00A04B4B" w:rsidRDefault="00853887" w:rsidP="00A04B4B">
            <w:pPr>
              <w:spacing w:after="0" w:line="240" w:lineRule="auto"/>
              <w:jc w:val="center"/>
              <w:rPr>
                <w:rFonts w:ascii="Times New Roman" w:eastAsia="Times New Roman" w:hAnsi="Times New Roman"/>
                <w:b/>
                <w:sz w:val="24"/>
                <w:szCs w:val="24"/>
                <w:lang w:eastAsia="lv-LV"/>
              </w:rPr>
            </w:pPr>
            <w:r w:rsidRPr="00853887">
              <w:rPr>
                <w:rFonts w:ascii="Times New Roman" w:eastAsia="Times New Roman" w:hAnsi="Times New Roman"/>
                <w:b/>
                <w:sz w:val="24"/>
                <w:szCs w:val="24"/>
                <w:lang w:eastAsia="lv-LV"/>
              </w:rPr>
              <w:lastRenderedPageBreak/>
              <w:t>Iebildums ņemts vērā</w:t>
            </w:r>
          </w:p>
        </w:tc>
        <w:tc>
          <w:tcPr>
            <w:tcW w:w="3119" w:type="dxa"/>
          </w:tcPr>
          <w:p w:rsidR="00A04B4B" w:rsidRPr="005A0CE3" w:rsidRDefault="00694CB8" w:rsidP="00FE58A9">
            <w:pPr>
              <w:spacing w:after="0" w:line="240" w:lineRule="auto"/>
              <w:jc w:val="both"/>
              <w:rPr>
                <w:rFonts w:ascii="Times New Roman" w:eastAsia="Times New Roman" w:hAnsi="Times New Roman"/>
                <w:sz w:val="24"/>
                <w:szCs w:val="24"/>
                <w:lang w:eastAsia="lv-LV"/>
              </w:rPr>
            </w:pPr>
            <w:r w:rsidRPr="00694CB8">
              <w:rPr>
                <w:rFonts w:ascii="Times New Roman" w:eastAsia="Times New Roman" w:hAnsi="Times New Roman"/>
                <w:sz w:val="24"/>
                <w:szCs w:val="24"/>
                <w:lang w:eastAsia="lv-LV"/>
              </w:rPr>
              <w:t xml:space="preserve">14. Šo noteikumu 13. punktā </w:t>
            </w:r>
            <w:r w:rsidRPr="00694CB8">
              <w:rPr>
                <w:rFonts w:ascii="Times New Roman" w:eastAsia="Times New Roman" w:hAnsi="Times New Roman"/>
                <w:sz w:val="24"/>
                <w:szCs w:val="24"/>
                <w:lang w:eastAsia="lv-LV"/>
              </w:rPr>
              <w:lastRenderedPageBreak/>
              <w:t>minētās interešu grupas veido viena vai vairākas biedrības un nod</w:t>
            </w:r>
            <w:r w:rsidR="00FE58A9">
              <w:rPr>
                <w:rFonts w:ascii="Times New Roman" w:eastAsia="Times New Roman" w:hAnsi="Times New Roman"/>
                <w:sz w:val="24"/>
                <w:szCs w:val="24"/>
                <w:lang w:eastAsia="lv-LV"/>
              </w:rPr>
              <w:t>ibinājumi, kas pārstāv attiecīg</w:t>
            </w:r>
            <w:r w:rsidR="00FE58A9" w:rsidRPr="00E4465D">
              <w:rPr>
                <w:rFonts w:ascii="Times New Roman" w:eastAsia="Times New Roman" w:hAnsi="Times New Roman"/>
                <w:sz w:val="24"/>
                <w:szCs w:val="24"/>
                <w:u w:val="single"/>
                <w:lang w:eastAsia="lv-LV"/>
              </w:rPr>
              <w:t>ās</w:t>
            </w:r>
            <w:r w:rsidRPr="00694CB8">
              <w:rPr>
                <w:rFonts w:ascii="Times New Roman" w:eastAsia="Times New Roman" w:hAnsi="Times New Roman"/>
                <w:sz w:val="24"/>
                <w:szCs w:val="24"/>
                <w:lang w:eastAsia="lv-LV"/>
              </w:rPr>
              <w:t xml:space="preserve"> </w:t>
            </w:r>
            <w:r w:rsidR="00FE58A9" w:rsidRPr="00E4465D">
              <w:rPr>
                <w:rFonts w:ascii="Times New Roman" w:eastAsia="Times New Roman" w:hAnsi="Times New Roman"/>
                <w:sz w:val="24"/>
                <w:szCs w:val="24"/>
                <w:u w:val="single"/>
                <w:lang w:eastAsia="lv-LV"/>
              </w:rPr>
              <w:t>organizācijas</w:t>
            </w:r>
            <w:r w:rsidRPr="00694CB8">
              <w:rPr>
                <w:rFonts w:ascii="Times New Roman" w:eastAsia="Times New Roman" w:hAnsi="Times New Roman"/>
                <w:sz w:val="24"/>
                <w:szCs w:val="24"/>
                <w:lang w:eastAsia="lv-LV"/>
              </w:rPr>
              <w:t>.</w:t>
            </w:r>
          </w:p>
        </w:tc>
      </w:tr>
      <w:tr w:rsidR="00066631" w:rsidRPr="005A0CE3" w:rsidTr="009C6F70">
        <w:tc>
          <w:tcPr>
            <w:tcW w:w="709" w:type="dxa"/>
          </w:tcPr>
          <w:p w:rsidR="00066631"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w:t>
            </w:r>
          </w:p>
        </w:tc>
        <w:tc>
          <w:tcPr>
            <w:tcW w:w="3119" w:type="dxa"/>
          </w:tcPr>
          <w:p w:rsidR="00066631" w:rsidRPr="005A0CE3" w:rsidRDefault="00E4465D" w:rsidP="00AB611C">
            <w:pPr>
              <w:spacing w:after="0" w:line="240" w:lineRule="auto"/>
              <w:jc w:val="both"/>
              <w:rPr>
                <w:rFonts w:ascii="Times New Roman" w:eastAsia="Times New Roman" w:hAnsi="Times New Roman"/>
                <w:sz w:val="24"/>
                <w:szCs w:val="24"/>
                <w:lang w:eastAsia="lv-LV"/>
              </w:rPr>
            </w:pPr>
            <w:r w:rsidRPr="00E4465D">
              <w:rPr>
                <w:rFonts w:ascii="Times New Roman" w:eastAsia="Times New Roman" w:hAnsi="Times New Roman"/>
                <w:sz w:val="24"/>
                <w:szCs w:val="24"/>
                <w:lang w:eastAsia="lv-LV"/>
              </w:rPr>
              <w:t>18. Piecu darbdienu laikā pēc likuma "Par valsts budžetu" kārtējam gadam pieņemšanas Zemkopības ministrija izsludina projektu konkursu, nosūtot sludinājumu oficiālajam izdevumam "Latvijas Vēstnesis" un dienests publicē to savā tīmekļa vietnē. Sludinājumā norāda projektu iesniegumu iesniegšanas termiņu (datumu un laiku), kas nav īsāks par 10 darbdienām no sludinājuma publicēšanas dienas, kā arī kopējo pieejamo atbalsta apmēru un projektu īstenošanas laiku. Projektu iesniegumi iesniedzami, izmantojot dienesta elektronisko pieteikšanās sistēmu.</w:t>
            </w:r>
          </w:p>
        </w:tc>
        <w:tc>
          <w:tcPr>
            <w:tcW w:w="4252" w:type="dxa"/>
          </w:tcPr>
          <w:p w:rsidR="00066631" w:rsidRDefault="00066631" w:rsidP="0006663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Finanšu ministrija</w:t>
            </w:r>
          </w:p>
          <w:p w:rsidR="00066631" w:rsidRPr="00066631" w:rsidRDefault="00066631" w:rsidP="00066631">
            <w:pPr>
              <w:spacing w:after="0" w:line="240" w:lineRule="auto"/>
              <w:jc w:val="both"/>
              <w:rPr>
                <w:rFonts w:ascii="Times New Roman" w:eastAsia="Times New Roman" w:hAnsi="Times New Roman"/>
                <w:sz w:val="24"/>
                <w:szCs w:val="24"/>
                <w:lang w:eastAsia="lv-LV"/>
              </w:rPr>
            </w:pPr>
            <w:r w:rsidRPr="00066631">
              <w:rPr>
                <w:rFonts w:ascii="Times New Roman" w:eastAsia="Times New Roman" w:hAnsi="Times New Roman"/>
                <w:sz w:val="24"/>
                <w:szCs w:val="24"/>
                <w:lang w:eastAsia="lv-LV"/>
              </w:rPr>
              <w:t>2.</w:t>
            </w:r>
            <w:r w:rsidRPr="00066631">
              <w:rPr>
                <w:rFonts w:ascii="Times New Roman" w:eastAsia="Times New Roman" w:hAnsi="Times New Roman"/>
                <w:sz w:val="24"/>
                <w:szCs w:val="24"/>
                <w:lang w:eastAsia="lv-LV"/>
              </w:rPr>
              <w:tab/>
              <w:t>Lūdzam precizēt noteikumu projekta 18.punktā lietoto terminu  “likuma “Par valsts budžetu””, tā vietā lietojot Likuma par budžetu un finanšu vadību terminoloģiju, proti “gadskārtējā valsts budžeta likums”, kā arī izvērtēt, vai projektu konkursu izsludināšana tiešām jānosaka pēc gadskārtējā valsts budžeta likuma pieņemšanas, nevis izsludināšanas vai spēkā stāšanās. Vienlaikus, ņemot vērā noteikumu projekta 41.punktā noteikto, norādām, ka var veidoties situācija, ka projekta izpildes izmaksās var nākties iekļaut izmaksas, kas veidojušās pirms projekta konkursa izsludināšanas gadījumos, ja budžeta likums netiek pieņemts vai izsludināts, vai nestājās spēkā līdz kārtējā gada 1.janvārim, attiecīgi lūdzam izvērtēt, vai tas no nozares politikas veidotāja puses ir pieļaujami.</w:t>
            </w:r>
          </w:p>
        </w:tc>
        <w:tc>
          <w:tcPr>
            <w:tcW w:w="2693" w:type="dxa"/>
          </w:tcPr>
          <w:p w:rsidR="00066631" w:rsidRPr="00853887" w:rsidRDefault="00B67771" w:rsidP="00A04B4B">
            <w:pPr>
              <w:spacing w:after="0" w:line="240" w:lineRule="auto"/>
              <w:jc w:val="center"/>
              <w:rPr>
                <w:rFonts w:ascii="Times New Roman" w:eastAsia="Times New Roman" w:hAnsi="Times New Roman"/>
                <w:b/>
                <w:sz w:val="24"/>
                <w:szCs w:val="24"/>
                <w:lang w:eastAsia="lv-LV"/>
              </w:rPr>
            </w:pPr>
            <w:r w:rsidRPr="00B67771">
              <w:rPr>
                <w:rFonts w:ascii="Times New Roman" w:eastAsia="Times New Roman" w:hAnsi="Times New Roman"/>
                <w:b/>
                <w:sz w:val="24"/>
                <w:szCs w:val="24"/>
                <w:lang w:eastAsia="lv-LV"/>
              </w:rPr>
              <w:t>Iebildums ņemts vērā</w:t>
            </w:r>
          </w:p>
        </w:tc>
        <w:tc>
          <w:tcPr>
            <w:tcW w:w="3119" w:type="dxa"/>
          </w:tcPr>
          <w:p w:rsidR="00066631" w:rsidRPr="005A0CE3" w:rsidRDefault="00E4465D" w:rsidP="00E4465D">
            <w:pPr>
              <w:spacing w:after="0" w:line="240" w:lineRule="auto"/>
              <w:jc w:val="both"/>
              <w:rPr>
                <w:rFonts w:ascii="Times New Roman" w:eastAsia="Times New Roman" w:hAnsi="Times New Roman"/>
                <w:sz w:val="24"/>
                <w:szCs w:val="24"/>
                <w:lang w:eastAsia="lv-LV"/>
              </w:rPr>
            </w:pPr>
            <w:r w:rsidRPr="00E4465D">
              <w:rPr>
                <w:rFonts w:ascii="Times New Roman" w:eastAsia="Times New Roman" w:hAnsi="Times New Roman"/>
                <w:sz w:val="24"/>
                <w:szCs w:val="24"/>
                <w:lang w:eastAsia="lv-LV"/>
              </w:rPr>
              <w:t xml:space="preserve">18. Piecu darbdienu laikā pēc </w:t>
            </w:r>
            <w:r w:rsidR="00051E53" w:rsidRPr="00051E53">
              <w:rPr>
                <w:rFonts w:ascii="Times New Roman" w:eastAsia="Times New Roman" w:hAnsi="Times New Roman"/>
                <w:sz w:val="24"/>
                <w:szCs w:val="24"/>
                <w:u w:val="single"/>
                <w:lang w:eastAsia="lv-LV"/>
              </w:rPr>
              <w:t>gadskārtējā valsts budžeta likuma izsludināšanas</w:t>
            </w:r>
            <w:r w:rsidR="00051E53" w:rsidRPr="00051E53">
              <w:rPr>
                <w:rFonts w:ascii="Times New Roman" w:eastAsia="Times New Roman" w:hAnsi="Times New Roman"/>
                <w:sz w:val="24"/>
                <w:szCs w:val="24"/>
                <w:lang w:eastAsia="lv-LV"/>
              </w:rPr>
              <w:t xml:space="preserve"> </w:t>
            </w:r>
            <w:r w:rsidRPr="00E4465D">
              <w:rPr>
                <w:rFonts w:ascii="Times New Roman" w:eastAsia="Times New Roman" w:hAnsi="Times New Roman"/>
                <w:sz w:val="24"/>
                <w:szCs w:val="24"/>
                <w:lang w:eastAsia="lv-LV"/>
              </w:rPr>
              <w:t>Zemkopības ministrija izsludina projektu konkursu, nosūtot sludinājumu oficiālajam izdevumam "Latvijas Vēstnesis" un dienests publicē to savā tīmekļa vietnē. Sludinājumā norāda projektu iesniegumu iesniegšanas termiņu (datumu un laiku), kas nav īsāks par 10 darbdienām no sludinājuma publicēšanas dienas, kā arī kopējo pieejamo atbalsta apmēru un projektu īstenošanas laiku. Projektu iesniegumi iesniedzami, izmantojot dienesta elektronisko pieteikšanās sistēmu.</w:t>
            </w:r>
          </w:p>
        </w:tc>
      </w:tr>
      <w:tr w:rsidR="007F4B40" w:rsidRPr="005A0CE3" w:rsidTr="009C6F70">
        <w:tc>
          <w:tcPr>
            <w:tcW w:w="709" w:type="dxa"/>
          </w:tcPr>
          <w:p w:rsidR="007F4B40"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3119" w:type="dxa"/>
          </w:tcPr>
          <w:p w:rsidR="007F4B40" w:rsidRPr="00853887" w:rsidRDefault="00FD684D" w:rsidP="00AB611C">
            <w:pPr>
              <w:spacing w:after="0" w:line="240" w:lineRule="auto"/>
              <w:jc w:val="both"/>
              <w:rPr>
                <w:rFonts w:ascii="Times New Roman" w:eastAsia="Times New Roman" w:hAnsi="Times New Roman"/>
                <w:sz w:val="24"/>
                <w:szCs w:val="24"/>
                <w:lang w:eastAsia="lv-LV"/>
              </w:rPr>
            </w:pPr>
            <w:r w:rsidRPr="00FD684D">
              <w:rPr>
                <w:rFonts w:ascii="Times New Roman" w:eastAsia="Times New Roman" w:hAnsi="Times New Roman"/>
                <w:sz w:val="24"/>
                <w:szCs w:val="24"/>
                <w:lang w:eastAsia="lv-LV"/>
              </w:rPr>
              <w:t xml:space="preserve">20. Atbalsta saņēmējs var būt fiziska vai juridiska persona, </w:t>
            </w:r>
            <w:r w:rsidRPr="00FD684D">
              <w:rPr>
                <w:rFonts w:ascii="Times New Roman" w:eastAsia="Times New Roman" w:hAnsi="Times New Roman"/>
                <w:sz w:val="24"/>
                <w:szCs w:val="24"/>
                <w:lang w:eastAsia="lv-LV"/>
              </w:rPr>
              <w:lastRenderedPageBreak/>
              <w:t>bet ne padomes sastāvā esoša iestāde, ja vien tā nav dalībniece partnerības sastāvā.</w:t>
            </w:r>
          </w:p>
        </w:tc>
        <w:tc>
          <w:tcPr>
            <w:tcW w:w="4252" w:type="dxa"/>
          </w:tcPr>
          <w:p w:rsidR="007F4B40" w:rsidRPr="00B23FAA" w:rsidRDefault="00B23FAA" w:rsidP="00B23FAA">
            <w:pPr>
              <w:spacing w:after="0" w:line="240" w:lineRule="auto"/>
              <w:jc w:val="center"/>
              <w:rPr>
                <w:rFonts w:ascii="Times New Roman" w:eastAsia="Times New Roman" w:hAnsi="Times New Roman"/>
                <w:b/>
                <w:sz w:val="24"/>
                <w:szCs w:val="24"/>
                <w:lang w:eastAsia="lv-LV"/>
              </w:rPr>
            </w:pPr>
            <w:r w:rsidRPr="00B23FAA">
              <w:rPr>
                <w:rFonts w:ascii="Times New Roman" w:eastAsia="Times New Roman" w:hAnsi="Times New Roman"/>
                <w:b/>
                <w:sz w:val="24"/>
                <w:szCs w:val="24"/>
                <w:lang w:eastAsia="lv-LV"/>
              </w:rPr>
              <w:lastRenderedPageBreak/>
              <w:t>Tieslietu ministrija</w:t>
            </w:r>
          </w:p>
          <w:p w:rsidR="007F4B40" w:rsidRDefault="007F4B40" w:rsidP="00070493">
            <w:pPr>
              <w:spacing w:after="0" w:line="240" w:lineRule="auto"/>
              <w:jc w:val="both"/>
              <w:rPr>
                <w:rFonts w:ascii="Times New Roman" w:eastAsia="Times New Roman" w:hAnsi="Times New Roman"/>
                <w:sz w:val="24"/>
                <w:szCs w:val="24"/>
                <w:lang w:eastAsia="lv-LV"/>
              </w:rPr>
            </w:pPr>
            <w:r w:rsidRPr="007F4B40">
              <w:rPr>
                <w:rFonts w:ascii="Times New Roman" w:eastAsia="Times New Roman" w:hAnsi="Times New Roman"/>
                <w:sz w:val="24"/>
                <w:szCs w:val="24"/>
                <w:lang w:eastAsia="lv-LV"/>
              </w:rPr>
              <w:t xml:space="preserve">4. Saskaņā ar projekta 20. punktu atbalsta </w:t>
            </w:r>
            <w:r w:rsidRPr="007F4B40">
              <w:rPr>
                <w:rFonts w:ascii="Times New Roman" w:eastAsia="Times New Roman" w:hAnsi="Times New Roman"/>
                <w:sz w:val="24"/>
                <w:szCs w:val="24"/>
                <w:lang w:eastAsia="lv-LV"/>
              </w:rPr>
              <w:lastRenderedPageBreak/>
              <w:t>saņēmējs var būt fiziska vai juridiska persona, bet ne padomes sastāvā esoša iestāde, ja vien tā nav dalībniece partnerības sastāvā. Lūdzam papildināt projekta anotāciju ar skaidrojumu, kas ir “partnerības sastāvs”, lai projektā ietvertais regulējums būtu saprotams.</w:t>
            </w:r>
          </w:p>
          <w:p w:rsidR="001273BC" w:rsidRDefault="001273BC" w:rsidP="001273BC">
            <w:pPr>
              <w:spacing w:after="0" w:line="240" w:lineRule="auto"/>
              <w:jc w:val="center"/>
              <w:rPr>
                <w:rFonts w:ascii="Times New Roman" w:eastAsia="Times New Roman" w:hAnsi="Times New Roman"/>
                <w:b/>
                <w:sz w:val="24"/>
                <w:szCs w:val="24"/>
                <w:lang w:eastAsia="lv-LV"/>
              </w:rPr>
            </w:pPr>
          </w:p>
          <w:p w:rsidR="001273BC" w:rsidRPr="00FD2E26" w:rsidRDefault="001273BC" w:rsidP="001273BC">
            <w:pPr>
              <w:spacing w:after="0" w:line="240" w:lineRule="auto"/>
              <w:jc w:val="center"/>
              <w:rPr>
                <w:rFonts w:ascii="Times New Roman" w:eastAsia="Times New Roman" w:hAnsi="Times New Roman"/>
                <w:b/>
                <w:sz w:val="24"/>
                <w:szCs w:val="24"/>
                <w:lang w:eastAsia="lv-LV"/>
              </w:rPr>
            </w:pPr>
            <w:r w:rsidRPr="00FD2E26">
              <w:rPr>
                <w:rFonts w:ascii="Times New Roman" w:eastAsia="Times New Roman" w:hAnsi="Times New Roman"/>
                <w:b/>
                <w:sz w:val="24"/>
                <w:szCs w:val="24"/>
                <w:lang w:eastAsia="lv-LV"/>
              </w:rPr>
              <w:t>Finanšu ministrija</w:t>
            </w:r>
          </w:p>
          <w:p w:rsidR="001273BC" w:rsidRDefault="001273BC" w:rsidP="001273BC">
            <w:pPr>
              <w:spacing w:after="0" w:line="240" w:lineRule="auto"/>
              <w:jc w:val="both"/>
              <w:rPr>
                <w:rFonts w:ascii="Times New Roman" w:eastAsia="Times New Roman" w:hAnsi="Times New Roman"/>
                <w:sz w:val="24"/>
                <w:szCs w:val="24"/>
                <w:lang w:eastAsia="lv-LV"/>
              </w:rPr>
            </w:pPr>
            <w:r w:rsidRPr="00FD2E26">
              <w:rPr>
                <w:rFonts w:ascii="Times New Roman" w:eastAsia="Times New Roman" w:hAnsi="Times New Roman"/>
                <w:sz w:val="24"/>
                <w:szCs w:val="24"/>
                <w:lang w:eastAsia="lv-LV"/>
              </w:rPr>
              <w:t>6.</w:t>
            </w:r>
            <w:r w:rsidRPr="00FD2E26">
              <w:rPr>
                <w:rFonts w:ascii="Times New Roman" w:eastAsia="Times New Roman" w:hAnsi="Times New Roman"/>
                <w:sz w:val="24"/>
                <w:szCs w:val="24"/>
                <w:lang w:eastAsia="lv-LV"/>
              </w:rPr>
              <w:tab/>
              <w:t>Lūdzam anotācijā skaidrot noteikumu projekta 20.punktā paredzēto, ka par atbalsta saņēmēju var būt padomes sastāvā esoša iestāde, ja tā ir dalībniece partnerības sastāvā.</w:t>
            </w:r>
            <w:r>
              <w:rPr>
                <w:rFonts w:ascii="Times New Roman" w:eastAsia="Times New Roman" w:hAnsi="Times New Roman"/>
                <w:sz w:val="24"/>
                <w:szCs w:val="24"/>
                <w:lang w:eastAsia="lv-LV"/>
              </w:rPr>
              <w:tab/>
            </w:r>
          </w:p>
          <w:p w:rsidR="001273BC" w:rsidRDefault="001273BC" w:rsidP="001273BC">
            <w:pPr>
              <w:spacing w:after="0" w:line="240" w:lineRule="auto"/>
              <w:jc w:val="center"/>
              <w:rPr>
                <w:rFonts w:ascii="Times New Roman" w:eastAsia="Times New Roman" w:hAnsi="Times New Roman"/>
                <w:b/>
                <w:sz w:val="24"/>
                <w:szCs w:val="24"/>
                <w:lang w:eastAsia="lv-LV"/>
              </w:rPr>
            </w:pPr>
          </w:p>
          <w:p w:rsidR="001273BC" w:rsidRDefault="001273BC" w:rsidP="001273B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KNAB</w:t>
            </w:r>
          </w:p>
          <w:p w:rsidR="001273BC" w:rsidRDefault="001273BC" w:rsidP="001273BC">
            <w:pPr>
              <w:spacing w:after="0" w:line="240" w:lineRule="auto"/>
              <w:jc w:val="both"/>
              <w:rPr>
                <w:rFonts w:ascii="Times New Roman" w:eastAsia="Times New Roman" w:hAnsi="Times New Roman"/>
                <w:sz w:val="24"/>
                <w:szCs w:val="24"/>
                <w:lang w:eastAsia="lv-LV"/>
              </w:rPr>
            </w:pPr>
            <w:r w:rsidRPr="00E25E60">
              <w:rPr>
                <w:rFonts w:ascii="Times New Roman" w:eastAsia="Times New Roman" w:hAnsi="Times New Roman"/>
                <w:sz w:val="24"/>
                <w:szCs w:val="24"/>
                <w:lang w:eastAsia="lv-LV"/>
              </w:rPr>
              <w:t>1.</w:t>
            </w:r>
            <w:r w:rsidRPr="00E25E60">
              <w:rPr>
                <w:rFonts w:ascii="Times New Roman" w:eastAsia="Times New Roman" w:hAnsi="Times New Roman"/>
                <w:sz w:val="24"/>
                <w:szCs w:val="24"/>
                <w:lang w:eastAsia="lv-LV"/>
              </w:rPr>
              <w:tab/>
              <w:t>Lūdzam precizēt noteikumu projekta 20. punktu, izsakot to šādā redakcijā: “20. Atbalsta saņēmējs var būt fiziska vai juridiska persona, bet ne padomes sastāvā esoša iestāde vai organizācija, ja vien tā nav dalībniece partnerības sastāvā.” Minētais precizējums nepieciešams, lai noteiktā prasība tiktu attiecināta uz visu Medību saimniecības attīstības fonda (turpmāk – MSAF) padomes institucionālo sastāvu.</w:t>
            </w:r>
          </w:p>
        </w:tc>
        <w:tc>
          <w:tcPr>
            <w:tcW w:w="2693" w:type="dxa"/>
          </w:tcPr>
          <w:p w:rsidR="007F4B40" w:rsidRPr="00853887" w:rsidRDefault="00FD684D" w:rsidP="00A04B4B">
            <w:pPr>
              <w:spacing w:after="0" w:line="240" w:lineRule="auto"/>
              <w:jc w:val="center"/>
              <w:rPr>
                <w:rFonts w:ascii="Times New Roman" w:eastAsia="Times New Roman" w:hAnsi="Times New Roman"/>
                <w:b/>
                <w:sz w:val="24"/>
                <w:szCs w:val="24"/>
                <w:lang w:eastAsia="lv-LV"/>
              </w:rPr>
            </w:pPr>
            <w:r w:rsidRPr="00FD684D">
              <w:rPr>
                <w:rFonts w:ascii="Times New Roman" w:eastAsia="Times New Roman" w:hAnsi="Times New Roman"/>
                <w:b/>
                <w:sz w:val="24"/>
                <w:szCs w:val="24"/>
                <w:lang w:eastAsia="lv-LV"/>
              </w:rPr>
              <w:lastRenderedPageBreak/>
              <w:t>Iebildum</w:t>
            </w:r>
            <w:r w:rsidR="001273BC">
              <w:rPr>
                <w:rFonts w:ascii="Times New Roman" w:eastAsia="Times New Roman" w:hAnsi="Times New Roman"/>
                <w:b/>
                <w:sz w:val="24"/>
                <w:szCs w:val="24"/>
                <w:lang w:eastAsia="lv-LV"/>
              </w:rPr>
              <w:t>i</w:t>
            </w:r>
            <w:r w:rsidRPr="00FD684D">
              <w:rPr>
                <w:rFonts w:ascii="Times New Roman" w:eastAsia="Times New Roman" w:hAnsi="Times New Roman"/>
                <w:b/>
                <w:sz w:val="24"/>
                <w:szCs w:val="24"/>
                <w:lang w:eastAsia="lv-LV"/>
              </w:rPr>
              <w:t xml:space="preserve"> ņemt</w:t>
            </w:r>
            <w:r w:rsidR="001273BC">
              <w:rPr>
                <w:rFonts w:ascii="Times New Roman" w:eastAsia="Times New Roman" w:hAnsi="Times New Roman"/>
                <w:b/>
                <w:sz w:val="24"/>
                <w:szCs w:val="24"/>
                <w:lang w:eastAsia="lv-LV"/>
              </w:rPr>
              <w:t>i</w:t>
            </w:r>
            <w:r w:rsidRPr="00FD684D">
              <w:rPr>
                <w:rFonts w:ascii="Times New Roman" w:eastAsia="Times New Roman" w:hAnsi="Times New Roman"/>
                <w:b/>
                <w:sz w:val="24"/>
                <w:szCs w:val="24"/>
                <w:lang w:eastAsia="lv-LV"/>
              </w:rPr>
              <w:t xml:space="preserve"> vērā</w:t>
            </w:r>
          </w:p>
        </w:tc>
        <w:tc>
          <w:tcPr>
            <w:tcW w:w="3119" w:type="dxa"/>
          </w:tcPr>
          <w:p w:rsidR="001273BC" w:rsidRDefault="001273BC" w:rsidP="00E4465D">
            <w:pPr>
              <w:spacing w:after="0" w:line="240" w:lineRule="auto"/>
              <w:jc w:val="both"/>
              <w:rPr>
                <w:rFonts w:ascii="Times New Roman" w:eastAsia="Times New Roman" w:hAnsi="Times New Roman"/>
                <w:sz w:val="24"/>
                <w:szCs w:val="24"/>
                <w:lang w:eastAsia="lv-LV"/>
              </w:rPr>
            </w:pPr>
          </w:p>
          <w:p w:rsidR="001273BC" w:rsidRDefault="00FD684D" w:rsidP="00E4465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Skat precizēto anotāciju.</w:t>
            </w:r>
            <w:r w:rsidR="001273BC" w:rsidRPr="00AC3C9D">
              <w:rPr>
                <w:rFonts w:ascii="Times New Roman" w:eastAsia="Times New Roman" w:hAnsi="Times New Roman"/>
                <w:sz w:val="24"/>
                <w:szCs w:val="24"/>
                <w:lang w:eastAsia="lv-LV"/>
              </w:rPr>
              <w:t xml:space="preserve"> </w:t>
            </w:r>
          </w:p>
          <w:p w:rsidR="001273BC" w:rsidRDefault="001273BC" w:rsidP="00E4465D">
            <w:pPr>
              <w:spacing w:after="0" w:line="240" w:lineRule="auto"/>
              <w:jc w:val="both"/>
              <w:rPr>
                <w:rFonts w:ascii="Times New Roman" w:eastAsia="Times New Roman" w:hAnsi="Times New Roman"/>
                <w:sz w:val="24"/>
                <w:szCs w:val="24"/>
                <w:lang w:eastAsia="lv-LV"/>
              </w:rPr>
            </w:pPr>
          </w:p>
          <w:p w:rsidR="007F4B40" w:rsidRPr="00853887" w:rsidRDefault="001273BC" w:rsidP="00E4465D">
            <w:pPr>
              <w:spacing w:after="0" w:line="240" w:lineRule="auto"/>
              <w:jc w:val="both"/>
              <w:rPr>
                <w:rFonts w:ascii="Times New Roman" w:eastAsia="Times New Roman" w:hAnsi="Times New Roman"/>
                <w:sz w:val="24"/>
                <w:szCs w:val="24"/>
                <w:lang w:eastAsia="lv-LV"/>
              </w:rPr>
            </w:pPr>
            <w:r w:rsidRPr="00AC3C9D">
              <w:rPr>
                <w:rFonts w:ascii="Times New Roman" w:eastAsia="Times New Roman" w:hAnsi="Times New Roman"/>
                <w:sz w:val="24"/>
                <w:szCs w:val="24"/>
                <w:lang w:eastAsia="lv-LV"/>
              </w:rPr>
              <w:t xml:space="preserve">20. Atbalsta saņēmējs var būt fiziska vai juridiska persona, bet ne padomes sastāvā esoša iestāde </w:t>
            </w:r>
            <w:r w:rsidRPr="00AC3C9D">
              <w:rPr>
                <w:rFonts w:ascii="Times New Roman" w:eastAsia="Times New Roman" w:hAnsi="Times New Roman"/>
                <w:sz w:val="24"/>
                <w:szCs w:val="24"/>
                <w:u w:val="single"/>
                <w:lang w:eastAsia="lv-LV"/>
              </w:rPr>
              <w:t>vai organizācija</w:t>
            </w:r>
            <w:r w:rsidRPr="00AC3C9D">
              <w:rPr>
                <w:rFonts w:ascii="Times New Roman" w:eastAsia="Times New Roman" w:hAnsi="Times New Roman"/>
                <w:sz w:val="24"/>
                <w:szCs w:val="24"/>
                <w:lang w:eastAsia="lv-LV"/>
              </w:rPr>
              <w:t>, ja vien tā nav dalībniece partnerības sastāvā.</w:t>
            </w:r>
          </w:p>
        </w:tc>
      </w:tr>
      <w:tr w:rsidR="001110BB" w:rsidRPr="005A0CE3" w:rsidTr="009C6F70">
        <w:tc>
          <w:tcPr>
            <w:tcW w:w="709" w:type="dxa"/>
          </w:tcPr>
          <w:p w:rsidR="001110BB"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7.</w:t>
            </w:r>
          </w:p>
        </w:tc>
        <w:tc>
          <w:tcPr>
            <w:tcW w:w="3119" w:type="dxa"/>
          </w:tcPr>
          <w:p w:rsidR="001110BB" w:rsidRPr="00AC3C9D" w:rsidRDefault="001110BB" w:rsidP="00AB611C">
            <w:pPr>
              <w:spacing w:after="0" w:line="240" w:lineRule="auto"/>
              <w:jc w:val="both"/>
              <w:rPr>
                <w:rFonts w:ascii="Times New Roman" w:eastAsia="Times New Roman" w:hAnsi="Times New Roman"/>
                <w:sz w:val="24"/>
                <w:szCs w:val="24"/>
                <w:lang w:eastAsia="lv-LV"/>
              </w:rPr>
            </w:pPr>
            <w:r w:rsidRPr="001110BB">
              <w:rPr>
                <w:rFonts w:ascii="Times New Roman" w:eastAsia="Times New Roman" w:hAnsi="Times New Roman"/>
                <w:sz w:val="24"/>
                <w:szCs w:val="24"/>
                <w:lang w:eastAsia="lv-LV"/>
              </w:rPr>
              <w:t xml:space="preserve">28. Konsultatīvā padome 10 darbdienu laikā pēc projekta iesnieguma saņemšanas, apkopojot visu konsultatīvās padomes locekļu vērtējumu, </w:t>
            </w:r>
            <w:r w:rsidRPr="001110BB">
              <w:rPr>
                <w:rFonts w:ascii="Times New Roman" w:eastAsia="Times New Roman" w:hAnsi="Times New Roman"/>
                <w:sz w:val="24"/>
                <w:szCs w:val="24"/>
                <w:lang w:eastAsia="lv-LV"/>
              </w:rPr>
              <w:lastRenderedPageBreak/>
              <w:t>nosaka katra projekta iesnieguma vidējo vērtējumu un iesniedz to fonda sekretariātā, pievienojot katra konsultatīvās padomes locekļa vērtējumu. Konsultatīvās padomes locekļa individuālo vērtējumu publisko tikai ar attiecīgā konsultatīvās padomes locekļa atļauju</w:t>
            </w:r>
            <w:r>
              <w:rPr>
                <w:rFonts w:ascii="Times New Roman" w:eastAsia="Times New Roman" w:hAnsi="Times New Roman"/>
                <w:sz w:val="24"/>
                <w:szCs w:val="24"/>
                <w:lang w:eastAsia="lv-LV"/>
              </w:rPr>
              <w:t>.</w:t>
            </w:r>
          </w:p>
        </w:tc>
        <w:tc>
          <w:tcPr>
            <w:tcW w:w="4252" w:type="dxa"/>
          </w:tcPr>
          <w:p w:rsidR="001110BB" w:rsidRDefault="001110BB" w:rsidP="001110B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KNAB</w:t>
            </w:r>
          </w:p>
          <w:p w:rsidR="001110BB" w:rsidRDefault="001110BB" w:rsidP="001110BB">
            <w:pPr>
              <w:spacing w:after="0" w:line="240" w:lineRule="auto"/>
              <w:jc w:val="both"/>
              <w:rPr>
                <w:rFonts w:ascii="Times New Roman" w:eastAsia="Times New Roman" w:hAnsi="Times New Roman"/>
                <w:b/>
                <w:sz w:val="24"/>
                <w:szCs w:val="24"/>
                <w:lang w:eastAsia="lv-LV"/>
              </w:rPr>
            </w:pPr>
            <w:r w:rsidRPr="003469C3">
              <w:rPr>
                <w:rFonts w:ascii="Times New Roman" w:eastAsia="Times New Roman" w:hAnsi="Times New Roman"/>
                <w:sz w:val="24"/>
                <w:szCs w:val="24"/>
                <w:lang w:eastAsia="lv-LV"/>
              </w:rPr>
              <w:t>3.</w:t>
            </w:r>
            <w:r w:rsidRPr="003469C3">
              <w:rPr>
                <w:rFonts w:ascii="Times New Roman" w:eastAsia="Times New Roman" w:hAnsi="Times New Roman"/>
                <w:sz w:val="24"/>
                <w:szCs w:val="24"/>
                <w:lang w:eastAsia="lv-LV"/>
              </w:rPr>
              <w:tab/>
              <w:t xml:space="preserve">Iepazīstoties ar MSAF konsultatīvās padomes pilnvaru un pienākumu aprakstu, kā arī konsultatīvās padomes locekļu sastāvu, ir pirmšķietami </w:t>
            </w:r>
            <w:r w:rsidRPr="003469C3">
              <w:rPr>
                <w:rFonts w:ascii="Times New Roman" w:eastAsia="Times New Roman" w:hAnsi="Times New Roman"/>
                <w:sz w:val="24"/>
                <w:szCs w:val="24"/>
                <w:lang w:eastAsia="lv-LV"/>
              </w:rPr>
              <w:lastRenderedPageBreak/>
              <w:t>secināms, ka pastāv varbūtība situācijām, kurās konsultatīvās padomes locekļi ir pakļauti interešu konflikta un personīgu interešu lobēšanas riskam, ņemot vērā, ka to pārstāvētās organizācijas vai uzņēmumi arī mēdz kandidēt uz MSAF finansējumu. Lai arī formāli MSAF konsultatīvās padomes lēmumiem ir ieteikuma raksturs (attiecīgi to locekļiem nav noteikts valsts amatpersonas statuss), tās vērtējumam par projektu iesniegumiem ir būtisks svars, ko apliecina gan 2020. gada 23. janvāra MSAF padomes s</w:t>
            </w:r>
            <w:r>
              <w:rPr>
                <w:rFonts w:ascii="Times New Roman" w:eastAsia="Times New Roman" w:hAnsi="Times New Roman"/>
                <w:sz w:val="24"/>
                <w:szCs w:val="24"/>
                <w:lang w:eastAsia="lv-LV"/>
              </w:rPr>
              <w:t>ēdes protokols Nr.3.2-7e/2/2020</w:t>
            </w:r>
            <w:r w:rsidRPr="003469C3">
              <w:rPr>
                <w:rFonts w:ascii="Times New Roman" w:eastAsia="Times New Roman" w:hAnsi="Times New Roman"/>
                <w:sz w:val="24"/>
                <w:szCs w:val="24"/>
                <w:lang w:eastAsia="lv-LV"/>
              </w:rPr>
              <w:t xml:space="preserve"> ar MSAF konsultatīvās padomes sagatavoto vērtējumu un rekomendācijām par MSAF finansiālā atbalsta piešķiršanu 2020. gadā konkrētajiem pieteiktajiem projektiem, gan arī noteikumu projekta 10. punkta 10.1. apakšpunktā noteiktais, proti, ka Medību saimniecības attīstības fonda padome pēc Lauku atbalsta dienesta un konsultatīvās padomes izvērtējumu saņemšanas pieņem lēmumu par projekta finansēšanu vai tā noraidīšanu, tostarp par finansējuma piešķiršanas kārtību atbalstītajiem projektiem un projekta īstenošanas nosacījumiem. Pamatojoties uz iepriekš minēto, Birojs lūdz papildināt noteikumu projektu, tajā ietverot vismaz minimālo prasību attiecībā uz </w:t>
            </w:r>
            <w:r w:rsidRPr="003469C3">
              <w:rPr>
                <w:rFonts w:ascii="Times New Roman" w:eastAsia="Times New Roman" w:hAnsi="Times New Roman"/>
                <w:sz w:val="24"/>
                <w:szCs w:val="24"/>
                <w:lang w:eastAsia="lv-LV"/>
              </w:rPr>
              <w:lastRenderedPageBreak/>
              <w:t>konsultatīvās padomes locekļu darbību, proti, konsultatīvās padomes loceklis atstata sevi no vērtējuma sniegšanas par tādas juridiskās personas projekta pieteikumu, kurā tas ir pārraudzības institūcijas, izpildinstitūcijas vai kontroles institūcijas loceklis, kā arī nesniedz vērtējumu par tādiem fizisku personu projektu pieteikumiem, kas ietekmē vai var ietekmēt šīs personas personiskās vai mantiskās intereses, vienlaikus fiksējot šo apstākli MSAF padomes sēdes protokolā.</w:t>
            </w:r>
          </w:p>
        </w:tc>
        <w:tc>
          <w:tcPr>
            <w:tcW w:w="2693" w:type="dxa"/>
          </w:tcPr>
          <w:p w:rsidR="001110BB" w:rsidRPr="00AC3C9D" w:rsidRDefault="001110BB" w:rsidP="00A04B4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Iebildums ņemts vērā</w:t>
            </w:r>
          </w:p>
        </w:tc>
        <w:tc>
          <w:tcPr>
            <w:tcW w:w="3119" w:type="dxa"/>
          </w:tcPr>
          <w:p w:rsidR="001110BB" w:rsidRPr="00AC3C9D" w:rsidRDefault="001110BB" w:rsidP="00E4465D">
            <w:pPr>
              <w:spacing w:after="0" w:line="240" w:lineRule="auto"/>
              <w:jc w:val="both"/>
              <w:rPr>
                <w:rFonts w:ascii="Times New Roman" w:eastAsia="Times New Roman" w:hAnsi="Times New Roman"/>
                <w:sz w:val="24"/>
                <w:szCs w:val="24"/>
                <w:lang w:eastAsia="lv-LV"/>
              </w:rPr>
            </w:pPr>
            <w:r w:rsidRPr="001110BB">
              <w:rPr>
                <w:rFonts w:ascii="Times New Roman" w:eastAsia="Times New Roman" w:hAnsi="Times New Roman"/>
                <w:sz w:val="24"/>
                <w:szCs w:val="24"/>
                <w:lang w:eastAsia="lv-LV"/>
              </w:rPr>
              <w:t xml:space="preserve">28. Konsultatīvā padome 10 darbdienu laikā pēc projekta iesnieguma saņemšanas, apkopojot visu konsultatīvās padomes locekļu vērtējumu, </w:t>
            </w:r>
            <w:r w:rsidRPr="001110BB">
              <w:rPr>
                <w:rFonts w:ascii="Times New Roman" w:eastAsia="Times New Roman" w:hAnsi="Times New Roman"/>
                <w:sz w:val="24"/>
                <w:szCs w:val="24"/>
                <w:lang w:eastAsia="lv-LV"/>
              </w:rPr>
              <w:lastRenderedPageBreak/>
              <w:t xml:space="preserve">nosaka katra projekta iesnieguma vidējo vērtējumu un iesniedz to fonda sekretariātā, pievienojot katra konsultatīvās padomes locekļa vērtējumu. Konsultatīvās padomes locekļa individuālo vērtējumu publisko tikai ar attiecīgā konsultatīvās padomes locekļa atļauju. </w:t>
            </w:r>
            <w:r w:rsidRPr="001110BB">
              <w:rPr>
                <w:rFonts w:ascii="Times New Roman" w:eastAsia="Times New Roman" w:hAnsi="Times New Roman"/>
                <w:sz w:val="24"/>
                <w:szCs w:val="24"/>
                <w:u w:val="single"/>
                <w:lang w:eastAsia="lv-LV"/>
              </w:rPr>
              <w:t>Konsultatīvās padomes loceklis atstata sevi no vērtējuma sniegšanas par tādas juridiskās personas projekta pieteikumu, kurā tas ir pārraudzības institūcijas, izpildinstitūcijas vai kontroles institūcijas loceklis, kā arī nesniedz vērtējumu par tādiem fizisku personu projektu pieteikumiem, kas ietekmē vai var ietekmēt šīs personas personiskās vai mantiskās intereses, vienlaikus fiksējot šo apstākli fonda padomes sēdes protokolā.</w:t>
            </w:r>
          </w:p>
        </w:tc>
      </w:tr>
      <w:tr w:rsidR="00F12715" w:rsidRPr="005A0CE3" w:rsidTr="009C6F70">
        <w:tc>
          <w:tcPr>
            <w:tcW w:w="709" w:type="dxa"/>
          </w:tcPr>
          <w:p w:rsidR="00F12715"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8.</w:t>
            </w:r>
          </w:p>
        </w:tc>
        <w:tc>
          <w:tcPr>
            <w:tcW w:w="3119" w:type="dxa"/>
          </w:tcPr>
          <w:p w:rsidR="00F12715" w:rsidRDefault="00ED645B" w:rsidP="00616FDE">
            <w:pPr>
              <w:spacing w:after="0"/>
              <w:jc w:val="both"/>
              <w:rPr>
                <w:rFonts w:ascii="Times New Roman" w:eastAsia="Times New Roman" w:hAnsi="Times New Roman"/>
                <w:color w:val="000000"/>
                <w:sz w:val="24"/>
                <w:szCs w:val="24"/>
                <w:lang w:eastAsia="lv-LV"/>
              </w:rPr>
            </w:pPr>
            <w:r w:rsidRPr="00ED645B">
              <w:rPr>
                <w:rFonts w:ascii="Times New Roman" w:eastAsia="Times New Roman" w:hAnsi="Times New Roman"/>
                <w:color w:val="000000"/>
                <w:sz w:val="24"/>
                <w:szCs w:val="24"/>
                <w:lang w:eastAsia="lv-LV"/>
              </w:rPr>
              <w:t>5. Par atbalsta piešķiršanu vai atteikumu piešķirt atbalstu lemj padome.</w:t>
            </w:r>
          </w:p>
          <w:p w:rsidR="00ED645B" w:rsidRPr="00ED645B" w:rsidRDefault="00ED645B" w:rsidP="00ED645B">
            <w:pPr>
              <w:spacing w:after="0"/>
              <w:jc w:val="both"/>
              <w:rPr>
                <w:rFonts w:ascii="Times New Roman" w:eastAsia="Times New Roman" w:hAnsi="Times New Roman"/>
                <w:color w:val="000000"/>
                <w:sz w:val="24"/>
                <w:szCs w:val="24"/>
                <w:lang w:eastAsia="lv-LV"/>
              </w:rPr>
            </w:pPr>
            <w:r w:rsidRPr="00ED645B">
              <w:rPr>
                <w:rFonts w:ascii="Times New Roman" w:eastAsia="Times New Roman" w:hAnsi="Times New Roman"/>
                <w:color w:val="000000"/>
                <w:sz w:val="24"/>
                <w:szCs w:val="24"/>
                <w:lang w:eastAsia="lv-LV"/>
              </w:rPr>
              <w:t>10. Padome:</w:t>
            </w:r>
          </w:p>
          <w:p w:rsidR="00ED645B" w:rsidRDefault="00ED645B" w:rsidP="00ED645B">
            <w:pPr>
              <w:spacing w:after="0"/>
              <w:jc w:val="both"/>
              <w:rPr>
                <w:rFonts w:ascii="Times New Roman" w:eastAsia="Times New Roman" w:hAnsi="Times New Roman"/>
                <w:color w:val="000000"/>
                <w:sz w:val="24"/>
                <w:szCs w:val="24"/>
                <w:lang w:eastAsia="lv-LV"/>
              </w:rPr>
            </w:pPr>
            <w:r w:rsidRPr="00ED645B">
              <w:rPr>
                <w:rFonts w:ascii="Times New Roman" w:eastAsia="Times New Roman" w:hAnsi="Times New Roman"/>
                <w:color w:val="000000"/>
                <w:sz w:val="24"/>
                <w:szCs w:val="24"/>
                <w:lang w:eastAsia="lv-LV"/>
              </w:rPr>
              <w:tab/>
              <w:t>10.1. pēc dienesta un konsultatīvās padomes izvērtējumu saņemšanas pieņem lēmumu par projekta finansēšanu vai tā noraidīšanu, tostarp par finansējuma piešķiršanas kārtību atbalstītajiem projektiem un projekta īstenošanas nosacījumiem;</w:t>
            </w:r>
          </w:p>
          <w:p w:rsidR="00ED645B" w:rsidRPr="005A0CE3" w:rsidRDefault="00ED645B" w:rsidP="00ED645B">
            <w:pPr>
              <w:spacing w:after="0"/>
              <w:jc w:val="both"/>
              <w:rPr>
                <w:rFonts w:ascii="Times New Roman" w:eastAsia="Times New Roman" w:hAnsi="Times New Roman"/>
                <w:color w:val="000000"/>
                <w:sz w:val="24"/>
                <w:szCs w:val="24"/>
                <w:lang w:eastAsia="lv-LV"/>
              </w:rPr>
            </w:pPr>
            <w:r w:rsidRPr="00ED645B">
              <w:rPr>
                <w:rFonts w:ascii="Times New Roman" w:eastAsia="Times New Roman" w:hAnsi="Times New Roman"/>
                <w:color w:val="000000"/>
                <w:sz w:val="24"/>
                <w:szCs w:val="24"/>
                <w:lang w:eastAsia="lv-LV"/>
              </w:rPr>
              <w:t xml:space="preserve">31. Padome ne vēlāk kā 10 darbdienu laikā pēc konsultatīvās padomes </w:t>
            </w:r>
            <w:r w:rsidRPr="00ED645B">
              <w:rPr>
                <w:rFonts w:ascii="Times New Roman" w:eastAsia="Times New Roman" w:hAnsi="Times New Roman"/>
                <w:color w:val="000000"/>
                <w:sz w:val="24"/>
                <w:szCs w:val="24"/>
                <w:lang w:eastAsia="lv-LV"/>
              </w:rPr>
              <w:lastRenderedPageBreak/>
              <w:t>lēmuma saņemšanas pieņem lēmumu par atbalsta piešķiršanu vai atteikumu piešķirt atbalstu.</w:t>
            </w:r>
          </w:p>
        </w:tc>
        <w:tc>
          <w:tcPr>
            <w:tcW w:w="4252" w:type="dxa"/>
          </w:tcPr>
          <w:p w:rsidR="007F4B40" w:rsidRPr="00B23FAA" w:rsidRDefault="00B23FAA" w:rsidP="00B23FAA">
            <w:pPr>
              <w:spacing w:after="0" w:line="240" w:lineRule="auto"/>
              <w:jc w:val="center"/>
              <w:rPr>
                <w:rFonts w:ascii="Times New Roman" w:eastAsia="Times New Roman" w:hAnsi="Times New Roman"/>
                <w:b/>
                <w:sz w:val="24"/>
                <w:szCs w:val="24"/>
                <w:lang w:eastAsia="lv-LV"/>
              </w:rPr>
            </w:pPr>
            <w:r w:rsidRPr="00B23FAA">
              <w:rPr>
                <w:rFonts w:ascii="Times New Roman" w:eastAsia="Times New Roman" w:hAnsi="Times New Roman"/>
                <w:b/>
                <w:sz w:val="24"/>
                <w:szCs w:val="24"/>
                <w:lang w:eastAsia="lv-LV"/>
              </w:rPr>
              <w:lastRenderedPageBreak/>
              <w:t>Tieslietu ministrija</w:t>
            </w:r>
          </w:p>
          <w:p w:rsidR="007F4B40" w:rsidRPr="005A0CE3" w:rsidRDefault="007F4B40" w:rsidP="007F4B40">
            <w:pPr>
              <w:spacing w:after="0" w:line="240" w:lineRule="auto"/>
              <w:jc w:val="both"/>
              <w:rPr>
                <w:rFonts w:ascii="Times New Roman" w:eastAsia="Times New Roman" w:hAnsi="Times New Roman"/>
                <w:sz w:val="24"/>
                <w:szCs w:val="24"/>
                <w:lang w:eastAsia="lv-LV"/>
              </w:rPr>
            </w:pPr>
            <w:r w:rsidRPr="007F4B40">
              <w:rPr>
                <w:rFonts w:ascii="Times New Roman" w:eastAsia="Times New Roman" w:hAnsi="Times New Roman"/>
                <w:sz w:val="24"/>
                <w:szCs w:val="24"/>
                <w:lang w:eastAsia="lv-LV"/>
              </w:rPr>
              <w:t xml:space="preserve">6. Projekta 31. punkts noteic, ka padome ne vēlāk kā 10 darbdienu laikā pēc konsultatīvās padomes lēmuma saņemšanas pieņem lēmumu par atbalsta piešķiršanu vai atteikumu piešķirt atbalstu. Norādām, ka arī projekta 5. punkts noteic, ka par atbalsta piešķiršanu vai atteikumu piešķirt pabalstu lemj padome. Tāpat arī projekta 10.1. apakšpunktā ir ietverts regulējums par padomes lēmuma pieņemšanu. Vēršam uzmanību, ka atbilstoši Ministru kabineta 2009. gada 3. februāra noteikumu Nr. 108 “Normatīvo aktu projektu sagatavošanas noteikumi” 3.3. apakšpunktam normatīvā akta projektā neietver normas, kas dublē pašā normatīvā akta projektā ietverto normatīvo regulējumu. Ievērojot minēto, </w:t>
            </w:r>
            <w:r w:rsidRPr="007F4B40">
              <w:rPr>
                <w:rFonts w:ascii="Times New Roman" w:eastAsia="Times New Roman" w:hAnsi="Times New Roman"/>
                <w:sz w:val="24"/>
                <w:szCs w:val="24"/>
                <w:lang w:eastAsia="lv-LV"/>
              </w:rPr>
              <w:lastRenderedPageBreak/>
              <w:t>lūdzam atbilstoši precizēt projektu.</w:t>
            </w:r>
          </w:p>
        </w:tc>
        <w:tc>
          <w:tcPr>
            <w:tcW w:w="2693" w:type="dxa"/>
          </w:tcPr>
          <w:p w:rsidR="00953FF1" w:rsidRPr="00F64D99" w:rsidRDefault="00946519" w:rsidP="00953FF1">
            <w:pPr>
              <w:spacing w:after="0" w:line="240" w:lineRule="auto"/>
              <w:jc w:val="center"/>
              <w:rPr>
                <w:rFonts w:ascii="Times New Roman" w:eastAsia="Times New Roman" w:hAnsi="Times New Roman"/>
                <w:b/>
                <w:bCs/>
                <w:sz w:val="24"/>
                <w:szCs w:val="24"/>
                <w:lang w:eastAsia="lv-LV"/>
              </w:rPr>
            </w:pPr>
            <w:r w:rsidRPr="00F64D99">
              <w:rPr>
                <w:rFonts w:ascii="Times New Roman" w:eastAsia="Times New Roman" w:hAnsi="Times New Roman"/>
                <w:b/>
                <w:bCs/>
                <w:sz w:val="24"/>
                <w:szCs w:val="24"/>
                <w:lang w:eastAsia="lv-LV"/>
              </w:rPr>
              <w:lastRenderedPageBreak/>
              <w:t>Iebildums ņemts vērā</w:t>
            </w:r>
          </w:p>
          <w:p w:rsidR="00946519" w:rsidRPr="005A0CE3" w:rsidRDefault="00946519" w:rsidP="0094651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5.punkts nosaka Padomes kompetenci, 10.punkts lēmuma pieņemšanas</w:t>
            </w:r>
            <w:r w:rsidR="00F64D99">
              <w:rPr>
                <w:rFonts w:ascii="Times New Roman" w:eastAsia="Times New Roman" w:hAnsi="Times New Roman"/>
                <w:sz w:val="24"/>
                <w:szCs w:val="24"/>
                <w:lang w:eastAsia="lv-LV"/>
              </w:rPr>
              <w:t xml:space="preserve"> pienākumu un</w:t>
            </w:r>
            <w:r>
              <w:rPr>
                <w:rFonts w:ascii="Times New Roman" w:eastAsia="Times New Roman" w:hAnsi="Times New Roman"/>
                <w:sz w:val="24"/>
                <w:szCs w:val="24"/>
                <w:lang w:eastAsia="lv-LV"/>
              </w:rPr>
              <w:t xml:space="preserve"> nosacījumu</w:t>
            </w:r>
            <w:r w:rsidR="00614394">
              <w:rPr>
                <w:rFonts w:ascii="Times New Roman" w:eastAsia="Times New Roman" w:hAnsi="Times New Roman"/>
                <w:sz w:val="24"/>
                <w:szCs w:val="24"/>
                <w:lang w:eastAsia="lv-LV"/>
              </w:rPr>
              <w:t>s</w:t>
            </w:r>
            <w:r>
              <w:rPr>
                <w:rFonts w:ascii="Times New Roman" w:eastAsia="Times New Roman" w:hAnsi="Times New Roman"/>
                <w:sz w:val="24"/>
                <w:szCs w:val="24"/>
                <w:lang w:eastAsia="lv-LV"/>
              </w:rPr>
              <w:t>, bet 31.punkts - termiņu.</w:t>
            </w:r>
          </w:p>
        </w:tc>
        <w:tc>
          <w:tcPr>
            <w:tcW w:w="3119" w:type="dxa"/>
          </w:tcPr>
          <w:p w:rsidR="00F12715" w:rsidRPr="005A0CE3" w:rsidRDefault="00345E67" w:rsidP="00345E67">
            <w:pPr>
              <w:spacing w:after="0"/>
              <w:jc w:val="both"/>
              <w:rPr>
                <w:rFonts w:ascii="Times New Roman" w:eastAsia="Times New Roman" w:hAnsi="Times New Roman"/>
                <w:color w:val="000000"/>
                <w:sz w:val="24"/>
                <w:szCs w:val="24"/>
                <w:lang w:eastAsia="lv-LV"/>
              </w:rPr>
            </w:pPr>
            <w:r w:rsidRPr="00345E67">
              <w:rPr>
                <w:rFonts w:ascii="Times New Roman" w:eastAsia="Times New Roman" w:hAnsi="Times New Roman"/>
                <w:color w:val="000000"/>
                <w:sz w:val="24"/>
                <w:szCs w:val="24"/>
                <w:lang w:eastAsia="lv-LV"/>
              </w:rPr>
              <w:t>31. Padome</w:t>
            </w:r>
            <w:r>
              <w:rPr>
                <w:rFonts w:ascii="Times New Roman" w:eastAsia="Times New Roman" w:hAnsi="Times New Roman"/>
                <w:color w:val="000000"/>
                <w:sz w:val="24"/>
                <w:szCs w:val="24"/>
                <w:lang w:eastAsia="lv-LV"/>
              </w:rPr>
              <w:t xml:space="preserve"> šo noteikumu </w:t>
            </w:r>
            <w:r w:rsidR="003229BB">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.punktā minēto lēmumu pieņem</w:t>
            </w:r>
            <w:r w:rsidRPr="00345E67">
              <w:rPr>
                <w:rFonts w:ascii="Times New Roman" w:eastAsia="Times New Roman" w:hAnsi="Times New Roman"/>
                <w:color w:val="000000"/>
                <w:sz w:val="24"/>
                <w:szCs w:val="24"/>
                <w:lang w:eastAsia="lv-LV"/>
              </w:rPr>
              <w:t xml:space="preserve"> ne vēlāk kā 10 darbdienu laikā pēc konsultatīvās padomes lēmuma saņemšanas.</w:t>
            </w:r>
          </w:p>
        </w:tc>
      </w:tr>
      <w:tr w:rsidR="00500897" w:rsidRPr="005A0CE3" w:rsidTr="009C6F70">
        <w:tc>
          <w:tcPr>
            <w:tcW w:w="709" w:type="dxa"/>
          </w:tcPr>
          <w:p w:rsidR="00500897"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p>
        </w:tc>
        <w:tc>
          <w:tcPr>
            <w:tcW w:w="3119" w:type="dxa"/>
          </w:tcPr>
          <w:p w:rsidR="00500897" w:rsidRDefault="00AB0FBB" w:rsidP="00616FDE">
            <w:pPr>
              <w:spacing w:after="0"/>
              <w:jc w:val="both"/>
              <w:rPr>
                <w:rFonts w:ascii="Times New Roman" w:eastAsia="Times New Roman" w:hAnsi="Times New Roman"/>
                <w:color w:val="000000"/>
                <w:sz w:val="24"/>
                <w:szCs w:val="24"/>
                <w:lang w:eastAsia="lv-LV"/>
              </w:rPr>
            </w:pPr>
            <w:r w:rsidRPr="00AB0FBB">
              <w:rPr>
                <w:rFonts w:ascii="Times New Roman" w:eastAsia="Times New Roman" w:hAnsi="Times New Roman"/>
                <w:color w:val="000000"/>
                <w:sz w:val="24"/>
                <w:szCs w:val="24"/>
                <w:lang w:eastAsia="lv-LV"/>
              </w:rPr>
              <w:t>32. Padome ir tiesīga pieņemt lēmumu par atteikumu piešķirt atbalstu, ja:</w:t>
            </w:r>
          </w:p>
          <w:p w:rsidR="00AB0FBB" w:rsidRPr="00AB0FBB" w:rsidRDefault="00AB0FBB" w:rsidP="00AB0FBB">
            <w:pPr>
              <w:spacing w:after="0"/>
              <w:jc w:val="both"/>
              <w:rPr>
                <w:rFonts w:ascii="Times New Roman" w:eastAsia="Times New Roman" w:hAnsi="Times New Roman"/>
                <w:color w:val="000000"/>
                <w:sz w:val="24"/>
                <w:szCs w:val="24"/>
                <w:lang w:eastAsia="lv-LV"/>
              </w:rPr>
            </w:pPr>
            <w:r w:rsidRPr="00AB0FBB">
              <w:rPr>
                <w:rFonts w:ascii="Times New Roman" w:eastAsia="Times New Roman" w:hAnsi="Times New Roman"/>
                <w:color w:val="000000"/>
                <w:sz w:val="24"/>
                <w:szCs w:val="24"/>
                <w:lang w:eastAsia="lv-LV"/>
              </w:rPr>
              <w:t>32.4. projekta atbalstīšana no fonda nav lietderīga, ņemot vērā konsultatīvās padomes vērtējumu, kā arī pieejamo finanšu līdzekļu apmēru un lietderības apsvērumus;</w:t>
            </w:r>
          </w:p>
          <w:p w:rsidR="00AB0FBB" w:rsidRPr="005A0CE3" w:rsidRDefault="00AB0FBB" w:rsidP="00AB0FBB">
            <w:pPr>
              <w:spacing w:after="0"/>
              <w:jc w:val="both"/>
              <w:rPr>
                <w:rFonts w:ascii="Times New Roman" w:eastAsia="Times New Roman" w:hAnsi="Times New Roman"/>
                <w:color w:val="000000"/>
                <w:sz w:val="24"/>
                <w:szCs w:val="24"/>
                <w:lang w:eastAsia="lv-LV"/>
              </w:rPr>
            </w:pPr>
            <w:r w:rsidRPr="00AB0FBB">
              <w:rPr>
                <w:rFonts w:ascii="Times New Roman" w:eastAsia="Times New Roman" w:hAnsi="Times New Roman"/>
                <w:color w:val="000000"/>
                <w:sz w:val="24"/>
                <w:szCs w:val="24"/>
                <w:lang w:eastAsia="lv-LV"/>
              </w:rPr>
              <w:t>32.5. fondā nepietiek līdzekļu.</w:t>
            </w:r>
          </w:p>
        </w:tc>
        <w:tc>
          <w:tcPr>
            <w:tcW w:w="4252" w:type="dxa"/>
          </w:tcPr>
          <w:p w:rsidR="00500897" w:rsidRDefault="00500897" w:rsidP="00500897">
            <w:pPr>
              <w:spacing w:after="0" w:line="240" w:lineRule="auto"/>
              <w:jc w:val="center"/>
              <w:rPr>
                <w:rFonts w:ascii="Times New Roman" w:eastAsia="Times New Roman" w:hAnsi="Times New Roman"/>
                <w:b/>
                <w:sz w:val="24"/>
                <w:szCs w:val="24"/>
                <w:lang w:eastAsia="lv-LV"/>
              </w:rPr>
            </w:pPr>
            <w:r w:rsidRPr="00500897">
              <w:rPr>
                <w:rFonts w:ascii="Times New Roman" w:eastAsia="Times New Roman" w:hAnsi="Times New Roman"/>
                <w:b/>
                <w:sz w:val="24"/>
                <w:szCs w:val="24"/>
                <w:lang w:eastAsia="lv-LV"/>
              </w:rPr>
              <w:t>Finanšu ministrija</w:t>
            </w:r>
          </w:p>
          <w:p w:rsidR="00500897" w:rsidRPr="00500897" w:rsidRDefault="00500897" w:rsidP="00500897">
            <w:pPr>
              <w:spacing w:after="0" w:line="240" w:lineRule="auto"/>
              <w:jc w:val="both"/>
              <w:rPr>
                <w:rFonts w:ascii="Times New Roman" w:eastAsia="Times New Roman" w:hAnsi="Times New Roman"/>
                <w:sz w:val="24"/>
                <w:szCs w:val="24"/>
                <w:lang w:eastAsia="lv-LV"/>
              </w:rPr>
            </w:pPr>
            <w:r w:rsidRPr="00500897">
              <w:rPr>
                <w:rFonts w:ascii="Times New Roman" w:eastAsia="Times New Roman" w:hAnsi="Times New Roman"/>
                <w:sz w:val="24"/>
                <w:szCs w:val="24"/>
                <w:lang w:eastAsia="lv-LV"/>
              </w:rPr>
              <w:t>3.</w:t>
            </w:r>
            <w:r w:rsidRPr="00500897">
              <w:rPr>
                <w:rFonts w:ascii="Times New Roman" w:eastAsia="Times New Roman" w:hAnsi="Times New Roman"/>
                <w:sz w:val="24"/>
                <w:szCs w:val="24"/>
                <w:lang w:eastAsia="lv-LV"/>
              </w:rPr>
              <w:tab/>
              <w:t>Lūdzam izvērtēt, vai noteikumu projekta 32.5.apakšpunktā noteiktais nepārklājas ar 32.4.apakšpunktā noteikto, kurā ir norādīta atsauce uz pieejamo finanšu līdzekļu apmēru.</w:t>
            </w:r>
          </w:p>
        </w:tc>
        <w:tc>
          <w:tcPr>
            <w:tcW w:w="2693" w:type="dxa"/>
          </w:tcPr>
          <w:p w:rsidR="00500897" w:rsidRPr="006E0661" w:rsidRDefault="00AB0FBB" w:rsidP="00953FF1">
            <w:pPr>
              <w:spacing w:after="0" w:line="240" w:lineRule="auto"/>
              <w:jc w:val="center"/>
              <w:rPr>
                <w:rFonts w:ascii="Times New Roman" w:eastAsia="Times New Roman" w:hAnsi="Times New Roman"/>
                <w:b/>
                <w:bCs/>
                <w:sz w:val="24"/>
                <w:szCs w:val="24"/>
                <w:lang w:eastAsia="lv-LV"/>
              </w:rPr>
            </w:pPr>
            <w:r w:rsidRPr="006E0661">
              <w:rPr>
                <w:rFonts w:ascii="Times New Roman" w:eastAsia="Times New Roman" w:hAnsi="Times New Roman"/>
                <w:b/>
                <w:bCs/>
                <w:sz w:val="24"/>
                <w:szCs w:val="24"/>
                <w:lang w:eastAsia="lv-LV"/>
              </w:rPr>
              <w:t>Iebildums ņemts vērā</w:t>
            </w:r>
          </w:p>
        </w:tc>
        <w:tc>
          <w:tcPr>
            <w:tcW w:w="3119" w:type="dxa"/>
          </w:tcPr>
          <w:p w:rsidR="00AB0FBB" w:rsidRPr="00AB0FBB" w:rsidRDefault="00AB0FBB" w:rsidP="00AB0FBB">
            <w:pPr>
              <w:spacing w:after="0"/>
              <w:jc w:val="both"/>
              <w:rPr>
                <w:rFonts w:ascii="Times New Roman" w:eastAsia="Times New Roman" w:hAnsi="Times New Roman"/>
                <w:color w:val="000000"/>
                <w:sz w:val="24"/>
                <w:szCs w:val="24"/>
                <w:lang w:eastAsia="lv-LV"/>
              </w:rPr>
            </w:pPr>
            <w:r w:rsidRPr="00AB0FBB">
              <w:rPr>
                <w:rFonts w:ascii="Times New Roman" w:eastAsia="Times New Roman" w:hAnsi="Times New Roman"/>
                <w:color w:val="000000"/>
                <w:sz w:val="24"/>
                <w:szCs w:val="24"/>
                <w:lang w:eastAsia="lv-LV"/>
              </w:rPr>
              <w:t>32. Padome ir tiesīga pieņemt lēmumu par atteikumu piešķirt atbalstu, ja:</w:t>
            </w:r>
          </w:p>
          <w:p w:rsidR="00AB0FBB" w:rsidRPr="00AB0FBB" w:rsidRDefault="00AB0FBB" w:rsidP="00AB0FBB">
            <w:pPr>
              <w:spacing w:after="0"/>
              <w:jc w:val="both"/>
              <w:rPr>
                <w:rFonts w:ascii="Times New Roman" w:eastAsia="Times New Roman" w:hAnsi="Times New Roman"/>
                <w:color w:val="000000"/>
                <w:sz w:val="24"/>
                <w:szCs w:val="24"/>
                <w:lang w:eastAsia="lv-LV"/>
              </w:rPr>
            </w:pPr>
            <w:r w:rsidRPr="00AB0FBB">
              <w:rPr>
                <w:rFonts w:ascii="Times New Roman" w:eastAsia="Times New Roman" w:hAnsi="Times New Roman"/>
                <w:color w:val="000000"/>
                <w:sz w:val="24"/>
                <w:szCs w:val="24"/>
                <w:lang w:eastAsia="lv-LV"/>
              </w:rPr>
              <w:t>32.4. projekta atbalstīšana no fonda nav lietderīga, ņemot vērā konsultatīvās padomes vērtējumu, kā arī lietderības apsvērumus;</w:t>
            </w:r>
          </w:p>
          <w:p w:rsidR="00500897" w:rsidRPr="005A0CE3" w:rsidRDefault="00AB0FBB" w:rsidP="00AB0FBB">
            <w:pPr>
              <w:spacing w:after="0"/>
              <w:jc w:val="both"/>
              <w:rPr>
                <w:rFonts w:ascii="Times New Roman" w:eastAsia="Times New Roman" w:hAnsi="Times New Roman"/>
                <w:color w:val="000000"/>
                <w:sz w:val="24"/>
                <w:szCs w:val="24"/>
                <w:lang w:eastAsia="lv-LV"/>
              </w:rPr>
            </w:pPr>
            <w:r w:rsidRPr="00AB0FBB">
              <w:rPr>
                <w:rFonts w:ascii="Times New Roman" w:eastAsia="Times New Roman" w:hAnsi="Times New Roman"/>
                <w:color w:val="000000"/>
                <w:sz w:val="24"/>
                <w:szCs w:val="24"/>
                <w:lang w:eastAsia="lv-LV"/>
              </w:rPr>
              <w:t>32.5. fondā nepietiek līdzekļu.</w:t>
            </w:r>
          </w:p>
        </w:tc>
      </w:tr>
      <w:tr w:rsidR="00152791" w:rsidRPr="005A0CE3" w:rsidTr="009C6F70">
        <w:tc>
          <w:tcPr>
            <w:tcW w:w="709" w:type="dxa"/>
          </w:tcPr>
          <w:p w:rsidR="00152791"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p>
        </w:tc>
        <w:tc>
          <w:tcPr>
            <w:tcW w:w="3119" w:type="dxa"/>
          </w:tcPr>
          <w:p w:rsidR="00152791" w:rsidRPr="00963F58" w:rsidRDefault="00152791" w:rsidP="00616FDE">
            <w:pPr>
              <w:spacing w:after="0"/>
              <w:jc w:val="both"/>
              <w:rPr>
                <w:rFonts w:ascii="Times New Roman" w:eastAsia="Times New Roman" w:hAnsi="Times New Roman"/>
                <w:color w:val="000000"/>
                <w:sz w:val="24"/>
                <w:szCs w:val="24"/>
                <w:lang w:eastAsia="lv-LV"/>
              </w:rPr>
            </w:pPr>
            <w:r w:rsidRPr="00963F58">
              <w:rPr>
                <w:rFonts w:ascii="Times New Roman" w:eastAsia="Times New Roman" w:hAnsi="Times New Roman"/>
                <w:color w:val="000000"/>
                <w:sz w:val="24"/>
                <w:szCs w:val="24"/>
                <w:lang w:eastAsia="lv-LV"/>
              </w:rPr>
              <w:t>35. Projekta finansēšanas izpildes un kontroles kārtību, dienesta un projekta īstenotāja tiesības, pienākumus un atbildību projekta īstenošanas laikā un pēc projekta pabeigšanas nosaka šie noteikumi.</w:t>
            </w:r>
          </w:p>
        </w:tc>
        <w:tc>
          <w:tcPr>
            <w:tcW w:w="4252" w:type="dxa"/>
          </w:tcPr>
          <w:p w:rsidR="00152791" w:rsidRPr="00963F58" w:rsidRDefault="00152791" w:rsidP="00152791">
            <w:pPr>
              <w:spacing w:after="0" w:line="240" w:lineRule="auto"/>
              <w:jc w:val="center"/>
              <w:rPr>
                <w:rFonts w:ascii="Times New Roman" w:eastAsia="Times New Roman" w:hAnsi="Times New Roman"/>
                <w:b/>
                <w:sz w:val="24"/>
                <w:szCs w:val="24"/>
                <w:lang w:eastAsia="lv-LV"/>
              </w:rPr>
            </w:pPr>
            <w:r w:rsidRPr="00963F58">
              <w:rPr>
                <w:rFonts w:ascii="Times New Roman" w:eastAsia="Times New Roman" w:hAnsi="Times New Roman"/>
                <w:b/>
                <w:sz w:val="24"/>
                <w:szCs w:val="24"/>
                <w:lang w:eastAsia="lv-LV"/>
              </w:rPr>
              <w:t>Tieslietu ministrija</w:t>
            </w:r>
          </w:p>
          <w:p w:rsidR="00152791" w:rsidRPr="00963F58" w:rsidRDefault="00152791" w:rsidP="00152791">
            <w:pPr>
              <w:spacing w:after="0" w:line="240" w:lineRule="auto"/>
              <w:jc w:val="both"/>
              <w:rPr>
                <w:rFonts w:ascii="Times New Roman" w:eastAsia="Times New Roman" w:hAnsi="Times New Roman"/>
                <w:b/>
                <w:sz w:val="24"/>
                <w:szCs w:val="24"/>
                <w:lang w:eastAsia="lv-LV"/>
              </w:rPr>
            </w:pPr>
            <w:r w:rsidRPr="00963F58">
              <w:rPr>
                <w:rFonts w:ascii="Times New Roman" w:eastAsia="Times New Roman" w:hAnsi="Times New Roman"/>
                <w:sz w:val="24"/>
                <w:szCs w:val="24"/>
                <w:lang w:eastAsia="lv-LV"/>
              </w:rPr>
              <w:t>8. Saskaņā ar projekta 35. punktu projekta finansēšanas izpildes un kontroles kārtību, dienesta un projekta īstenotāja tiesības, pienākumus un atbildību projekta īstenošanas laikā un pēc projekta pabeigšanas nosaka šie noteikumi. Lūdzam izvērtēt nepieciešamību iekļaut projektā šādu normu un atbilstoši precizēt projektu, ņemot vērā, ka atbilstoši projekta 1. punktam noteikumi nosaka valsts atbalsta piešķiršanas, administrēšanas un uzraudzības kārtību, kas jau pēc būtības sevī ietver projekta 35. punktā minēto.</w:t>
            </w:r>
          </w:p>
        </w:tc>
        <w:tc>
          <w:tcPr>
            <w:tcW w:w="2693" w:type="dxa"/>
          </w:tcPr>
          <w:p w:rsidR="00152791" w:rsidRPr="00963F58" w:rsidRDefault="00DA2422" w:rsidP="00953FF1">
            <w:pPr>
              <w:spacing w:after="0" w:line="240" w:lineRule="auto"/>
              <w:jc w:val="center"/>
              <w:rPr>
                <w:rFonts w:ascii="Times New Roman" w:eastAsia="Times New Roman" w:hAnsi="Times New Roman"/>
                <w:b/>
                <w:bCs/>
                <w:sz w:val="24"/>
                <w:szCs w:val="24"/>
                <w:lang w:eastAsia="lv-LV"/>
              </w:rPr>
            </w:pPr>
            <w:r w:rsidRPr="00963F58">
              <w:rPr>
                <w:rFonts w:ascii="Times New Roman" w:eastAsia="Times New Roman" w:hAnsi="Times New Roman"/>
                <w:b/>
                <w:bCs/>
                <w:sz w:val="24"/>
                <w:szCs w:val="24"/>
                <w:lang w:eastAsia="lv-LV"/>
              </w:rPr>
              <w:t>Iebildums ņemts vērā</w:t>
            </w:r>
          </w:p>
          <w:p w:rsidR="00DA2422" w:rsidRPr="00963F58" w:rsidRDefault="00DA2422" w:rsidP="00DA2422">
            <w:pPr>
              <w:spacing w:after="0" w:line="240" w:lineRule="auto"/>
              <w:jc w:val="both"/>
              <w:rPr>
                <w:rFonts w:ascii="Times New Roman" w:eastAsia="Times New Roman" w:hAnsi="Times New Roman"/>
                <w:sz w:val="24"/>
                <w:szCs w:val="24"/>
                <w:lang w:eastAsia="lv-LV"/>
              </w:rPr>
            </w:pPr>
            <w:r w:rsidRPr="00963F58">
              <w:rPr>
                <w:rFonts w:ascii="Times New Roman" w:eastAsia="Times New Roman" w:hAnsi="Times New Roman"/>
                <w:sz w:val="24"/>
                <w:szCs w:val="24"/>
                <w:lang w:eastAsia="lv-LV"/>
              </w:rPr>
              <w:t>Punkts konkretizē pušu (dienesta un projekta īstenotāja) savstarpējās attiecības un kompetences projekta īstenošanas laikā un pēc projekta pabeigšanas.</w:t>
            </w:r>
          </w:p>
        </w:tc>
        <w:tc>
          <w:tcPr>
            <w:tcW w:w="3119" w:type="dxa"/>
          </w:tcPr>
          <w:p w:rsidR="00152791" w:rsidRPr="00AB0FBB" w:rsidRDefault="00152791" w:rsidP="00AB0FBB">
            <w:pPr>
              <w:spacing w:after="0"/>
              <w:jc w:val="both"/>
              <w:rPr>
                <w:rFonts w:ascii="Times New Roman" w:eastAsia="Times New Roman" w:hAnsi="Times New Roman"/>
                <w:color w:val="000000"/>
                <w:sz w:val="24"/>
                <w:szCs w:val="24"/>
                <w:lang w:eastAsia="lv-LV"/>
              </w:rPr>
            </w:pPr>
            <w:r w:rsidRPr="00963F58">
              <w:rPr>
                <w:rFonts w:ascii="Times New Roman" w:eastAsia="Times New Roman" w:hAnsi="Times New Roman"/>
                <w:color w:val="000000"/>
                <w:sz w:val="24"/>
                <w:szCs w:val="24"/>
                <w:lang w:eastAsia="lv-LV"/>
              </w:rPr>
              <w:t>35. Projekta finansēšanas izpildes un kontroles kārtību, dienesta un projekta īstenotāja tiesības</w:t>
            </w:r>
            <w:r w:rsidR="00DA2422" w:rsidRPr="00963F58">
              <w:rPr>
                <w:rFonts w:ascii="Times New Roman" w:eastAsia="Times New Roman" w:hAnsi="Times New Roman"/>
                <w:color w:val="000000"/>
                <w:sz w:val="24"/>
                <w:szCs w:val="24"/>
                <w:lang w:eastAsia="lv-LV"/>
              </w:rPr>
              <w:t xml:space="preserve"> un</w:t>
            </w:r>
            <w:r w:rsidRPr="00963F58">
              <w:rPr>
                <w:rFonts w:ascii="Times New Roman" w:eastAsia="Times New Roman" w:hAnsi="Times New Roman"/>
                <w:color w:val="000000"/>
                <w:sz w:val="24"/>
                <w:szCs w:val="24"/>
                <w:lang w:eastAsia="lv-LV"/>
              </w:rPr>
              <w:t xml:space="preserve"> pienākumus projekta īstenošanas laikā</w:t>
            </w:r>
            <w:r w:rsidR="00DA2422" w:rsidRPr="00963F58">
              <w:rPr>
                <w:rFonts w:ascii="Times New Roman" w:eastAsia="Times New Roman" w:hAnsi="Times New Roman"/>
                <w:color w:val="000000"/>
                <w:sz w:val="24"/>
                <w:szCs w:val="24"/>
                <w:lang w:eastAsia="lv-LV"/>
              </w:rPr>
              <w:t>, kā arī</w:t>
            </w:r>
            <w:r w:rsidRPr="00963F58">
              <w:rPr>
                <w:rFonts w:ascii="Times New Roman" w:eastAsia="Times New Roman" w:hAnsi="Times New Roman"/>
                <w:color w:val="000000"/>
                <w:sz w:val="24"/>
                <w:szCs w:val="24"/>
                <w:lang w:eastAsia="lv-LV"/>
              </w:rPr>
              <w:t xml:space="preserve"> pēc projekta pabeigšanas nosaka šie noteikumi.</w:t>
            </w:r>
          </w:p>
        </w:tc>
      </w:tr>
      <w:tr w:rsidR="00BC5B49" w:rsidRPr="005A0CE3" w:rsidTr="009C6F70">
        <w:tc>
          <w:tcPr>
            <w:tcW w:w="709" w:type="dxa"/>
          </w:tcPr>
          <w:p w:rsidR="00BC5B49"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11.</w:t>
            </w:r>
          </w:p>
        </w:tc>
        <w:tc>
          <w:tcPr>
            <w:tcW w:w="3119" w:type="dxa"/>
          </w:tcPr>
          <w:p w:rsidR="00683F99" w:rsidRPr="00683F99" w:rsidRDefault="00683F99" w:rsidP="00683F99">
            <w:pPr>
              <w:spacing w:after="0"/>
              <w:jc w:val="both"/>
              <w:rPr>
                <w:rFonts w:ascii="Times New Roman" w:eastAsia="Times New Roman" w:hAnsi="Times New Roman"/>
                <w:color w:val="000000"/>
                <w:sz w:val="24"/>
                <w:szCs w:val="24"/>
                <w:lang w:eastAsia="lv-LV"/>
              </w:rPr>
            </w:pPr>
            <w:r w:rsidRPr="00683F99">
              <w:rPr>
                <w:rFonts w:ascii="Times New Roman" w:eastAsia="Times New Roman" w:hAnsi="Times New Roman"/>
                <w:color w:val="000000"/>
                <w:sz w:val="24"/>
                <w:szCs w:val="24"/>
                <w:lang w:eastAsia="lv-LV"/>
              </w:rPr>
              <w:t>36. Padome var pieņemt lēmumu par mazāka finansējuma piešķiršanu projekta īstenošanai, nekā pieprasīts projekta iesniegumā, ja:</w:t>
            </w:r>
          </w:p>
          <w:p w:rsidR="00BC5B49" w:rsidRPr="005A0CE3" w:rsidRDefault="00683F99" w:rsidP="00683F99">
            <w:pPr>
              <w:spacing w:after="0"/>
              <w:jc w:val="both"/>
              <w:rPr>
                <w:rFonts w:ascii="Times New Roman" w:eastAsia="Times New Roman" w:hAnsi="Times New Roman"/>
                <w:color w:val="000000"/>
                <w:sz w:val="24"/>
                <w:szCs w:val="24"/>
                <w:lang w:eastAsia="lv-LV"/>
              </w:rPr>
            </w:pPr>
            <w:r w:rsidRPr="00683F99">
              <w:rPr>
                <w:rFonts w:ascii="Times New Roman" w:eastAsia="Times New Roman" w:hAnsi="Times New Roman"/>
                <w:color w:val="000000"/>
                <w:sz w:val="24"/>
                <w:szCs w:val="24"/>
                <w:lang w:eastAsia="lv-LV"/>
              </w:rPr>
              <w:t>36.1. tā konstatē, ka projekta iesniegumā norādīto projekta mērķi ir iespējams sasniegt ar mazāku finansējumu;</w:t>
            </w:r>
          </w:p>
        </w:tc>
        <w:tc>
          <w:tcPr>
            <w:tcW w:w="4252" w:type="dxa"/>
          </w:tcPr>
          <w:p w:rsidR="00BC5B49" w:rsidRDefault="00BC5B49" w:rsidP="00BC5B49">
            <w:pPr>
              <w:spacing w:after="0" w:line="240" w:lineRule="auto"/>
              <w:jc w:val="center"/>
              <w:rPr>
                <w:rFonts w:ascii="Times New Roman" w:eastAsia="Times New Roman" w:hAnsi="Times New Roman"/>
                <w:b/>
                <w:sz w:val="24"/>
                <w:szCs w:val="24"/>
                <w:lang w:eastAsia="lv-LV"/>
              </w:rPr>
            </w:pPr>
            <w:r w:rsidRPr="00BC5B49">
              <w:rPr>
                <w:rFonts w:ascii="Times New Roman" w:eastAsia="Times New Roman" w:hAnsi="Times New Roman"/>
                <w:b/>
                <w:sz w:val="24"/>
                <w:szCs w:val="24"/>
                <w:lang w:eastAsia="lv-LV"/>
              </w:rPr>
              <w:t>Finanšu ministrija</w:t>
            </w:r>
          </w:p>
          <w:p w:rsidR="00BC5B49" w:rsidRPr="00BC5B49" w:rsidRDefault="00BC5B49" w:rsidP="00BC5B49">
            <w:pPr>
              <w:spacing w:after="0" w:line="240" w:lineRule="auto"/>
              <w:jc w:val="both"/>
              <w:rPr>
                <w:rFonts w:ascii="Times New Roman" w:eastAsia="Times New Roman" w:hAnsi="Times New Roman"/>
                <w:sz w:val="24"/>
                <w:szCs w:val="24"/>
                <w:lang w:eastAsia="lv-LV"/>
              </w:rPr>
            </w:pPr>
            <w:r w:rsidRPr="00BC5B49">
              <w:rPr>
                <w:rFonts w:ascii="Times New Roman" w:eastAsia="Times New Roman" w:hAnsi="Times New Roman"/>
                <w:sz w:val="24"/>
                <w:szCs w:val="24"/>
                <w:lang w:eastAsia="lv-LV"/>
              </w:rPr>
              <w:t>4.</w:t>
            </w:r>
            <w:r w:rsidRPr="00BC5B49">
              <w:rPr>
                <w:rFonts w:ascii="Times New Roman" w:eastAsia="Times New Roman" w:hAnsi="Times New Roman"/>
                <w:sz w:val="24"/>
                <w:szCs w:val="24"/>
                <w:lang w:eastAsia="lv-LV"/>
              </w:rPr>
              <w:tab/>
              <w:t xml:space="preserve">Lūdzam izvērtēt iespēju papildināt noteikumu projekta 36.1.apakšpunktu ar norādi ne tikai uz mērķi, bet arī projektā plānotajiem sasniedzamajiem rezultātiem, attiecīgi izsakot to šādā redakcijā: “tā konstatē, ka projekta iesniegumā norādīto projekta mērķi </w:t>
            </w:r>
            <w:bookmarkStart w:id="0" w:name="_Hlk45698425"/>
            <w:r w:rsidRPr="00BC5B49">
              <w:rPr>
                <w:rFonts w:ascii="Times New Roman" w:eastAsia="Times New Roman" w:hAnsi="Times New Roman"/>
                <w:sz w:val="24"/>
                <w:szCs w:val="24"/>
                <w:lang w:eastAsia="lv-LV"/>
              </w:rPr>
              <w:t>un izvirzītos sasniedzamos rezultātus</w:t>
            </w:r>
            <w:bookmarkEnd w:id="0"/>
            <w:r w:rsidRPr="00BC5B49">
              <w:rPr>
                <w:rFonts w:ascii="Times New Roman" w:eastAsia="Times New Roman" w:hAnsi="Times New Roman"/>
                <w:sz w:val="24"/>
                <w:szCs w:val="24"/>
                <w:lang w:eastAsia="lv-LV"/>
              </w:rPr>
              <w:t xml:space="preserve"> ir iespējams sasniegt ar mazāku finansējumu”.</w:t>
            </w:r>
          </w:p>
        </w:tc>
        <w:tc>
          <w:tcPr>
            <w:tcW w:w="2693" w:type="dxa"/>
          </w:tcPr>
          <w:p w:rsidR="00BC5B49" w:rsidRPr="00152791" w:rsidRDefault="00152791" w:rsidP="00953FF1">
            <w:pPr>
              <w:spacing w:after="0" w:line="240" w:lineRule="auto"/>
              <w:jc w:val="center"/>
              <w:rPr>
                <w:rFonts w:ascii="Times New Roman" w:eastAsia="Times New Roman" w:hAnsi="Times New Roman"/>
                <w:b/>
                <w:bCs/>
                <w:sz w:val="24"/>
                <w:szCs w:val="24"/>
                <w:lang w:eastAsia="lv-LV"/>
              </w:rPr>
            </w:pPr>
            <w:r w:rsidRPr="00152791">
              <w:rPr>
                <w:rFonts w:ascii="Times New Roman" w:eastAsia="Times New Roman" w:hAnsi="Times New Roman"/>
                <w:b/>
                <w:bCs/>
                <w:sz w:val="24"/>
                <w:szCs w:val="24"/>
                <w:lang w:eastAsia="lv-LV"/>
              </w:rPr>
              <w:t>Iebildums ņemts vērā</w:t>
            </w:r>
          </w:p>
        </w:tc>
        <w:tc>
          <w:tcPr>
            <w:tcW w:w="3119" w:type="dxa"/>
          </w:tcPr>
          <w:p w:rsidR="00683F99" w:rsidRPr="00683F99" w:rsidRDefault="00683F99" w:rsidP="00683F99">
            <w:pPr>
              <w:spacing w:after="0"/>
              <w:jc w:val="both"/>
              <w:rPr>
                <w:rFonts w:ascii="Times New Roman" w:eastAsia="Times New Roman" w:hAnsi="Times New Roman"/>
                <w:color w:val="000000"/>
                <w:sz w:val="24"/>
                <w:szCs w:val="24"/>
                <w:lang w:eastAsia="lv-LV"/>
              </w:rPr>
            </w:pPr>
            <w:r w:rsidRPr="00683F99">
              <w:rPr>
                <w:rFonts w:ascii="Times New Roman" w:eastAsia="Times New Roman" w:hAnsi="Times New Roman"/>
                <w:color w:val="000000"/>
                <w:sz w:val="24"/>
                <w:szCs w:val="24"/>
                <w:lang w:eastAsia="lv-LV"/>
              </w:rPr>
              <w:t>36. Padome var pieņemt lēmumu par mazāka finansējuma piešķiršanu projekta īstenošanai, nekā pieprasīts projekta iesniegumā, ja:</w:t>
            </w:r>
          </w:p>
          <w:p w:rsidR="00BC5B49" w:rsidRPr="005A0CE3" w:rsidRDefault="00683F99" w:rsidP="00683F99">
            <w:pPr>
              <w:spacing w:after="0"/>
              <w:jc w:val="both"/>
              <w:rPr>
                <w:rFonts w:ascii="Times New Roman" w:eastAsia="Times New Roman" w:hAnsi="Times New Roman"/>
                <w:color w:val="000000"/>
                <w:sz w:val="24"/>
                <w:szCs w:val="24"/>
                <w:lang w:eastAsia="lv-LV"/>
              </w:rPr>
            </w:pPr>
            <w:r w:rsidRPr="00683F99">
              <w:rPr>
                <w:rFonts w:ascii="Times New Roman" w:eastAsia="Times New Roman" w:hAnsi="Times New Roman"/>
                <w:color w:val="000000"/>
                <w:sz w:val="24"/>
                <w:szCs w:val="24"/>
                <w:lang w:eastAsia="lv-LV"/>
              </w:rPr>
              <w:t>36.1. tā konstatē, ka projekta iesniegumā norādīto projekta mērķi</w:t>
            </w:r>
            <w:r>
              <w:t xml:space="preserve"> </w:t>
            </w:r>
            <w:r w:rsidRPr="00683F99">
              <w:rPr>
                <w:rFonts w:ascii="Times New Roman" w:eastAsia="Times New Roman" w:hAnsi="Times New Roman"/>
                <w:color w:val="000000"/>
                <w:sz w:val="24"/>
                <w:szCs w:val="24"/>
                <w:u w:val="single"/>
                <w:lang w:eastAsia="lv-LV"/>
              </w:rPr>
              <w:t>un izvirzītos sasniedzamos rezultātus</w:t>
            </w:r>
            <w:r w:rsidRPr="00683F99">
              <w:rPr>
                <w:rFonts w:ascii="Times New Roman" w:eastAsia="Times New Roman" w:hAnsi="Times New Roman"/>
                <w:color w:val="000000"/>
                <w:sz w:val="24"/>
                <w:szCs w:val="24"/>
                <w:lang w:eastAsia="lv-LV"/>
              </w:rPr>
              <w:t xml:space="preserve"> ir iespējams sasniegt ar mazāku finansējumu;</w:t>
            </w:r>
          </w:p>
        </w:tc>
      </w:tr>
      <w:tr w:rsidR="007F4B40" w:rsidRPr="005A0CE3" w:rsidTr="009C6F70">
        <w:tc>
          <w:tcPr>
            <w:tcW w:w="709" w:type="dxa"/>
          </w:tcPr>
          <w:p w:rsidR="007F4B40"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p>
        </w:tc>
        <w:tc>
          <w:tcPr>
            <w:tcW w:w="3119" w:type="dxa"/>
          </w:tcPr>
          <w:p w:rsidR="007F4B40" w:rsidRPr="005A0CE3" w:rsidRDefault="00B2402A" w:rsidP="00616FDE">
            <w:pPr>
              <w:spacing w:after="0"/>
              <w:jc w:val="both"/>
              <w:rPr>
                <w:rFonts w:ascii="Times New Roman" w:eastAsia="Times New Roman" w:hAnsi="Times New Roman"/>
                <w:color w:val="000000"/>
                <w:sz w:val="24"/>
                <w:szCs w:val="24"/>
                <w:lang w:eastAsia="lv-LV"/>
              </w:rPr>
            </w:pPr>
            <w:r w:rsidRPr="00B2402A">
              <w:rPr>
                <w:rFonts w:ascii="Times New Roman" w:eastAsia="Times New Roman" w:hAnsi="Times New Roman"/>
                <w:color w:val="000000"/>
                <w:sz w:val="24"/>
                <w:szCs w:val="24"/>
                <w:lang w:eastAsia="lv-LV"/>
              </w:rPr>
              <w:t>41. Projekta izpildes izmaksās ieskaita arī izdevumus, kas atbalsta saņēmējam radušies, pirms pieņemts šo noteikumu 10.1. apakšpunktā minētais padomes lēmums par projekta finansēšanu, sākot ar projekta īstenošanas gada 1. janvāri, ja tie nav segti no citiem publiskiem finanšu avotiem un atbilst projekta mērķim.</w:t>
            </w:r>
          </w:p>
        </w:tc>
        <w:tc>
          <w:tcPr>
            <w:tcW w:w="4252" w:type="dxa"/>
          </w:tcPr>
          <w:p w:rsidR="007F4B40" w:rsidRPr="00B23FAA" w:rsidRDefault="00B23FAA" w:rsidP="00B23FAA">
            <w:pPr>
              <w:spacing w:after="0" w:line="240" w:lineRule="auto"/>
              <w:jc w:val="center"/>
              <w:rPr>
                <w:rFonts w:ascii="Times New Roman" w:eastAsia="Times New Roman" w:hAnsi="Times New Roman"/>
                <w:b/>
                <w:sz w:val="24"/>
                <w:szCs w:val="24"/>
                <w:lang w:eastAsia="lv-LV"/>
              </w:rPr>
            </w:pPr>
            <w:r w:rsidRPr="00B23FAA">
              <w:rPr>
                <w:rFonts w:ascii="Times New Roman" w:eastAsia="Times New Roman" w:hAnsi="Times New Roman"/>
                <w:b/>
                <w:sz w:val="24"/>
                <w:szCs w:val="24"/>
                <w:lang w:eastAsia="lv-LV"/>
              </w:rPr>
              <w:t>Tieslietu ministrija</w:t>
            </w:r>
          </w:p>
          <w:p w:rsidR="007F4B40" w:rsidRDefault="007F4B40" w:rsidP="007F4B40">
            <w:pPr>
              <w:spacing w:after="0" w:line="240" w:lineRule="auto"/>
              <w:jc w:val="both"/>
              <w:rPr>
                <w:rFonts w:ascii="Times New Roman" w:eastAsia="Times New Roman" w:hAnsi="Times New Roman"/>
                <w:sz w:val="24"/>
                <w:szCs w:val="24"/>
                <w:lang w:eastAsia="lv-LV"/>
              </w:rPr>
            </w:pPr>
            <w:r w:rsidRPr="007F4B40">
              <w:rPr>
                <w:rFonts w:ascii="Times New Roman" w:eastAsia="Times New Roman" w:hAnsi="Times New Roman"/>
                <w:sz w:val="24"/>
                <w:szCs w:val="24"/>
                <w:lang w:eastAsia="lv-LV"/>
              </w:rPr>
              <w:t>7. Ievērojot šā atzinuma 6. punktā norādīto, lūdzam izvērtēt projekta 41. punktā ietverto atsauci un nepieciešamības gadījumā to precizēt.</w:t>
            </w:r>
          </w:p>
        </w:tc>
        <w:tc>
          <w:tcPr>
            <w:tcW w:w="2693" w:type="dxa"/>
          </w:tcPr>
          <w:p w:rsidR="007F4B40" w:rsidRPr="00B2402A" w:rsidRDefault="00B2402A" w:rsidP="00953FF1">
            <w:pPr>
              <w:spacing w:after="0" w:line="240" w:lineRule="auto"/>
              <w:jc w:val="center"/>
              <w:rPr>
                <w:rFonts w:ascii="Times New Roman" w:eastAsia="Times New Roman" w:hAnsi="Times New Roman"/>
                <w:b/>
                <w:bCs/>
                <w:sz w:val="24"/>
                <w:szCs w:val="24"/>
                <w:lang w:eastAsia="lv-LV"/>
              </w:rPr>
            </w:pPr>
            <w:r w:rsidRPr="00B2402A">
              <w:rPr>
                <w:rFonts w:ascii="Times New Roman" w:eastAsia="Times New Roman" w:hAnsi="Times New Roman"/>
                <w:b/>
                <w:bCs/>
                <w:sz w:val="24"/>
                <w:szCs w:val="24"/>
                <w:lang w:eastAsia="lv-LV"/>
              </w:rPr>
              <w:t>Iebildums ņemts vērā</w:t>
            </w:r>
          </w:p>
        </w:tc>
        <w:tc>
          <w:tcPr>
            <w:tcW w:w="3119" w:type="dxa"/>
          </w:tcPr>
          <w:p w:rsidR="007F4B40" w:rsidRPr="005A0CE3" w:rsidRDefault="00B2402A" w:rsidP="00486E66">
            <w:pPr>
              <w:spacing w:after="0"/>
              <w:jc w:val="both"/>
              <w:rPr>
                <w:rFonts w:ascii="Times New Roman" w:eastAsia="Times New Roman" w:hAnsi="Times New Roman"/>
                <w:color w:val="000000"/>
                <w:sz w:val="24"/>
                <w:szCs w:val="24"/>
                <w:lang w:eastAsia="lv-LV"/>
              </w:rPr>
            </w:pPr>
            <w:r w:rsidRPr="00B2402A">
              <w:rPr>
                <w:rFonts w:ascii="Times New Roman" w:eastAsia="Times New Roman" w:hAnsi="Times New Roman"/>
                <w:color w:val="000000"/>
                <w:sz w:val="24"/>
                <w:szCs w:val="24"/>
                <w:lang w:eastAsia="lv-LV"/>
              </w:rPr>
              <w:t xml:space="preserve">41. Projekta izpildes izmaksās ieskaita arī izdevumus, kas atbalsta saņēmējam radušies, pirms pieņemts šo noteikumu </w:t>
            </w:r>
            <w:r>
              <w:rPr>
                <w:rFonts w:ascii="Times New Roman" w:eastAsia="Times New Roman" w:hAnsi="Times New Roman"/>
                <w:color w:val="000000"/>
                <w:sz w:val="24"/>
                <w:szCs w:val="24"/>
                <w:lang w:eastAsia="lv-LV"/>
              </w:rPr>
              <w:t>5</w:t>
            </w:r>
            <w:r w:rsidRPr="00B2402A">
              <w:rPr>
                <w:rFonts w:ascii="Times New Roman" w:eastAsia="Times New Roman" w:hAnsi="Times New Roman"/>
                <w:color w:val="000000"/>
                <w:sz w:val="24"/>
                <w:szCs w:val="24"/>
                <w:lang w:eastAsia="lv-LV"/>
              </w:rPr>
              <w:t>. punktā minētais padomes lēmums par projekta finansēšanu, sākot ar projekta īstenošanas gada 1. janvāri, ja tie nav segti no citiem publiskiem finanšu avotiem un atbilst projekta mērķim.</w:t>
            </w:r>
          </w:p>
        </w:tc>
      </w:tr>
      <w:tr w:rsidR="007F4B40" w:rsidRPr="005A0CE3" w:rsidTr="009C6F70">
        <w:tc>
          <w:tcPr>
            <w:tcW w:w="709" w:type="dxa"/>
          </w:tcPr>
          <w:p w:rsidR="007F4B40" w:rsidRPr="005A0CE3" w:rsidRDefault="00E730C5"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p>
        </w:tc>
        <w:tc>
          <w:tcPr>
            <w:tcW w:w="3119" w:type="dxa"/>
          </w:tcPr>
          <w:p w:rsidR="007F4B40" w:rsidRPr="00963F58" w:rsidRDefault="00CE569A" w:rsidP="00616FDE">
            <w:pPr>
              <w:spacing w:after="0"/>
              <w:jc w:val="both"/>
              <w:rPr>
                <w:rFonts w:ascii="Times New Roman" w:eastAsia="Times New Roman" w:hAnsi="Times New Roman"/>
                <w:color w:val="000000"/>
                <w:sz w:val="24"/>
                <w:szCs w:val="24"/>
                <w:lang w:eastAsia="lv-LV"/>
              </w:rPr>
            </w:pPr>
            <w:r w:rsidRPr="00963F58">
              <w:rPr>
                <w:rFonts w:ascii="Times New Roman" w:eastAsia="Times New Roman" w:hAnsi="Times New Roman"/>
                <w:color w:val="000000"/>
                <w:sz w:val="24"/>
                <w:szCs w:val="24"/>
                <w:lang w:eastAsia="lv-LV"/>
              </w:rPr>
              <w:t xml:space="preserve">44. Dienests ne vēlāk kā mēneša laikā pēc padomes lēmuma pieņemšanas par projekta finansēšanu </w:t>
            </w:r>
            <w:r w:rsidRPr="00963F58">
              <w:rPr>
                <w:rFonts w:ascii="Times New Roman" w:eastAsia="Times New Roman" w:hAnsi="Times New Roman"/>
                <w:color w:val="000000"/>
                <w:sz w:val="24"/>
                <w:szCs w:val="24"/>
                <w:lang w:eastAsia="lv-LV"/>
              </w:rPr>
              <w:lastRenderedPageBreak/>
              <w:t>pārskaita atbalsta pretendentam avansu vai starpmaksājumu fonda padomes noteiktajā apmērā.</w:t>
            </w:r>
          </w:p>
        </w:tc>
        <w:tc>
          <w:tcPr>
            <w:tcW w:w="4252" w:type="dxa"/>
          </w:tcPr>
          <w:p w:rsidR="0005104B" w:rsidRPr="00963F58" w:rsidRDefault="0005104B" w:rsidP="0005104B">
            <w:pPr>
              <w:spacing w:after="0" w:line="240" w:lineRule="auto"/>
              <w:jc w:val="center"/>
              <w:rPr>
                <w:rFonts w:ascii="Times New Roman" w:eastAsia="Times New Roman" w:hAnsi="Times New Roman"/>
                <w:b/>
                <w:sz w:val="24"/>
                <w:szCs w:val="24"/>
                <w:lang w:eastAsia="lv-LV"/>
              </w:rPr>
            </w:pPr>
            <w:r w:rsidRPr="00963F58">
              <w:rPr>
                <w:rFonts w:ascii="Times New Roman" w:eastAsia="Times New Roman" w:hAnsi="Times New Roman"/>
                <w:b/>
                <w:sz w:val="24"/>
                <w:szCs w:val="24"/>
                <w:lang w:eastAsia="lv-LV"/>
              </w:rPr>
              <w:lastRenderedPageBreak/>
              <w:t>Finanšu ministrija</w:t>
            </w:r>
          </w:p>
          <w:p w:rsidR="0005104B" w:rsidRPr="00963F58" w:rsidRDefault="0005104B" w:rsidP="007F4B40">
            <w:pPr>
              <w:spacing w:after="0" w:line="240" w:lineRule="auto"/>
              <w:jc w:val="both"/>
              <w:rPr>
                <w:rFonts w:ascii="Times New Roman" w:eastAsia="Times New Roman" w:hAnsi="Times New Roman"/>
                <w:sz w:val="24"/>
                <w:szCs w:val="24"/>
                <w:lang w:eastAsia="lv-LV"/>
              </w:rPr>
            </w:pPr>
            <w:r w:rsidRPr="00963F58">
              <w:rPr>
                <w:rFonts w:ascii="Times New Roman" w:eastAsia="Times New Roman" w:hAnsi="Times New Roman"/>
                <w:sz w:val="24"/>
                <w:szCs w:val="24"/>
                <w:lang w:eastAsia="lv-LV"/>
              </w:rPr>
              <w:t>5.</w:t>
            </w:r>
            <w:r w:rsidRPr="00963F58">
              <w:rPr>
                <w:rFonts w:ascii="Times New Roman" w:eastAsia="Times New Roman" w:hAnsi="Times New Roman"/>
                <w:sz w:val="24"/>
                <w:szCs w:val="24"/>
                <w:lang w:eastAsia="lv-LV"/>
              </w:rPr>
              <w:tab/>
              <w:t xml:space="preserve">Lūdzam precizēt noteikumu projekta 44.punktā noteikto kārtību par avansu vai starpmaksājumu veikšanu, norādot maksimālo avansa un </w:t>
            </w:r>
            <w:r w:rsidRPr="00963F58">
              <w:rPr>
                <w:rFonts w:ascii="Times New Roman" w:eastAsia="Times New Roman" w:hAnsi="Times New Roman"/>
                <w:sz w:val="24"/>
                <w:szCs w:val="24"/>
                <w:lang w:eastAsia="lv-LV"/>
              </w:rPr>
              <w:lastRenderedPageBreak/>
              <w:t>starpmaksājumos izmaksājamo procentuālo apmēru no projektam piešķirtā atbalsta summas.</w:t>
            </w:r>
          </w:p>
        </w:tc>
        <w:tc>
          <w:tcPr>
            <w:tcW w:w="2693" w:type="dxa"/>
          </w:tcPr>
          <w:p w:rsidR="007F4B40" w:rsidRPr="00963F58" w:rsidRDefault="003229BB" w:rsidP="00953FF1">
            <w:pPr>
              <w:spacing w:after="0" w:line="240" w:lineRule="auto"/>
              <w:jc w:val="center"/>
              <w:rPr>
                <w:rFonts w:ascii="Times New Roman" w:eastAsia="Times New Roman" w:hAnsi="Times New Roman"/>
                <w:b/>
                <w:bCs/>
                <w:sz w:val="24"/>
                <w:szCs w:val="24"/>
                <w:lang w:eastAsia="lv-LV"/>
              </w:rPr>
            </w:pPr>
            <w:r w:rsidRPr="00963F58">
              <w:rPr>
                <w:rFonts w:ascii="Times New Roman" w:eastAsia="Times New Roman" w:hAnsi="Times New Roman"/>
                <w:b/>
                <w:bCs/>
                <w:sz w:val="24"/>
                <w:szCs w:val="24"/>
                <w:lang w:eastAsia="lv-LV"/>
              </w:rPr>
              <w:lastRenderedPageBreak/>
              <w:t>Iebildums ņemts vērā</w:t>
            </w:r>
          </w:p>
          <w:p w:rsidR="003229BB" w:rsidRPr="00963F58" w:rsidRDefault="00873CCD" w:rsidP="003229BB">
            <w:pPr>
              <w:spacing w:after="0" w:line="240" w:lineRule="auto"/>
              <w:jc w:val="both"/>
              <w:rPr>
                <w:rFonts w:ascii="Times New Roman" w:eastAsia="Times New Roman" w:hAnsi="Times New Roman"/>
                <w:sz w:val="24"/>
                <w:szCs w:val="24"/>
                <w:lang w:eastAsia="lv-LV"/>
              </w:rPr>
            </w:pPr>
            <w:r w:rsidRPr="00963F58">
              <w:rPr>
                <w:rFonts w:ascii="Times New Roman" w:eastAsia="Times New Roman" w:hAnsi="Times New Roman"/>
                <w:sz w:val="24"/>
                <w:szCs w:val="24"/>
                <w:lang w:eastAsia="lv-LV"/>
              </w:rPr>
              <w:t xml:space="preserve">Pārsvarā tiek praktizēts sadalījums: 35% avanss, 50% starpmaksājums un 15% noslēguma </w:t>
            </w:r>
            <w:r w:rsidRPr="00963F58">
              <w:rPr>
                <w:rFonts w:ascii="Times New Roman" w:eastAsia="Times New Roman" w:hAnsi="Times New Roman"/>
                <w:sz w:val="24"/>
                <w:szCs w:val="24"/>
                <w:lang w:eastAsia="lv-LV"/>
              </w:rPr>
              <w:lastRenderedPageBreak/>
              <w:t>maksājums. Tomēr atsevišķiem sabiedrībā ļoti pozitīvi novērtētiem projektiem, ņemot vērā to</w:t>
            </w:r>
            <w:r w:rsidR="00E141C1" w:rsidRPr="00963F58">
              <w:rPr>
                <w:rFonts w:ascii="Times New Roman" w:eastAsia="Times New Roman" w:hAnsi="Times New Roman"/>
                <w:sz w:val="24"/>
                <w:szCs w:val="24"/>
                <w:lang w:eastAsia="lv-LV"/>
              </w:rPr>
              <w:t xml:space="preserve"> specifiku -</w:t>
            </w:r>
            <w:r w:rsidRPr="00963F58">
              <w:rPr>
                <w:rFonts w:ascii="Times New Roman" w:eastAsia="Times New Roman" w:hAnsi="Times New Roman"/>
                <w:sz w:val="24"/>
                <w:szCs w:val="24"/>
                <w:lang w:eastAsia="lv-LV"/>
              </w:rPr>
              <w:t xml:space="preserve"> īstenošanas gaitu un raksturu, kā arī </w:t>
            </w:r>
            <w:r w:rsidR="00E141C1" w:rsidRPr="00963F58">
              <w:rPr>
                <w:rFonts w:ascii="Times New Roman" w:eastAsia="Times New Roman" w:hAnsi="Times New Roman"/>
                <w:sz w:val="24"/>
                <w:szCs w:val="24"/>
                <w:lang w:eastAsia="lv-LV"/>
              </w:rPr>
              <w:t>ierobežotās</w:t>
            </w:r>
            <w:r w:rsidRPr="00963F58">
              <w:rPr>
                <w:rFonts w:ascii="Times New Roman" w:eastAsia="Times New Roman" w:hAnsi="Times New Roman"/>
                <w:sz w:val="24"/>
                <w:szCs w:val="24"/>
                <w:lang w:eastAsia="lv-LV"/>
              </w:rPr>
              <w:t xml:space="preserve"> </w:t>
            </w:r>
            <w:r w:rsidR="00E141C1" w:rsidRPr="00963F58">
              <w:rPr>
                <w:rFonts w:ascii="Times New Roman" w:eastAsia="Times New Roman" w:hAnsi="Times New Roman"/>
                <w:sz w:val="24"/>
                <w:szCs w:val="24"/>
                <w:lang w:eastAsia="lv-LV"/>
              </w:rPr>
              <w:t>paš</w:t>
            </w:r>
            <w:r w:rsidRPr="00963F58">
              <w:rPr>
                <w:rFonts w:ascii="Times New Roman" w:eastAsia="Times New Roman" w:hAnsi="Times New Roman"/>
                <w:sz w:val="24"/>
                <w:szCs w:val="24"/>
                <w:lang w:eastAsia="lv-LV"/>
              </w:rPr>
              <w:t>finansējum</w:t>
            </w:r>
            <w:r w:rsidR="00E141C1" w:rsidRPr="00963F58">
              <w:rPr>
                <w:rFonts w:ascii="Times New Roman" w:eastAsia="Times New Roman" w:hAnsi="Times New Roman"/>
                <w:sz w:val="24"/>
                <w:szCs w:val="24"/>
                <w:lang w:eastAsia="lv-LV"/>
              </w:rPr>
              <w:t>a iespējas</w:t>
            </w:r>
            <w:r w:rsidRPr="00963F58">
              <w:rPr>
                <w:rFonts w:ascii="Times New Roman" w:eastAsia="Times New Roman" w:hAnsi="Times New Roman"/>
                <w:sz w:val="24"/>
                <w:szCs w:val="24"/>
                <w:lang w:eastAsia="lv-LV"/>
              </w:rPr>
              <w:t xml:space="preserve">, nepieciešams avanss 90% apmērā – pretējā gadījumā projektu nav iespējams īstenot. </w:t>
            </w:r>
            <w:r w:rsidR="00014678" w:rsidRPr="00963F58">
              <w:rPr>
                <w:rFonts w:ascii="Times New Roman" w:eastAsia="Times New Roman" w:hAnsi="Times New Roman"/>
                <w:sz w:val="24"/>
                <w:szCs w:val="24"/>
                <w:lang w:eastAsia="lv-LV"/>
              </w:rPr>
              <w:t xml:space="preserve">Piemēram, projekts </w:t>
            </w:r>
            <w:r w:rsidR="00014678" w:rsidRPr="00963F58">
              <w:rPr>
                <w:rFonts w:ascii="Times New Roman" w:eastAsia="Times New Roman" w:hAnsi="Times New Roman"/>
                <w:i/>
                <w:iCs/>
                <w:sz w:val="24"/>
                <w:szCs w:val="24"/>
                <w:lang w:eastAsia="lv-LV"/>
              </w:rPr>
              <w:t>“Mednieku un jauno mednieku teorētisko un praktisko apmācību nometne „Vanaga acs””</w:t>
            </w:r>
            <w:r w:rsidR="00014678" w:rsidRPr="00963F58">
              <w:rPr>
                <w:rFonts w:ascii="Times New Roman" w:eastAsia="Times New Roman" w:hAnsi="Times New Roman"/>
                <w:sz w:val="24"/>
                <w:szCs w:val="24"/>
                <w:lang w:eastAsia="lv-LV"/>
              </w:rPr>
              <w:t xml:space="preserve">. </w:t>
            </w:r>
            <w:r w:rsidRPr="00963F58">
              <w:rPr>
                <w:rFonts w:ascii="Times New Roman" w:eastAsia="Times New Roman" w:hAnsi="Times New Roman"/>
                <w:sz w:val="24"/>
                <w:szCs w:val="24"/>
                <w:lang w:eastAsia="lv-LV"/>
              </w:rPr>
              <w:t>Attiecīgi nepieciešama elastīga pieeja un rīcības brīvība Padomei lēmumu pieņemšanā.</w:t>
            </w:r>
          </w:p>
        </w:tc>
        <w:tc>
          <w:tcPr>
            <w:tcW w:w="3119" w:type="dxa"/>
          </w:tcPr>
          <w:p w:rsidR="007F4B40" w:rsidRPr="005A0CE3" w:rsidRDefault="003229BB" w:rsidP="00486E66">
            <w:pPr>
              <w:spacing w:after="0"/>
              <w:jc w:val="both"/>
              <w:rPr>
                <w:rFonts w:ascii="Times New Roman" w:eastAsia="Times New Roman" w:hAnsi="Times New Roman"/>
                <w:color w:val="000000"/>
                <w:sz w:val="24"/>
                <w:szCs w:val="24"/>
                <w:lang w:eastAsia="lv-LV"/>
              </w:rPr>
            </w:pPr>
            <w:r w:rsidRPr="00963F58">
              <w:rPr>
                <w:rFonts w:ascii="Times New Roman" w:eastAsia="Times New Roman" w:hAnsi="Times New Roman"/>
                <w:color w:val="000000"/>
                <w:sz w:val="24"/>
                <w:szCs w:val="24"/>
                <w:lang w:eastAsia="lv-LV"/>
              </w:rPr>
              <w:lastRenderedPageBreak/>
              <w:t xml:space="preserve">44. Dienests ne vēlāk kā mēneša laikā pēc padomes lēmuma pieņemšanas par projekta finansēšanu </w:t>
            </w:r>
            <w:r w:rsidRPr="00963F58">
              <w:rPr>
                <w:rFonts w:ascii="Times New Roman" w:eastAsia="Times New Roman" w:hAnsi="Times New Roman"/>
                <w:color w:val="000000"/>
                <w:sz w:val="24"/>
                <w:szCs w:val="24"/>
                <w:lang w:eastAsia="lv-LV"/>
              </w:rPr>
              <w:lastRenderedPageBreak/>
              <w:t>pārskaita atbalsta pretendentam avansu</w:t>
            </w:r>
            <w:r w:rsidR="00722458" w:rsidRPr="00963F58">
              <w:rPr>
                <w:rFonts w:ascii="Times New Roman" w:eastAsia="Times New Roman" w:hAnsi="Times New Roman"/>
                <w:color w:val="000000"/>
                <w:sz w:val="24"/>
                <w:szCs w:val="24"/>
                <w:lang w:eastAsia="lv-LV"/>
              </w:rPr>
              <w:t xml:space="preserve"> </w:t>
            </w:r>
            <w:bookmarkStart w:id="1" w:name="_Hlk45705296"/>
            <w:r w:rsidR="00722458" w:rsidRPr="00963F58">
              <w:rPr>
                <w:rFonts w:ascii="Times New Roman" w:eastAsia="Times New Roman" w:hAnsi="Times New Roman"/>
                <w:color w:val="000000"/>
                <w:sz w:val="24"/>
                <w:szCs w:val="24"/>
                <w:u w:val="single"/>
                <w:lang w:eastAsia="lv-LV"/>
              </w:rPr>
              <w:t xml:space="preserve">(līdz 90% no </w:t>
            </w:r>
            <w:r w:rsidR="00014678" w:rsidRPr="00963F58">
              <w:rPr>
                <w:rFonts w:ascii="Times New Roman" w:eastAsia="Times New Roman" w:hAnsi="Times New Roman"/>
                <w:color w:val="000000"/>
                <w:sz w:val="24"/>
                <w:szCs w:val="24"/>
                <w:u w:val="single"/>
                <w:lang w:eastAsia="lv-LV"/>
              </w:rPr>
              <w:t>fonda</w:t>
            </w:r>
            <w:r w:rsidR="00722458" w:rsidRPr="00963F58">
              <w:rPr>
                <w:rFonts w:ascii="Times New Roman" w:eastAsia="Times New Roman" w:hAnsi="Times New Roman"/>
                <w:color w:val="000000"/>
                <w:sz w:val="24"/>
                <w:szCs w:val="24"/>
                <w:u w:val="single"/>
                <w:lang w:eastAsia="lv-LV"/>
              </w:rPr>
              <w:t xml:space="preserve"> finansētā apjoma)</w:t>
            </w:r>
            <w:bookmarkEnd w:id="1"/>
            <w:r w:rsidRPr="00963F58">
              <w:rPr>
                <w:rFonts w:ascii="Times New Roman" w:eastAsia="Times New Roman" w:hAnsi="Times New Roman"/>
                <w:color w:val="000000"/>
                <w:sz w:val="24"/>
                <w:szCs w:val="24"/>
                <w:lang w:eastAsia="lv-LV"/>
              </w:rPr>
              <w:t xml:space="preserve"> vai starpmaksājumu</w:t>
            </w:r>
            <w:r w:rsidR="00873CCD" w:rsidRPr="00963F58">
              <w:rPr>
                <w:rFonts w:ascii="Times New Roman" w:eastAsia="Times New Roman" w:hAnsi="Times New Roman"/>
                <w:color w:val="000000"/>
                <w:sz w:val="24"/>
                <w:szCs w:val="24"/>
                <w:lang w:eastAsia="lv-LV"/>
              </w:rPr>
              <w:t xml:space="preserve"> </w:t>
            </w:r>
            <w:bookmarkStart w:id="2" w:name="_Hlk45705318"/>
            <w:r w:rsidR="00873CCD" w:rsidRPr="00963F58">
              <w:rPr>
                <w:rFonts w:ascii="Times New Roman" w:eastAsia="Times New Roman" w:hAnsi="Times New Roman"/>
                <w:color w:val="000000"/>
                <w:sz w:val="24"/>
                <w:szCs w:val="24"/>
                <w:u w:val="single"/>
                <w:lang w:eastAsia="lv-LV"/>
              </w:rPr>
              <w:t xml:space="preserve">(līdz </w:t>
            </w:r>
            <w:r w:rsidR="00014678" w:rsidRPr="00963F58">
              <w:rPr>
                <w:rFonts w:ascii="Times New Roman" w:eastAsia="Times New Roman" w:hAnsi="Times New Roman"/>
                <w:color w:val="000000"/>
                <w:sz w:val="24"/>
                <w:szCs w:val="24"/>
                <w:u w:val="single"/>
                <w:lang w:eastAsia="lv-LV"/>
              </w:rPr>
              <w:t>75</w:t>
            </w:r>
            <w:r w:rsidR="00873CCD" w:rsidRPr="00963F58">
              <w:rPr>
                <w:rFonts w:ascii="Times New Roman" w:eastAsia="Times New Roman" w:hAnsi="Times New Roman"/>
                <w:color w:val="000000"/>
                <w:sz w:val="24"/>
                <w:szCs w:val="24"/>
                <w:u w:val="single"/>
                <w:lang w:eastAsia="lv-LV"/>
              </w:rPr>
              <w:t xml:space="preserve">% no </w:t>
            </w:r>
            <w:r w:rsidR="00014678" w:rsidRPr="00963F58">
              <w:rPr>
                <w:rFonts w:ascii="Times New Roman" w:eastAsia="Times New Roman" w:hAnsi="Times New Roman"/>
                <w:color w:val="000000"/>
                <w:sz w:val="24"/>
                <w:szCs w:val="24"/>
                <w:u w:val="single"/>
                <w:lang w:eastAsia="lv-LV"/>
              </w:rPr>
              <w:t>fonda</w:t>
            </w:r>
            <w:r w:rsidR="00873CCD" w:rsidRPr="00963F58">
              <w:rPr>
                <w:rFonts w:ascii="Times New Roman" w:eastAsia="Times New Roman" w:hAnsi="Times New Roman"/>
                <w:color w:val="000000"/>
                <w:sz w:val="24"/>
                <w:szCs w:val="24"/>
                <w:u w:val="single"/>
                <w:lang w:eastAsia="lv-LV"/>
              </w:rPr>
              <w:t xml:space="preserve"> finansētā apjoma)</w:t>
            </w:r>
            <w:bookmarkEnd w:id="2"/>
            <w:r w:rsidRPr="00963F58">
              <w:rPr>
                <w:rFonts w:ascii="Times New Roman" w:eastAsia="Times New Roman" w:hAnsi="Times New Roman"/>
                <w:color w:val="000000"/>
                <w:sz w:val="24"/>
                <w:szCs w:val="24"/>
                <w:lang w:eastAsia="lv-LV"/>
              </w:rPr>
              <w:t xml:space="preserve"> fonda padomes noteiktajā apmērā.</w:t>
            </w:r>
          </w:p>
        </w:tc>
      </w:tr>
      <w:tr w:rsidR="003939C1" w:rsidRPr="005A0CE3" w:rsidTr="009C6F70">
        <w:tc>
          <w:tcPr>
            <w:tcW w:w="709" w:type="dxa"/>
          </w:tcPr>
          <w:p w:rsidR="003939C1" w:rsidRPr="005A0CE3" w:rsidRDefault="00164D0E" w:rsidP="00682FC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14.</w:t>
            </w:r>
          </w:p>
        </w:tc>
        <w:tc>
          <w:tcPr>
            <w:tcW w:w="3119" w:type="dxa"/>
          </w:tcPr>
          <w:p w:rsidR="003939C1" w:rsidRDefault="003939C1" w:rsidP="00682FC9">
            <w:pPr>
              <w:spacing w:after="0"/>
              <w:jc w:val="both"/>
              <w:rPr>
                <w:rFonts w:ascii="Times New Roman" w:eastAsia="Times New Roman" w:hAnsi="Times New Roman"/>
                <w:color w:val="000000"/>
                <w:sz w:val="24"/>
                <w:szCs w:val="24"/>
                <w:lang w:eastAsia="lv-LV"/>
              </w:rPr>
            </w:pPr>
            <w:r w:rsidRPr="003939C1">
              <w:rPr>
                <w:rFonts w:ascii="Times New Roman" w:eastAsia="Times New Roman" w:hAnsi="Times New Roman"/>
                <w:color w:val="000000"/>
                <w:sz w:val="24"/>
                <w:szCs w:val="24"/>
                <w:lang w:eastAsia="lv-LV"/>
              </w:rPr>
              <w:t>Skat anotāciju</w:t>
            </w:r>
          </w:p>
        </w:tc>
        <w:tc>
          <w:tcPr>
            <w:tcW w:w="4252" w:type="dxa"/>
          </w:tcPr>
          <w:p w:rsidR="003939C1" w:rsidRPr="00AE56A2" w:rsidRDefault="003939C1" w:rsidP="003939C1">
            <w:pPr>
              <w:spacing w:after="0" w:line="240" w:lineRule="auto"/>
              <w:jc w:val="center"/>
              <w:rPr>
                <w:rFonts w:ascii="Times New Roman" w:eastAsia="Times New Roman" w:hAnsi="Times New Roman"/>
                <w:b/>
                <w:sz w:val="24"/>
                <w:szCs w:val="24"/>
                <w:lang w:eastAsia="lv-LV"/>
              </w:rPr>
            </w:pPr>
            <w:r w:rsidRPr="00AE56A2">
              <w:rPr>
                <w:rFonts w:ascii="Times New Roman" w:eastAsia="Times New Roman" w:hAnsi="Times New Roman"/>
                <w:b/>
                <w:sz w:val="24"/>
                <w:szCs w:val="24"/>
                <w:lang w:eastAsia="lv-LV"/>
              </w:rPr>
              <w:t>Tieslietu ministrija</w:t>
            </w:r>
          </w:p>
          <w:p w:rsidR="003939C1" w:rsidRPr="00B23FAA" w:rsidRDefault="003939C1" w:rsidP="003939C1">
            <w:pPr>
              <w:spacing w:after="0" w:line="240" w:lineRule="auto"/>
              <w:jc w:val="both"/>
              <w:rPr>
                <w:rFonts w:ascii="Times New Roman" w:eastAsia="Times New Roman" w:hAnsi="Times New Roman"/>
                <w:b/>
                <w:sz w:val="24"/>
                <w:szCs w:val="24"/>
                <w:lang w:eastAsia="lv-LV"/>
              </w:rPr>
            </w:pPr>
            <w:r w:rsidRPr="00AE56A2">
              <w:rPr>
                <w:rFonts w:ascii="Times New Roman" w:eastAsia="Times New Roman" w:hAnsi="Times New Roman"/>
                <w:sz w:val="24"/>
                <w:szCs w:val="24"/>
                <w:lang w:eastAsia="lv-LV"/>
              </w:rPr>
              <w:t>9. Atbilstoši Ministru kabineta 2013. gada 10. decembra noteikumu Nr. 1455 “Medību saimniecības fonda nolikums” 13. punktam, pamatojoties uz padomes lēmumu Zemkopības ministrija slēdz līgumu ar finansētā projekta izpildītāju. Lūdzam sniegt skaidrojumu projekta anotācijā, kāpēc šāda norma un k</w:t>
            </w:r>
            <w:r w:rsidR="00AD6A67">
              <w:rPr>
                <w:rFonts w:ascii="Times New Roman" w:eastAsia="Times New Roman" w:hAnsi="Times New Roman"/>
                <w:sz w:val="24"/>
                <w:szCs w:val="24"/>
                <w:lang w:eastAsia="lv-LV"/>
              </w:rPr>
              <w:t>ā</w:t>
            </w:r>
            <w:r w:rsidRPr="00AE56A2">
              <w:rPr>
                <w:rFonts w:ascii="Times New Roman" w:eastAsia="Times New Roman" w:hAnsi="Times New Roman"/>
                <w:sz w:val="24"/>
                <w:szCs w:val="24"/>
                <w:lang w:eastAsia="lv-LV"/>
              </w:rPr>
              <w:t xml:space="preserve">rtība nav iekļauta projektā vai arī atbilstoši papildināt projektu ar attiecīgu </w:t>
            </w:r>
            <w:r w:rsidRPr="00AE56A2">
              <w:rPr>
                <w:rFonts w:ascii="Times New Roman" w:eastAsia="Times New Roman" w:hAnsi="Times New Roman"/>
                <w:sz w:val="24"/>
                <w:szCs w:val="24"/>
                <w:lang w:eastAsia="lv-LV"/>
              </w:rPr>
              <w:lastRenderedPageBreak/>
              <w:t>regulējumu.</w:t>
            </w:r>
          </w:p>
        </w:tc>
        <w:tc>
          <w:tcPr>
            <w:tcW w:w="2693" w:type="dxa"/>
          </w:tcPr>
          <w:p w:rsidR="003939C1" w:rsidRPr="00687C01" w:rsidRDefault="003939C1" w:rsidP="00682FC9">
            <w:pPr>
              <w:spacing w:after="0" w:line="240" w:lineRule="auto"/>
              <w:jc w:val="center"/>
              <w:rPr>
                <w:rFonts w:ascii="Times New Roman" w:eastAsia="Times New Roman" w:hAnsi="Times New Roman"/>
                <w:b/>
                <w:bCs/>
                <w:sz w:val="24"/>
                <w:szCs w:val="24"/>
                <w:lang w:eastAsia="lv-LV"/>
              </w:rPr>
            </w:pPr>
            <w:r w:rsidRPr="003939C1">
              <w:rPr>
                <w:rFonts w:ascii="Times New Roman" w:eastAsia="Times New Roman" w:hAnsi="Times New Roman"/>
                <w:b/>
                <w:bCs/>
                <w:sz w:val="24"/>
                <w:szCs w:val="24"/>
                <w:lang w:eastAsia="lv-LV"/>
              </w:rPr>
              <w:lastRenderedPageBreak/>
              <w:t>Iebildums ņemts vērā</w:t>
            </w:r>
          </w:p>
        </w:tc>
        <w:tc>
          <w:tcPr>
            <w:tcW w:w="3119" w:type="dxa"/>
          </w:tcPr>
          <w:p w:rsidR="003939C1" w:rsidRPr="007F4B40" w:rsidRDefault="003939C1" w:rsidP="00682FC9">
            <w:pPr>
              <w:spacing w:after="0"/>
              <w:jc w:val="both"/>
              <w:rPr>
                <w:rFonts w:ascii="Times New Roman" w:eastAsia="Times New Roman" w:hAnsi="Times New Roman"/>
                <w:color w:val="000000"/>
                <w:sz w:val="24"/>
                <w:szCs w:val="24"/>
                <w:lang w:eastAsia="lv-LV"/>
              </w:rPr>
            </w:pPr>
            <w:r w:rsidRPr="003939C1">
              <w:rPr>
                <w:rFonts w:ascii="Times New Roman" w:eastAsia="Times New Roman" w:hAnsi="Times New Roman"/>
                <w:color w:val="000000"/>
                <w:sz w:val="24"/>
                <w:szCs w:val="24"/>
                <w:lang w:eastAsia="lv-LV"/>
              </w:rPr>
              <w:t>Skat precizēto anotāciju.</w:t>
            </w:r>
          </w:p>
        </w:tc>
      </w:tr>
      <w:tr w:rsidR="00682FC9" w:rsidRPr="005A0CE3" w:rsidTr="009C6F70">
        <w:tc>
          <w:tcPr>
            <w:tcW w:w="709" w:type="dxa"/>
          </w:tcPr>
          <w:p w:rsidR="00682FC9" w:rsidRPr="005A0CE3" w:rsidRDefault="00164D0E" w:rsidP="00682FC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Skat anotāciju</w:t>
            </w:r>
          </w:p>
        </w:tc>
        <w:tc>
          <w:tcPr>
            <w:tcW w:w="4252" w:type="dxa"/>
          </w:tcPr>
          <w:p w:rsidR="00682FC9" w:rsidRDefault="00682FC9" w:rsidP="00682FC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KNAB</w:t>
            </w:r>
          </w:p>
          <w:p w:rsidR="00682FC9" w:rsidRPr="00E25E60" w:rsidRDefault="00682FC9" w:rsidP="00682FC9">
            <w:pPr>
              <w:spacing w:after="0" w:line="240" w:lineRule="auto"/>
              <w:jc w:val="both"/>
              <w:rPr>
                <w:rFonts w:ascii="Times New Roman" w:eastAsia="Times New Roman" w:hAnsi="Times New Roman"/>
                <w:sz w:val="24"/>
                <w:szCs w:val="24"/>
                <w:lang w:eastAsia="lv-LV"/>
              </w:rPr>
            </w:pPr>
            <w:r w:rsidRPr="00E25E60">
              <w:rPr>
                <w:rFonts w:ascii="Times New Roman" w:eastAsia="Times New Roman" w:hAnsi="Times New Roman"/>
                <w:sz w:val="24"/>
                <w:szCs w:val="24"/>
                <w:lang w:eastAsia="lv-LV"/>
              </w:rPr>
              <w:t>2.</w:t>
            </w:r>
            <w:r w:rsidRPr="00E25E60">
              <w:rPr>
                <w:rFonts w:ascii="Times New Roman" w:eastAsia="Times New Roman" w:hAnsi="Times New Roman"/>
                <w:sz w:val="24"/>
                <w:szCs w:val="24"/>
                <w:lang w:eastAsia="lv-LV"/>
              </w:rPr>
              <w:tab/>
              <w:t>Šobrīd spēkā esošo Ministru kabineta 2013. gada 10. decembra noteikumu Nr. 1455 “Medību saimniecības attīstības fonda nolikums” 35. punkts paredz – ja Medību saimniecības attīstības fonda padomes loceklim saskaņā ar likumu "Par interešu konflikta novēršanu valsts amatpersonu darbībā" rodas interešu konflikts saistībā ar vērtējamo projekta pieteikumu, minētais padomes loceklis nav tiesīgs piedalīties attiecīgā projekta pieteikuma vērtēšanā. Lai arī jaunajā noteikumu projekta redakcijā šis punkts nav saglabāts, lūdzam papildināt noteikumu projekta anotāciju ar informatīvu atsauci, proti, ka MSAF padomes locekļi atbilstoši likuma  “Par interešu konflikta novēršanu valsts amatpersonu darbībā” 4. pantā noteiktajam   ir uzskatāmi par valsts amatpersonām un tiem ir saistoši visi minētajā likumā valsts amatpersonām noteiktie ierobežojumi un aizliegumi.</w:t>
            </w:r>
          </w:p>
        </w:tc>
        <w:tc>
          <w:tcPr>
            <w:tcW w:w="2693" w:type="dxa"/>
          </w:tcPr>
          <w:p w:rsidR="00682FC9" w:rsidRPr="00687C01" w:rsidRDefault="00682FC9" w:rsidP="00682FC9">
            <w:pPr>
              <w:spacing w:after="0" w:line="240" w:lineRule="auto"/>
              <w:jc w:val="center"/>
              <w:rPr>
                <w:rFonts w:ascii="Times New Roman" w:eastAsia="Times New Roman" w:hAnsi="Times New Roman"/>
                <w:b/>
                <w:bCs/>
                <w:sz w:val="24"/>
                <w:szCs w:val="24"/>
                <w:lang w:eastAsia="lv-LV"/>
              </w:rPr>
            </w:pPr>
            <w:r w:rsidRPr="00687C01">
              <w:rPr>
                <w:rFonts w:ascii="Times New Roman" w:eastAsia="Times New Roman" w:hAnsi="Times New Roman"/>
                <w:b/>
                <w:bCs/>
                <w:sz w:val="24"/>
                <w:szCs w:val="24"/>
                <w:lang w:eastAsia="lv-LV"/>
              </w:rPr>
              <w:t>Iebildums ņemts vērā</w:t>
            </w: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Skat precizēto anotāciju.</w:t>
            </w:r>
          </w:p>
        </w:tc>
      </w:tr>
      <w:tr w:rsidR="00682FC9" w:rsidRPr="005A0CE3" w:rsidTr="009C6F70">
        <w:tc>
          <w:tcPr>
            <w:tcW w:w="709" w:type="dxa"/>
          </w:tcPr>
          <w:p w:rsidR="00682FC9" w:rsidRPr="005A0CE3" w:rsidRDefault="00164D0E" w:rsidP="00682FC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3119" w:type="dxa"/>
          </w:tcPr>
          <w:p w:rsidR="00682FC9" w:rsidRDefault="00682FC9" w:rsidP="00682FC9">
            <w:pPr>
              <w:spacing w:after="0"/>
              <w:jc w:val="both"/>
              <w:rPr>
                <w:rFonts w:ascii="Times New Roman" w:eastAsia="Times New Roman" w:hAnsi="Times New Roman"/>
                <w:color w:val="000000"/>
                <w:sz w:val="24"/>
                <w:szCs w:val="24"/>
                <w:lang w:eastAsia="lv-LV"/>
              </w:rPr>
            </w:pPr>
            <w:r w:rsidRPr="00E9401A">
              <w:rPr>
                <w:rFonts w:ascii="Times New Roman" w:eastAsia="Times New Roman" w:hAnsi="Times New Roman"/>
                <w:color w:val="000000"/>
                <w:sz w:val="24"/>
                <w:szCs w:val="24"/>
                <w:lang w:eastAsia="lv-LV"/>
              </w:rPr>
              <w:t>Skat anotāciju.</w:t>
            </w:r>
          </w:p>
          <w:p w:rsidR="007E59E2" w:rsidRPr="005A0CE3" w:rsidRDefault="007E59E2" w:rsidP="00682FC9">
            <w:pPr>
              <w:spacing w:after="0"/>
              <w:jc w:val="both"/>
              <w:rPr>
                <w:rFonts w:ascii="Times New Roman" w:eastAsia="Times New Roman" w:hAnsi="Times New Roman"/>
                <w:color w:val="000000"/>
                <w:sz w:val="24"/>
                <w:szCs w:val="24"/>
                <w:lang w:eastAsia="lv-LV"/>
              </w:rPr>
            </w:pPr>
          </w:p>
        </w:tc>
        <w:tc>
          <w:tcPr>
            <w:tcW w:w="4252" w:type="dxa"/>
          </w:tcPr>
          <w:p w:rsidR="00682FC9" w:rsidRPr="00FD2E26" w:rsidRDefault="00682FC9" w:rsidP="00682FC9">
            <w:pPr>
              <w:spacing w:after="0" w:line="240" w:lineRule="auto"/>
              <w:jc w:val="center"/>
              <w:rPr>
                <w:rFonts w:ascii="Times New Roman" w:eastAsia="Times New Roman" w:hAnsi="Times New Roman"/>
                <w:b/>
                <w:sz w:val="24"/>
                <w:szCs w:val="24"/>
                <w:lang w:eastAsia="lv-LV"/>
              </w:rPr>
            </w:pPr>
            <w:r w:rsidRPr="00FD2E26">
              <w:rPr>
                <w:rFonts w:ascii="Times New Roman" w:eastAsia="Times New Roman" w:hAnsi="Times New Roman"/>
                <w:b/>
                <w:sz w:val="24"/>
                <w:szCs w:val="24"/>
                <w:lang w:eastAsia="lv-LV"/>
              </w:rPr>
              <w:t>Finanšu ministrija</w:t>
            </w:r>
          </w:p>
          <w:p w:rsidR="00682FC9" w:rsidRDefault="00682FC9" w:rsidP="00682FC9">
            <w:pPr>
              <w:spacing w:after="0" w:line="240" w:lineRule="auto"/>
              <w:jc w:val="both"/>
              <w:rPr>
                <w:rFonts w:ascii="Times New Roman" w:eastAsia="Times New Roman" w:hAnsi="Times New Roman"/>
                <w:sz w:val="24"/>
                <w:szCs w:val="24"/>
                <w:lang w:eastAsia="lv-LV"/>
              </w:rPr>
            </w:pPr>
            <w:r w:rsidRPr="00FD2E26">
              <w:rPr>
                <w:rFonts w:ascii="Times New Roman" w:eastAsia="Times New Roman" w:hAnsi="Times New Roman"/>
                <w:sz w:val="24"/>
                <w:szCs w:val="24"/>
                <w:lang w:eastAsia="lv-LV"/>
              </w:rPr>
              <w:t>7.</w:t>
            </w:r>
            <w:r w:rsidRPr="00FD2E26">
              <w:rPr>
                <w:rFonts w:ascii="Times New Roman" w:eastAsia="Times New Roman" w:hAnsi="Times New Roman"/>
                <w:sz w:val="24"/>
                <w:szCs w:val="24"/>
                <w:lang w:eastAsia="lv-LV"/>
              </w:rPr>
              <w:tab/>
              <w:t>Lūdzam anotācijā skaidrot, kā plānots vērtēt noteikumu projekta 32.2.apakšpunktā minēto pieprasītā finansējuma nesamērīgumu un 32.4.apakšpunktā minēto lietderības apsvērumu.</w:t>
            </w:r>
          </w:p>
        </w:tc>
        <w:tc>
          <w:tcPr>
            <w:tcW w:w="2693" w:type="dxa"/>
          </w:tcPr>
          <w:p w:rsidR="00682FC9" w:rsidRPr="007E59E2" w:rsidRDefault="007E59E2" w:rsidP="00682FC9">
            <w:pPr>
              <w:spacing w:after="0" w:line="240" w:lineRule="auto"/>
              <w:jc w:val="center"/>
              <w:rPr>
                <w:rFonts w:ascii="Times New Roman" w:eastAsia="Times New Roman" w:hAnsi="Times New Roman"/>
                <w:b/>
                <w:bCs/>
                <w:sz w:val="24"/>
                <w:szCs w:val="24"/>
                <w:lang w:eastAsia="lv-LV"/>
              </w:rPr>
            </w:pPr>
            <w:r w:rsidRPr="007E59E2">
              <w:rPr>
                <w:rFonts w:ascii="Times New Roman" w:eastAsia="Times New Roman" w:hAnsi="Times New Roman"/>
                <w:b/>
                <w:bCs/>
                <w:sz w:val="24"/>
                <w:szCs w:val="24"/>
                <w:lang w:eastAsia="lv-LV"/>
              </w:rPr>
              <w:t>Iebildums ņemts vērā</w:t>
            </w: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r w:rsidRPr="00E9401A">
              <w:rPr>
                <w:rFonts w:ascii="Times New Roman" w:eastAsia="Times New Roman" w:hAnsi="Times New Roman"/>
                <w:color w:val="000000"/>
                <w:sz w:val="24"/>
                <w:szCs w:val="24"/>
                <w:lang w:eastAsia="lv-LV"/>
              </w:rPr>
              <w:t>Skat precizēto anotāciju.</w:t>
            </w:r>
          </w:p>
        </w:tc>
      </w:tr>
      <w:tr w:rsidR="00682FC9" w:rsidRPr="005A0CE3" w:rsidTr="009C6F70">
        <w:tc>
          <w:tcPr>
            <w:tcW w:w="709" w:type="dxa"/>
          </w:tcPr>
          <w:p w:rsidR="00682FC9" w:rsidRPr="005A0CE3" w:rsidRDefault="00164D0E" w:rsidP="00682FC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17.</w:t>
            </w: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r w:rsidRPr="00E9401A">
              <w:rPr>
                <w:rFonts w:ascii="Times New Roman" w:eastAsia="Times New Roman" w:hAnsi="Times New Roman"/>
                <w:color w:val="000000"/>
                <w:sz w:val="24"/>
                <w:szCs w:val="24"/>
                <w:lang w:eastAsia="lv-LV"/>
              </w:rPr>
              <w:t>Skat anotāciju.</w:t>
            </w:r>
          </w:p>
        </w:tc>
        <w:tc>
          <w:tcPr>
            <w:tcW w:w="4252" w:type="dxa"/>
          </w:tcPr>
          <w:p w:rsidR="00682FC9" w:rsidRPr="00FD2E26" w:rsidRDefault="00682FC9" w:rsidP="00682FC9">
            <w:pPr>
              <w:spacing w:after="0" w:line="240" w:lineRule="auto"/>
              <w:jc w:val="center"/>
              <w:rPr>
                <w:rFonts w:ascii="Times New Roman" w:eastAsia="Times New Roman" w:hAnsi="Times New Roman"/>
                <w:b/>
                <w:sz w:val="24"/>
                <w:szCs w:val="24"/>
                <w:lang w:eastAsia="lv-LV"/>
              </w:rPr>
            </w:pPr>
            <w:r w:rsidRPr="00FD2E26">
              <w:rPr>
                <w:rFonts w:ascii="Times New Roman" w:eastAsia="Times New Roman" w:hAnsi="Times New Roman"/>
                <w:b/>
                <w:sz w:val="24"/>
                <w:szCs w:val="24"/>
                <w:lang w:eastAsia="lv-LV"/>
              </w:rPr>
              <w:t>Finanšu ministrija</w:t>
            </w:r>
          </w:p>
          <w:p w:rsidR="00682FC9" w:rsidRPr="00FD2E26" w:rsidRDefault="00682FC9" w:rsidP="00682F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 </w:t>
            </w:r>
            <w:r w:rsidRPr="00FD2E26">
              <w:rPr>
                <w:rFonts w:ascii="Times New Roman" w:eastAsia="Times New Roman" w:hAnsi="Times New Roman"/>
                <w:sz w:val="24"/>
                <w:szCs w:val="24"/>
                <w:lang w:eastAsia="lv-LV"/>
              </w:rPr>
              <w:t xml:space="preserve">Ņemot vērā anotācijas VII sadaļas 2.punktā norādīto informāciju, ka projekta izpilde tiks nodrošināta esošajās institūcijās ar tām pieejamiem resursiem esošā budžeta ietvaros, lūdzam precizēt anotācijas III sadaļu, aizpildot to atbilstoši Ministru kabineta 2009.gada 15.decembra instrukcijas Nr.19 “Tiesību akta projekta sākotnējās ietekmes izvērtēšanas kārtība” IV nodaļā noteiktajam, precizējot gadus un norādot Zemkopības ministrijas budžetā šim mērķim pieejamo finansējumu, </w:t>
            </w:r>
            <w:r w:rsidRPr="008B3D77">
              <w:rPr>
                <w:rFonts w:ascii="Times New Roman" w:eastAsia="Times New Roman" w:hAnsi="Times New Roman"/>
                <w:sz w:val="24"/>
                <w:szCs w:val="24"/>
                <w:u w:val="single"/>
                <w:lang w:eastAsia="lv-LV"/>
              </w:rPr>
              <w:t>vai arī</w:t>
            </w:r>
            <w:r w:rsidRPr="00FD2E26">
              <w:rPr>
                <w:rFonts w:ascii="Times New Roman" w:eastAsia="Times New Roman" w:hAnsi="Times New Roman"/>
                <w:sz w:val="24"/>
                <w:szCs w:val="24"/>
                <w:lang w:eastAsia="lv-LV"/>
              </w:rPr>
              <w:t xml:space="preserve"> aizpildot to atbilstoši iepriekš minētās instrukcijas 6.punktā noteiktajam, ņemot vērā, ka atbilstoši anotācijā sniegtajai informācijai noteikumu projekts nerada ietekmi uz valsts budžetu, un anotācijas I sadaļas 2.punktā noslēgumā sniegt informāciju par Zemkopības ministrijas budžetā šim mērķim pieejamo finansējumu.</w:t>
            </w:r>
          </w:p>
        </w:tc>
        <w:tc>
          <w:tcPr>
            <w:tcW w:w="2693" w:type="dxa"/>
          </w:tcPr>
          <w:p w:rsidR="00682FC9" w:rsidRPr="005A0CE3" w:rsidRDefault="00682FC9" w:rsidP="00682FC9">
            <w:pPr>
              <w:spacing w:after="0" w:line="240" w:lineRule="auto"/>
              <w:jc w:val="center"/>
              <w:rPr>
                <w:rFonts w:ascii="Times New Roman" w:eastAsia="Times New Roman" w:hAnsi="Times New Roman"/>
                <w:sz w:val="24"/>
                <w:szCs w:val="24"/>
                <w:lang w:eastAsia="lv-LV"/>
              </w:rPr>
            </w:pP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r w:rsidRPr="00E9401A">
              <w:rPr>
                <w:rFonts w:ascii="Times New Roman" w:eastAsia="Times New Roman" w:hAnsi="Times New Roman"/>
                <w:color w:val="000000"/>
                <w:sz w:val="24"/>
                <w:szCs w:val="24"/>
                <w:lang w:eastAsia="lv-LV"/>
              </w:rPr>
              <w:t>Skat precizēto anotāciju.</w:t>
            </w:r>
          </w:p>
        </w:tc>
      </w:tr>
      <w:tr w:rsidR="00682FC9" w:rsidRPr="005A0CE3" w:rsidTr="009C6F70">
        <w:tc>
          <w:tcPr>
            <w:tcW w:w="709" w:type="dxa"/>
          </w:tcPr>
          <w:p w:rsidR="00682FC9" w:rsidRPr="005A0CE3" w:rsidRDefault="00682FC9" w:rsidP="00682FC9">
            <w:pPr>
              <w:spacing w:after="0" w:line="240" w:lineRule="auto"/>
              <w:jc w:val="center"/>
              <w:rPr>
                <w:rFonts w:ascii="Times New Roman" w:eastAsia="Times New Roman" w:hAnsi="Times New Roman"/>
                <w:sz w:val="24"/>
                <w:szCs w:val="24"/>
                <w:lang w:eastAsia="lv-LV"/>
              </w:rPr>
            </w:pP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p>
        </w:tc>
        <w:tc>
          <w:tcPr>
            <w:tcW w:w="4252" w:type="dxa"/>
          </w:tcPr>
          <w:p w:rsidR="00682FC9" w:rsidRDefault="00682FC9" w:rsidP="00682FC9">
            <w:pPr>
              <w:spacing w:after="0" w:line="240" w:lineRule="auto"/>
              <w:jc w:val="both"/>
              <w:rPr>
                <w:rFonts w:ascii="Times New Roman" w:eastAsia="Times New Roman" w:hAnsi="Times New Roman"/>
                <w:sz w:val="24"/>
                <w:szCs w:val="24"/>
                <w:lang w:eastAsia="lv-LV"/>
              </w:rPr>
            </w:pPr>
          </w:p>
          <w:p w:rsidR="00682FC9" w:rsidRPr="00FD2E26" w:rsidRDefault="00682FC9" w:rsidP="00682FC9">
            <w:pPr>
              <w:spacing w:after="0" w:line="240" w:lineRule="auto"/>
              <w:jc w:val="both"/>
              <w:rPr>
                <w:rFonts w:ascii="Times New Roman" w:eastAsia="Times New Roman" w:hAnsi="Times New Roman"/>
                <w:sz w:val="24"/>
                <w:szCs w:val="24"/>
                <w:lang w:eastAsia="lv-LV"/>
              </w:rPr>
            </w:pPr>
          </w:p>
        </w:tc>
        <w:tc>
          <w:tcPr>
            <w:tcW w:w="2693" w:type="dxa"/>
          </w:tcPr>
          <w:p w:rsidR="00682FC9" w:rsidRPr="005A0CE3" w:rsidRDefault="00682FC9" w:rsidP="00682FC9">
            <w:pPr>
              <w:spacing w:after="0" w:line="240" w:lineRule="auto"/>
              <w:jc w:val="center"/>
              <w:rPr>
                <w:rFonts w:ascii="Times New Roman" w:eastAsia="Times New Roman" w:hAnsi="Times New Roman"/>
                <w:sz w:val="24"/>
                <w:szCs w:val="24"/>
                <w:lang w:eastAsia="lv-LV"/>
              </w:rPr>
            </w:pPr>
          </w:p>
        </w:tc>
        <w:tc>
          <w:tcPr>
            <w:tcW w:w="3119" w:type="dxa"/>
          </w:tcPr>
          <w:p w:rsidR="00682FC9" w:rsidRPr="005A0CE3" w:rsidRDefault="00682FC9" w:rsidP="00682FC9">
            <w:pPr>
              <w:spacing w:after="0"/>
              <w:jc w:val="both"/>
              <w:rPr>
                <w:rFonts w:ascii="Times New Roman" w:eastAsia="Times New Roman" w:hAnsi="Times New Roman"/>
                <w:color w:val="000000"/>
                <w:sz w:val="24"/>
                <w:szCs w:val="24"/>
                <w:lang w:eastAsia="lv-LV"/>
              </w:rPr>
            </w:pPr>
          </w:p>
        </w:tc>
      </w:tr>
    </w:tbl>
    <w:p w:rsidR="00F12715" w:rsidRPr="005A0CE3" w:rsidRDefault="00F12715" w:rsidP="00F12715">
      <w:pPr>
        <w:spacing w:after="0"/>
        <w:rPr>
          <w:vanish/>
          <w:sz w:val="24"/>
          <w:szCs w:val="24"/>
        </w:rPr>
      </w:pPr>
    </w:p>
    <w:tbl>
      <w:tblPr>
        <w:tblpPr w:leftFromText="180" w:rightFromText="180" w:vertAnchor="text" w:horzAnchor="margin" w:tblpY="43"/>
        <w:tblW w:w="14040" w:type="dxa"/>
        <w:tblLayout w:type="fixed"/>
        <w:tblCellMar>
          <w:left w:w="0" w:type="dxa"/>
          <w:right w:w="0" w:type="dxa"/>
        </w:tblCellMar>
        <w:tblLook w:val="0000" w:firstRow="0" w:lastRow="0" w:firstColumn="0" w:lastColumn="0" w:noHBand="0" w:noVBand="0"/>
      </w:tblPr>
      <w:tblGrid>
        <w:gridCol w:w="3107"/>
        <w:gridCol w:w="6480"/>
        <w:gridCol w:w="4453"/>
      </w:tblGrid>
      <w:tr w:rsidR="00F12715" w:rsidRPr="005A0CE3" w:rsidTr="00E04888">
        <w:tc>
          <w:tcPr>
            <w:tcW w:w="3107" w:type="dxa"/>
            <w:vAlign w:val="center"/>
          </w:tcPr>
          <w:p w:rsidR="00F12715" w:rsidRPr="005A0CE3" w:rsidRDefault="00F12715" w:rsidP="00E04888">
            <w:pPr>
              <w:suppressAutoHyphens/>
              <w:spacing w:before="75" w:after="75" w:line="240" w:lineRule="auto"/>
              <w:rPr>
                <w:rFonts w:ascii="Times New Roman" w:eastAsia="Times New Roman" w:hAnsi="Times New Roman"/>
                <w:sz w:val="24"/>
                <w:szCs w:val="24"/>
                <w:lang w:eastAsia="ar-SA"/>
              </w:rPr>
            </w:pPr>
            <w:r w:rsidRPr="005A0CE3">
              <w:rPr>
                <w:rFonts w:ascii="Times New Roman" w:eastAsia="Times New Roman" w:hAnsi="Times New Roman"/>
                <w:sz w:val="24"/>
                <w:szCs w:val="24"/>
                <w:lang w:eastAsia="ar-SA"/>
              </w:rPr>
              <w:t>Atbildīgā amatpersona</w:t>
            </w:r>
          </w:p>
        </w:tc>
        <w:tc>
          <w:tcPr>
            <w:tcW w:w="6480" w:type="dxa"/>
            <w:vAlign w:val="center"/>
          </w:tcPr>
          <w:p w:rsidR="00F12715" w:rsidRPr="005A0CE3" w:rsidRDefault="00F12715" w:rsidP="00E04888">
            <w:pPr>
              <w:suppressAutoHyphens/>
              <w:snapToGrid w:val="0"/>
              <w:spacing w:before="75" w:after="75" w:line="240" w:lineRule="auto"/>
              <w:rPr>
                <w:rFonts w:ascii="Times New Roman" w:eastAsia="Times New Roman" w:hAnsi="Times New Roman"/>
                <w:sz w:val="24"/>
                <w:szCs w:val="24"/>
                <w:lang w:eastAsia="ar-SA"/>
              </w:rPr>
            </w:pPr>
            <w:r w:rsidRPr="005A0CE3">
              <w:rPr>
                <w:rFonts w:ascii="Times New Roman" w:eastAsia="Times New Roman" w:hAnsi="Times New Roman"/>
                <w:sz w:val="24"/>
                <w:szCs w:val="24"/>
                <w:lang w:eastAsia="ar-SA"/>
              </w:rPr>
              <w:t>  </w:t>
            </w:r>
          </w:p>
        </w:tc>
        <w:tc>
          <w:tcPr>
            <w:tcW w:w="4453" w:type="dxa"/>
            <w:vAlign w:val="center"/>
          </w:tcPr>
          <w:p w:rsidR="00F12715" w:rsidRPr="005A0CE3" w:rsidRDefault="00F12715" w:rsidP="00E04888">
            <w:pPr>
              <w:snapToGrid w:val="0"/>
              <w:spacing w:before="75" w:after="75" w:line="240" w:lineRule="auto"/>
              <w:ind w:firstLine="375"/>
              <w:jc w:val="both"/>
              <w:rPr>
                <w:rFonts w:ascii="Times New Roman" w:eastAsia="Times New Roman" w:hAnsi="Times New Roman"/>
                <w:i/>
                <w:sz w:val="24"/>
                <w:szCs w:val="24"/>
                <w:lang w:eastAsia="ru-RU"/>
              </w:rPr>
            </w:pPr>
          </w:p>
        </w:tc>
      </w:tr>
      <w:tr w:rsidR="00F12715" w:rsidRPr="005A0CE3" w:rsidTr="00E04888">
        <w:tc>
          <w:tcPr>
            <w:tcW w:w="3107" w:type="dxa"/>
            <w:vAlign w:val="center"/>
          </w:tcPr>
          <w:p w:rsidR="00F12715" w:rsidRPr="005A0CE3" w:rsidRDefault="00F12715" w:rsidP="00E04888">
            <w:pPr>
              <w:suppressAutoHyphens/>
              <w:snapToGrid w:val="0"/>
              <w:spacing w:before="75" w:after="75" w:line="240" w:lineRule="auto"/>
              <w:rPr>
                <w:rFonts w:ascii="Times New Roman" w:eastAsia="Times New Roman" w:hAnsi="Times New Roman"/>
                <w:sz w:val="24"/>
                <w:szCs w:val="24"/>
                <w:lang w:eastAsia="ar-SA"/>
              </w:rPr>
            </w:pPr>
            <w:r w:rsidRPr="005A0CE3">
              <w:rPr>
                <w:rFonts w:ascii="Times New Roman" w:eastAsia="Times New Roman" w:hAnsi="Times New Roman"/>
                <w:sz w:val="24"/>
                <w:szCs w:val="24"/>
                <w:lang w:eastAsia="ar-SA"/>
              </w:rPr>
              <w:t> </w:t>
            </w:r>
          </w:p>
        </w:tc>
        <w:tc>
          <w:tcPr>
            <w:tcW w:w="6480" w:type="dxa"/>
            <w:tcBorders>
              <w:top w:val="single" w:sz="8" w:space="0" w:color="000000"/>
            </w:tcBorders>
            <w:vAlign w:val="center"/>
          </w:tcPr>
          <w:p w:rsidR="00F12715" w:rsidRPr="005A0CE3" w:rsidRDefault="00F12715" w:rsidP="00E04888">
            <w:pPr>
              <w:snapToGrid w:val="0"/>
              <w:spacing w:before="100" w:beforeAutospacing="1" w:after="100" w:afterAutospacing="1"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(paraksts)</w:t>
            </w:r>
          </w:p>
        </w:tc>
        <w:tc>
          <w:tcPr>
            <w:tcW w:w="4453" w:type="dxa"/>
            <w:vAlign w:val="center"/>
          </w:tcPr>
          <w:p w:rsidR="00F12715" w:rsidRPr="005A0CE3" w:rsidRDefault="00F12715" w:rsidP="00E04888">
            <w:pPr>
              <w:snapToGrid w:val="0"/>
              <w:spacing w:before="75" w:after="75" w:line="240" w:lineRule="auto"/>
              <w:ind w:firstLine="375"/>
              <w:jc w:val="both"/>
              <w:rPr>
                <w:rFonts w:ascii="Times New Roman" w:eastAsia="Times New Roman" w:hAnsi="Times New Roman"/>
                <w:sz w:val="24"/>
                <w:szCs w:val="24"/>
                <w:lang w:eastAsia="ru-RU"/>
              </w:rPr>
            </w:pPr>
            <w:r w:rsidRPr="005A0CE3">
              <w:rPr>
                <w:rFonts w:ascii="Times New Roman" w:eastAsia="Times New Roman" w:hAnsi="Times New Roman"/>
                <w:sz w:val="24"/>
                <w:szCs w:val="24"/>
                <w:lang w:eastAsia="ru-RU"/>
              </w:rPr>
              <w:t> </w:t>
            </w:r>
          </w:p>
        </w:tc>
      </w:tr>
    </w:tbl>
    <w:p w:rsidR="00A556DB" w:rsidRDefault="00A556DB" w:rsidP="00A556DB">
      <w:pPr>
        <w:pStyle w:val="naisf"/>
        <w:rPr>
          <w:color w:val="000000"/>
        </w:rPr>
      </w:pPr>
      <w:r w:rsidRPr="00351640">
        <w:rPr>
          <w:color w:val="000000"/>
        </w:rPr>
        <w:t>Piezīme. * Dokumenta rekvizītu "paraksts" neaizpilda, ja elektroniskais dokuments ir sagatavots atbilstoši normatīvajiem aktiem par elektronisko dokumentu noformēšanu.</w:t>
      </w:r>
    </w:p>
    <w:p w:rsidR="00A556DB" w:rsidRDefault="00A556DB" w:rsidP="00A556DB">
      <w:pPr>
        <w:pStyle w:val="naisf"/>
        <w:rPr>
          <w:color w:val="000000"/>
        </w:rPr>
      </w:pPr>
    </w:p>
    <w:p w:rsidR="00A556DB" w:rsidRPr="00351640" w:rsidRDefault="00A556DB" w:rsidP="00A556DB">
      <w:pPr>
        <w:pStyle w:val="naisf"/>
        <w:spacing w:before="0" w:after="0"/>
        <w:ind w:firstLine="3686"/>
        <w:jc w:val="left"/>
        <w:rPr>
          <w:color w:val="000000"/>
        </w:rPr>
      </w:pPr>
      <w:r w:rsidRPr="00351640">
        <w:rPr>
          <w:color w:val="000000"/>
        </w:rPr>
        <w:t>Jānis Bārs</w:t>
      </w:r>
    </w:p>
    <w:tbl>
      <w:tblPr>
        <w:tblW w:w="0" w:type="auto"/>
        <w:tblCellSpacing w:w="0" w:type="dxa"/>
        <w:tblCellMar>
          <w:left w:w="0" w:type="dxa"/>
          <w:right w:w="0" w:type="dxa"/>
        </w:tblCellMar>
        <w:tblLook w:val="04A0" w:firstRow="1" w:lastRow="0" w:firstColumn="1" w:lastColumn="0" w:noHBand="0" w:noVBand="1"/>
      </w:tblPr>
      <w:tblGrid>
        <w:gridCol w:w="8265"/>
      </w:tblGrid>
      <w:tr w:rsidR="00A556DB" w:rsidRPr="00351640" w:rsidTr="0051302B">
        <w:trPr>
          <w:tblCellSpacing w:w="0" w:type="dxa"/>
        </w:trPr>
        <w:tc>
          <w:tcPr>
            <w:tcW w:w="8265" w:type="dxa"/>
            <w:tcBorders>
              <w:top w:val="single" w:sz="8" w:space="0" w:color="000000"/>
              <w:left w:val="nil"/>
              <w:bottom w:val="nil"/>
              <w:right w:val="nil"/>
            </w:tcBorders>
            <w:hideMark/>
          </w:tcPr>
          <w:p w:rsidR="00A556DB" w:rsidRPr="00351640" w:rsidRDefault="00A556DB" w:rsidP="0051302B">
            <w:pPr>
              <w:pStyle w:val="naisc"/>
              <w:spacing w:before="0" w:after="0"/>
              <w:rPr>
                <w:color w:val="000000"/>
                <w:lang w:eastAsia="en-US"/>
              </w:rPr>
            </w:pPr>
            <w:r w:rsidRPr="00351640">
              <w:rPr>
                <w:color w:val="000000"/>
                <w:lang w:eastAsia="en-US"/>
              </w:rPr>
              <w:t>(par projektu atbildīgās amatpersonas vārds un uzvārds)</w:t>
            </w:r>
          </w:p>
          <w:p w:rsidR="00A556DB" w:rsidRPr="00351640" w:rsidRDefault="00A556DB" w:rsidP="0051302B">
            <w:pPr>
              <w:pStyle w:val="naisc"/>
              <w:spacing w:before="0" w:after="0"/>
              <w:rPr>
                <w:color w:val="000000"/>
                <w:lang w:eastAsia="en-US"/>
              </w:rPr>
            </w:pPr>
          </w:p>
        </w:tc>
      </w:tr>
      <w:tr w:rsidR="00A556DB" w:rsidRPr="00351640" w:rsidTr="0051302B">
        <w:trPr>
          <w:tblCellSpacing w:w="0" w:type="dxa"/>
        </w:trPr>
        <w:tc>
          <w:tcPr>
            <w:tcW w:w="8265" w:type="dxa"/>
            <w:tcBorders>
              <w:top w:val="nil"/>
              <w:left w:val="nil"/>
              <w:bottom w:val="single" w:sz="8" w:space="0" w:color="000000"/>
              <w:right w:val="nil"/>
            </w:tcBorders>
            <w:hideMark/>
          </w:tcPr>
          <w:p w:rsidR="00A556DB" w:rsidRPr="00351640" w:rsidRDefault="00A556DB" w:rsidP="0051302B">
            <w:pPr>
              <w:pStyle w:val="naisf"/>
              <w:spacing w:before="0" w:after="0"/>
              <w:ind w:firstLine="0"/>
              <w:jc w:val="center"/>
              <w:rPr>
                <w:color w:val="000000"/>
                <w:lang w:eastAsia="en-US"/>
              </w:rPr>
            </w:pPr>
            <w:r w:rsidRPr="00351640">
              <w:rPr>
                <w:color w:val="000000"/>
                <w:lang w:eastAsia="en-US"/>
              </w:rPr>
              <w:t>Meža departamenta Meža resursu un medību nodaļas vecākais referents</w:t>
            </w:r>
          </w:p>
        </w:tc>
      </w:tr>
      <w:tr w:rsidR="00A556DB" w:rsidRPr="00351640" w:rsidTr="0051302B">
        <w:trPr>
          <w:tblCellSpacing w:w="0" w:type="dxa"/>
        </w:trPr>
        <w:tc>
          <w:tcPr>
            <w:tcW w:w="0" w:type="auto"/>
            <w:vAlign w:val="center"/>
            <w:hideMark/>
          </w:tcPr>
          <w:p w:rsidR="00A556DB" w:rsidRPr="00351640" w:rsidRDefault="00A556DB" w:rsidP="0051302B">
            <w:pPr>
              <w:pStyle w:val="naisc"/>
              <w:spacing w:before="0" w:after="0"/>
              <w:rPr>
                <w:color w:val="000000"/>
                <w:lang w:eastAsia="en-US"/>
              </w:rPr>
            </w:pPr>
            <w:r w:rsidRPr="00351640">
              <w:rPr>
                <w:color w:val="000000"/>
                <w:lang w:eastAsia="en-US"/>
              </w:rPr>
              <w:t>(amats)</w:t>
            </w:r>
          </w:p>
          <w:p w:rsidR="00A556DB" w:rsidRPr="00351640" w:rsidRDefault="00A556DB" w:rsidP="0051302B">
            <w:pPr>
              <w:pStyle w:val="naisc"/>
              <w:spacing w:before="0" w:after="0"/>
              <w:rPr>
                <w:color w:val="000000"/>
                <w:lang w:eastAsia="en-US"/>
              </w:rPr>
            </w:pPr>
          </w:p>
        </w:tc>
      </w:tr>
      <w:tr w:rsidR="00A556DB" w:rsidRPr="00351640" w:rsidTr="0051302B">
        <w:trPr>
          <w:tblCellSpacing w:w="0" w:type="dxa"/>
        </w:trPr>
        <w:tc>
          <w:tcPr>
            <w:tcW w:w="0" w:type="auto"/>
            <w:tcBorders>
              <w:top w:val="nil"/>
              <w:left w:val="nil"/>
              <w:bottom w:val="single" w:sz="8" w:space="0" w:color="000000"/>
              <w:right w:val="nil"/>
            </w:tcBorders>
            <w:vAlign w:val="center"/>
            <w:hideMark/>
          </w:tcPr>
          <w:p w:rsidR="00A556DB" w:rsidRPr="00351640" w:rsidRDefault="00A556DB" w:rsidP="0051302B">
            <w:pPr>
              <w:pStyle w:val="naisf"/>
              <w:spacing w:before="0" w:after="0"/>
              <w:ind w:firstLine="0"/>
              <w:jc w:val="center"/>
              <w:rPr>
                <w:color w:val="000000"/>
                <w:lang w:eastAsia="en-US"/>
              </w:rPr>
            </w:pPr>
            <w:r w:rsidRPr="00351640">
              <w:rPr>
                <w:color w:val="000000"/>
                <w:lang w:eastAsia="en-US"/>
              </w:rPr>
              <w:t>67027554</w:t>
            </w:r>
          </w:p>
        </w:tc>
      </w:tr>
      <w:tr w:rsidR="00A556DB" w:rsidRPr="00351640" w:rsidTr="0051302B">
        <w:trPr>
          <w:tblCellSpacing w:w="0" w:type="dxa"/>
        </w:trPr>
        <w:tc>
          <w:tcPr>
            <w:tcW w:w="0" w:type="auto"/>
            <w:vAlign w:val="center"/>
            <w:hideMark/>
          </w:tcPr>
          <w:p w:rsidR="00A556DB" w:rsidRPr="00351640" w:rsidRDefault="00A556DB" w:rsidP="0051302B">
            <w:pPr>
              <w:pStyle w:val="naisc"/>
              <w:spacing w:before="0" w:after="0"/>
              <w:rPr>
                <w:color w:val="000000"/>
                <w:lang w:eastAsia="en-US"/>
              </w:rPr>
            </w:pPr>
            <w:r w:rsidRPr="00351640">
              <w:rPr>
                <w:color w:val="000000"/>
                <w:lang w:eastAsia="en-US"/>
              </w:rPr>
              <w:t>(tālruņa un faksa numurs)</w:t>
            </w:r>
          </w:p>
          <w:p w:rsidR="00A556DB" w:rsidRPr="00351640" w:rsidRDefault="00A556DB" w:rsidP="0051302B">
            <w:pPr>
              <w:pStyle w:val="naisc"/>
              <w:spacing w:before="0" w:after="0"/>
              <w:rPr>
                <w:color w:val="000000"/>
                <w:lang w:eastAsia="en-US"/>
              </w:rPr>
            </w:pPr>
          </w:p>
        </w:tc>
      </w:tr>
      <w:tr w:rsidR="00A556DB" w:rsidRPr="00351640" w:rsidTr="0051302B">
        <w:trPr>
          <w:tblCellSpacing w:w="0" w:type="dxa"/>
        </w:trPr>
        <w:tc>
          <w:tcPr>
            <w:tcW w:w="0" w:type="auto"/>
            <w:tcBorders>
              <w:top w:val="nil"/>
              <w:left w:val="nil"/>
              <w:bottom w:val="single" w:sz="8" w:space="0" w:color="000000"/>
              <w:right w:val="nil"/>
            </w:tcBorders>
            <w:vAlign w:val="center"/>
            <w:hideMark/>
          </w:tcPr>
          <w:p w:rsidR="00A556DB" w:rsidRPr="00351640" w:rsidRDefault="00A556DB" w:rsidP="0051302B">
            <w:pPr>
              <w:pStyle w:val="naisf"/>
              <w:spacing w:before="0" w:after="0"/>
              <w:ind w:firstLine="0"/>
              <w:jc w:val="center"/>
              <w:rPr>
                <w:color w:val="000000"/>
                <w:lang w:eastAsia="en-US"/>
              </w:rPr>
            </w:pPr>
            <w:r w:rsidRPr="00351640">
              <w:rPr>
                <w:color w:val="000000"/>
                <w:lang w:eastAsia="en-US"/>
              </w:rPr>
              <w:t>janis.bars@zm.gov.lv</w:t>
            </w:r>
          </w:p>
        </w:tc>
      </w:tr>
    </w:tbl>
    <w:p w:rsidR="00F12715" w:rsidRPr="005A0CE3" w:rsidRDefault="00F12715" w:rsidP="00F12715">
      <w:pPr>
        <w:pStyle w:val="Bezatstarpm"/>
        <w:rPr>
          <w:sz w:val="24"/>
          <w:szCs w:val="24"/>
        </w:rPr>
      </w:pPr>
      <w:bookmarkStart w:id="3" w:name="_GoBack"/>
      <w:bookmarkEnd w:id="3"/>
    </w:p>
    <w:sectPr w:rsidR="00F12715" w:rsidRPr="005A0CE3" w:rsidSect="00B97A24">
      <w:headerReference w:type="default" r:id="rId7"/>
      <w:footerReference w:type="default" r:id="rId8"/>
      <w:footerReference w:type="first" r:id="rId9"/>
      <w:pgSz w:w="16838" w:h="11906" w:orient="landscape"/>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EF" w:rsidRDefault="001606EF" w:rsidP="00DF1E61">
      <w:pPr>
        <w:spacing w:after="0" w:line="240" w:lineRule="auto"/>
      </w:pPr>
      <w:r>
        <w:separator/>
      </w:r>
    </w:p>
  </w:endnote>
  <w:endnote w:type="continuationSeparator" w:id="0">
    <w:p w:rsidR="001606EF" w:rsidRDefault="001606EF" w:rsidP="00DF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61" w:rsidRPr="00CA1BAC" w:rsidRDefault="00CA1BAC" w:rsidP="00CA1BAC">
    <w:pPr>
      <w:pStyle w:val="Kjene"/>
    </w:pPr>
    <w:r w:rsidRPr="00CA1BAC">
      <w:rPr>
        <w:rFonts w:ascii="Times New Roman" w:hAnsi="Times New Roman"/>
        <w:sz w:val="20"/>
        <w:szCs w:val="20"/>
      </w:rPr>
      <w:t>ZMizz_150720_msaf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DB" w:rsidRPr="00CA1BAC" w:rsidRDefault="00CA1BAC" w:rsidP="00CA1BAC">
    <w:pPr>
      <w:pStyle w:val="Kjene"/>
    </w:pPr>
    <w:r w:rsidRPr="00CA1BAC">
      <w:rPr>
        <w:rFonts w:ascii="Times New Roman" w:hAnsi="Times New Roman"/>
        <w:sz w:val="20"/>
        <w:szCs w:val="20"/>
      </w:rPr>
      <w:t>ZMizz_150720_msaf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EF" w:rsidRDefault="001606EF" w:rsidP="00DF1E61">
      <w:pPr>
        <w:spacing w:after="0" w:line="240" w:lineRule="auto"/>
      </w:pPr>
      <w:r>
        <w:separator/>
      </w:r>
    </w:p>
  </w:footnote>
  <w:footnote w:type="continuationSeparator" w:id="0">
    <w:p w:rsidR="001606EF" w:rsidRDefault="001606EF" w:rsidP="00DF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07716"/>
      <w:docPartObj>
        <w:docPartGallery w:val="Page Numbers (Top of Page)"/>
        <w:docPartUnique/>
      </w:docPartObj>
    </w:sdtPr>
    <w:sdtEndPr>
      <w:rPr>
        <w:rFonts w:ascii="Times New Roman" w:hAnsi="Times New Roman"/>
        <w:sz w:val="24"/>
        <w:szCs w:val="24"/>
      </w:rPr>
    </w:sdtEndPr>
    <w:sdtContent>
      <w:p w:rsidR="003A4F17" w:rsidRPr="00A556DB" w:rsidRDefault="004078C7">
        <w:pPr>
          <w:pStyle w:val="Galvene"/>
          <w:jc w:val="center"/>
          <w:rPr>
            <w:rFonts w:ascii="Times New Roman" w:hAnsi="Times New Roman"/>
            <w:sz w:val="24"/>
            <w:szCs w:val="24"/>
          </w:rPr>
        </w:pPr>
        <w:r w:rsidRPr="00A556DB">
          <w:rPr>
            <w:rFonts w:ascii="Times New Roman" w:hAnsi="Times New Roman"/>
            <w:sz w:val="24"/>
            <w:szCs w:val="24"/>
          </w:rPr>
          <w:fldChar w:fldCharType="begin"/>
        </w:r>
        <w:r w:rsidR="003A4F17" w:rsidRPr="00A556DB">
          <w:rPr>
            <w:rFonts w:ascii="Times New Roman" w:hAnsi="Times New Roman"/>
            <w:sz w:val="24"/>
            <w:szCs w:val="24"/>
          </w:rPr>
          <w:instrText>PAGE   \* MERGEFORMAT</w:instrText>
        </w:r>
        <w:r w:rsidRPr="00A556DB">
          <w:rPr>
            <w:rFonts w:ascii="Times New Roman" w:hAnsi="Times New Roman"/>
            <w:sz w:val="24"/>
            <w:szCs w:val="24"/>
          </w:rPr>
          <w:fldChar w:fldCharType="separate"/>
        </w:r>
        <w:r w:rsidR="004C582D">
          <w:rPr>
            <w:rFonts w:ascii="Times New Roman" w:hAnsi="Times New Roman"/>
            <w:noProof/>
            <w:sz w:val="24"/>
            <w:szCs w:val="24"/>
          </w:rPr>
          <w:t>2</w:t>
        </w:r>
        <w:r w:rsidRPr="00A556DB">
          <w:rPr>
            <w:rFonts w:ascii="Times New Roman" w:hAnsi="Times New Roman"/>
            <w:sz w:val="24"/>
            <w:szCs w:val="24"/>
          </w:rPr>
          <w:fldChar w:fldCharType="end"/>
        </w:r>
      </w:p>
    </w:sdtContent>
  </w:sdt>
  <w:p w:rsidR="003A4F17" w:rsidRDefault="003A4F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42CD"/>
    <w:multiLevelType w:val="hybridMultilevel"/>
    <w:tmpl w:val="2B666E08"/>
    <w:lvl w:ilvl="0" w:tplc="61A0ACA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701C1F"/>
    <w:multiLevelType w:val="hybridMultilevel"/>
    <w:tmpl w:val="F48A168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715"/>
    <w:rsid w:val="0000632C"/>
    <w:rsid w:val="000142F6"/>
    <w:rsid w:val="00014678"/>
    <w:rsid w:val="000147C5"/>
    <w:rsid w:val="000200C8"/>
    <w:rsid w:val="000215DF"/>
    <w:rsid w:val="00023583"/>
    <w:rsid w:val="00024C67"/>
    <w:rsid w:val="0003102E"/>
    <w:rsid w:val="0003333F"/>
    <w:rsid w:val="0003446C"/>
    <w:rsid w:val="00037A38"/>
    <w:rsid w:val="00050CF1"/>
    <w:rsid w:val="0005104B"/>
    <w:rsid w:val="00051E53"/>
    <w:rsid w:val="00052B99"/>
    <w:rsid w:val="00054142"/>
    <w:rsid w:val="00065060"/>
    <w:rsid w:val="00066631"/>
    <w:rsid w:val="000702AD"/>
    <w:rsid w:val="00070493"/>
    <w:rsid w:val="00087098"/>
    <w:rsid w:val="0009243A"/>
    <w:rsid w:val="000943A5"/>
    <w:rsid w:val="000B441A"/>
    <w:rsid w:val="000B7DCB"/>
    <w:rsid w:val="000B7E9D"/>
    <w:rsid w:val="000C3CF2"/>
    <w:rsid w:val="000D1543"/>
    <w:rsid w:val="000D7E45"/>
    <w:rsid w:val="000E1140"/>
    <w:rsid w:val="000E71F0"/>
    <w:rsid w:val="000F6818"/>
    <w:rsid w:val="001033EE"/>
    <w:rsid w:val="00103981"/>
    <w:rsid w:val="001110BB"/>
    <w:rsid w:val="0011168B"/>
    <w:rsid w:val="00123614"/>
    <w:rsid w:val="001273BC"/>
    <w:rsid w:val="001276FB"/>
    <w:rsid w:val="00137C4C"/>
    <w:rsid w:val="00140906"/>
    <w:rsid w:val="00145297"/>
    <w:rsid w:val="00152791"/>
    <w:rsid w:val="00152C91"/>
    <w:rsid w:val="00153FB8"/>
    <w:rsid w:val="001577C4"/>
    <w:rsid w:val="001606EF"/>
    <w:rsid w:val="00162A86"/>
    <w:rsid w:val="00164D0E"/>
    <w:rsid w:val="0017052B"/>
    <w:rsid w:val="00171504"/>
    <w:rsid w:val="00190B76"/>
    <w:rsid w:val="0019390D"/>
    <w:rsid w:val="001A21C4"/>
    <w:rsid w:val="001A516B"/>
    <w:rsid w:val="001B473C"/>
    <w:rsid w:val="001B63E1"/>
    <w:rsid w:val="001B749E"/>
    <w:rsid w:val="001C32D9"/>
    <w:rsid w:val="001C4D20"/>
    <w:rsid w:val="001C69E9"/>
    <w:rsid w:val="001D0EB1"/>
    <w:rsid w:val="001D6CF8"/>
    <w:rsid w:val="001D72A6"/>
    <w:rsid w:val="001E401E"/>
    <w:rsid w:val="001F25F3"/>
    <w:rsid w:val="001F76DA"/>
    <w:rsid w:val="002002BE"/>
    <w:rsid w:val="0020541A"/>
    <w:rsid w:val="00207371"/>
    <w:rsid w:val="00207557"/>
    <w:rsid w:val="0021278E"/>
    <w:rsid w:val="002204A5"/>
    <w:rsid w:val="002230A2"/>
    <w:rsid w:val="0022458B"/>
    <w:rsid w:val="00226CC6"/>
    <w:rsid w:val="00230412"/>
    <w:rsid w:val="002334CF"/>
    <w:rsid w:val="00234FD7"/>
    <w:rsid w:val="002358F4"/>
    <w:rsid w:val="002365C6"/>
    <w:rsid w:val="00236B63"/>
    <w:rsid w:val="00237716"/>
    <w:rsid w:val="00242714"/>
    <w:rsid w:val="00243309"/>
    <w:rsid w:val="00246D76"/>
    <w:rsid w:val="0025622C"/>
    <w:rsid w:val="00263BB8"/>
    <w:rsid w:val="00270A71"/>
    <w:rsid w:val="002821C0"/>
    <w:rsid w:val="002822A0"/>
    <w:rsid w:val="0028384D"/>
    <w:rsid w:val="0028505B"/>
    <w:rsid w:val="00286A9B"/>
    <w:rsid w:val="00291765"/>
    <w:rsid w:val="0029403E"/>
    <w:rsid w:val="00297700"/>
    <w:rsid w:val="002A32A5"/>
    <w:rsid w:val="002A42DD"/>
    <w:rsid w:val="002B0E25"/>
    <w:rsid w:val="002B7130"/>
    <w:rsid w:val="002C00DB"/>
    <w:rsid w:val="002C0D77"/>
    <w:rsid w:val="002C1A26"/>
    <w:rsid w:val="002C1FDD"/>
    <w:rsid w:val="002C56E6"/>
    <w:rsid w:val="002D0BFD"/>
    <w:rsid w:val="002D355C"/>
    <w:rsid w:val="002D4262"/>
    <w:rsid w:val="002D4CB1"/>
    <w:rsid w:val="002E3F84"/>
    <w:rsid w:val="002E58C4"/>
    <w:rsid w:val="002F3B79"/>
    <w:rsid w:val="002F76A0"/>
    <w:rsid w:val="002F7775"/>
    <w:rsid w:val="0030047F"/>
    <w:rsid w:val="00300FD9"/>
    <w:rsid w:val="0031128F"/>
    <w:rsid w:val="0031726B"/>
    <w:rsid w:val="003229BB"/>
    <w:rsid w:val="00325323"/>
    <w:rsid w:val="00327DC7"/>
    <w:rsid w:val="00334540"/>
    <w:rsid w:val="0033693B"/>
    <w:rsid w:val="00337D08"/>
    <w:rsid w:val="003430AF"/>
    <w:rsid w:val="003434CB"/>
    <w:rsid w:val="00345E67"/>
    <w:rsid w:val="003469C3"/>
    <w:rsid w:val="00351B36"/>
    <w:rsid w:val="0037437D"/>
    <w:rsid w:val="003803C9"/>
    <w:rsid w:val="0038086F"/>
    <w:rsid w:val="003813D6"/>
    <w:rsid w:val="003939C1"/>
    <w:rsid w:val="00393A1A"/>
    <w:rsid w:val="003A282F"/>
    <w:rsid w:val="003A4F17"/>
    <w:rsid w:val="003B51EB"/>
    <w:rsid w:val="003B6E40"/>
    <w:rsid w:val="003C48BD"/>
    <w:rsid w:val="003C4BE0"/>
    <w:rsid w:val="003C6EAC"/>
    <w:rsid w:val="003D6564"/>
    <w:rsid w:val="003D6F95"/>
    <w:rsid w:val="003E2120"/>
    <w:rsid w:val="003F5B49"/>
    <w:rsid w:val="003F6945"/>
    <w:rsid w:val="004078C7"/>
    <w:rsid w:val="004265DB"/>
    <w:rsid w:val="00432043"/>
    <w:rsid w:val="00432354"/>
    <w:rsid w:val="004415B8"/>
    <w:rsid w:val="00444E55"/>
    <w:rsid w:val="00445991"/>
    <w:rsid w:val="004505CD"/>
    <w:rsid w:val="0045080B"/>
    <w:rsid w:val="00452350"/>
    <w:rsid w:val="0046624A"/>
    <w:rsid w:val="00486E66"/>
    <w:rsid w:val="00490B1F"/>
    <w:rsid w:val="0049616F"/>
    <w:rsid w:val="004A23ED"/>
    <w:rsid w:val="004A31D5"/>
    <w:rsid w:val="004A5F8D"/>
    <w:rsid w:val="004B244E"/>
    <w:rsid w:val="004B75DD"/>
    <w:rsid w:val="004C24C6"/>
    <w:rsid w:val="004C4C2E"/>
    <w:rsid w:val="004C582D"/>
    <w:rsid w:val="004D7C61"/>
    <w:rsid w:val="004E07BC"/>
    <w:rsid w:val="004E1D4F"/>
    <w:rsid w:val="004E3B83"/>
    <w:rsid w:val="004E4B5D"/>
    <w:rsid w:val="004E4E6B"/>
    <w:rsid w:val="004E5BDB"/>
    <w:rsid w:val="004E7112"/>
    <w:rsid w:val="004F0DF9"/>
    <w:rsid w:val="004F2D31"/>
    <w:rsid w:val="004F3AA7"/>
    <w:rsid w:val="00500897"/>
    <w:rsid w:val="00507945"/>
    <w:rsid w:val="0051066E"/>
    <w:rsid w:val="00515352"/>
    <w:rsid w:val="00521106"/>
    <w:rsid w:val="00521524"/>
    <w:rsid w:val="00523B08"/>
    <w:rsid w:val="00526683"/>
    <w:rsid w:val="005313A6"/>
    <w:rsid w:val="00533858"/>
    <w:rsid w:val="00534BCB"/>
    <w:rsid w:val="00537629"/>
    <w:rsid w:val="005401E3"/>
    <w:rsid w:val="005450C8"/>
    <w:rsid w:val="00554A99"/>
    <w:rsid w:val="0055550D"/>
    <w:rsid w:val="005556C7"/>
    <w:rsid w:val="00555AA3"/>
    <w:rsid w:val="00556F8A"/>
    <w:rsid w:val="00560C38"/>
    <w:rsid w:val="00561C88"/>
    <w:rsid w:val="0056301E"/>
    <w:rsid w:val="005653AD"/>
    <w:rsid w:val="00571562"/>
    <w:rsid w:val="005733F7"/>
    <w:rsid w:val="005750B3"/>
    <w:rsid w:val="00576799"/>
    <w:rsid w:val="00583594"/>
    <w:rsid w:val="0058437A"/>
    <w:rsid w:val="00584C30"/>
    <w:rsid w:val="00590967"/>
    <w:rsid w:val="00591D95"/>
    <w:rsid w:val="005940DD"/>
    <w:rsid w:val="005A0CE3"/>
    <w:rsid w:val="005A18BE"/>
    <w:rsid w:val="005A7467"/>
    <w:rsid w:val="005C04BC"/>
    <w:rsid w:val="005C19BF"/>
    <w:rsid w:val="005C4062"/>
    <w:rsid w:val="005C5EA5"/>
    <w:rsid w:val="005C7F17"/>
    <w:rsid w:val="005D159C"/>
    <w:rsid w:val="005D3530"/>
    <w:rsid w:val="005D4804"/>
    <w:rsid w:val="005E0B23"/>
    <w:rsid w:val="005E31D7"/>
    <w:rsid w:val="005E36D7"/>
    <w:rsid w:val="005E43BA"/>
    <w:rsid w:val="005E63A7"/>
    <w:rsid w:val="005E6E00"/>
    <w:rsid w:val="005E784B"/>
    <w:rsid w:val="005F1956"/>
    <w:rsid w:val="006068D0"/>
    <w:rsid w:val="00606F75"/>
    <w:rsid w:val="0061232F"/>
    <w:rsid w:val="00614394"/>
    <w:rsid w:val="00614DCC"/>
    <w:rsid w:val="00616FDE"/>
    <w:rsid w:val="00621A3D"/>
    <w:rsid w:val="00621A44"/>
    <w:rsid w:val="00623C7B"/>
    <w:rsid w:val="006242F0"/>
    <w:rsid w:val="00634348"/>
    <w:rsid w:val="00636989"/>
    <w:rsid w:val="00642C78"/>
    <w:rsid w:val="00647EB8"/>
    <w:rsid w:val="00650C65"/>
    <w:rsid w:val="006553D5"/>
    <w:rsid w:val="00656738"/>
    <w:rsid w:val="0066279C"/>
    <w:rsid w:val="00663902"/>
    <w:rsid w:val="00663FA3"/>
    <w:rsid w:val="006755B2"/>
    <w:rsid w:val="00682FC9"/>
    <w:rsid w:val="00683F99"/>
    <w:rsid w:val="00685B55"/>
    <w:rsid w:val="006878EC"/>
    <w:rsid w:val="00687C01"/>
    <w:rsid w:val="00694CB8"/>
    <w:rsid w:val="00695316"/>
    <w:rsid w:val="00695D08"/>
    <w:rsid w:val="00696BB7"/>
    <w:rsid w:val="006A3362"/>
    <w:rsid w:val="006A3679"/>
    <w:rsid w:val="006B2BF3"/>
    <w:rsid w:val="006B72E9"/>
    <w:rsid w:val="006D3FB6"/>
    <w:rsid w:val="006D4E01"/>
    <w:rsid w:val="006E0661"/>
    <w:rsid w:val="006E41FF"/>
    <w:rsid w:val="006F5149"/>
    <w:rsid w:val="007002C5"/>
    <w:rsid w:val="00701BCC"/>
    <w:rsid w:val="00701FD4"/>
    <w:rsid w:val="00703A2E"/>
    <w:rsid w:val="00714EB9"/>
    <w:rsid w:val="007167BA"/>
    <w:rsid w:val="00722458"/>
    <w:rsid w:val="007224A8"/>
    <w:rsid w:val="007241C7"/>
    <w:rsid w:val="00725B49"/>
    <w:rsid w:val="00730CBB"/>
    <w:rsid w:val="00746018"/>
    <w:rsid w:val="0074766C"/>
    <w:rsid w:val="007515BD"/>
    <w:rsid w:val="00752840"/>
    <w:rsid w:val="0075558D"/>
    <w:rsid w:val="00761831"/>
    <w:rsid w:val="00761EFB"/>
    <w:rsid w:val="00763F55"/>
    <w:rsid w:val="0076410C"/>
    <w:rsid w:val="00765F2A"/>
    <w:rsid w:val="00767E40"/>
    <w:rsid w:val="00773AD3"/>
    <w:rsid w:val="0077408D"/>
    <w:rsid w:val="007755CE"/>
    <w:rsid w:val="00785A67"/>
    <w:rsid w:val="00787E7E"/>
    <w:rsid w:val="007921CE"/>
    <w:rsid w:val="007A48C9"/>
    <w:rsid w:val="007A56B2"/>
    <w:rsid w:val="007B0852"/>
    <w:rsid w:val="007B21DE"/>
    <w:rsid w:val="007B39DB"/>
    <w:rsid w:val="007C0BA4"/>
    <w:rsid w:val="007C3F01"/>
    <w:rsid w:val="007C4590"/>
    <w:rsid w:val="007C54BC"/>
    <w:rsid w:val="007C7F9B"/>
    <w:rsid w:val="007D400F"/>
    <w:rsid w:val="007D5A0A"/>
    <w:rsid w:val="007D7B97"/>
    <w:rsid w:val="007E59E2"/>
    <w:rsid w:val="007F3DC0"/>
    <w:rsid w:val="007F4B40"/>
    <w:rsid w:val="00801552"/>
    <w:rsid w:val="00802CB4"/>
    <w:rsid w:val="0080389F"/>
    <w:rsid w:val="00803C7A"/>
    <w:rsid w:val="00820CB9"/>
    <w:rsid w:val="008214D4"/>
    <w:rsid w:val="00830AA4"/>
    <w:rsid w:val="008322EC"/>
    <w:rsid w:val="00841E6C"/>
    <w:rsid w:val="00845FDC"/>
    <w:rsid w:val="00853887"/>
    <w:rsid w:val="00855BD6"/>
    <w:rsid w:val="008615B3"/>
    <w:rsid w:val="008724E2"/>
    <w:rsid w:val="008732DC"/>
    <w:rsid w:val="00873CCD"/>
    <w:rsid w:val="00877295"/>
    <w:rsid w:val="00877679"/>
    <w:rsid w:val="00883B0F"/>
    <w:rsid w:val="00894C88"/>
    <w:rsid w:val="008A079A"/>
    <w:rsid w:val="008A6C46"/>
    <w:rsid w:val="008B3D77"/>
    <w:rsid w:val="008B780D"/>
    <w:rsid w:val="008C2B4E"/>
    <w:rsid w:val="008C33A9"/>
    <w:rsid w:val="008E2A6B"/>
    <w:rsid w:val="008F1E5C"/>
    <w:rsid w:val="008F2BF7"/>
    <w:rsid w:val="009036C4"/>
    <w:rsid w:val="00907239"/>
    <w:rsid w:val="009133A9"/>
    <w:rsid w:val="00914DF8"/>
    <w:rsid w:val="00932FC9"/>
    <w:rsid w:val="00933617"/>
    <w:rsid w:val="00940898"/>
    <w:rsid w:val="009411EB"/>
    <w:rsid w:val="00941774"/>
    <w:rsid w:val="00944798"/>
    <w:rsid w:val="00946104"/>
    <w:rsid w:val="00946519"/>
    <w:rsid w:val="00946A22"/>
    <w:rsid w:val="00953FF1"/>
    <w:rsid w:val="009544DC"/>
    <w:rsid w:val="00955B75"/>
    <w:rsid w:val="009624FD"/>
    <w:rsid w:val="00962AB9"/>
    <w:rsid w:val="00963F58"/>
    <w:rsid w:val="009662CD"/>
    <w:rsid w:val="00967FB5"/>
    <w:rsid w:val="009742CD"/>
    <w:rsid w:val="00980B5B"/>
    <w:rsid w:val="00986B86"/>
    <w:rsid w:val="00991D8A"/>
    <w:rsid w:val="0099391E"/>
    <w:rsid w:val="009A4490"/>
    <w:rsid w:val="009B08DD"/>
    <w:rsid w:val="009B1004"/>
    <w:rsid w:val="009B4B86"/>
    <w:rsid w:val="009C1341"/>
    <w:rsid w:val="009C480D"/>
    <w:rsid w:val="009C6F70"/>
    <w:rsid w:val="009D299A"/>
    <w:rsid w:val="009E61E2"/>
    <w:rsid w:val="009F0ADC"/>
    <w:rsid w:val="009F165C"/>
    <w:rsid w:val="009F1DD1"/>
    <w:rsid w:val="009F33AB"/>
    <w:rsid w:val="009F40B5"/>
    <w:rsid w:val="009F5275"/>
    <w:rsid w:val="009F6CA2"/>
    <w:rsid w:val="00A000E9"/>
    <w:rsid w:val="00A04B4B"/>
    <w:rsid w:val="00A13C10"/>
    <w:rsid w:val="00A16D20"/>
    <w:rsid w:val="00A17FDA"/>
    <w:rsid w:val="00A21304"/>
    <w:rsid w:val="00A22A88"/>
    <w:rsid w:val="00A23C31"/>
    <w:rsid w:val="00A24798"/>
    <w:rsid w:val="00A3104E"/>
    <w:rsid w:val="00A445A7"/>
    <w:rsid w:val="00A4584F"/>
    <w:rsid w:val="00A471A8"/>
    <w:rsid w:val="00A521FF"/>
    <w:rsid w:val="00A556DB"/>
    <w:rsid w:val="00A63303"/>
    <w:rsid w:val="00A6393A"/>
    <w:rsid w:val="00A658FF"/>
    <w:rsid w:val="00A71616"/>
    <w:rsid w:val="00A742A0"/>
    <w:rsid w:val="00A74D01"/>
    <w:rsid w:val="00A82699"/>
    <w:rsid w:val="00A920CE"/>
    <w:rsid w:val="00A9411E"/>
    <w:rsid w:val="00A965C6"/>
    <w:rsid w:val="00A970F8"/>
    <w:rsid w:val="00A97990"/>
    <w:rsid w:val="00AA054E"/>
    <w:rsid w:val="00AA3439"/>
    <w:rsid w:val="00AB0FBB"/>
    <w:rsid w:val="00AB5207"/>
    <w:rsid w:val="00AB611C"/>
    <w:rsid w:val="00AC1DF9"/>
    <w:rsid w:val="00AC3C9D"/>
    <w:rsid w:val="00AC482B"/>
    <w:rsid w:val="00AC4D30"/>
    <w:rsid w:val="00AC756A"/>
    <w:rsid w:val="00AD6A67"/>
    <w:rsid w:val="00AE0597"/>
    <w:rsid w:val="00AE1FF3"/>
    <w:rsid w:val="00AE2520"/>
    <w:rsid w:val="00AE25DA"/>
    <w:rsid w:val="00AE4CCE"/>
    <w:rsid w:val="00AE56A2"/>
    <w:rsid w:val="00AE7CF0"/>
    <w:rsid w:val="00AF0527"/>
    <w:rsid w:val="00AF4A5C"/>
    <w:rsid w:val="00B00EF4"/>
    <w:rsid w:val="00B13ABE"/>
    <w:rsid w:val="00B15C63"/>
    <w:rsid w:val="00B21C4C"/>
    <w:rsid w:val="00B23FAA"/>
    <w:rsid w:val="00B2402A"/>
    <w:rsid w:val="00B3396B"/>
    <w:rsid w:val="00B42F53"/>
    <w:rsid w:val="00B45FE5"/>
    <w:rsid w:val="00B5012D"/>
    <w:rsid w:val="00B5293E"/>
    <w:rsid w:val="00B54A4C"/>
    <w:rsid w:val="00B67771"/>
    <w:rsid w:val="00B71D70"/>
    <w:rsid w:val="00B72A9F"/>
    <w:rsid w:val="00B746CF"/>
    <w:rsid w:val="00B80DDE"/>
    <w:rsid w:val="00B93303"/>
    <w:rsid w:val="00B97A24"/>
    <w:rsid w:val="00B97F89"/>
    <w:rsid w:val="00BA1824"/>
    <w:rsid w:val="00BA1EA9"/>
    <w:rsid w:val="00BB70F2"/>
    <w:rsid w:val="00BB7EBE"/>
    <w:rsid w:val="00BC1753"/>
    <w:rsid w:val="00BC5B49"/>
    <w:rsid w:val="00BC7A41"/>
    <w:rsid w:val="00BD1499"/>
    <w:rsid w:val="00BD23CE"/>
    <w:rsid w:val="00BD3CC4"/>
    <w:rsid w:val="00BD4504"/>
    <w:rsid w:val="00BF54F9"/>
    <w:rsid w:val="00C02835"/>
    <w:rsid w:val="00C0653A"/>
    <w:rsid w:val="00C331AD"/>
    <w:rsid w:val="00C340A0"/>
    <w:rsid w:val="00C43AF7"/>
    <w:rsid w:val="00C4652A"/>
    <w:rsid w:val="00C46563"/>
    <w:rsid w:val="00C46A55"/>
    <w:rsid w:val="00C50897"/>
    <w:rsid w:val="00C50DB4"/>
    <w:rsid w:val="00C61540"/>
    <w:rsid w:val="00C655E6"/>
    <w:rsid w:val="00C80CDE"/>
    <w:rsid w:val="00C82E45"/>
    <w:rsid w:val="00C84711"/>
    <w:rsid w:val="00C863F5"/>
    <w:rsid w:val="00CA1BAC"/>
    <w:rsid w:val="00CA426A"/>
    <w:rsid w:val="00CA449F"/>
    <w:rsid w:val="00CB31AA"/>
    <w:rsid w:val="00CB38FE"/>
    <w:rsid w:val="00CB5335"/>
    <w:rsid w:val="00CB615F"/>
    <w:rsid w:val="00CC3B34"/>
    <w:rsid w:val="00CC4E0C"/>
    <w:rsid w:val="00CC7DBA"/>
    <w:rsid w:val="00CD5F46"/>
    <w:rsid w:val="00CE1D10"/>
    <w:rsid w:val="00CE569A"/>
    <w:rsid w:val="00CF2C0F"/>
    <w:rsid w:val="00CF4252"/>
    <w:rsid w:val="00D10B31"/>
    <w:rsid w:val="00D16CF7"/>
    <w:rsid w:val="00D25647"/>
    <w:rsid w:val="00D34864"/>
    <w:rsid w:val="00D35DBF"/>
    <w:rsid w:val="00D35FC5"/>
    <w:rsid w:val="00D3615B"/>
    <w:rsid w:val="00D40A03"/>
    <w:rsid w:val="00D436A4"/>
    <w:rsid w:val="00D469AF"/>
    <w:rsid w:val="00D5098C"/>
    <w:rsid w:val="00D52D99"/>
    <w:rsid w:val="00D55E00"/>
    <w:rsid w:val="00D64EC7"/>
    <w:rsid w:val="00D67FD9"/>
    <w:rsid w:val="00D80504"/>
    <w:rsid w:val="00D82853"/>
    <w:rsid w:val="00D92FE2"/>
    <w:rsid w:val="00D9342C"/>
    <w:rsid w:val="00D940D3"/>
    <w:rsid w:val="00D96F38"/>
    <w:rsid w:val="00DA2422"/>
    <w:rsid w:val="00DA54A1"/>
    <w:rsid w:val="00DA7400"/>
    <w:rsid w:val="00DC3F3B"/>
    <w:rsid w:val="00DC7D08"/>
    <w:rsid w:val="00DD1C01"/>
    <w:rsid w:val="00DD2661"/>
    <w:rsid w:val="00DD5A92"/>
    <w:rsid w:val="00DD7C21"/>
    <w:rsid w:val="00DE1D23"/>
    <w:rsid w:val="00DE3C0A"/>
    <w:rsid w:val="00DF1E61"/>
    <w:rsid w:val="00DF3C5F"/>
    <w:rsid w:val="00DF4A7F"/>
    <w:rsid w:val="00DF588E"/>
    <w:rsid w:val="00DF67D4"/>
    <w:rsid w:val="00DF762D"/>
    <w:rsid w:val="00E035EE"/>
    <w:rsid w:val="00E0546A"/>
    <w:rsid w:val="00E05560"/>
    <w:rsid w:val="00E141C1"/>
    <w:rsid w:val="00E2039E"/>
    <w:rsid w:val="00E21264"/>
    <w:rsid w:val="00E25E60"/>
    <w:rsid w:val="00E26A29"/>
    <w:rsid w:val="00E27658"/>
    <w:rsid w:val="00E3099F"/>
    <w:rsid w:val="00E330B9"/>
    <w:rsid w:val="00E33883"/>
    <w:rsid w:val="00E429B4"/>
    <w:rsid w:val="00E43FB2"/>
    <w:rsid w:val="00E4465D"/>
    <w:rsid w:val="00E476B4"/>
    <w:rsid w:val="00E50BD2"/>
    <w:rsid w:val="00E60179"/>
    <w:rsid w:val="00E715BE"/>
    <w:rsid w:val="00E730C5"/>
    <w:rsid w:val="00E77096"/>
    <w:rsid w:val="00E77E4C"/>
    <w:rsid w:val="00E803F3"/>
    <w:rsid w:val="00E80810"/>
    <w:rsid w:val="00E80A4C"/>
    <w:rsid w:val="00E851C3"/>
    <w:rsid w:val="00E86A32"/>
    <w:rsid w:val="00E916AF"/>
    <w:rsid w:val="00E9401A"/>
    <w:rsid w:val="00E96044"/>
    <w:rsid w:val="00E97C52"/>
    <w:rsid w:val="00EA1CFC"/>
    <w:rsid w:val="00EA6C9D"/>
    <w:rsid w:val="00EB1F27"/>
    <w:rsid w:val="00EB3457"/>
    <w:rsid w:val="00EB3F29"/>
    <w:rsid w:val="00ED1E62"/>
    <w:rsid w:val="00ED2619"/>
    <w:rsid w:val="00ED645B"/>
    <w:rsid w:val="00EF36ED"/>
    <w:rsid w:val="00EF3C4A"/>
    <w:rsid w:val="00EF4232"/>
    <w:rsid w:val="00F00A9F"/>
    <w:rsid w:val="00F01616"/>
    <w:rsid w:val="00F12715"/>
    <w:rsid w:val="00F13940"/>
    <w:rsid w:val="00F146B4"/>
    <w:rsid w:val="00F17D78"/>
    <w:rsid w:val="00F17E5D"/>
    <w:rsid w:val="00F20132"/>
    <w:rsid w:val="00F243A8"/>
    <w:rsid w:val="00F27F93"/>
    <w:rsid w:val="00F32016"/>
    <w:rsid w:val="00F3448F"/>
    <w:rsid w:val="00F437EF"/>
    <w:rsid w:val="00F526F8"/>
    <w:rsid w:val="00F564CA"/>
    <w:rsid w:val="00F64D99"/>
    <w:rsid w:val="00F66F93"/>
    <w:rsid w:val="00F83122"/>
    <w:rsid w:val="00F837EA"/>
    <w:rsid w:val="00F8560C"/>
    <w:rsid w:val="00F946F6"/>
    <w:rsid w:val="00F95522"/>
    <w:rsid w:val="00FA6239"/>
    <w:rsid w:val="00FB0093"/>
    <w:rsid w:val="00FB09DD"/>
    <w:rsid w:val="00FB12E2"/>
    <w:rsid w:val="00FC30D2"/>
    <w:rsid w:val="00FC32DC"/>
    <w:rsid w:val="00FD261B"/>
    <w:rsid w:val="00FD2E26"/>
    <w:rsid w:val="00FD3A05"/>
    <w:rsid w:val="00FD6070"/>
    <w:rsid w:val="00FD684D"/>
    <w:rsid w:val="00FE06C0"/>
    <w:rsid w:val="00FE247A"/>
    <w:rsid w:val="00FE58A9"/>
    <w:rsid w:val="00FF4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9"/>
    <o:shapelayout v:ext="edit">
      <o:idmap v:ext="edit" data="1"/>
    </o:shapelayout>
  </w:shapeDefaults>
  <w:decimalSymbol w:val=","/>
  <w:listSeparator w:val=";"/>
  <w15:docId w15:val="{4302676A-4FDB-404E-9693-F0339F3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67E4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12715"/>
    <w:pPr>
      <w:spacing w:after="0" w:line="240" w:lineRule="auto"/>
    </w:pPr>
  </w:style>
  <w:style w:type="paragraph" w:styleId="Sarakstarindkopa">
    <w:name w:val="List Paragraph"/>
    <w:basedOn w:val="Parasts"/>
    <w:uiPriority w:val="34"/>
    <w:qFormat/>
    <w:rsid w:val="00521106"/>
    <w:pPr>
      <w:ind w:left="720"/>
      <w:contextualSpacing/>
    </w:pPr>
  </w:style>
  <w:style w:type="paragraph" w:styleId="Galvene">
    <w:name w:val="header"/>
    <w:basedOn w:val="Parasts"/>
    <w:link w:val="GalveneRakstz"/>
    <w:uiPriority w:val="99"/>
    <w:unhideWhenUsed/>
    <w:rsid w:val="00DF1E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1E61"/>
    <w:rPr>
      <w:rFonts w:ascii="Calibri" w:eastAsia="Calibri" w:hAnsi="Calibri" w:cs="Times New Roman"/>
    </w:rPr>
  </w:style>
  <w:style w:type="paragraph" w:styleId="Kjene">
    <w:name w:val="footer"/>
    <w:basedOn w:val="Parasts"/>
    <w:link w:val="KjeneRakstz"/>
    <w:uiPriority w:val="99"/>
    <w:unhideWhenUsed/>
    <w:rsid w:val="00DF1E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1E61"/>
    <w:rPr>
      <w:rFonts w:ascii="Calibri" w:eastAsia="Calibri" w:hAnsi="Calibri" w:cs="Times New Roman"/>
    </w:rPr>
  </w:style>
  <w:style w:type="paragraph" w:customStyle="1" w:styleId="naisf">
    <w:name w:val="naisf"/>
    <w:basedOn w:val="Parasts"/>
    <w:rsid w:val="00A556DB"/>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Parasts"/>
    <w:rsid w:val="00A556DB"/>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s"/>
    <w:rsid w:val="00A556DB"/>
    <w:pPr>
      <w:spacing w:before="75" w:after="75" w:line="240" w:lineRule="auto"/>
      <w:jc w:val="center"/>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9465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6519"/>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730C5"/>
    <w:rPr>
      <w:sz w:val="16"/>
      <w:szCs w:val="16"/>
    </w:rPr>
  </w:style>
  <w:style w:type="paragraph" w:styleId="Komentrateksts">
    <w:name w:val="annotation text"/>
    <w:basedOn w:val="Parasts"/>
    <w:link w:val="KomentratekstsRakstz"/>
    <w:uiPriority w:val="99"/>
    <w:semiHidden/>
    <w:unhideWhenUsed/>
    <w:rsid w:val="00E730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30C5"/>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730C5"/>
    <w:rPr>
      <w:b/>
      <w:bCs/>
    </w:rPr>
  </w:style>
  <w:style w:type="character" w:customStyle="1" w:styleId="KomentratmaRakstz">
    <w:name w:val="Komentāra tēma Rakstz."/>
    <w:basedOn w:val="KomentratekstsRakstz"/>
    <w:link w:val="Komentratma"/>
    <w:uiPriority w:val="99"/>
    <w:semiHidden/>
    <w:rsid w:val="00E730C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14463</Words>
  <Characters>8245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likumprojekta „Grozījums Medību likumā”</vt:lpstr>
      <vt:lpstr/>
    </vt:vector>
  </TitlesOfParts>
  <Company>Zemkopības ministrija</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likumprojekta „Grozījums Medību likumā”</dc:title>
  <dc:subject>Izziņa</dc:subject>
  <dc:creator>Jānis Bārs</dc:creator>
  <dc:description>Bārs 67027554 _x000d_
Janis.Bars@zm.gov.lv</dc:description>
  <cp:lastModifiedBy>Sanita Papinova</cp:lastModifiedBy>
  <cp:revision>3</cp:revision>
  <dcterms:created xsi:type="dcterms:W3CDTF">2020-07-30T12:08:00Z</dcterms:created>
  <dcterms:modified xsi:type="dcterms:W3CDTF">2020-08-18T10:10:00Z</dcterms:modified>
</cp:coreProperties>
</file>