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19A5" w14:textId="77777777" w:rsidR="00DB7FF4" w:rsidRPr="007E6672" w:rsidRDefault="00DB7FF4" w:rsidP="00DB7FF4">
      <w:pPr>
        <w:jc w:val="center"/>
        <w:rPr>
          <w:szCs w:val="24"/>
        </w:rPr>
      </w:pPr>
      <w:r w:rsidRPr="007E6672">
        <w:rPr>
          <w:szCs w:val="24"/>
        </w:rPr>
        <w:t>Izziņa par atzinumos sniegtajiem iebildumiem par</w:t>
      </w:r>
    </w:p>
    <w:tbl>
      <w:tblPr>
        <w:tblW w:w="0" w:type="auto"/>
        <w:jc w:val="center"/>
        <w:tblLook w:val="00A0" w:firstRow="1" w:lastRow="0" w:firstColumn="1" w:lastColumn="0" w:noHBand="0" w:noVBand="0"/>
      </w:tblPr>
      <w:tblGrid>
        <w:gridCol w:w="10188"/>
      </w:tblGrid>
      <w:tr w:rsidR="00DB7FF4" w:rsidRPr="007E6672" w14:paraId="50791499" w14:textId="77777777" w:rsidTr="00104F07">
        <w:trPr>
          <w:jc w:val="center"/>
        </w:trPr>
        <w:tc>
          <w:tcPr>
            <w:tcW w:w="10188" w:type="dxa"/>
            <w:tcBorders>
              <w:bottom w:val="single" w:sz="6" w:space="0" w:color="000000"/>
            </w:tcBorders>
          </w:tcPr>
          <w:p w14:paraId="7E9BF106" w14:textId="2A0C1746" w:rsidR="009E5B5B" w:rsidRDefault="004F3927" w:rsidP="009E5B5B">
            <w:pPr>
              <w:pStyle w:val="Body1"/>
              <w:spacing w:after="0" w:line="240" w:lineRule="auto"/>
              <w:jc w:val="center"/>
              <w:rPr>
                <w:rFonts w:ascii="Times New Roman" w:hAnsi="Times New Roman"/>
                <w:b/>
                <w:color w:val="auto"/>
                <w:sz w:val="24"/>
                <w:szCs w:val="24"/>
              </w:rPr>
            </w:pPr>
            <w:r>
              <w:rPr>
                <w:rFonts w:ascii="Times New Roman" w:hAnsi="Times New Roman"/>
                <w:b/>
                <w:color w:val="auto"/>
                <w:sz w:val="24"/>
                <w:szCs w:val="24"/>
              </w:rPr>
              <w:t xml:space="preserve">grozījumiem </w:t>
            </w:r>
            <w:bookmarkStart w:id="0" w:name="OLE_LINK7"/>
            <w:bookmarkStart w:id="1" w:name="OLE_LINK8"/>
            <w:r w:rsidR="009E5B5B" w:rsidRPr="009E5B5B">
              <w:rPr>
                <w:rFonts w:ascii="Times New Roman" w:hAnsi="Times New Roman"/>
                <w:b/>
                <w:color w:val="auto"/>
                <w:sz w:val="24"/>
                <w:szCs w:val="24"/>
              </w:rPr>
              <w:t>Ministru kabineta 2016. gada 15. jūlija noteikumos Nr. 469 „Noteikumi par paralēlajiem aizdevumiem saimnieciskās darbības veicējiem konkurētspējas uzlabošanai”</w:t>
            </w:r>
            <w:bookmarkEnd w:id="0"/>
            <w:bookmarkEnd w:id="1"/>
          </w:p>
          <w:p w14:paraId="13D794ED" w14:textId="08A9A3C8" w:rsidR="00DB7FF4" w:rsidRPr="007E6672" w:rsidRDefault="006A1EA8" w:rsidP="00104F07">
            <w:pPr>
              <w:pStyle w:val="Body1"/>
              <w:spacing w:after="0" w:line="240" w:lineRule="auto"/>
              <w:jc w:val="center"/>
              <w:rPr>
                <w:rFonts w:ascii="Times New Roman" w:hAnsi="Times New Roman"/>
                <w:b/>
                <w:color w:val="auto"/>
                <w:sz w:val="24"/>
                <w:szCs w:val="24"/>
              </w:rPr>
            </w:pPr>
            <w:r>
              <w:rPr>
                <w:rFonts w:ascii="Times New Roman" w:hAnsi="Times New Roman"/>
                <w:b/>
                <w:color w:val="auto"/>
                <w:sz w:val="24"/>
                <w:szCs w:val="24"/>
              </w:rPr>
              <w:t xml:space="preserve">(turpmāk – MK </w:t>
            </w:r>
            <w:r w:rsidRPr="006A1EA8">
              <w:rPr>
                <w:rFonts w:ascii="Times New Roman" w:hAnsi="Times New Roman"/>
                <w:b/>
                <w:color w:val="auto"/>
                <w:sz w:val="24"/>
                <w:szCs w:val="24"/>
              </w:rPr>
              <w:t>noteikum</w:t>
            </w:r>
            <w:r>
              <w:rPr>
                <w:rFonts w:ascii="Times New Roman" w:hAnsi="Times New Roman"/>
                <w:b/>
                <w:color w:val="auto"/>
                <w:sz w:val="24"/>
                <w:szCs w:val="24"/>
              </w:rPr>
              <w:t xml:space="preserve">i </w:t>
            </w:r>
            <w:r w:rsidRPr="006A1EA8">
              <w:rPr>
                <w:rFonts w:ascii="Times New Roman" w:hAnsi="Times New Roman"/>
                <w:b/>
                <w:color w:val="auto"/>
                <w:sz w:val="24"/>
                <w:szCs w:val="24"/>
              </w:rPr>
              <w:t xml:space="preserve">Nr. </w:t>
            </w:r>
            <w:r w:rsidR="009E5B5B">
              <w:rPr>
                <w:rFonts w:ascii="Times New Roman" w:hAnsi="Times New Roman"/>
                <w:b/>
                <w:color w:val="auto"/>
                <w:sz w:val="24"/>
                <w:szCs w:val="24"/>
              </w:rPr>
              <w:t>469</w:t>
            </w:r>
            <w:r>
              <w:rPr>
                <w:rFonts w:ascii="Times New Roman" w:hAnsi="Times New Roman"/>
                <w:b/>
                <w:color w:val="auto"/>
                <w:sz w:val="24"/>
                <w:szCs w:val="24"/>
              </w:rPr>
              <w:t>)</w:t>
            </w:r>
          </w:p>
        </w:tc>
      </w:tr>
    </w:tbl>
    <w:p w14:paraId="50181CE1" w14:textId="77777777" w:rsidR="00DB7FF4" w:rsidRPr="007E6672" w:rsidRDefault="00DB7FF4" w:rsidP="00DB7FF4">
      <w:pPr>
        <w:pStyle w:val="naisc"/>
        <w:spacing w:before="0" w:after="0"/>
        <w:ind w:firstLine="1080"/>
      </w:pPr>
      <w:r w:rsidRPr="007E6672">
        <w:t>(dokumenta veids un nosaukums)</w:t>
      </w:r>
    </w:p>
    <w:p w14:paraId="4818C1C6" w14:textId="77777777" w:rsidR="00DB7FF4" w:rsidRPr="007E6672" w:rsidRDefault="00DB7FF4" w:rsidP="00DB7FF4">
      <w:pPr>
        <w:pStyle w:val="naisf"/>
        <w:spacing w:before="0" w:after="0"/>
        <w:ind w:firstLine="0"/>
      </w:pPr>
    </w:p>
    <w:p w14:paraId="78CEA131" w14:textId="77777777" w:rsidR="00DB7FF4" w:rsidRPr="007E6672" w:rsidRDefault="00DB7FF4" w:rsidP="00DB7FF4">
      <w:pPr>
        <w:pStyle w:val="naisf"/>
        <w:spacing w:before="0" w:after="0"/>
        <w:ind w:firstLine="0"/>
      </w:pPr>
    </w:p>
    <w:p w14:paraId="2A0AD3F5" w14:textId="77777777" w:rsidR="00DB7FF4" w:rsidRPr="007E6672" w:rsidRDefault="00DB7FF4" w:rsidP="00DB7FF4">
      <w:pPr>
        <w:pStyle w:val="naisf"/>
        <w:numPr>
          <w:ilvl w:val="0"/>
          <w:numId w:val="1"/>
        </w:numPr>
        <w:spacing w:before="0" w:after="0"/>
        <w:rPr>
          <w:b/>
        </w:rPr>
      </w:pPr>
      <w:r w:rsidRPr="007E6672">
        <w:rPr>
          <w:b/>
        </w:rPr>
        <w:t>Jautājumi, par kuriem saskaņošanā vienošanās nav panākta</w:t>
      </w: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3119"/>
        <w:gridCol w:w="2835"/>
        <w:gridCol w:w="2693"/>
        <w:gridCol w:w="2268"/>
      </w:tblGrid>
      <w:tr w:rsidR="00DB7FF4" w:rsidRPr="007E6672" w14:paraId="0AD51481" w14:textId="77777777" w:rsidTr="00104F07">
        <w:tc>
          <w:tcPr>
            <w:tcW w:w="675" w:type="dxa"/>
            <w:tcBorders>
              <w:top w:val="single" w:sz="6" w:space="0" w:color="000000"/>
              <w:left w:val="single" w:sz="6" w:space="0" w:color="000000"/>
              <w:bottom w:val="single" w:sz="6" w:space="0" w:color="000000"/>
              <w:right w:val="single" w:sz="6" w:space="0" w:color="000000"/>
            </w:tcBorders>
            <w:vAlign w:val="center"/>
          </w:tcPr>
          <w:p w14:paraId="7C721AEB" w14:textId="77777777" w:rsidR="00DB7FF4" w:rsidRPr="007E6672" w:rsidRDefault="00DB7FF4" w:rsidP="00104F07">
            <w:pPr>
              <w:pStyle w:val="naisc"/>
              <w:spacing w:before="0" w:after="0"/>
              <w:jc w:val="both"/>
            </w:pPr>
            <w:r w:rsidRPr="007E6672">
              <w:t>Nr. p. k.</w:t>
            </w:r>
          </w:p>
        </w:tc>
        <w:tc>
          <w:tcPr>
            <w:tcW w:w="2977" w:type="dxa"/>
            <w:tcBorders>
              <w:top w:val="single" w:sz="6" w:space="0" w:color="000000"/>
              <w:left w:val="single" w:sz="6" w:space="0" w:color="000000"/>
              <w:bottom w:val="single" w:sz="6" w:space="0" w:color="000000"/>
              <w:right w:val="single" w:sz="6" w:space="0" w:color="000000"/>
            </w:tcBorders>
            <w:vAlign w:val="center"/>
          </w:tcPr>
          <w:p w14:paraId="407F9D10" w14:textId="77777777" w:rsidR="00DB7FF4" w:rsidRPr="007E6672" w:rsidRDefault="00DB7FF4" w:rsidP="00104F07">
            <w:pPr>
              <w:pStyle w:val="naisc"/>
              <w:spacing w:before="0" w:after="0"/>
              <w:ind w:firstLine="12"/>
              <w:jc w:val="both"/>
            </w:pPr>
            <w:r w:rsidRPr="007E6672">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vAlign w:val="center"/>
          </w:tcPr>
          <w:p w14:paraId="7AB933AB" w14:textId="77777777" w:rsidR="00DB7FF4" w:rsidRPr="007E6672" w:rsidRDefault="00DB7FF4" w:rsidP="00104F07">
            <w:pPr>
              <w:pStyle w:val="naisc"/>
              <w:spacing w:before="0" w:after="0"/>
              <w:ind w:right="3"/>
              <w:jc w:val="both"/>
            </w:pPr>
            <w:r w:rsidRPr="007E6672">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2E00248D" w14:textId="77777777" w:rsidR="00DB7FF4" w:rsidRPr="007E6672" w:rsidRDefault="00DB7FF4" w:rsidP="00104F07">
            <w:pPr>
              <w:pStyle w:val="naisc"/>
              <w:spacing w:before="0" w:after="0"/>
              <w:ind w:firstLine="21"/>
              <w:jc w:val="both"/>
            </w:pPr>
            <w:r w:rsidRPr="007E6672">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14:paraId="568711C2" w14:textId="77777777" w:rsidR="00DB7FF4" w:rsidRPr="007E6672" w:rsidRDefault="00DB7FF4" w:rsidP="00104F07">
            <w:pPr>
              <w:jc w:val="both"/>
              <w:rPr>
                <w:szCs w:val="24"/>
              </w:rPr>
            </w:pPr>
            <w:r w:rsidRPr="007E6672">
              <w:rPr>
                <w:szCs w:val="24"/>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16C125D5" w14:textId="77777777" w:rsidR="00DB7FF4" w:rsidRPr="007E6672" w:rsidRDefault="00DB7FF4" w:rsidP="00104F07">
            <w:pPr>
              <w:jc w:val="both"/>
              <w:rPr>
                <w:szCs w:val="24"/>
              </w:rPr>
            </w:pPr>
            <w:r w:rsidRPr="007E6672">
              <w:rPr>
                <w:szCs w:val="24"/>
              </w:rPr>
              <w:t>Projekta attiecīgā punkta (panta) galīgā redakcija</w:t>
            </w:r>
          </w:p>
        </w:tc>
      </w:tr>
      <w:tr w:rsidR="00DB7FF4" w:rsidRPr="007E6672" w14:paraId="32339103" w14:textId="77777777" w:rsidTr="00104F07">
        <w:tc>
          <w:tcPr>
            <w:tcW w:w="675" w:type="dxa"/>
            <w:tcBorders>
              <w:top w:val="single" w:sz="6" w:space="0" w:color="000000"/>
              <w:left w:val="single" w:sz="6" w:space="0" w:color="000000"/>
              <w:bottom w:val="single" w:sz="6" w:space="0" w:color="000000"/>
              <w:right w:val="single" w:sz="6" w:space="0" w:color="000000"/>
            </w:tcBorders>
          </w:tcPr>
          <w:p w14:paraId="2B804E37" w14:textId="77777777" w:rsidR="00DB7FF4" w:rsidRPr="007E6672" w:rsidRDefault="00DB7FF4" w:rsidP="00104F07">
            <w:pPr>
              <w:pStyle w:val="naisc"/>
              <w:spacing w:before="0" w:after="0"/>
              <w:jc w:val="both"/>
            </w:pPr>
            <w:r w:rsidRPr="007E6672">
              <w:t>1</w:t>
            </w:r>
          </w:p>
        </w:tc>
        <w:tc>
          <w:tcPr>
            <w:tcW w:w="2977" w:type="dxa"/>
            <w:tcBorders>
              <w:top w:val="single" w:sz="6" w:space="0" w:color="000000"/>
              <w:left w:val="single" w:sz="6" w:space="0" w:color="000000"/>
              <w:bottom w:val="single" w:sz="6" w:space="0" w:color="000000"/>
              <w:right w:val="single" w:sz="6" w:space="0" w:color="000000"/>
            </w:tcBorders>
          </w:tcPr>
          <w:p w14:paraId="7445540B" w14:textId="77777777" w:rsidR="00DB7FF4" w:rsidRPr="007E6672" w:rsidRDefault="00DB7FF4" w:rsidP="00104F07">
            <w:pPr>
              <w:pStyle w:val="naisc"/>
              <w:spacing w:before="0" w:after="0"/>
              <w:ind w:firstLine="720"/>
              <w:jc w:val="both"/>
            </w:pPr>
            <w:r w:rsidRPr="007E6672">
              <w:t>2</w:t>
            </w:r>
          </w:p>
        </w:tc>
        <w:tc>
          <w:tcPr>
            <w:tcW w:w="3119" w:type="dxa"/>
            <w:tcBorders>
              <w:top w:val="single" w:sz="6" w:space="0" w:color="000000"/>
              <w:left w:val="single" w:sz="6" w:space="0" w:color="000000"/>
              <w:bottom w:val="single" w:sz="6" w:space="0" w:color="000000"/>
              <w:right w:val="single" w:sz="6" w:space="0" w:color="000000"/>
            </w:tcBorders>
          </w:tcPr>
          <w:p w14:paraId="22B60F73" w14:textId="77777777" w:rsidR="00DB7FF4" w:rsidRPr="007E6672" w:rsidRDefault="00DB7FF4" w:rsidP="00104F07">
            <w:pPr>
              <w:pStyle w:val="naisc"/>
              <w:spacing w:before="0" w:after="0"/>
              <w:ind w:firstLine="720"/>
              <w:jc w:val="both"/>
            </w:pPr>
            <w:r w:rsidRPr="007E6672">
              <w:t>3</w:t>
            </w:r>
          </w:p>
        </w:tc>
        <w:tc>
          <w:tcPr>
            <w:tcW w:w="2835" w:type="dxa"/>
            <w:tcBorders>
              <w:top w:val="single" w:sz="6" w:space="0" w:color="000000"/>
              <w:left w:val="single" w:sz="6" w:space="0" w:color="000000"/>
              <w:bottom w:val="single" w:sz="6" w:space="0" w:color="000000"/>
              <w:right w:val="single" w:sz="6" w:space="0" w:color="000000"/>
            </w:tcBorders>
          </w:tcPr>
          <w:p w14:paraId="3D7B8685" w14:textId="77777777" w:rsidR="00DB7FF4" w:rsidRPr="007E6672" w:rsidRDefault="00DB7FF4" w:rsidP="00104F07">
            <w:pPr>
              <w:pStyle w:val="naisc"/>
              <w:spacing w:before="0" w:after="0"/>
              <w:ind w:firstLine="720"/>
              <w:jc w:val="both"/>
            </w:pPr>
            <w:r w:rsidRPr="007E6672">
              <w:t>4</w:t>
            </w:r>
          </w:p>
        </w:tc>
        <w:tc>
          <w:tcPr>
            <w:tcW w:w="2693" w:type="dxa"/>
            <w:tcBorders>
              <w:top w:val="single" w:sz="4" w:space="0" w:color="auto"/>
              <w:left w:val="single" w:sz="4" w:space="0" w:color="auto"/>
              <w:bottom w:val="single" w:sz="4" w:space="0" w:color="auto"/>
              <w:right w:val="single" w:sz="4" w:space="0" w:color="auto"/>
            </w:tcBorders>
          </w:tcPr>
          <w:p w14:paraId="46E46AB1" w14:textId="77777777" w:rsidR="00DB7FF4" w:rsidRPr="007E6672" w:rsidRDefault="00DB7FF4" w:rsidP="00104F07">
            <w:pPr>
              <w:jc w:val="both"/>
              <w:rPr>
                <w:szCs w:val="24"/>
              </w:rPr>
            </w:pPr>
            <w:r w:rsidRPr="007E6672">
              <w:rPr>
                <w:szCs w:val="24"/>
              </w:rPr>
              <w:t>5</w:t>
            </w:r>
          </w:p>
        </w:tc>
        <w:tc>
          <w:tcPr>
            <w:tcW w:w="2268" w:type="dxa"/>
            <w:tcBorders>
              <w:top w:val="single" w:sz="4" w:space="0" w:color="auto"/>
              <w:left w:val="single" w:sz="4" w:space="0" w:color="auto"/>
              <w:bottom w:val="single" w:sz="4" w:space="0" w:color="auto"/>
            </w:tcBorders>
          </w:tcPr>
          <w:p w14:paraId="43DDE1FD" w14:textId="77777777" w:rsidR="00DB7FF4" w:rsidRPr="007E6672" w:rsidRDefault="00DB7FF4" w:rsidP="00104F07">
            <w:pPr>
              <w:jc w:val="both"/>
              <w:rPr>
                <w:szCs w:val="24"/>
              </w:rPr>
            </w:pPr>
            <w:r w:rsidRPr="007E6672">
              <w:rPr>
                <w:szCs w:val="24"/>
              </w:rPr>
              <w:t>6</w:t>
            </w:r>
          </w:p>
        </w:tc>
      </w:tr>
      <w:tr w:rsidR="00DB7FF4" w:rsidRPr="007E6672" w14:paraId="06FFF3DD" w14:textId="77777777" w:rsidTr="00104F07">
        <w:tc>
          <w:tcPr>
            <w:tcW w:w="675" w:type="dxa"/>
            <w:tcBorders>
              <w:top w:val="single" w:sz="6" w:space="0" w:color="000000"/>
              <w:left w:val="single" w:sz="6" w:space="0" w:color="000000"/>
              <w:bottom w:val="single" w:sz="6" w:space="0" w:color="000000"/>
              <w:right w:val="single" w:sz="6" w:space="0" w:color="000000"/>
            </w:tcBorders>
          </w:tcPr>
          <w:p w14:paraId="7F4EDB5B" w14:textId="77777777" w:rsidR="00DB7FF4" w:rsidRPr="007E6672" w:rsidRDefault="00DB7FF4" w:rsidP="00104F07">
            <w:pPr>
              <w:pStyle w:val="naisc"/>
              <w:spacing w:before="0" w:after="0"/>
              <w:jc w:val="both"/>
            </w:pPr>
          </w:p>
        </w:tc>
        <w:tc>
          <w:tcPr>
            <w:tcW w:w="2977" w:type="dxa"/>
            <w:tcBorders>
              <w:left w:val="single" w:sz="6" w:space="0" w:color="000000"/>
              <w:bottom w:val="single" w:sz="4" w:space="0" w:color="auto"/>
              <w:right w:val="single" w:sz="6" w:space="0" w:color="000000"/>
            </w:tcBorders>
          </w:tcPr>
          <w:p w14:paraId="0F4225E7" w14:textId="77777777" w:rsidR="00DB7FF4" w:rsidRPr="007E6672" w:rsidRDefault="00DB7FF4" w:rsidP="00104F07">
            <w:pPr>
              <w:jc w:val="both"/>
              <w:outlineLvl w:val="0"/>
              <w:rPr>
                <w:szCs w:val="24"/>
              </w:rPr>
            </w:pPr>
          </w:p>
        </w:tc>
        <w:tc>
          <w:tcPr>
            <w:tcW w:w="3119" w:type="dxa"/>
            <w:tcBorders>
              <w:left w:val="single" w:sz="6" w:space="0" w:color="000000"/>
              <w:bottom w:val="single" w:sz="4" w:space="0" w:color="auto"/>
              <w:right w:val="single" w:sz="6" w:space="0" w:color="000000"/>
            </w:tcBorders>
          </w:tcPr>
          <w:p w14:paraId="77B4BB7F" w14:textId="77777777" w:rsidR="00DB7FF4" w:rsidRPr="007E6672" w:rsidRDefault="00DB7FF4" w:rsidP="00104F07">
            <w:pPr>
              <w:ind w:right="-7"/>
              <w:jc w:val="both"/>
              <w:rPr>
                <w:szCs w:val="24"/>
              </w:rPr>
            </w:pPr>
          </w:p>
        </w:tc>
        <w:tc>
          <w:tcPr>
            <w:tcW w:w="2835" w:type="dxa"/>
            <w:tcBorders>
              <w:top w:val="single" w:sz="6" w:space="0" w:color="000000"/>
              <w:left w:val="single" w:sz="6" w:space="0" w:color="000000"/>
              <w:bottom w:val="single" w:sz="6" w:space="0" w:color="000000"/>
              <w:right w:val="single" w:sz="6" w:space="0" w:color="000000"/>
            </w:tcBorders>
          </w:tcPr>
          <w:p w14:paraId="6B89FA42" w14:textId="77777777" w:rsidR="00DB7FF4" w:rsidRPr="007E6672" w:rsidRDefault="00DB7FF4" w:rsidP="00104F07">
            <w:pPr>
              <w:pStyle w:val="naisc"/>
              <w:spacing w:before="0" w:after="0"/>
              <w:jc w:val="both"/>
            </w:pPr>
          </w:p>
        </w:tc>
        <w:tc>
          <w:tcPr>
            <w:tcW w:w="2693" w:type="dxa"/>
            <w:tcBorders>
              <w:top w:val="single" w:sz="4" w:space="0" w:color="auto"/>
              <w:left w:val="single" w:sz="4" w:space="0" w:color="auto"/>
              <w:bottom w:val="single" w:sz="4" w:space="0" w:color="auto"/>
              <w:right w:val="single" w:sz="4" w:space="0" w:color="auto"/>
            </w:tcBorders>
          </w:tcPr>
          <w:p w14:paraId="2752B163" w14:textId="77777777" w:rsidR="00DB7FF4" w:rsidRPr="007E6672" w:rsidRDefault="00DB7FF4" w:rsidP="00104F07">
            <w:pPr>
              <w:jc w:val="both"/>
              <w:rPr>
                <w:szCs w:val="24"/>
              </w:rPr>
            </w:pPr>
          </w:p>
        </w:tc>
        <w:tc>
          <w:tcPr>
            <w:tcW w:w="2268" w:type="dxa"/>
            <w:tcBorders>
              <w:top w:val="single" w:sz="4" w:space="0" w:color="auto"/>
              <w:left w:val="single" w:sz="4" w:space="0" w:color="auto"/>
              <w:bottom w:val="single" w:sz="4" w:space="0" w:color="auto"/>
            </w:tcBorders>
          </w:tcPr>
          <w:p w14:paraId="2A6BDCBC" w14:textId="77777777" w:rsidR="00DB7FF4" w:rsidRPr="007E6672" w:rsidRDefault="00DB7FF4" w:rsidP="00104F07">
            <w:pPr>
              <w:jc w:val="both"/>
              <w:rPr>
                <w:szCs w:val="24"/>
              </w:rPr>
            </w:pPr>
          </w:p>
        </w:tc>
      </w:tr>
    </w:tbl>
    <w:p w14:paraId="243B176A" w14:textId="77777777" w:rsidR="00DB7FF4" w:rsidRPr="007E6672" w:rsidRDefault="00DB7FF4" w:rsidP="00DB7FF4">
      <w:pPr>
        <w:pStyle w:val="naisf"/>
        <w:spacing w:before="0" w:after="0"/>
        <w:ind w:firstLine="0"/>
      </w:pPr>
    </w:p>
    <w:p w14:paraId="09FE04D8" w14:textId="77777777" w:rsidR="00DB7FF4" w:rsidRPr="007E6672" w:rsidRDefault="00DB7FF4" w:rsidP="00DB7FF4">
      <w:pPr>
        <w:pStyle w:val="naisf"/>
        <w:spacing w:before="0" w:after="0"/>
        <w:ind w:firstLine="0"/>
      </w:pPr>
    </w:p>
    <w:p w14:paraId="710C82F2" w14:textId="77777777" w:rsidR="00DB7FF4" w:rsidRPr="007E6672" w:rsidRDefault="00DB7FF4" w:rsidP="00DB7FF4">
      <w:pPr>
        <w:pStyle w:val="naisf"/>
        <w:spacing w:before="0" w:after="0"/>
        <w:ind w:firstLine="0"/>
        <w:rPr>
          <w:b/>
        </w:rPr>
      </w:pPr>
      <w:r w:rsidRPr="007E6672">
        <w:rPr>
          <w:b/>
        </w:rPr>
        <w:t xml:space="preserve">Informācija par </w:t>
      </w:r>
      <w:proofErr w:type="spellStart"/>
      <w:r w:rsidRPr="007E6672">
        <w:rPr>
          <w:b/>
        </w:rPr>
        <w:t>starpministriju</w:t>
      </w:r>
      <w:proofErr w:type="spellEnd"/>
      <w:r w:rsidRPr="007E6672">
        <w:rPr>
          <w:b/>
        </w:rPr>
        <w:t xml:space="preserve"> (starpinstitūciju) sanāksmi vai elektronisko saskaņošanu</w:t>
      </w:r>
    </w:p>
    <w:p w14:paraId="08086BC3" w14:textId="77777777" w:rsidR="00DB7FF4" w:rsidRPr="007E6672" w:rsidRDefault="00DB7FF4" w:rsidP="00DB7FF4">
      <w:pPr>
        <w:pStyle w:val="naisf"/>
        <w:spacing w:before="0" w:after="0"/>
        <w:ind w:firstLine="0"/>
        <w:rPr>
          <w:b/>
        </w:rPr>
      </w:pPr>
    </w:p>
    <w:tbl>
      <w:tblPr>
        <w:tblW w:w="5001" w:type="pct"/>
        <w:tblLook w:val="00A0" w:firstRow="1" w:lastRow="0" w:firstColumn="1" w:lastColumn="0" w:noHBand="0" w:noVBand="0"/>
      </w:tblPr>
      <w:tblGrid>
        <w:gridCol w:w="2944"/>
        <w:gridCol w:w="11062"/>
      </w:tblGrid>
      <w:tr w:rsidR="00DB7FF4" w:rsidRPr="007E6672" w14:paraId="301D344A" w14:textId="77777777" w:rsidTr="00104F07">
        <w:tc>
          <w:tcPr>
            <w:tcW w:w="1051" w:type="pct"/>
          </w:tcPr>
          <w:p w14:paraId="461AD668" w14:textId="77777777" w:rsidR="00DB7FF4" w:rsidRPr="007E6672" w:rsidRDefault="00DB7FF4" w:rsidP="00104F07">
            <w:pPr>
              <w:pStyle w:val="naisf"/>
              <w:spacing w:before="0" w:after="0"/>
              <w:ind w:firstLine="0"/>
            </w:pPr>
            <w:r w:rsidRPr="007E6672">
              <w:t>Datums</w:t>
            </w:r>
          </w:p>
        </w:tc>
        <w:tc>
          <w:tcPr>
            <w:tcW w:w="3949" w:type="pct"/>
            <w:tcBorders>
              <w:bottom w:val="single" w:sz="4" w:space="0" w:color="auto"/>
            </w:tcBorders>
          </w:tcPr>
          <w:p w14:paraId="0EA020F6" w14:textId="3D552211" w:rsidR="00DB7FF4" w:rsidRPr="007E6672" w:rsidRDefault="009E5B5B" w:rsidP="00104F07">
            <w:pPr>
              <w:pStyle w:val="NormalWeb"/>
              <w:spacing w:before="0" w:beforeAutospacing="0" w:after="0" w:afterAutospacing="0"/>
              <w:jc w:val="both"/>
            </w:pPr>
            <w:r>
              <w:t>27.07.2020.</w:t>
            </w:r>
            <w:r w:rsidR="001971A3">
              <w:t>, 12.08.2020.</w:t>
            </w:r>
            <w:r w:rsidR="00EF1552">
              <w:t>, 24.08.2020.</w:t>
            </w:r>
            <w:r w:rsidR="00F40D52">
              <w:t>, 07.09.2020.</w:t>
            </w:r>
          </w:p>
        </w:tc>
      </w:tr>
      <w:tr w:rsidR="00DB7FF4" w:rsidRPr="007E6672" w14:paraId="1EB9A9E3" w14:textId="77777777" w:rsidTr="00104F07">
        <w:tc>
          <w:tcPr>
            <w:tcW w:w="1051" w:type="pct"/>
          </w:tcPr>
          <w:p w14:paraId="6B6BDA30" w14:textId="77777777" w:rsidR="00DB7FF4" w:rsidRPr="007E6672" w:rsidRDefault="00DB7FF4" w:rsidP="00104F07">
            <w:pPr>
              <w:pStyle w:val="naisf"/>
              <w:spacing w:before="0" w:after="0"/>
              <w:ind w:firstLine="0"/>
            </w:pPr>
          </w:p>
        </w:tc>
        <w:tc>
          <w:tcPr>
            <w:tcW w:w="3949" w:type="pct"/>
            <w:tcBorders>
              <w:top w:val="single" w:sz="4" w:space="0" w:color="auto"/>
            </w:tcBorders>
          </w:tcPr>
          <w:p w14:paraId="239E6571" w14:textId="77777777" w:rsidR="00DB7FF4" w:rsidRPr="007E6672" w:rsidRDefault="00DB7FF4" w:rsidP="00104F07">
            <w:pPr>
              <w:pStyle w:val="NormalWeb"/>
              <w:spacing w:before="0" w:beforeAutospacing="0" w:after="0" w:afterAutospacing="0"/>
              <w:jc w:val="both"/>
            </w:pPr>
          </w:p>
          <w:p w14:paraId="0EA65939" w14:textId="77777777" w:rsidR="00DB7FF4" w:rsidRPr="007E6672" w:rsidRDefault="00DB7FF4" w:rsidP="00104F07">
            <w:pPr>
              <w:pStyle w:val="NormalWeb"/>
              <w:spacing w:before="0" w:beforeAutospacing="0" w:after="0" w:afterAutospacing="0"/>
              <w:jc w:val="both"/>
            </w:pPr>
          </w:p>
        </w:tc>
      </w:tr>
      <w:tr w:rsidR="00DB7FF4" w:rsidRPr="007E6672" w14:paraId="0C8306A4" w14:textId="77777777" w:rsidTr="00104F07">
        <w:tc>
          <w:tcPr>
            <w:tcW w:w="1051" w:type="pct"/>
          </w:tcPr>
          <w:p w14:paraId="53B73C8F" w14:textId="77777777" w:rsidR="004D2F03" w:rsidRPr="007E6672" w:rsidRDefault="00DB7FF4" w:rsidP="00104F07">
            <w:pPr>
              <w:pStyle w:val="naiskr"/>
              <w:spacing w:before="0" w:after="0"/>
              <w:jc w:val="both"/>
            </w:pPr>
            <w:r w:rsidRPr="007E6672">
              <w:t>Saskaņošanas dalībnieki</w:t>
            </w:r>
          </w:p>
          <w:p w14:paraId="379B24A6" w14:textId="77777777" w:rsidR="004D2F03" w:rsidRPr="007E6672" w:rsidRDefault="004D2F03" w:rsidP="004D2F03">
            <w:pPr>
              <w:rPr>
                <w:lang w:eastAsia="lv-LV"/>
              </w:rPr>
            </w:pPr>
          </w:p>
          <w:p w14:paraId="55D9C0F5" w14:textId="77777777" w:rsidR="00DB7FF4" w:rsidRPr="007E6672" w:rsidRDefault="004D2F03" w:rsidP="004D2F03">
            <w:pPr>
              <w:tabs>
                <w:tab w:val="left" w:pos="1980"/>
              </w:tabs>
              <w:rPr>
                <w:lang w:eastAsia="lv-LV"/>
              </w:rPr>
            </w:pPr>
            <w:r w:rsidRPr="007E6672">
              <w:rPr>
                <w:lang w:eastAsia="lv-LV"/>
              </w:rPr>
              <w:tab/>
            </w:r>
          </w:p>
        </w:tc>
        <w:tc>
          <w:tcPr>
            <w:tcW w:w="3949" w:type="pct"/>
          </w:tcPr>
          <w:p w14:paraId="1DCC49E1" w14:textId="0033716C" w:rsidR="0069584F" w:rsidRPr="007E6672" w:rsidRDefault="0069584F" w:rsidP="0069584F">
            <w:pPr>
              <w:pStyle w:val="naiskr"/>
              <w:spacing w:before="0" w:after="0"/>
              <w:jc w:val="both"/>
            </w:pPr>
            <w:r w:rsidRPr="007E6672">
              <w:t>Finanšu ministrija</w:t>
            </w:r>
          </w:p>
          <w:p w14:paraId="413AEC2B" w14:textId="473610E8" w:rsidR="00C414C6" w:rsidRPr="007E6672" w:rsidRDefault="00C46344" w:rsidP="009E5B5B">
            <w:pPr>
              <w:pStyle w:val="naiskr"/>
              <w:spacing w:before="0" w:after="0"/>
              <w:jc w:val="both"/>
            </w:pPr>
            <w:r>
              <w:t>Tieslietu ministrija</w:t>
            </w:r>
          </w:p>
        </w:tc>
      </w:tr>
      <w:tr w:rsidR="0069584F" w:rsidRPr="007E6672" w14:paraId="00249EFB" w14:textId="77777777" w:rsidTr="00104F07">
        <w:trPr>
          <w:trHeight w:val="285"/>
        </w:trPr>
        <w:tc>
          <w:tcPr>
            <w:tcW w:w="1051" w:type="pct"/>
          </w:tcPr>
          <w:p w14:paraId="19A26CF7" w14:textId="77777777" w:rsidR="0069584F" w:rsidRDefault="0069584F" w:rsidP="0069584F">
            <w:pPr>
              <w:pStyle w:val="naiskr"/>
              <w:spacing w:before="0" w:after="0"/>
              <w:jc w:val="both"/>
            </w:pPr>
          </w:p>
          <w:p w14:paraId="073AF9BB" w14:textId="77777777" w:rsidR="00242600" w:rsidRPr="007E6672" w:rsidRDefault="00242600" w:rsidP="0069584F">
            <w:pPr>
              <w:pStyle w:val="naiskr"/>
              <w:spacing w:before="0" w:after="0"/>
              <w:jc w:val="both"/>
            </w:pPr>
          </w:p>
        </w:tc>
        <w:tc>
          <w:tcPr>
            <w:tcW w:w="3949" w:type="pct"/>
            <w:tcBorders>
              <w:top w:val="single" w:sz="4" w:space="0" w:color="auto"/>
            </w:tcBorders>
          </w:tcPr>
          <w:p w14:paraId="7C8B1EAC" w14:textId="77777777" w:rsidR="0069584F" w:rsidRPr="007E6672" w:rsidRDefault="0069584F" w:rsidP="0069584F">
            <w:pPr>
              <w:pStyle w:val="naiskr"/>
              <w:spacing w:before="0" w:after="0"/>
              <w:jc w:val="both"/>
            </w:pPr>
          </w:p>
        </w:tc>
      </w:tr>
      <w:tr w:rsidR="0069584F" w:rsidRPr="007E6672" w14:paraId="32ED5515" w14:textId="77777777" w:rsidTr="00104F07">
        <w:trPr>
          <w:trHeight w:val="1295"/>
        </w:trPr>
        <w:tc>
          <w:tcPr>
            <w:tcW w:w="1051" w:type="pct"/>
          </w:tcPr>
          <w:p w14:paraId="17F3A547" w14:textId="77777777" w:rsidR="0069584F" w:rsidRPr="007E6672" w:rsidRDefault="0069584F" w:rsidP="0069584F">
            <w:pPr>
              <w:pStyle w:val="naiskr"/>
              <w:spacing w:before="0" w:after="0"/>
              <w:jc w:val="both"/>
            </w:pPr>
            <w:r w:rsidRPr="007E6672">
              <w:t xml:space="preserve">Ministrijas (citas institūcijas), kuras nav ieradušās uz sanāksmi vai kuras nav atbildējušas uz </w:t>
            </w:r>
            <w:r w:rsidRPr="007E6672">
              <w:lastRenderedPageBreak/>
              <w:t>uzaicinājumu piedalīties elektroniskajā saskaņošanā</w:t>
            </w:r>
          </w:p>
        </w:tc>
        <w:tc>
          <w:tcPr>
            <w:tcW w:w="3949" w:type="pct"/>
            <w:tcBorders>
              <w:bottom w:val="single" w:sz="4" w:space="0" w:color="auto"/>
            </w:tcBorders>
          </w:tcPr>
          <w:p w14:paraId="79186111" w14:textId="77777777" w:rsidR="0069584F" w:rsidRDefault="0069584F" w:rsidP="0069584F">
            <w:pPr>
              <w:jc w:val="both"/>
              <w:rPr>
                <w:szCs w:val="24"/>
              </w:rPr>
            </w:pPr>
          </w:p>
          <w:p w14:paraId="3750D44D" w14:textId="77777777" w:rsidR="00242600" w:rsidRPr="007E6672" w:rsidRDefault="00DF196F" w:rsidP="0069584F">
            <w:pPr>
              <w:jc w:val="both"/>
              <w:rPr>
                <w:szCs w:val="24"/>
              </w:rPr>
            </w:pPr>
            <w:r>
              <w:rPr>
                <w:szCs w:val="24"/>
              </w:rPr>
              <w:t>Nav attiecināms</w:t>
            </w:r>
          </w:p>
        </w:tc>
      </w:tr>
    </w:tbl>
    <w:p w14:paraId="55E5C891" w14:textId="77777777" w:rsidR="00DB7FF4" w:rsidRPr="007E6672" w:rsidRDefault="00DB7FF4" w:rsidP="00DB7FF4">
      <w:pPr>
        <w:pStyle w:val="naisf"/>
        <w:spacing w:before="0" w:after="0"/>
        <w:ind w:firstLine="720"/>
      </w:pPr>
    </w:p>
    <w:p w14:paraId="6B4C3685" w14:textId="77777777" w:rsidR="00DB7FF4" w:rsidRPr="007E6672" w:rsidRDefault="00DB7FF4" w:rsidP="00242600">
      <w:pPr>
        <w:pStyle w:val="naisf"/>
        <w:spacing w:before="0" w:after="0"/>
        <w:ind w:firstLine="0"/>
      </w:pPr>
    </w:p>
    <w:p w14:paraId="65D46FF8" w14:textId="77777777" w:rsidR="00DB7FF4" w:rsidRPr="007E6672" w:rsidRDefault="00DB7FF4" w:rsidP="00DB7FF4">
      <w:pPr>
        <w:pStyle w:val="naisf"/>
        <w:spacing w:before="0" w:after="0"/>
        <w:ind w:firstLine="0"/>
        <w:rPr>
          <w:b/>
        </w:rPr>
      </w:pPr>
      <w:r w:rsidRPr="007E6672">
        <w:rPr>
          <w:b/>
        </w:rPr>
        <w:t>II. Jautājumi, par kuriem saskaņošanā vienošanās ir panākta</w:t>
      </w:r>
    </w:p>
    <w:p w14:paraId="21D86D6A" w14:textId="77777777" w:rsidR="00DB7FF4" w:rsidRPr="007E6672" w:rsidRDefault="00DB7FF4" w:rsidP="00DB7FF4">
      <w:pPr>
        <w:pStyle w:val="naisf"/>
        <w:spacing w:before="0" w:after="0"/>
        <w:ind w:firstLine="720"/>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286"/>
        <w:gridCol w:w="4253"/>
        <w:gridCol w:w="3200"/>
        <w:gridCol w:w="627"/>
        <w:gridCol w:w="3235"/>
      </w:tblGrid>
      <w:tr w:rsidR="00DB7FF4" w:rsidRPr="007E6672" w14:paraId="1B11E3ED" w14:textId="77777777" w:rsidTr="004C29BA">
        <w:tc>
          <w:tcPr>
            <w:tcW w:w="675" w:type="dxa"/>
            <w:tcBorders>
              <w:top w:val="single" w:sz="6" w:space="0" w:color="000000"/>
              <w:left w:val="single" w:sz="6" w:space="0" w:color="000000"/>
              <w:bottom w:val="single" w:sz="6" w:space="0" w:color="000000"/>
              <w:right w:val="single" w:sz="6" w:space="0" w:color="000000"/>
            </w:tcBorders>
            <w:vAlign w:val="center"/>
          </w:tcPr>
          <w:p w14:paraId="06EA39B4" w14:textId="77777777" w:rsidR="00DB7FF4" w:rsidRPr="007E6672" w:rsidRDefault="00DB7FF4" w:rsidP="00104F07">
            <w:pPr>
              <w:pStyle w:val="naisc"/>
              <w:spacing w:before="0" w:after="0"/>
              <w:jc w:val="both"/>
            </w:pPr>
            <w:r w:rsidRPr="007E6672">
              <w:t>Nr. p. k.</w:t>
            </w:r>
          </w:p>
        </w:tc>
        <w:tc>
          <w:tcPr>
            <w:tcW w:w="2719" w:type="dxa"/>
            <w:gridSpan w:val="2"/>
            <w:tcBorders>
              <w:top w:val="single" w:sz="6" w:space="0" w:color="000000"/>
              <w:left w:val="single" w:sz="6" w:space="0" w:color="000000"/>
              <w:bottom w:val="single" w:sz="6" w:space="0" w:color="000000"/>
              <w:right w:val="single" w:sz="6" w:space="0" w:color="000000"/>
            </w:tcBorders>
            <w:vAlign w:val="center"/>
          </w:tcPr>
          <w:p w14:paraId="62B458B9" w14:textId="77777777" w:rsidR="00DB7FF4" w:rsidRPr="007E6672" w:rsidRDefault="00DB7FF4" w:rsidP="00104F07">
            <w:pPr>
              <w:pStyle w:val="naisc"/>
              <w:spacing w:before="0" w:after="0"/>
              <w:ind w:firstLine="12"/>
              <w:jc w:val="both"/>
            </w:pPr>
            <w:r w:rsidRPr="007E6672">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14:paraId="3BBCA319" w14:textId="77777777" w:rsidR="00DB7FF4" w:rsidRPr="007E6672" w:rsidRDefault="00DB7FF4" w:rsidP="00104F07">
            <w:pPr>
              <w:pStyle w:val="naisc"/>
              <w:spacing w:before="0" w:after="0"/>
              <w:ind w:right="3"/>
              <w:jc w:val="both"/>
            </w:pPr>
            <w:r w:rsidRPr="007E6672">
              <w:t>Atzinumā norādītais ministrijas (citas institūcijas) iebildums, kā arī saskaņošanā papildus izteiktais iebildums par projekta konkrēto punktu (pantu)</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14:paraId="4EC9D384" w14:textId="77777777" w:rsidR="00DB7FF4" w:rsidRPr="007E6672" w:rsidRDefault="00DB7FF4" w:rsidP="00104F07">
            <w:pPr>
              <w:pStyle w:val="naisc"/>
              <w:spacing w:before="0" w:after="0"/>
              <w:ind w:firstLine="21"/>
              <w:jc w:val="both"/>
            </w:pPr>
            <w:r w:rsidRPr="007E6672">
              <w:t>Atbildīgās ministrijas norāde par to, ka iebildums ir ņemts vērā, vai informācija par saskaņošanā panākto alternatīvo risinājumu</w:t>
            </w:r>
          </w:p>
        </w:tc>
        <w:tc>
          <w:tcPr>
            <w:tcW w:w="3235" w:type="dxa"/>
            <w:tcBorders>
              <w:top w:val="single" w:sz="4" w:space="0" w:color="auto"/>
              <w:left w:val="single" w:sz="4" w:space="0" w:color="auto"/>
              <w:bottom w:val="single" w:sz="4" w:space="0" w:color="auto"/>
            </w:tcBorders>
            <w:vAlign w:val="center"/>
          </w:tcPr>
          <w:p w14:paraId="2FC45C33" w14:textId="77777777" w:rsidR="00DB7FF4" w:rsidRPr="007E6672" w:rsidRDefault="00DB7FF4" w:rsidP="00104F07">
            <w:pPr>
              <w:jc w:val="both"/>
              <w:rPr>
                <w:szCs w:val="24"/>
              </w:rPr>
            </w:pPr>
            <w:r w:rsidRPr="007E6672">
              <w:rPr>
                <w:szCs w:val="24"/>
              </w:rPr>
              <w:t>Projekta attiecīgā punkta (panta) galīgā redakcija</w:t>
            </w:r>
          </w:p>
        </w:tc>
      </w:tr>
      <w:tr w:rsidR="00DB7FF4" w:rsidRPr="007E6672" w14:paraId="0D699214"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861B4F2" w14:textId="77777777" w:rsidR="00DB7FF4" w:rsidRPr="007E6672" w:rsidRDefault="00DB7FF4" w:rsidP="00104F07">
            <w:pPr>
              <w:pStyle w:val="naisc"/>
              <w:spacing w:before="0" w:after="0"/>
              <w:jc w:val="both"/>
            </w:pPr>
            <w:r w:rsidRPr="007E6672">
              <w:t>1</w:t>
            </w:r>
          </w:p>
        </w:tc>
        <w:tc>
          <w:tcPr>
            <w:tcW w:w="2719" w:type="dxa"/>
            <w:gridSpan w:val="2"/>
            <w:tcBorders>
              <w:top w:val="single" w:sz="6" w:space="0" w:color="000000"/>
              <w:left w:val="single" w:sz="6" w:space="0" w:color="000000"/>
              <w:bottom w:val="single" w:sz="6" w:space="0" w:color="000000"/>
              <w:right w:val="single" w:sz="6" w:space="0" w:color="000000"/>
            </w:tcBorders>
          </w:tcPr>
          <w:p w14:paraId="77676414" w14:textId="77777777" w:rsidR="00DB7FF4" w:rsidRPr="007E6672" w:rsidRDefault="00DB7FF4" w:rsidP="00104F07">
            <w:pPr>
              <w:pStyle w:val="naisc"/>
              <w:spacing w:before="0" w:after="0"/>
              <w:ind w:firstLine="720"/>
              <w:jc w:val="both"/>
            </w:pPr>
            <w:r w:rsidRPr="007E6672">
              <w:t>2</w:t>
            </w:r>
          </w:p>
        </w:tc>
        <w:tc>
          <w:tcPr>
            <w:tcW w:w="4253" w:type="dxa"/>
            <w:tcBorders>
              <w:top w:val="single" w:sz="6" w:space="0" w:color="000000"/>
              <w:left w:val="single" w:sz="6" w:space="0" w:color="000000"/>
              <w:bottom w:val="single" w:sz="6" w:space="0" w:color="000000"/>
              <w:right w:val="single" w:sz="6" w:space="0" w:color="000000"/>
            </w:tcBorders>
          </w:tcPr>
          <w:p w14:paraId="54774DFF" w14:textId="77777777" w:rsidR="00DB7FF4" w:rsidRPr="007E6672" w:rsidRDefault="00DB7FF4" w:rsidP="00104F07">
            <w:pPr>
              <w:pStyle w:val="naisc"/>
              <w:spacing w:before="0" w:after="0"/>
              <w:ind w:firstLine="720"/>
              <w:jc w:val="both"/>
            </w:pPr>
            <w:r w:rsidRPr="007E6672">
              <w:t>3</w:t>
            </w:r>
          </w:p>
        </w:tc>
        <w:tc>
          <w:tcPr>
            <w:tcW w:w="3827" w:type="dxa"/>
            <w:gridSpan w:val="2"/>
            <w:tcBorders>
              <w:top w:val="single" w:sz="6" w:space="0" w:color="000000"/>
              <w:left w:val="single" w:sz="6" w:space="0" w:color="000000"/>
              <w:bottom w:val="single" w:sz="6" w:space="0" w:color="000000"/>
              <w:right w:val="single" w:sz="6" w:space="0" w:color="000000"/>
            </w:tcBorders>
          </w:tcPr>
          <w:p w14:paraId="7FF81DDA" w14:textId="77777777" w:rsidR="00DB7FF4" w:rsidRPr="007E6672" w:rsidRDefault="00DB7FF4" w:rsidP="00104F07">
            <w:pPr>
              <w:pStyle w:val="naisc"/>
              <w:spacing w:before="0" w:after="0"/>
              <w:ind w:firstLine="720"/>
              <w:jc w:val="both"/>
            </w:pPr>
            <w:r w:rsidRPr="007E6672">
              <w:t>4</w:t>
            </w:r>
          </w:p>
        </w:tc>
        <w:tc>
          <w:tcPr>
            <w:tcW w:w="3235" w:type="dxa"/>
            <w:tcBorders>
              <w:top w:val="single" w:sz="4" w:space="0" w:color="auto"/>
              <w:left w:val="single" w:sz="4" w:space="0" w:color="auto"/>
              <w:bottom w:val="single" w:sz="4" w:space="0" w:color="auto"/>
            </w:tcBorders>
          </w:tcPr>
          <w:p w14:paraId="6C9E3BD0" w14:textId="77777777" w:rsidR="00DB7FF4" w:rsidRPr="007E6672" w:rsidRDefault="00DB7FF4" w:rsidP="00104F07">
            <w:pPr>
              <w:jc w:val="both"/>
              <w:rPr>
                <w:szCs w:val="24"/>
              </w:rPr>
            </w:pPr>
            <w:r w:rsidRPr="007E6672">
              <w:rPr>
                <w:szCs w:val="24"/>
              </w:rPr>
              <w:t>5</w:t>
            </w:r>
          </w:p>
        </w:tc>
      </w:tr>
      <w:tr w:rsidR="0069584F" w:rsidRPr="007E6672" w14:paraId="6831DD68" w14:textId="77777777" w:rsidTr="004C29BA">
        <w:tc>
          <w:tcPr>
            <w:tcW w:w="675" w:type="dxa"/>
            <w:tcBorders>
              <w:top w:val="single" w:sz="6" w:space="0" w:color="000000"/>
              <w:left w:val="single" w:sz="6" w:space="0" w:color="000000"/>
              <w:bottom w:val="single" w:sz="6" w:space="0" w:color="000000"/>
              <w:right w:val="single" w:sz="6" w:space="0" w:color="000000"/>
            </w:tcBorders>
          </w:tcPr>
          <w:p w14:paraId="2615B1F4" w14:textId="77777777" w:rsidR="0069584F" w:rsidRPr="007E6672" w:rsidRDefault="0069584F" w:rsidP="0069584F">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7237DE60" w14:textId="797BB43C" w:rsidR="0069584F" w:rsidRPr="009B1C90" w:rsidRDefault="009E5B5B" w:rsidP="002B345C">
            <w:pPr>
              <w:pStyle w:val="naisc"/>
              <w:spacing w:before="0" w:after="0"/>
              <w:jc w:val="both"/>
            </w:pPr>
            <w:r w:rsidRPr="009B1C90">
              <w:t>MK noteikumu Nr.469 grozījumu projekta 1.punkts</w:t>
            </w:r>
            <w:r w:rsidR="008E67C8" w:rsidRPr="009B1C90">
              <w:t xml:space="preserve"> </w:t>
            </w:r>
          </w:p>
          <w:p w14:paraId="11CBC95C" w14:textId="77777777" w:rsidR="000E7FE3" w:rsidRPr="009B1C90" w:rsidRDefault="000E7FE3" w:rsidP="000E7FE3">
            <w:pPr>
              <w:rPr>
                <w:lang w:eastAsia="lv-LV"/>
              </w:rPr>
            </w:pPr>
          </w:p>
          <w:p w14:paraId="47AA2E8F" w14:textId="77777777" w:rsidR="000E7FE3" w:rsidRPr="009B1C90" w:rsidRDefault="000E7FE3" w:rsidP="000E7FE3">
            <w:pPr>
              <w:rPr>
                <w:lang w:eastAsia="lv-LV"/>
              </w:rPr>
            </w:pPr>
          </w:p>
          <w:p w14:paraId="6551ECF6" w14:textId="77777777" w:rsidR="000E7FE3" w:rsidRDefault="000E7FE3" w:rsidP="000E7FE3">
            <w:pPr>
              <w:rPr>
                <w:lang w:eastAsia="lv-LV"/>
              </w:rPr>
            </w:pPr>
          </w:p>
          <w:p w14:paraId="7E4ED6B6" w14:textId="77777777" w:rsidR="00F40D52" w:rsidRPr="00F40D52" w:rsidRDefault="00F40D52" w:rsidP="00F40D52">
            <w:pPr>
              <w:rPr>
                <w:lang w:eastAsia="lv-LV"/>
              </w:rPr>
            </w:pPr>
          </w:p>
          <w:p w14:paraId="79D7F401" w14:textId="77777777" w:rsidR="00F40D52" w:rsidRPr="00F40D52" w:rsidRDefault="00F40D52" w:rsidP="00F40D52">
            <w:pPr>
              <w:rPr>
                <w:lang w:eastAsia="lv-LV"/>
              </w:rPr>
            </w:pPr>
          </w:p>
          <w:p w14:paraId="052971EB" w14:textId="77777777" w:rsidR="00F40D52" w:rsidRPr="00F40D52" w:rsidRDefault="00F40D52" w:rsidP="00F40D52">
            <w:pPr>
              <w:rPr>
                <w:lang w:eastAsia="lv-LV"/>
              </w:rPr>
            </w:pPr>
          </w:p>
          <w:p w14:paraId="0A96308C" w14:textId="77777777" w:rsidR="00F40D52" w:rsidRPr="00F40D52" w:rsidRDefault="00F40D52" w:rsidP="00F40D52">
            <w:pPr>
              <w:rPr>
                <w:lang w:eastAsia="lv-LV"/>
              </w:rPr>
            </w:pPr>
          </w:p>
          <w:p w14:paraId="76326A2C" w14:textId="77777777" w:rsidR="00F40D52" w:rsidRPr="00F40D52" w:rsidRDefault="00F40D52" w:rsidP="00F40D52">
            <w:pPr>
              <w:rPr>
                <w:lang w:eastAsia="lv-LV"/>
              </w:rPr>
            </w:pPr>
          </w:p>
          <w:p w14:paraId="73AB0B6D" w14:textId="77777777" w:rsidR="00F40D52" w:rsidRPr="00F40D52" w:rsidRDefault="00F40D52" w:rsidP="00F40D52">
            <w:pPr>
              <w:rPr>
                <w:lang w:eastAsia="lv-LV"/>
              </w:rPr>
            </w:pPr>
          </w:p>
          <w:p w14:paraId="1AD3C5B4" w14:textId="77777777" w:rsidR="00F40D52" w:rsidRPr="00F40D52" w:rsidRDefault="00F40D52" w:rsidP="00F40D52">
            <w:pPr>
              <w:rPr>
                <w:lang w:eastAsia="lv-LV"/>
              </w:rPr>
            </w:pPr>
          </w:p>
          <w:p w14:paraId="44682AAF" w14:textId="77777777" w:rsidR="00F40D52" w:rsidRPr="00F40D52" w:rsidRDefault="00F40D52" w:rsidP="00F40D52">
            <w:pPr>
              <w:rPr>
                <w:lang w:eastAsia="lv-LV"/>
              </w:rPr>
            </w:pPr>
          </w:p>
          <w:p w14:paraId="39756376" w14:textId="77777777" w:rsidR="00F40D52" w:rsidRPr="00F40D52" w:rsidRDefault="00F40D52" w:rsidP="00F40D52">
            <w:pPr>
              <w:rPr>
                <w:lang w:eastAsia="lv-LV"/>
              </w:rPr>
            </w:pPr>
          </w:p>
          <w:p w14:paraId="23438252" w14:textId="77777777" w:rsidR="00F40D52" w:rsidRPr="00F40D52" w:rsidRDefault="00F40D52" w:rsidP="00F40D52">
            <w:pPr>
              <w:rPr>
                <w:lang w:eastAsia="lv-LV"/>
              </w:rPr>
            </w:pPr>
          </w:p>
          <w:p w14:paraId="3328FE86" w14:textId="77777777" w:rsidR="00F40D52" w:rsidRPr="00F40D52" w:rsidRDefault="00F40D52" w:rsidP="00F40D52">
            <w:pPr>
              <w:rPr>
                <w:lang w:eastAsia="lv-LV"/>
              </w:rPr>
            </w:pPr>
          </w:p>
          <w:p w14:paraId="48DEB279" w14:textId="77777777" w:rsidR="00F40D52" w:rsidRDefault="00F40D52" w:rsidP="00F40D52">
            <w:pPr>
              <w:rPr>
                <w:lang w:eastAsia="lv-LV"/>
              </w:rPr>
            </w:pPr>
          </w:p>
          <w:p w14:paraId="496473CC" w14:textId="46B92C20" w:rsidR="00F40D52" w:rsidRPr="00F40D52" w:rsidRDefault="00F40D52" w:rsidP="00F40D52">
            <w:pPr>
              <w:ind w:firstLine="720"/>
              <w:rPr>
                <w:lang w:eastAsia="lv-LV"/>
              </w:rPr>
            </w:pPr>
          </w:p>
        </w:tc>
        <w:tc>
          <w:tcPr>
            <w:tcW w:w="4253" w:type="dxa"/>
            <w:tcBorders>
              <w:top w:val="single" w:sz="6" w:space="0" w:color="000000"/>
              <w:left w:val="single" w:sz="6" w:space="0" w:color="000000"/>
              <w:bottom w:val="single" w:sz="6" w:space="0" w:color="000000"/>
              <w:right w:val="single" w:sz="6" w:space="0" w:color="000000"/>
            </w:tcBorders>
          </w:tcPr>
          <w:p w14:paraId="2DBB3E1D" w14:textId="2F0F3C70" w:rsidR="002027C6" w:rsidRPr="009B1C90" w:rsidRDefault="00377F00" w:rsidP="007E319F">
            <w:pPr>
              <w:pStyle w:val="naisc"/>
              <w:spacing w:before="0" w:after="0"/>
              <w:jc w:val="both"/>
              <w:rPr>
                <w:b/>
              </w:rPr>
            </w:pPr>
            <w:r w:rsidRPr="009B1C90">
              <w:rPr>
                <w:b/>
              </w:rPr>
              <w:t>Tieslietu</w:t>
            </w:r>
            <w:r w:rsidR="005E6294" w:rsidRPr="009B1C90">
              <w:rPr>
                <w:b/>
              </w:rPr>
              <w:t xml:space="preserve"> ministrijas </w:t>
            </w:r>
            <w:r w:rsidR="009E5B5B" w:rsidRPr="009B1C90">
              <w:rPr>
                <w:b/>
              </w:rPr>
              <w:t>06.08</w:t>
            </w:r>
            <w:r w:rsidR="001C6772" w:rsidRPr="009B1C90">
              <w:rPr>
                <w:b/>
              </w:rPr>
              <w:t>.20</w:t>
            </w:r>
            <w:r w:rsidRPr="009B1C90">
              <w:rPr>
                <w:b/>
              </w:rPr>
              <w:t>20</w:t>
            </w:r>
            <w:r w:rsidR="001C6772" w:rsidRPr="009B1C90">
              <w:rPr>
                <w:b/>
              </w:rPr>
              <w:t>. atzinums</w:t>
            </w:r>
            <w:r w:rsidR="009E5B5B" w:rsidRPr="009B1C90">
              <w:rPr>
                <w:b/>
              </w:rPr>
              <w:t xml:space="preserve"> Nr.1-9.1/846</w:t>
            </w:r>
          </w:p>
          <w:p w14:paraId="353BB433" w14:textId="77777777" w:rsidR="009E5B5B" w:rsidRPr="009B1C90" w:rsidRDefault="009E5B5B" w:rsidP="009E5B5B">
            <w:pPr>
              <w:tabs>
                <w:tab w:val="left" w:pos="993"/>
              </w:tabs>
              <w:ind w:firstLine="567"/>
              <w:jc w:val="both"/>
              <w:rPr>
                <w:color w:val="000000" w:themeColor="text1"/>
                <w:szCs w:val="24"/>
              </w:rPr>
            </w:pPr>
            <w:r w:rsidRPr="009B1C90">
              <w:rPr>
                <w:color w:val="000000" w:themeColor="text1"/>
                <w:szCs w:val="24"/>
              </w:rPr>
              <w:t xml:space="preserve">Lūdzam izvērtēt projekta 1.punktu un nepieciešamības gadījumā to svītrot. </w:t>
            </w:r>
          </w:p>
          <w:p w14:paraId="4E7CDB79" w14:textId="77777777" w:rsidR="009E5B5B" w:rsidRPr="009B1C90" w:rsidRDefault="009E5B5B" w:rsidP="009E5B5B">
            <w:pPr>
              <w:tabs>
                <w:tab w:val="left" w:pos="993"/>
              </w:tabs>
              <w:ind w:firstLine="567"/>
              <w:jc w:val="both"/>
              <w:rPr>
                <w:color w:val="000000" w:themeColor="text1"/>
                <w:szCs w:val="24"/>
              </w:rPr>
            </w:pPr>
            <w:r w:rsidRPr="009B1C90">
              <w:rPr>
                <w:color w:val="000000" w:themeColor="text1"/>
                <w:szCs w:val="24"/>
              </w:rPr>
              <w:t xml:space="preserve">Vēršam uzmanību, ka no Ministru kabineta 2016. gada 15. jūlija noteikumiem Nr. 469 „Noteikumi par paralēlajiem aizdevumiem saimnieciskās darbības veicējiem konkurētspējas uzlabošanai” (turpmāk – MKN) izriet, ka valsts atbalsts šo noteikumu ietvaros tiek piešķirts saskaņā ar </w:t>
            </w:r>
            <w:r w:rsidRPr="009B1C90">
              <w:rPr>
                <w:i/>
                <w:color w:val="000000" w:themeColor="text1"/>
                <w:szCs w:val="24"/>
              </w:rPr>
              <w:t>Komisijas 2014. gada 17. jūnija Regulu (ES) Nr.  </w:t>
            </w:r>
            <w:hyperlink r:id="rId8" w:tgtFrame="_blank" w:history="1">
              <w:r w:rsidRPr="009B1C90">
                <w:rPr>
                  <w:i/>
                  <w:color w:val="000000" w:themeColor="text1"/>
                  <w:szCs w:val="24"/>
                </w:rPr>
                <w:t>651/2014</w:t>
              </w:r>
            </w:hyperlink>
            <w:r w:rsidRPr="009B1C90">
              <w:rPr>
                <w:i/>
                <w:color w:val="000000" w:themeColor="text1"/>
                <w:szCs w:val="24"/>
              </w:rPr>
              <w:t>, ar ko noteiktas atbalsta kategorijas atzīst par saderīgām ar iekšējo tirgu, piemērojot Līguma 107. un 108. pantu (vispārējā grupu atbrīvojuma regula)</w:t>
            </w:r>
            <w:r w:rsidRPr="009B1C90">
              <w:rPr>
                <w:color w:val="000000" w:themeColor="text1"/>
                <w:szCs w:val="24"/>
              </w:rPr>
              <w:t xml:space="preserve"> (turpmāk – Atbrīvojuma regula). </w:t>
            </w:r>
          </w:p>
          <w:p w14:paraId="26FC8DB8" w14:textId="77777777" w:rsidR="009E5B5B" w:rsidRPr="009B1C90" w:rsidRDefault="009E5B5B" w:rsidP="009E5B5B">
            <w:pPr>
              <w:tabs>
                <w:tab w:val="left" w:pos="993"/>
              </w:tabs>
              <w:ind w:firstLine="567"/>
              <w:jc w:val="both"/>
              <w:rPr>
                <w:color w:val="000000" w:themeColor="text1"/>
                <w:szCs w:val="24"/>
              </w:rPr>
            </w:pPr>
            <w:r w:rsidRPr="009B1C90">
              <w:rPr>
                <w:color w:val="000000" w:themeColor="text1"/>
                <w:szCs w:val="24"/>
              </w:rPr>
              <w:lastRenderedPageBreak/>
              <w:t xml:space="preserve">Ņemot vērā, ka attiecīgais valsts atbalsta mehānisms jau noteikts MKN, kā arī to, ka saskaņā ar Līguma par Eiropas Savienības darbību (turpmāk – LESD) 288. pantu regulu normas ir tieši piemērojamas, Atbrīvojuma regulas 1. panta </w:t>
            </w:r>
            <w:r w:rsidRPr="009B1C90">
              <w:rPr>
                <w:szCs w:val="24"/>
              </w:rPr>
              <w:t xml:space="preserve">4. punkta c) apakšpunkts ir tieši piemērojams arī pēc grozījumiem, kas tiek izdarīti ar </w:t>
            </w:r>
            <w:r w:rsidRPr="009B1C90">
              <w:rPr>
                <w:i/>
                <w:color w:val="000000" w:themeColor="text1"/>
                <w:szCs w:val="24"/>
              </w:rPr>
              <w:t>Komisijas 2020. gada 2. jūlija Regulu (ES) 2020/972, ar ko groza Regulu (ES) Nr. 1407/2013 attiecībā uz tās pagarināšanu un groza Regulu (ES) Nr. 651/2014 attiecībā uz tās pagarināšanu un attiecīgiem pielāgojumiem</w:t>
            </w:r>
            <w:r w:rsidRPr="009B1C90">
              <w:rPr>
                <w:color w:val="000000" w:themeColor="text1"/>
                <w:szCs w:val="24"/>
              </w:rPr>
              <w:t xml:space="preserve"> (turpmāk – Regula 2020/972). </w:t>
            </w:r>
          </w:p>
          <w:p w14:paraId="41D5A0BD" w14:textId="77777777" w:rsidR="009E5B5B" w:rsidRPr="009B1C90" w:rsidRDefault="009E5B5B" w:rsidP="009E5B5B">
            <w:pPr>
              <w:tabs>
                <w:tab w:val="left" w:pos="993"/>
              </w:tabs>
              <w:ind w:firstLine="567"/>
              <w:jc w:val="both"/>
              <w:rPr>
                <w:color w:val="000000" w:themeColor="text1"/>
                <w:szCs w:val="24"/>
              </w:rPr>
            </w:pPr>
            <w:r w:rsidRPr="009B1C90">
              <w:rPr>
                <w:color w:val="000000" w:themeColor="text1"/>
                <w:szCs w:val="24"/>
              </w:rPr>
              <w:t>Norādām arī, ka šobrīd ar projekta 1. punktu tiek pārrakstīts un interpretēts Atbalsta regulas 1. panta 4. punkta c) apakšpunkts, kas saskaņā ar LESD 288. pantu nav pieļaujams.</w:t>
            </w:r>
          </w:p>
          <w:p w14:paraId="034AB2AF" w14:textId="17679C45" w:rsidR="001C6772" w:rsidRPr="009B1C90" w:rsidRDefault="009E5B5B" w:rsidP="009E5B5B">
            <w:pPr>
              <w:tabs>
                <w:tab w:val="left" w:pos="993"/>
              </w:tabs>
              <w:ind w:firstLine="567"/>
              <w:jc w:val="both"/>
            </w:pPr>
            <w:r w:rsidRPr="009B1C90">
              <w:rPr>
                <w:color w:val="000000" w:themeColor="text1"/>
                <w:szCs w:val="24"/>
              </w:rPr>
              <w:t>Ievērojot minēto, lūdzam izvērtēt nepieciešamību projekta 1. punktu svītrot. Ja tiesiskās skaidrības nolūkos MKN nepieciešams ietvert norādi uz precizētajiem nosacījumiem par grūtībās nonākušu komersantu atbalstu, lūdzam projekta 1. punktu precizēt, novēršot Atbalsta regulas pārrakstīšanu, tā vietā projektā ietverot atsauci uz attiecīgo regulas apakšpunktu.</w:t>
            </w:r>
          </w:p>
        </w:tc>
        <w:tc>
          <w:tcPr>
            <w:tcW w:w="3827" w:type="dxa"/>
            <w:gridSpan w:val="2"/>
            <w:tcBorders>
              <w:top w:val="single" w:sz="6" w:space="0" w:color="000000"/>
              <w:left w:val="single" w:sz="6" w:space="0" w:color="000000"/>
              <w:bottom w:val="single" w:sz="6" w:space="0" w:color="000000"/>
              <w:right w:val="single" w:sz="6" w:space="0" w:color="000000"/>
            </w:tcBorders>
          </w:tcPr>
          <w:p w14:paraId="667E0150" w14:textId="77777777" w:rsidR="009B1C90" w:rsidRPr="009B1C90" w:rsidRDefault="009B1C90" w:rsidP="009B1C90">
            <w:pPr>
              <w:pStyle w:val="naisc"/>
              <w:rPr>
                <w:b/>
              </w:rPr>
            </w:pPr>
            <w:r w:rsidRPr="009B1C90">
              <w:rPr>
                <w:b/>
              </w:rPr>
              <w:lastRenderedPageBreak/>
              <w:t>Ņemts vērā</w:t>
            </w:r>
          </w:p>
          <w:p w14:paraId="4856C090" w14:textId="77777777" w:rsidR="009C5C56" w:rsidRPr="009B1C90" w:rsidRDefault="009C5C56" w:rsidP="004C29BA">
            <w:pPr>
              <w:pStyle w:val="naisc"/>
              <w:spacing w:before="0" w:after="0"/>
              <w:jc w:val="left"/>
              <w:rPr>
                <w:b/>
              </w:rPr>
            </w:pPr>
          </w:p>
          <w:p w14:paraId="43261D11" w14:textId="4A7F8936" w:rsidR="004B3C83" w:rsidRPr="009B1C90" w:rsidRDefault="00A043FC" w:rsidP="00A043FC">
            <w:pPr>
              <w:pStyle w:val="naisc"/>
              <w:spacing w:before="0" w:after="0"/>
              <w:jc w:val="both"/>
            </w:pPr>
            <w:r w:rsidRPr="009B1C90">
              <w:t xml:space="preserve"> </w:t>
            </w:r>
          </w:p>
          <w:p w14:paraId="3A44456D" w14:textId="77777777" w:rsidR="000F5A3C" w:rsidRPr="009B1C90" w:rsidRDefault="000F5A3C" w:rsidP="007E319F">
            <w:pPr>
              <w:pStyle w:val="naisc"/>
              <w:spacing w:before="0" w:after="0"/>
              <w:jc w:val="both"/>
            </w:pPr>
          </w:p>
        </w:tc>
        <w:tc>
          <w:tcPr>
            <w:tcW w:w="3235" w:type="dxa"/>
            <w:tcBorders>
              <w:top w:val="single" w:sz="4" w:space="0" w:color="auto"/>
              <w:left w:val="single" w:sz="4" w:space="0" w:color="auto"/>
              <w:bottom w:val="single" w:sz="4" w:space="0" w:color="auto"/>
            </w:tcBorders>
          </w:tcPr>
          <w:p w14:paraId="68282C21" w14:textId="0AC49BC9" w:rsidR="0069584F" w:rsidRPr="007E6672" w:rsidRDefault="009B1C90" w:rsidP="00104F07">
            <w:pPr>
              <w:jc w:val="both"/>
              <w:rPr>
                <w:szCs w:val="24"/>
              </w:rPr>
            </w:pPr>
            <w:r w:rsidRPr="009B1C90">
              <w:rPr>
                <w:szCs w:val="24"/>
              </w:rPr>
              <w:t>Norma svītrota</w:t>
            </w:r>
          </w:p>
        </w:tc>
      </w:tr>
      <w:tr w:rsidR="00654A41" w:rsidRPr="007E6672" w14:paraId="73E4768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5C07BC71" w14:textId="77777777" w:rsidR="00654A41" w:rsidRPr="007E6672" w:rsidRDefault="00654A41" w:rsidP="0069584F">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FD516D7" w14:textId="7D65B39C" w:rsidR="00654A41" w:rsidRPr="00054EC9" w:rsidRDefault="009B6DB2" w:rsidP="009E5B5B">
            <w:pPr>
              <w:pStyle w:val="naisc"/>
              <w:spacing w:before="0" w:after="0"/>
              <w:jc w:val="both"/>
            </w:pPr>
            <w:r>
              <w:t>A</w:t>
            </w:r>
            <w:r w:rsidRPr="009B6DB2">
              <w:t xml:space="preserve">notācijas </w:t>
            </w:r>
            <w:r w:rsidR="009E5B5B">
              <w:t xml:space="preserve">V </w:t>
            </w:r>
            <w:r w:rsidR="009E5B5B" w:rsidRPr="009B6DB2">
              <w:t xml:space="preserve">sadaļas </w:t>
            </w:r>
            <w:r w:rsidR="009E5B5B">
              <w:t>“</w:t>
            </w:r>
            <w:r w:rsidR="009E5B5B" w:rsidRPr="009E5B5B">
              <w:rPr>
                <w:color w:val="000000"/>
              </w:rPr>
              <w:t xml:space="preserve">Tiesību akta projekta </w:t>
            </w:r>
            <w:r w:rsidR="009E5B5B" w:rsidRPr="009E5B5B">
              <w:rPr>
                <w:color w:val="000000"/>
              </w:rPr>
              <w:lastRenderedPageBreak/>
              <w:t xml:space="preserve">atbilstība Latvijas Republikas </w:t>
            </w:r>
            <w:r w:rsidR="009E5B5B">
              <w:rPr>
                <w:color w:val="000000"/>
              </w:rPr>
              <w:t>s</w:t>
            </w:r>
            <w:r w:rsidR="009E5B5B" w:rsidRPr="009E5B5B">
              <w:rPr>
                <w:color w:val="000000"/>
              </w:rPr>
              <w:t>tarptautiskajām saistībām”</w:t>
            </w:r>
            <w:r w:rsidRPr="009E5B5B">
              <w:t xml:space="preserve"> </w:t>
            </w:r>
            <w:r w:rsidR="009E5B5B">
              <w:t>1</w:t>
            </w:r>
            <w:r w:rsidRPr="009B6DB2">
              <w:t>.</w:t>
            </w:r>
            <w:r w:rsidR="009E5B5B">
              <w:t>tabula “</w:t>
            </w:r>
            <w:r w:rsidR="009E5B5B" w:rsidRPr="00C67AA9">
              <w:rPr>
                <w:iCs/>
                <w:color w:val="000000" w:themeColor="text1"/>
              </w:rPr>
              <w:t>Tiesību akta projekta atbilstība ES tiesību aktiem</w:t>
            </w:r>
            <w:r w:rsidR="009E5B5B">
              <w:rPr>
                <w:iCs/>
                <w:color w:val="000000" w:themeColor="text1"/>
              </w:rPr>
              <w:t>”</w:t>
            </w:r>
            <w:r w:rsidRPr="009B6DB2">
              <w:t xml:space="preserve"> </w:t>
            </w:r>
          </w:p>
        </w:tc>
        <w:tc>
          <w:tcPr>
            <w:tcW w:w="4253" w:type="dxa"/>
            <w:tcBorders>
              <w:top w:val="single" w:sz="6" w:space="0" w:color="000000"/>
              <w:left w:val="single" w:sz="6" w:space="0" w:color="000000"/>
              <w:bottom w:val="single" w:sz="6" w:space="0" w:color="000000"/>
              <w:right w:val="single" w:sz="6" w:space="0" w:color="000000"/>
            </w:tcBorders>
          </w:tcPr>
          <w:p w14:paraId="7B8D011B" w14:textId="6B706410" w:rsidR="009E5B5B" w:rsidRDefault="009E5B5B" w:rsidP="009E5B5B">
            <w:pPr>
              <w:tabs>
                <w:tab w:val="left" w:pos="993"/>
              </w:tabs>
              <w:jc w:val="both"/>
              <w:rPr>
                <w:color w:val="000000" w:themeColor="text1"/>
                <w:sz w:val="28"/>
                <w:szCs w:val="28"/>
              </w:rPr>
            </w:pPr>
            <w:r w:rsidRPr="00885726">
              <w:rPr>
                <w:b/>
              </w:rPr>
              <w:lastRenderedPageBreak/>
              <w:t>Tieslietu ministrijas 06.08.2020. atzinums Nr.1-9.1/846</w:t>
            </w:r>
          </w:p>
          <w:p w14:paraId="4E8E22FD" w14:textId="473C9E2D" w:rsidR="009E5B5B" w:rsidRPr="009E5B5B" w:rsidRDefault="009E5B5B" w:rsidP="009E5B5B">
            <w:pPr>
              <w:tabs>
                <w:tab w:val="left" w:pos="993"/>
              </w:tabs>
              <w:ind w:firstLine="567"/>
              <w:jc w:val="both"/>
              <w:rPr>
                <w:color w:val="000000" w:themeColor="text1"/>
                <w:szCs w:val="24"/>
              </w:rPr>
            </w:pPr>
            <w:r w:rsidRPr="009E5B5B">
              <w:rPr>
                <w:color w:val="000000" w:themeColor="text1"/>
                <w:szCs w:val="24"/>
              </w:rPr>
              <w:lastRenderedPageBreak/>
              <w:t xml:space="preserve">Papildus norādām, ka saskaņā ar projekta anotācijas V sadaļas 1. tabulā norādīto informāciju projekta 1. punkts </w:t>
            </w:r>
            <w:r w:rsidRPr="009E5B5B">
              <w:rPr>
                <w:color w:val="000000" w:themeColor="text1"/>
                <w:szCs w:val="24"/>
                <w:u w:val="single"/>
              </w:rPr>
              <w:t>pilnībā ievieš</w:t>
            </w:r>
            <w:r w:rsidRPr="009E5B5B">
              <w:rPr>
                <w:color w:val="000000" w:themeColor="text1"/>
                <w:szCs w:val="24"/>
              </w:rPr>
              <w:t xml:space="preserve"> Regulu 2020/972. Vēršam uzmanību, ka Regula 2020/972 groza </w:t>
            </w:r>
            <w:r w:rsidRPr="009E5B5B">
              <w:rPr>
                <w:color w:val="000000" w:themeColor="text1"/>
                <w:szCs w:val="24"/>
                <w:u w:val="single"/>
              </w:rPr>
              <w:t>divas</w:t>
            </w:r>
            <w:r w:rsidRPr="009E5B5B">
              <w:rPr>
                <w:color w:val="000000" w:themeColor="text1"/>
                <w:szCs w:val="24"/>
              </w:rPr>
              <w:t xml:space="preserve"> valsts atbalsta regulas (Vispārējo grupu atbrīvojuma regulu, kā arī </w:t>
            </w:r>
            <w:proofErr w:type="spellStart"/>
            <w:r w:rsidRPr="009E5B5B">
              <w:rPr>
                <w:i/>
                <w:color w:val="000000" w:themeColor="text1"/>
                <w:szCs w:val="24"/>
              </w:rPr>
              <w:t>de</w:t>
            </w:r>
            <w:proofErr w:type="spellEnd"/>
            <w:r w:rsidRPr="009E5B5B">
              <w:rPr>
                <w:i/>
                <w:color w:val="000000" w:themeColor="text1"/>
                <w:szCs w:val="24"/>
              </w:rPr>
              <w:t xml:space="preserve"> </w:t>
            </w:r>
            <w:proofErr w:type="spellStart"/>
            <w:r w:rsidRPr="009E5B5B">
              <w:rPr>
                <w:i/>
                <w:color w:val="000000" w:themeColor="text1"/>
                <w:szCs w:val="24"/>
              </w:rPr>
              <w:t>minimis</w:t>
            </w:r>
            <w:proofErr w:type="spellEnd"/>
            <w:r w:rsidRPr="009E5B5B">
              <w:rPr>
                <w:i/>
                <w:color w:val="000000" w:themeColor="text1"/>
                <w:szCs w:val="24"/>
              </w:rPr>
              <w:t xml:space="preserve"> </w:t>
            </w:r>
            <w:r w:rsidRPr="009E5B5B">
              <w:rPr>
                <w:color w:val="000000" w:themeColor="text1"/>
                <w:szCs w:val="24"/>
              </w:rPr>
              <w:t xml:space="preserve">regulu). Līdz ar to secināms, ka uz MKN Regulā 2020/972 paredzētie grozījumi attiecas tikai daļēji. Turklāt no projekta teksta izriet, ka ar projekta 1. punktu tiek ieviests tikai Regulas 2020/972 2. panta 1. punkta 2. apakšpunkts, kas paredz grozīt Atbrīvojuma regulas 1. panta </w:t>
            </w:r>
            <w:r w:rsidRPr="009E5B5B">
              <w:rPr>
                <w:szCs w:val="24"/>
              </w:rPr>
              <w:t>4. punkta c) apakšpunktu attiecībā uz grūtībās nonākuša komersanta atbalstu.</w:t>
            </w:r>
            <w:r w:rsidRPr="009E5B5B">
              <w:rPr>
                <w:color w:val="000000" w:themeColor="text1"/>
                <w:szCs w:val="24"/>
              </w:rPr>
              <w:t xml:space="preserve"> Ievērojot minēto, lūdzam precizēt projekta anotācijas V sadaļas 1. tabulu, korekti norādot informāciju par Regulas 2020/972 ieviešanu.</w:t>
            </w:r>
          </w:p>
          <w:p w14:paraId="71D1090B" w14:textId="1F63B11B" w:rsidR="00654A41" w:rsidRPr="00A94547" w:rsidRDefault="00654A41" w:rsidP="00105FC1">
            <w:pPr>
              <w:pStyle w:val="naisc"/>
              <w:spacing w:before="0" w:after="0"/>
              <w:jc w:val="both"/>
            </w:pPr>
          </w:p>
        </w:tc>
        <w:tc>
          <w:tcPr>
            <w:tcW w:w="3827" w:type="dxa"/>
            <w:gridSpan w:val="2"/>
            <w:tcBorders>
              <w:top w:val="single" w:sz="6" w:space="0" w:color="000000"/>
              <w:left w:val="single" w:sz="6" w:space="0" w:color="000000"/>
              <w:bottom w:val="single" w:sz="6" w:space="0" w:color="000000"/>
              <w:right w:val="single" w:sz="6" w:space="0" w:color="000000"/>
            </w:tcBorders>
          </w:tcPr>
          <w:p w14:paraId="7B54E952" w14:textId="77777777" w:rsidR="002252BA" w:rsidRPr="00B57567" w:rsidRDefault="009C5C56" w:rsidP="00386193">
            <w:pPr>
              <w:pStyle w:val="naisc"/>
              <w:rPr>
                <w:b/>
              </w:rPr>
            </w:pPr>
            <w:r w:rsidRPr="007E6672">
              <w:rPr>
                <w:b/>
              </w:rPr>
              <w:lastRenderedPageBreak/>
              <w:t>Ņemts vērā</w:t>
            </w:r>
          </w:p>
          <w:p w14:paraId="1253DA69" w14:textId="77777777" w:rsidR="002252BA" w:rsidRPr="009C5C56" w:rsidRDefault="002252BA" w:rsidP="009E5B5B">
            <w:pPr>
              <w:pStyle w:val="naisc"/>
              <w:jc w:val="both"/>
              <w:rPr>
                <w:b/>
                <w:i/>
                <w:u w:val="single"/>
              </w:rPr>
            </w:pPr>
          </w:p>
        </w:tc>
        <w:tc>
          <w:tcPr>
            <w:tcW w:w="3235" w:type="dxa"/>
            <w:tcBorders>
              <w:top w:val="single" w:sz="4" w:space="0" w:color="auto"/>
              <w:left w:val="single" w:sz="4" w:space="0" w:color="auto"/>
              <w:bottom w:val="single" w:sz="4" w:space="0" w:color="auto"/>
            </w:tcBorders>
          </w:tcPr>
          <w:p w14:paraId="5910C863" w14:textId="0D443484" w:rsidR="000F5A3C" w:rsidRPr="007E6672" w:rsidRDefault="00885726" w:rsidP="0013339E">
            <w:pPr>
              <w:spacing w:before="100" w:beforeAutospacing="1" w:after="100" w:afterAutospacing="1"/>
              <w:jc w:val="both"/>
            </w:pPr>
            <w:r>
              <w:lastRenderedPageBreak/>
              <w:t>Precizēta</w:t>
            </w:r>
            <w:r w:rsidR="00C05F61" w:rsidRPr="00C05F61">
              <w:t xml:space="preserve"> anotācijas </w:t>
            </w:r>
            <w:r>
              <w:t xml:space="preserve">V </w:t>
            </w:r>
            <w:r w:rsidRPr="009B6DB2">
              <w:t xml:space="preserve">sadaļas </w:t>
            </w:r>
            <w:r>
              <w:t>“</w:t>
            </w:r>
            <w:r w:rsidRPr="009E5B5B">
              <w:rPr>
                <w:color w:val="000000"/>
              </w:rPr>
              <w:t xml:space="preserve">Tiesību akta projekta </w:t>
            </w:r>
            <w:r w:rsidRPr="009E5B5B">
              <w:rPr>
                <w:color w:val="000000"/>
              </w:rPr>
              <w:lastRenderedPageBreak/>
              <w:t xml:space="preserve">atbilstība Latvijas Republikas </w:t>
            </w:r>
            <w:r>
              <w:rPr>
                <w:color w:val="000000"/>
              </w:rPr>
              <w:t>s</w:t>
            </w:r>
            <w:r w:rsidRPr="009E5B5B">
              <w:rPr>
                <w:color w:val="000000"/>
              </w:rPr>
              <w:t>tarptautiskajām saistībām”</w:t>
            </w:r>
            <w:r w:rsidRPr="009E5B5B">
              <w:t xml:space="preserve"> </w:t>
            </w:r>
            <w:r>
              <w:t>1</w:t>
            </w:r>
            <w:r w:rsidRPr="009B6DB2">
              <w:t>.</w:t>
            </w:r>
            <w:r>
              <w:t>tabula “</w:t>
            </w:r>
            <w:r w:rsidRPr="00C67AA9">
              <w:rPr>
                <w:iCs/>
                <w:color w:val="000000" w:themeColor="text1"/>
              </w:rPr>
              <w:t>Tiesību akta projekta atbilstība ES tiesību aktiem</w:t>
            </w:r>
            <w:r>
              <w:rPr>
                <w:iCs/>
                <w:color w:val="000000" w:themeColor="text1"/>
              </w:rPr>
              <w:t>”</w:t>
            </w:r>
          </w:p>
        </w:tc>
      </w:tr>
      <w:tr w:rsidR="0032636E" w:rsidRPr="007E6672" w14:paraId="7821D616" w14:textId="77777777" w:rsidTr="000F556F">
        <w:tc>
          <w:tcPr>
            <w:tcW w:w="675" w:type="dxa"/>
            <w:tcBorders>
              <w:top w:val="single" w:sz="6" w:space="0" w:color="000000"/>
              <w:left w:val="single" w:sz="6" w:space="0" w:color="000000"/>
              <w:bottom w:val="single" w:sz="6" w:space="0" w:color="000000"/>
              <w:right w:val="single" w:sz="6" w:space="0" w:color="000000"/>
            </w:tcBorders>
          </w:tcPr>
          <w:p w14:paraId="1EA3D67D" w14:textId="77777777" w:rsidR="0032636E" w:rsidRPr="007E6672" w:rsidRDefault="0032636E" w:rsidP="0032636E">
            <w:pPr>
              <w:pStyle w:val="naisc"/>
              <w:numPr>
                <w:ilvl w:val="0"/>
                <w:numId w:val="2"/>
              </w:numPr>
              <w:spacing w:before="0" w:after="0"/>
              <w:jc w:val="both"/>
            </w:pPr>
          </w:p>
        </w:tc>
        <w:tc>
          <w:tcPr>
            <w:tcW w:w="2719" w:type="dxa"/>
            <w:gridSpan w:val="2"/>
            <w:tcBorders>
              <w:left w:val="single" w:sz="6" w:space="0" w:color="000000"/>
              <w:bottom w:val="single" w:sz="6" w:space="0" w:color="000000"/>
              <w:right w:val="single" w:sz="6" w:space="0" w:color="000000"/>
            </w:tcBorders>
          </w:tcPr>
          <w:p w14:paraId="0E682ACB" w14:textId="7398C3EB" w:rsidR="0032636E" w:rsidRPr="007E6672" w:rsidRDefault="00A14982" w:rsidP="0032636E">
            <w:pPr>
              <w:pStyle w:val="naisc"/>
              <w:jc w:val="both"/>
            </w:pPr>
            <w:r w:rsidRPr="00A14982">
              <w:t>Vispārīgs iebildums</w:t>
            </w:r>
          </w:p>
        </w:tc>
        <w:tc>
          <w:tcPr>
            <w:tcW w:w="4253" w:type="dxa"/>
            <w:tcBorders>
              <w:top w:val="single" w:sz="6" w:space="0" w:color="000000"/>
              <w:left w:val="single" w:sz="6" w:space="0" w:color="000000"/>
              <w:bottom w:val="single" w:sz="6" w:space="0" w:color="000000"/>
              <w:right w:val="single" w:sz="6" w:space="0" w:color="000000"/>
            </w:tcBorders>
          </w:tcPr>
          <w:p w14:paraId="4D3E55C2" w14:textId="5E52C1A2" w:rsidR="0032636E" w:rsidRPr="007E6672" w:rsidRDefault="0032636E" w:rsidP="0032636E">
            <w:pPr>
              <w:pStyle w:val="naisc"/>
              <w:spacing w:before="0" w:after="0"/>
              <w:jc w:val="both"/>
              <w:rPr>
                <w:b/>
              </w:rPr>
            </w:pPr>
            <w:r>
              <w:rPr>
                <w:b/>
              </w:rPr>
              <w:t xml:space="preserve">Finanšu ministrijas </w:t>
            </w:r>
            <w:r w:rsidR="00885726">
              <w:rPr>
                <w:b/>
              </w:rPr>
              <w:t>07.08</w:t>
            </w:r>
            <w:r w:rsidRPr="007E6672">
              <w:rPr>
                <w:b/>
              </w:rPr>
              <w:t>.20</w:t>
            </w:r>
            <w:r w:rsidR="005F1C13">
              <w:rPr>
                <w:b/>
              </w:rPr>
              <w:t>20</w:t>
            </w:r>
            <w:r w:rsidRPr="007E6672">
              <w:rPr>
                <w:b/>
              </w:rPr>
              <w:t>. atzinums</w:t>
            </w:r>
            <w:r w:rsidR="00885726">
              <w:rPr>
                <w:b/>
              </w:rPr>
              <w:t xml:space="preserve"> Nr.</w:t>
            </w:r>
            <w:bookmarkStart w:id="2" w:name="lietas_nr"/>
            <w:r w:rsidR="00885726">
              <w:rPr>
                <w:b/>
              </w:rPr>
              <w:t>12/A-7/4241</w:t>
            </w:r>
            <w:bookmarkEnd w:id="2"/>
          </w:p>
          <w:p w14:paraId="6B6CCD2A" w14:textId="2478CC50" w:rsidR="0032636E" w:rsidRPr="00885726" w:rsidRDefault="00885726" w:rsidP="0032636E">
            <w:pPr>
              <w:contextualSpacing/>
              <w:jc w:val="both"/>
              <w:rPr>
                <w:szCs w:val="24"/>
              </w:rPr>
            </w:pPr>
            <w:r w:rsidRPr="00885726">
              <w:rPr>
                <w:szCs w:val="24"/>
              </w:rPr>
              <w:t xml:space="preserve">Pamatojoties uz to, ka tiek precizēti paralēlo aizdevumu piešķiršanas nosacījumu ierobežojumi saimnieciskās darbības veicējiem, lūdzam noteikumu projektam pievienot Ministru kabineta sēdes </w:t>
            </w:r>
            <w:proofErr w:type="spellStart"/>
            <w:r w:rsidRPr="00885726">
              <w:rPr>
                <w:szCs w:val="24"/>
              </w:rPr>
              <w:t>protokollēmumu</w:t>
            </w:r>
            <w:proofErr w:type="spellEnd"/>
            <w:r w:rsidRPr="00885726">
              <w:rPr>
                <w:szCs w:val="24"/>
              </w:rPr>
              <w:t xml:space="preserve">, kurā noteikts, ka Ekonomikas ministrija sadarbībā ar AS </w:t>
            </w:r>
            <w:r w:rsidRPr="00885726">
              <w:rPr>
                <w:spacing w:val="2"/>
                <w:szCs w:val="24"/>
                <w:shd w:val="clear" w:color="auto" w:fill="FEFEFE"/>
              </w:rPr>
              <w:t xml:space="preserve">"Attīstības finanšu institūcija </w:t>
            </w:r>
            <w:proofErr w:type="spellStart"/>
            <w:r w:rsidRPr="00885726">
              <w:rPr>
                <w:spacing w:val="2"/>
                <w:szCs w:val="24"/>
                <w:shd w:val="clear" w:color="auto" w:fill="FEFEFE"/>
              </w:rPr>
              <w:t>Altum</w:t>
            </w:r>
            <w:proofErr w:type="spellEnd"/>
            <w:r w:rsidRPr="00885726">
              <w:rPr>
                <w:spacing w:val="2"/>
                <w:szCs w:val="24"/>
                <w:shd w:val="clear" w:color="auto" w:fill="FEFEFE"/>
              </w:rPr>
              <w:t xml:space="preserve">" </w:t>
            </w:r>
            <w:r w:rsidRPr="00885726">
              <w:rPr>
                <w:szCs w:val="24"/>
              </w:rPr>
              <w:t>(turpmāk –</w:t>
            </w:r>
            <w:proofErr w:type="spellStart"/>
            <w:r w:rsidRPr="00885726">
              <w:rPr>
                <w:szCs w:val="24"/>
              </w:rPr>
              <w:t>Altum</w:t>
            </w:r>
            <w:proofErr w:type="spellEnd"/>
            <w:r w:rsidRPr="00885726">
              <w:rPr>
                <w:szCs w:val="24"/>
              </w:rPr>
              <w:t xml:space="preserve">) sagatavos un iesniegs </w:t>
            </w:r>
            <w:r w:rsidRPr="00885726">
              <w:rPr>
                <w:szCs w:val="24"/>
              </w:rPr>
              <w:lastRenderedPageBreak/>
              <w:t xml:space="preserve">izskatīšanai Ministru kabinetā jaunu programmas rādītāju novērtējumu, ja programmas īstenošanas laikā </w:t>
            </w:r>
            <w:proofErr w:type="spellStart"/>
            <w:r w:rsidRPr="00885726">
              <w:rPr>
                <w:szCs w:val="24"/>
              </w:rPr>
              <w:t>Altum</w:t>
            </w:r>
            <w:proofErr w:type="spellEnd"/>
            <w:r w:rsidRPr="00885726">
              <w:rPr>
                <w:szCs w:val="24"/>
              </w:rPr>
              <w:t xml:space="preserve"> konstatē, ka programmas kopējais sagaidāmo paredzamo un neparedzamo zaudējumu apjoms pārsniedz šajā programmu rādītāju novērtējumā minētos apjomus, kā rezultātā </w:t>
            </w:r>
            <w:proofErr w:type="spellStart"/>
            <w:r w:rsidRPr="00885726">
              <w:rPr>
                <w:szCs w:val="24"/>
              </w:rPr>
              <w:t>Altum</w:t>
            </w:r>
            <w:proofErr w:type="spellEnd"/>
            <w:r w:rsidRPr="00885726">
              <w:rPr>
                <w:szCs w:val="24"/>
              </w:rPr>
              <w:t xml:space="preserve"> ir nepieciešams papildus finansējums zaudējumu segšanai.</w:t>
            </w:r>
          </w:p>
        </w:tc>
        <w:tc>
          <w:tcPr>
            <w:tcW w:w="3827" w:type="dxa"/>
            <w:gridSpan w:val="2"/>
            <w:tcBorders>
              <w:top w:val="single" w:sz="6" w:space="0" w:color="000000"/>
              <w:left w:val="single" w:sz="6" w:space="0" w:color="000000"/>
              <w:bottom w:val="single" w:sz="6" w:space="0" w:color="000000"/>
              <w:right w:val="single" w:sz="6" w:space="0" w:color="000000"/>
            </w:tcBorders>
          </w:tcPr>
          <w:p w14:paraId="4807AE5B" w14:textId="77777777" w:rsidR="0032636E" w:rsidRPr="007E6672" w:rsidRDefault="0032636E" w:rsidP="0032636E">
            <w:pPr>
              <w:pStyle w:val="naisc"/>
              <w:spacing w:before="0" w:after="0"/>
              <w:rPr>
                <w:b/>
              </w:rPr>
            </w:pPr>
            <w:r w:rsidRPr="007E6672">
              <w:rPr>
                <w:b/>
              </w:rPr>
              <w:lastRenderedPageBreak/>
              <w:t>Ņemts vērā</w:t>
            </w:r>
          </w:p>
          <w:p w14:paraId="69B8BAB0" w14:textId="27DB4243" w:rsidR="0032636E" w:rsidRPr="00A009E5" w:rsidRDefault="0032636E" w:rsidP="0032636E">
            <w:pPr>
              <w:pStyle w:val="naisc"/>
              <w:spacing w:before="0" w:after="0"/>
              <w:jc w:val="both"/>
            </w:pPr>
          </w:p>
        </w:tc>
        <w:tc>
          <w:tcPr>
            <w:tcW w:w="3235" w:type="dxa"/>
            <w:tcBorders>
              <w:left w:val="single" w:sz="4" w:space="0" w:color="auto"/>
              <w:bottom w:val="single" w:sz="4" w:space="0" w:color="auto"/>
            </w:tcBorders>
          </w:tcPr>
          <w:p w14:paraId="6EDEE5C6" w14:textId="5072D0CF" w:rsidR="0032636E" w:rsidRPr="007E6672" w:rsidRDefault="00885726" w:rsidP="0032636E">
            <w:pPr>
              <w:jc w:val="both"/>
              <w:rPr>
                <w:szCs w:val="24"/>
              </w:rPr>
            </w:pPr>
            <w:r>
              <w:rPr>
                <w:szCs w:val="24"/>
              </w:rPr>
              <w:t>N</w:t>
            </w:r>
            <w:r w:rsidRPr="00885726">
              <w:rPr>
                <w:szCs w:val="24"/>
              </w:rPr>
              <w:t>oteikumu projektam pievienot</w:t>
            </w:r>
            <w:r>
              <w:rPr>
                <w:szCs w:val="24"/>
              </w:rPr>
              <w:t>s</w:t>
            </w:r>
            <w:r w:rsidRPr="00885726">
              <w:rPr>
                <w:szCs w:val="24"/>
              </w:rPr>
              <w:t xml:space="preserve"> Ministru kabineta sēdes </w:t>
            </w:r>
            <w:proofErr w:type="spellStart"/>
            <w:r w:rsidRPr="00885726">
              <w:rPr>
                <w:szCs w:val="24"/>
              </w:rPr>
              <w:t>protokollēmum</w:t>
            </w:r>
            <w:r>
              <w:rPr>
                <w:szCs w:val="24"/>
              </w:rPr>
              <w:t>s</w:t>
            </w:r>
            <w:proofErr w:type="spellEnd"/>
            <w:r>
              <w:rPr>
                <w:szCs w:val="24"/>
              </w:rPr>
              <w:t>.</w:t>
            </w:r>
          </w:p>
        </w:tc>
      </w:tr>
      <w:tr w:rsidR="00000607" w:rsidRPr="007E6672" w14:paraId="60C592E4" w14:textId="77777777" w:rsidTr="004C29BA">
        <w:tc>
          <w:tcPr>
            <w:tcW w:w="675" w:type="dxa"/>
            <w:tcBorders>
              <w:top w:val="single" w:sz="6" w:space="0" w:color="000000"/>
              <w:left w:val="single" w:sz="6" w:space="0" w:color="000000"/>
              <w:bottom w:val="single" w:sz="6" w:space="0" w:color="000000"/>
              <w:right w:val="single" w:sz="6" w:space="0" w:color="000000"/>
            </w:tcBorders>
          </w:tcPr>
          <w:p w14:paraId="451EFF41" w14:textId="77777777" w:rsidR="00000607" w:rsidRPr="007E6672" w:rsidRDefault="00000607" w:rsidP="0069584F">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11B86992" w14:textId="3F563F79" w:rsidR="00E40FA7" w:rsidRPr="00E40FA7" w:rsidRDefault="00E40FA7" w:rsidP="00E40FA7">
            <w:pPr>
              <w:pStyle w:val="naisc"/>
              <w:spacing w:before="0" w:after="0"/>
              <w:jc w:val="both"/>
            </w:pPr>
            <w:r w:rsidRPr="00E40FA7">
              <w:t>MK noteikumu Nr.469 grozījumu projekta 1.punkts</w:t>
            </w:r>
            <w:r w:rsidR="008E67C8">
              <w:t xml:space="preserve"> (pēc papildinājumiem </w:t>
            </w:r>
            <w:r w:rsidR="00A831B1">
              <w:t>3</w:t>
            </w:r>
            <w:r w:rsidR="008E67C8">
              <w:t>.punkts)</w:t>
            </w:r>
          </w:p>
          <w:p w14:paraId="513344CB" w14:textId="01A0D282" w:rsidR="00000607" w:rsidRPr="007E6672" w:rsidRDefault="00000607" w:rsidP="002B345C">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14:paraId="5CB174A1" w14:textId="77777777" w:rsidR="00E1377E" w:rsidRPr="007E6672" w:rsidRDefault="00E1377E" w:rsidP="00E1377E">
            <w:pPr>
              <w:pStyle w:val="naisc"/>
              <w:spacing w:before="0" w:after="0"/>
              <w:jc w:val="both"/>
              <w:rPr>
                <w:b/>
              </w:rPr>
            </w:pPr>
            <w:r>
              <w:rPr>
                <w:b/>
              </w:rPr>
              <w:t>Finanšu ministrijas 07.08</w:t>
            </w:r>
            <w:r w:rsidRPr="007E6672">
              <w:rPr>
                <w:b/>
              </w:rPr>
              <w:t>.20</w:t>
            </w:r>
            <w:r>
              <w:rPr>
                <w:b/>
              </w:rPr>
              <w:t>20</w:t>
            </w:r>
            <w:r w:rsidRPr="007E6672">
              <w:rPr>
                <w:b/>
              </w:rPr>
              <w:t>. atzinums</w:t>
            </w:r>
            <w:r>
              <w:rPr>
                <w:b/>
              </w:rPr>
              <w:t xml:space="preserve"> Nr.12/A-7/4241</w:t>
            </w:r>
          </w:p>
          <w:p w14:paraId="3BB62ADD" w14:textId="5EE86AE5" w:rsidR="00000607" w:rsidRPr="007668D7" w:rsidRDefault="007668D7" w:rsidP="00654A41">
            <w:pPr>
              <w:pStyle w:val="naisc"/>
              <w:spacing w:before="0" w:after="0"/>
              <w:jc w:val="both"/>
            </w:pPr>
            <w:r w:rsidRPr="007668D7">
              <w:t xml:space="preserve">Vēršam uzmanību, ka attiecībā uz grūtībās nonākušiem uzņēmumiem laikā no 2020.gada 1.janvāra līdz 2021.gada 30.jūnijam atbalsts ir piemērojams ierobežotu laiku, t.i., atbilstoši Eiropas Komisijas sniegtajam skaidrojumam </w:t>
            </w:r>
            <w:bookmarkStart w:id="3" w:name="_Hlk47945469"/>
            <w:r w:rsidRPr="007668D7">
              <w:t xml:space="preserve">atbalstu grūtībās nonākušiem uzņēmumiem var </w:t>
            </w:r>
            <w:r w:rsidRPr="007668D7">
              <w:rPr>
                <w:u w:val="single"/>
              </w:rPr>
              <w:t>piešķirt</w:t>
            </w:r>
            <w:r w:rsidRPr="007668D7">
              <w:t xml:space="preserve"> tikai līdz 2021.gada 30.jūnijam.</w:t>
            </w:r>
            <w:bookmarkEnd w:id="3"/>
            <w:r w:rsidRPr="007668D7">
              <w:t xml:space="preserve"> Tādējādi lūdzam atbilstoši precizēt noteikumu projektu un anotācijā ietverto skaidrojumu</w:t>
            </w:r>
          </w:p>
        </w:tc>
        <w:tc>
          <w:tcPr>
            <w:tcW w:w="3827" w:type="dxa"/>
            <w:gridSpan w:val="2"/>
            <w:tcBorders>
              <w:top w:val="single" w:sz="6" w:space="0" w:color="000000"/>
              <w:left w:val="single" w:sz="6" w:space="0" w:color="000000"/>
              <w:bottom w:val="single" w:sz="6" w:space="0" w:color="000000"/>
              <w:right w:val="single" w:sz="6" w:space="0" w:color="000000"/>
            </w:tcBorders>
          </w:tcPr>
          <w:p w14:paraId="56973BD9" w14:textId="77777777" w:rsidR="00000607" w:rsidRPr="007E6672" w:rsidRDefault="0006192A" w:rsidP="00386193">
            <w:pPr>
              <w:pStyle w:val="naisc"/>
              <w:rPr>
                <w:b/>
              </w:rPr>
            </w:pPr>
            <w:r w:rsidRPr="006939D0">
              <w:rPr>
                <w:b/>
              </w:rPr>
              <w:t>Ņemts vērā</w:t>
            </w:r>
          </w:p>
          <w:p w14:paraId="02DFCC54" w14:textId="766604BA" w:rsidR="00E4672B" w:rsidRPr="007E6672" w:rsidRDefault="00E4672B" w:rsidP="009437BD">
            <w:pPr>
              <w:pStyle w:val="naisc"/>
              <w:jc w:val="both"/>
            </w:pPr>
          </w:p>
        </w:tc>
        <w:tc>
          <w:tcPr>
            <w:tcW w:w="3235" w:type="dxa"/>
            <w:tcBorders>
              <w:top w:val="single" w:sz="4" w:space="0" w:color="auto"/>
              <w:left w:val="single" w:sz="4" w:space="0" w:color="auto"/>
              <w:bottom w:val="single" w:sz="4" w:space="0" w:color="auto"/>
            </w:tcBorders>
          </w:tcPr>
          <w:p w14:paraId="0C4E3589" w14:textId="6A5D3C1E" w:rsidR="00E40FA7" w:rsidRDefault="00A831B1" w:rsidP="00E40FA7">
            <w:pPr>
              <w:autoSpaceDE w:val="0"/>
              <w:autoSpaceDN w:val="0"/>
              <w:adjustRightInd w:val="0"/>
              <w:contextualSpacing/>
              <w:jc w:val="both"/>
              <w:rPr>
                <w:rFonts w:eastAsia="Times New Roman"/>
                <w:szCs w:val="24"/>
                <w:lang w:eastAsia="lv-LV"/>
              </w:rPr>
            </w:pPr>
            <w:r>
              <w:rPr>
                <w:rFonts w:eastAsia="Times New Roman"/>
                <w:szCs w:val="24"/>
                <w:lang w:eastAsia="lv-LV"/>
              </w:rPr>
              <w:t xml:space="preserve">Precizēta anotācija, </w:t>
            </w:r>
            <w:r w:rsidR="00E40FA7">
              <w:rPr>
                <w:rFonts w:eastAsia="Times New Roman"/>
                <w:szCs w:val="24"/>
                <w:lang w:eastAsia="lv-LV"/>
              </w:rPr>
              <w:t>MK noteikumu Nr.469 projekts papildināts ar 49.punktu šādā redakcijā:</w:t>
            </w:r>
          </w:p>
          <w:p w14:paraId="040AE32C" w14:textId="7FB620B2" w:rsidR="00E40FA7" w:rsidRPr="00E40FA7" w:rsidRDefault="009B1C90" w:rsidP="00E40FA7">
            <w:pPr>
              <w:autoSpaceDE w:val="0"/>
              <w:autoSpaceDN w:val="0"/>
              <w:adjustRightInd w:val="0"/>
              <w:contextualSpacing/>
              <w:jc w:val="both"/>
              <w:rPr>
                <w:rFonts w:eastAsia="Times New Roman"/>
                <w:szCs w:val="24"/>
                <w:lang w:eastAsia="lv-LV"/>
              </w:rPr>
            </w:pPr>
            <w:r>
              <w:rPr>
                <w:rFonts w:eastAsia="Times New Roman"/>
                <w:szCs w:val="24"/>
                <w:lang w:eastAsia="lv-LV"/>
              </w:rPr>
              <w:t xml:space="preserve">“49. </w:t>
            </w:r>
            <w:r w:rsidRPr="00DB1443">
              <w:rPr>
                <w:rFonts w:eastAsia="Times New Roman"/>
                <w:szCs w:val="24"/>
                <w:lang w:eastAsia="lv-LV"/>
              </w:rPr>
              <w:t>Lēmumu par atbalsta piešķiršanu saskaņā ar Komisijas regulu Nr. 651/2014 var pieņemt līdz šīs regulas darbības beigām</w:t>
            </w:r>
            <w:r>
              <w:rPr>
                <w:rFonts w:eastAsia="Times New Roman"/>
                <w:szCs w:val="24"/>
                <w:lang w:eastAsia="lv-LV"/>
              </w:rPr>
              <w:t>, izņemot lēmumu par atbalsta piešķiršanu</w:t>
            </w:r>
            <w:r w:rsidRPr="00E40FA7">
              <w:rPr>
                <w:rFonts w:eastAsia="Times New Roman"/>
                <w:szCs w:val="24"/>
                <w:lang w:eastAsia="lv-LV"/>
              </w:rPr>
              <w:t xml:space="preserve"> grūtībās nonākušiem </w:t>
            </w:r>
            <w:r w:rsidRPr="000A044E">
              <w:rPr>
                <w:rFonts w:eastAsia="Times New Roman"/>
                <w:szCs w:val="24"/>
                <w:lang w:eastAsia="lv-LV"/>
              </w:rPr>
              <w:t>saimnieciskās darbības veicēj</w:t>
            </w:r>
            <w:r>
              <w:rPr>
                <w:rFonts w:eastAsia="Times New Roman"/>
                <w:szCs w:val="24"/>
                <w:lang w:eastAsia="lv-LV"/>
              </w:rPr>
              <w:t xml:space="preserve">iem </w:t>
            </w:r>
            <w:r w:rsidRPr="000A044E">
              <w:rPr>
                <w:rFonts w:eastAsia="Times New Roman"/>
                <w:szCs w:val="24"/>
                <w:lang w:eastAsia="lv-LV"/>
              </w:rPr>
              <w:t>saskaņā ar Komisijas regulas Nr. 651/2014 2.panta 18.punktā noteikto definīciju</w:t>
            </w:r>
            <w:r>
              <w:rPr>
                <w:rFonts w:eastAsia="Times New Roman"/>
                <w:szCs w:val="24"/>
                <w:lang w:eastAsia="lv-LV"/>
              </w:rPr>
              <w:t xml:space="preserve"> </w:t>
            </w:r>
            <w:r w:rsidRPr="00E40FA7">
              <w:rPr>
                <w:rFonts w:eastAsia="Times New Roman"/>
                <w:szCs w:val="24"/>
                <w:lang w:eastAsia="lv-LV"/>
              </w:rPr>
              <w:t xml:space="preserve">var </w:t>
            </w:r>
            <w:r>
              <w:rPr>
                <w:rFonts w:eastAsia="Times New Roman"/>
                <w:szCs w:val="24"/>
                <w:lang w:eastAsia="lv-LV"/>
              </w:rPr>
              <w:t>pieņemt</w:t>
            </w:r>
            <w:r w:rsidRPr="00E40FA7">
              <w:rPr>
                <w:rFonts w:eastAsia="Times New Roman"/>
                <w:szCs w:val="24"/>
                <w:lang w:eastAsia="lv-LV"/>
              </w:rPr>
              <w:t xml:space="preserve"> līdz 2021.gada 30.jūnijam.”</w:t>
            </w:r>
          </w:p>
          <w:p w14:paraId="5EAE537C" w14:textId="55F0A455" w:rsidR="00000607" w:rsidRPr="007E6672" w:rsidRDefault="00000607" w:rsidP="00104F07">
            <w:pPr>
              <w:jc w:val="both"/>
              <w:rPr>
                <w:szCs w:val="24"/>
              </w:rPr>
            </w:pPr>
          </w:p>
        </w:tc>
      </w:tr>
      <w:tr w:rsidR="00392ACB" w:rsidRPr="007E6672" w14:paraId="5904205F"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6A11351" w14:textId="77777777" w:rsidR="00392ACB" w:rsidRPr="007E6672" w:rsidRDefault="00392ACB" w:rsidP="00392ACB">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3C6EBFC6" w14:textId="30E4AE85" w:rsidR="00392ACB" w:rsidRPr="007E6672" w:rsidRDefault="00E40FA7" w:rsidP="00392ACB">
            <w:pPr>
              <w:pStyle w:val="naisc"/>
              <w:jc w:val="both"/>
            </w:pPr>
            <w:r w:rsidRPr="00E40FA7">
              <w:t>MK noteikumu Nr.469 grozījumu projekt</w:t>
            </w:r>
            <w:r>
              <w:t>s</w:t>
            </w:r>
          </w:p>
        </w:tc>
        <w:tc>
          <w:tcPr>
            <w:tcW w:w="4253" w:type="dxa"/>
            <w:tcBorders>
              <w:top w:val="single" w:sz="6" w:space="0" w:color="000000"/>
              <w:left w:val="single" w:sz="6" w:space="0" w:color="000000"/>
              <w:bottom w:val="single" w:sz="6" w:space="0" w:color="000000"/>
              <w:right w:val="single" w:sz="6" w:space="0" w:color="000000"/>
            </w:tcBorders>
          </w:tcPr>
          <w:p w14:paraId="5BCB09F0" w14:textId="77777777" w:rsidR="00E40FA7" w:rsidRPr="007E6672" w:rsidRDefault="00E40FA7" w:rsidP="00E40FA7">
            <w:pPr>
              <w:pStyle w:val="naisc"/>
              <w:spacing w:before="0" w:after="0"/>
              <w:jc w:val="both"/>
              <w:rPr>
                <w:b/>
              </w:rPr>
            </w:pPr>
            <w:r>
              <w:rPr>
                <w:b/>
              </w:rPr>
              <w:t>Finanšu ministrijas 07.08</w:t>
            </w:r>
            <w:r w:rsidRPr="007E6672">
              <w:rPr>
                <w:b/>
              </w:rPr>
              <w:t>.20</w:t>
            </w:r>
            <w:r>
              <w:rPr>
                <w:b/>
              </w:rPr>
              <w:t>20</w:t>
            </w:r>
            <w:r w:rsidRPr="007E6672">
              <w:rPr>
                <w:b/>
              </w:rPr>
              <w:t>. atzinums</w:t>
            </w:r>
            <w:r>
              <w:rPr>
                <w:b/>
              </w:rPr>
              <w:t xml:space="preserve"> Nr.12/A-7/4241</w:t>
            </w:r>
          </w:p>
          <w:p w14:paraId="02348984" w14:textId="0985BF9C" w:rsidR="00392ACB" w:rsidRPr="00E40FA7" w:rsidRDefault="00E40FA7" w:rsidP="002B103B">
            <w:pPr>
              <w:contextualSpacing/>
              <w:jc w:val="both"/>
              <w:rPr>
                <w:szCs w:val="24"/>
              </w:rPr>
            </w:pPr>
            <w:r w:rsidRPr="00E40FA7">
              <w:rPr>
                <w:szCs w:val="24"/>
              </w:rPr>
              <w:t xml:space="preserve">Lūdzam noteikumu projektā iekļaut normu ar termiņu, līdz kuram var pieņemt lēmumu par atbalsta piešķiršanu saskaņā </w:t>
            </w:r>
            <w:r w:rsidRPr="00E40FA7">
              <w:rPr>
                <w:szCs w:val="24"/>
              </w:rPr>
              <w:lastRenderedPageBreak/>
              <w:t xml:space="preserve">ar </w:t>
            </w:r>
            <w:r w:rsidRPr="00E40FA7">
              <w:rPr>
                <w:szCs w:val="24"/>
                <w:shd w:val="clear" w:color="auto" w:fill="FFFFFF"/>
              </w:rPr>
              <w:t>Komisijas 2014.gada 17.jūnija Regulu (ES) Nr.  </w:t>
            </w:r>
            <w:hyperlink r:id="rId9" w:tgtFrame="_blank" w:history="1">
              <w:r w:rsidRPr="00E40FA7">
                <w:rPr>
                  <w:rStyle w:val="Hyperlink"/>
                  <w:szCs w:val="24"/>
                  <w:shd w:val="clear" w:color="auto" w:fill="FFFFFF"/>
                </w:rPr>
                <w:t>651/2014</w:t>
              </w:r>
            </w:hyperlink>
            <w:r w:rsidRPr="00E40FA7">
              <w:rPr>
                <w:szCs w:val="24"/>
                <w:shd w:val="clear" w:color="auto" w:fill="FFFFFF"/>
              </w:rPr>
              <w:t>, ar ko noteiktas atbalsta kategorijas atzīst par saderīgām ar iekšējo tirgu, piemērojot Līguma 107. un 108. pantu (turpmāk – Komisijas regula Nr.  </w:t>
            </w:r>
            <w:hyperlink r:id="rId10" w:tgtFrame="_blank" w:history="1">
              <w:r w:rsidRPr="00E40FA7">
                <w:rPr>
                  <w:rStyle w:val="Hyperlink"/>
                  <w:szCs w:val="24"/>
                  <w:shd w:val="clear" w:color="auto" w:fill="FFFFFF"/>
                </w:rPr>
                <w:t>651/2014</w:t>
              </w:r>
            </w:hyperlink>
            <w:r w:rsidRPr="00E40FA7">
              <w:rPr>
                <w:szCs w:val="24"/>
                <w:shd w:val="clear" w:color="auto" w:fill="FFFFFF"/>
              </w:rPr>
              <w:t>) </w:t>
            </w:r>
            <w:r w:rsidRPr="00E40FA7">
              <w:rPr>
                <w:szCs w:val="24"/>
              </w:rPr>
              <w:t xml:space="preserve">. Papildus informējam, ka atbilstoši Komisijas 2020.gada 2.jūlija Regulas (ES) Nr. 2020/972, </w:t>
            </w:r>
            <w:r w:rsidRPr="00E40FA7">
              <w:rPr>
                <w:szCs w:val="24"/>
                <w:shd w:val="clear" w:color="auto" w:fill="FFFFFF"/>
              </w:rPr>
              <w:t>ar ko groza Regulu (ES) Nr. 1407/2013 attiecībā uz tās pagarināšanu un groza Regulu (ES) Nr. 651/2014 attiecībā uz tās pagarināšanu un attiecīgiem pielāgojumiem,</w:t>
            </w:r>
            <w:r w:rsidRPr="00E40FA7">
              <w:rPr>
                <w:szCs w:val="24"/>
              </w:rPr>
              <w:t xml:space="preserve"> nosacījumiem Komisijas regulas Nr.651/2014 darbības termiņš ir pagarināts līdz 2023.gada 31.decembrim, kā arī vienlaikus lūdzam skatīt Finanšu ministrijas 2020.gada 7.jūlija vēstulē Nr.7-7/18/3706  sniegto informāciju par nepieciešamajām procesuālajām darbībām atbalsta programmas darbības termiņa pagarinājuma gadījumā</w:t>
            </w:r>
            <w:r>
              <w:rPr>
                <w:szCs w:val="24"/>
              </w:rPr>
              <w:t>.</w:t>
            </w:r>
          </w:p>
        </w:tc>
        <w:tc>
          <w:tcPr>
            <w:tcW w:w="3827" w:type="dxa"/>
            <w:gridSpan w:val="2"/>
            <w:tcBorders>
              <w:top w:val="single" w:sz="6" w:space="0" w:color="000000"/>
              <w:left w:val="single" w:sz="6" w:space="0" w:color="000000"/>
              <w:bottom w:val="single" w:sz="6" w:space="0" w:color="000000"/>
              <w:right w:val="single" w:sz="6" w:space="0" w:color="000000"/>
            </w:tcBorders>
          </w:tcPr>
          <w:p w14:paraId="348C3E55" w14:textId="77777777" w:rsidR="00392ACB" w:rsidRPr="007E6672" w:rsidRDefault="00392ACB" w:rsidP="00392ACB">
            <w:pPr>
              <w:pStyle w:val="naisc"/>
              <w:spacing w:before="0" w:after="0"/>
              <w:rPr>
                <w:b/>
              </w:rPr>
            </w:pPr>
            <w:r w:rsidRPr="007E6672">
              <w:rPr>
                <w:b/>
              </w:rPr>
              <w:lastRenderedPageBreak/>
              <w:t>Ņemts vērā</w:t>
            </w:r>
          </w:p>
          <w:p w14:paraId="03401143" w14:textId="77777777" w:rsidR="00392ACB" w:rsidRPr="007E6672" w:rsidRDefault="00392ACB" w:rsidP="00392ACB">
            <w:pPr>
              <w:pStyle w:val="naisc"/>
              <w:spacing w:before="0" w:after="0"/>
              <w:ind w:firstLine="720"/>
              <w:jc w:val="left"/>
            </w:pPr>
          </w:p>
        </w:tc>
        <w:tc>
          <w:tcPr>
            <w:tcW w:w="3235" w:type="dxa"/>
            <w:tcBorders>
              <w:top w:val="single" w:sz="4" w:space="0" w:color="auto"/>
              <w:left w:val="single" w:sz="4" w:space="0" w:color="auto"/>
              <w:bottom w:val="single" w:sz="4" w:space="0" w:color="auto"/>
            </w:tcBorders>
          </w:tcPr>
          <w:p w14:paraId="4E2CB6E8" w14:textId="77777777" w:rsidR="009B1C90" w:rsidRDefault="009B1C90" w:rsidP="009B1C90">
            <w:pPr>
              <w:autoSpaceDE w:val="0"/>
              <w:autoSpaceDN w:val="0"/>
              <w:adjustRightInd w:val="0"/>
              <w:contextualSpacing/>
              <w:jc w:val="both"/>
              <w:rPr>
                <w:rFonts w:eastAsia="Times New Roman"/>
                <w:szCs w:val="24"/>
                <w:lang w:eastAsia="lv-LV"/>
              </w:rPr>
            </w:pPr>
            <w:r>
              <w:rPr>
                <w:rFonts w:eastAsia="Times New Roman"/>
                <w:szCs w:val="24"/>
                <w:lang w:eastAsia="lv-LV"/>
              </w:rPr>
              <w:t>MK noteikumu Nr.469 projekts papildināts ar 49.punktu šādā redakcijā:</w:t>
            </w:r>
          </w:p>
          <w:p w14:paraId="2471CD95" w14:textId="77777777" w:rsidR="009B1C90" w:rsidRPr="00E40FA7" w:rsidRDefault="009B1C90" w:rsidP="009B1C90">
            <w:pPr>
              <w:autoSpaceDE w:val="0"/>
              <w:autoSpaceDN w:val="0"/>
              <w:adjustRightInd w:val="0"/>
              <w:contextualSpacing/>
              <w:jc w:val="both"/>
              <w:rPr>
                <w:rFonts w:eastAsia="Times New Roman"/>
                <w:szCs w:val="24"/>
                <w:lang w:eastAsia="lv-LV"/>
              </w:rPr>
            </w:pPr>
            <w:r>
              <w:rPr>
                <w:rFonts w:eastAsia="Times New Roman"/>
                <w:szCs w:val="24"/>
                <w:lang w:eastAsia="lv-LV"/>
              </w:rPr>
              <w:t xml:space="preserve">“49. </w:t>
            </w:r>
            <w:r w:rsidRPr="00DB1443">
              <w:rPr>
                <w:rFonts w:eastAsia="Times New Roman"/>
                <w:szCs w:val="24"/>
                <w:lang w:eastAsia="lv-LV"/>
              </w:rPr>
              <w:t xml:space="preserve">Lēmumu par atbalsta piešķiršanu saskaņā ar </w:t>
            </w:r>
            <w:r w:rsidRPr="00DB1443">
              <w:rPr>
                <w:rFonts w:eastAsia="Times New Roman"/>
                <w:szCs w:val="24"/>
                <w:lang w:eastAsia="lv-LV"/>
              </w:rPr>
              <w:lastRenderedPageBreak/>
              <w:t>Komisijas regulu Nr. 651/2014 var pieņemt līdz šīs regulas darbības beigām</w:t>
            </w:r>
            <w:r>
              <w:rPr>
                <w:rFonts w:eastAsia="Times New Roman"/>
                <w:szCs w:val="24"/>
                <w:lang w:eastAsia="lv-LV"/>
              </w:rPr>
              <w:t>, izņemot lēmumu par atbalsta piešķiršanu</w:t>
            </w:r>
            <w:r w:rsidRPr="00E40FA7">
              <w:rPr>
                <w:rFonts w:eastAsia="Times New Roman"/>
                <w:szCs w:val="24"/>
                <w:lang w:eastAsia="lv-LV"/>
              </w:rPr>
              <w:t xml:space="preserve"> grūtībās nonākušiem </w:t>
            </w:r>
            <w:r w:rsidRPr="000A044E">
              <w:rPr>
                <w:rFonts w:eastAsia="Times New Roman"/>
                <w:szCs w:val="24"/>
                <w:lang w:eastAsia="lv-LV"/>
              </w:rPr>
              <w:t>saimnieciskās darbības veicēj</w:t>
            </w:r>
            <w:r>
              <w:rPr>
                <w:rFonts w:eastAsia="Times New Roman"/>
                <w:szCs w:val="24"/>
                <w:lang w:eastAsia="lv-LV"/>
              </w:rPr>
              <w:t xml:space="preserve">iem </w:t>
            </w:r>
            <w:r w:rsidRPr="000A044E">
              <w:rPr>
                <w:rFonts w:eastAsia="Times New Roman"/>
                <w:szCs w:val="24"/>
                <w:lang w:eastAsia="lv-LV"/>
              </w:rPr>
              <w:t>saskaņā ar Komisijas regulas Nr. 651/2014 2.panta 18.punktā noteikto definīciju</w:t>
            </w:r>
            <w:r>
              <w:rPr>
                <w:rFonts w:eastAsia="Times New Roman"/>
                <w:szCs w:val="24"/>
                <w:lang w:eastAsia="lv-LV"/>
              </w:rPr>
              <w:t xml:space="preserve"> </w:t>
            </w:r>
            <w:r w:rsidRPr="00E40FA7">
              <w:rPr>
                <w:rFonts w:eastAsia="Times New Roman"/>
                <w:szCs w:val="24"/>
                <w:lang w:eastAsia="lv-LV"/>
              </w:rPr>
              <w:t xml:space="preserve">var </w:t>
            </w:r>
            <w:r>
              <w:rPr>
                <w:rFonts w:eastAsia="Times New Roman"/>
                <w:szCs w:val="24"/>
                <w:lang w:eastAsia="lv-LV"/>
              </w:rPr>
              <w:t>pieņemt</w:t>
            </w:r>
            <w:r w:rsidRPr="00E40FA7">
              <w:rPr>
                <w:rFonts w:eastAsia="Times New Roman"/>
                <w:szCs w:val="24"/>
                <w:lang w:eastAsia="lv-LV"/>
              </w:rPr>
              <w:t xml:space="preserve"> līdz 2021.gada 30.jūnijam.”</w:t>
            </w:r>
          </w:p>
          <w:p w14:paraId="4BE2DB4E" w14:textId="384F1D88" w:rsidR="008E67C8" w:rsidRPr="007E6672" w:rsidRDefault="008E67C8" w:rsidP="002974B1">
            <w:pPr>
              <w:pStyle w:val="tv213"/>
              <w:spacing w:before="120" w:beforeAutospacing="0" w:after="120" w:afterAutospacing="0"/>
              <w:jc w:val="both"/>
            </w:pPr>
          </w:p>
        </w:tc>
      </w:tr>
      <w:tr w:rsidR="00297713" w:rsidRPr="007E6672" w14:paraId="0ADF0CFC" w14:textId="77777777" w:rsidTr="004C29BA">
        <w:tc>
          <w:tcPr>
            <w:tcW w:w="675" w:type="dxa"/>
            <w:tcBorders>
              <w:top w:val="single" w:sz="6" w:space="0" w:color="000000"/>
              <w:left w:val="single" w:sz="6" w:space="0" w:color="000000"/>
              <w:bottom w:val="single" w:sz="6" w:space="0" w:color="000000"/>
              <w:right w:val="single" w:sz="6" w:space="0" w:color="000000"/>
            </w:tcBorders>
          </w:tcPr>
          <w:p w14:paraId="0E5AAF9C" w14:textId="77777777" w:rsidR="00297713" w:rsidRPr="007E6672" w:rsidRDefault="00297713" w:rsidP="0069584F">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480FB802" w14:textId="52404DC1" w:rsidR="00297713" w:rsidRPr="007E6672" w:rsidRDefault="008E67C8" w:rsidP="002B345C">
            <w:pPr>
              <w:pStyle w:val="naisc"/>
              <w:spacing w:before="0" w:after="0"/>
              <w:jc w:val="both"/>
            </w:pPr>
            <w:r w:rsidRPr="00E40FA7">
              <w:t>MK noteikumu Nr.469 grozījumu projekt</w:t>
            </w:r>
            <w:r>
              <w:t>s</w:t>
            </w:r>
          </w:p>
        </w:tc>
        <w:tc>
          <w:tcPr>
            <w:tcW w:w="4253" w:type="dxa"/>
            <w:tcBorders>
              <w:top w:val="single" w:sz="6" w:space="0" w:color="000000"/>
              <w:left w:val="single" w:sz="6" w:space="0" w:color="000000"/>
              <w:bottom w:val="single" w:sz="6" w:space="0" w:color="000000"/>
              <w:right w:val="single" w:sz="6" w:space="0" w:color="000000"/>
            </w:tcBorders>
          </w:tcPr>
          <w:p w14:paraId="6BD9EA1E" w14:textId="77777777" w:rsidR="008E67C8" w:rsidRPr="007E6672" w:rsidRDefault="008E67C8" w:rsidP="008E67C8">
            <w:pPr>
              <w:pStyle w:val="naisc"/>
              <w:spacing w:before="0" w:after="0"/>
              <w:jc w:val="both"/>
              <w:rPr>
                <w:b/>
              </w:rPr>
            </w:pPr>
            <w:r>
              <w:rPr>
                <w:b/>
              </w:rPr>
              <w:t>Finanšu ministrijas 07.08</w:t>
            </w:r>
            <w:r w:rsidRPr="007E6672">
              <w:rPr>
                <w:b/>
              </w:rPr>
              <w:t>.20</w:t>
            </w:r>
            <w:r>
              <w:rPr>
                <w:b/>
              </w:rPr>
              <w:t>20</w:t>
            </w:r>
            <w:r w:rsidRPr="007E6672">
              <w:rPr>
                <w:b/>
              </w:rPr>
              <w:t>. atzinums</w:t>
            </w:r>
            <w:r>
              <w:rPr>
                <w:b/>
              </w:rPr>
              <w:t xml:space="preserve"> Nr.12/A-7/4241</w:t>
            </w:r>
          </w:p>
          <w:p w14:paraId="57C2E91C" w14:textId="05BB9F0A" w:rsidR="00297713" w:rsidRPr="00A94547" w:rsidRDefault="008E67C8" w:rsidP="002C0E77">
            <w:pPr>
              <w:pStyle w:val="naisc"/>
              <w:spacing w:before="0" w:after="0"/>
              <w:jc w:val="both"/>
            </w:pPr>
            <w:r w:rsidRPr="008E67C8">
              <w:t xml:space="preserve">Ņemot vērā, ka Ministru kabineta 2016.gada 15.jūlija noteikumu Nr.469 "Noteikumi par paralēlajiem aizdevumiem saimnieciskās darbības veicējiem konkurētspējas uzlabošanai" ietvaros ir atļauta atbalsta kumulācija gan ar nosakāmām (par tām pašām attiecināmajām izmaksām), gan ar nenosakām izmaksām, lūdzam noteikumu projektu papildināt ar normu, kas nosaka </w:t>
            </w:r>
            <w:r w:rsidRPr="008E67C8">
              <w:lastRenderedPageBreak/>
              <w:t>dokumentus, kas jāiesniedz pretendentam (informācija par plānoto un piešķirto atbalstu, norādot atbalsta piešķiršanas datumu, atbalsta sniedzēju, atbalsta pasākumu un plānoto vai piešķirto atbalsta summu), lai atbalsta sniedzējs varētu izvērtēt kumulācijas nosacījumu ievērošanu. Vienlaikus aicinām atbilstošu aprakstu ietvert arī anotācijā. Gadījumā, ja tiek secināts, ka kumulācijas nosacījumu ievērošanu nebūs iespējams izvērtēt, aicinām paredzēt kumulācijas aizliegumu</w:t>
            </w:r>
            <w:r w:rsidRPr="00A12D52">
              <w:rPr>
                <w:sz w:val="26"/>
                <w:szCs w:val="26"/>
              </w:rPr>
              <w:t>.</w:t>
            </w:r>
          </w:p>
        </w:tc>
        <w:tc>
          <w:tcPr>
            <w:tcW w:w="3827" w:type="dxa"/>
            <w:gridSpan w:val="2"/>
            <w:tcBorders>
              <w:top w:val="single" w:sz="6" w:space="0" w:color="000000"/>
              <w:left w:val="single" w:sz="6" w:space="0" w:color="000000"/>
              <w:bottom w:val="single" w:sz="6" w:space="0" w:color="000000"/>
              <w:right w:val="single" w:sz="6" w:space="0" w:color="000000"/>
            </w:tcBorders>
          </w:tcPr>
          <w:p w14:paraId="6B75ACF6" w14:textId="77777777" w:rsidR="00297713" w:rsidRPr="007E6672" w:rsidRDefault="001A5038" w:rsidP="00386193">
            <w:pPr>
              <w:pStyle w:val="naisc"/>
              <w:spacing w:before="0" w:after="0"/>
              <w:rPr>
                <w:b/>
              </w:rPr>
            </w:pPr>
            <w:r w:rsidRPr="007E6672">
              <w:rPr>
                <w:b/>
              </w:rPr>
              <w:lastRenderedPageBreak/>
              <w:t>Ņemts vērā</w:t>
            </w:r>
          </w:p>
          <w:p w14:paraId="3994995F" w14:textId="77777777" w:rsidR="000F5A3C" w:rsidRPr="007E6672" w:rsidRDefault="000F5A3C" w:rsidP="00365668">
            <w:pPr>
              <w:pStyle w:val="naisc"/>
              <w:spacing w:before="0" w:after="0"/>
              <w:jc w:val="both"/>
            </w:pPr>
          </w:p>
        </w:tc>
        <w:tc>
          <w:tcPr>
            <w:tcW w:w="3235" w:type="dxa"/>
            <w:tcBorders>
              <w:top w:val="single" w:sz="4" w:space="0" w:color="auto"/>
              <w:left w:val="single" w:sz="4" w:space="0" w:color="auto"/>
              <w:bottom w:val="single" w:sz="4" w:space="0" w:color="auto"/>
            </w:tcBorders>
          </w:tcPr>
          <w:p w14:paraId="6E6379D7" w14:textId="2611805F" w:rsidR="00AD717A" w:rsidRDefault="008439B5" w:rsidP="00AD717A">
            <w:pPr>
              <w:pStyle w:val="tv213"/>
              <w:spacing w:before="120" w:beforeAutospacing="0" w:after="120" w:afterAutospacing="0"/>
              <w:jc w:val="both"/>
            </w:pPr>
            <w:r>
              <w:t xml:space="preserve">Precizēta anotācija, </w:t>
            </w:r>
            <w:r w:rsidR="00AD717A">
              <w:t>MK noteikumu Nr.469 41.punkts papildināts ar teikumu šādā redakcijā:</w:t>
            </w:r>
          </w:p>
          <w:p w14:paraId="737FB40F" w14:textId="2A6BBD0B" w:rsidR="00AD717A" w:rsidRPr="00AD717A" w:rsidRDefault="00AD717A" w:rsidP="00AD717A">
            <w:pPr>
              <w:autoSpaceDE w:val="0"/>
              <w:autoSpaceDN w:val="0"/>
              <w:adjustRightInd w:val="0"/>
              <w:contextualSpacing/>
              <w:jc w:val="both"/>
              <w:rPr>
                <w:rFonts w:eastAsia="Times New Roman"/>
                <w:szCs w:val="24"/>
                <w:lang w:eastAsia="lv-LV"/>
              </w:rPr>
            </w:pPr>
            <w:r w:rsidRPr="00AD717A">
              <w:rPr>
                <w:rFonts w:eastAsia="Times New Roman"/>
                <w:szCs w:val="24"/>
                <w:lang w:eastAsia="lv-LV"/>
              </w:rPr>
              <w:t xml:space="preserve">“Atbalsta apvienošanas gadījumā ar citu valsts atbalstu par tām pašām attiecināmajām izmaksām papildus pieteikumam, kas paredzēts šo noteikumu 35. punktā, saimnieciskās darbības veicējs </w:t>
            </w:r>
            <w:r w:rsidRPr="00AD717A">
              <w:rPr>
                <w:rFonts w:eastAsia="Times New Roman"/>
                <w:szCs w:val="24"/>
                <w:lang w:eastAsia="lv-LV"/>
              </w:rPr>
              <w:lastRenderedPageBreak/>
              <w:t xml:space="preserve">iesniedz sabiedrībā </w:t>
            </w:r>
            <w:proofErr w:type="spellStart"/>
            <w:r w:rsidRPr="00AD717A">
              <w:rPr>
                <w:rFonts w:eastAsia="Times New Roman"/>
                <w:szCs w:val="24"/>
                <w:lang w:eastAsia="lv-LV"/>
              </w:rPr>
              <w:t>Altum</w:t>
            </w:r>
            <w:proofErr w:type="spellEnd"/>
            <w:r w:rsidRPr="00AD717A">
              <w:rPr>
                <w:rFonts w:eastAsia="Times New Roman"/>
                <w:szCs w:val="24"/>
                <w:lang w:eastAsia="lv-LV"/>
              </w:rPr>
              <w:t xml:space="preserve"> informāciju par plānoto un piešķirto atbalstu par tām pašām attiecināmajām izmaksām, norādot atbalsta piešķiršanas datumu, atbalsta sniedzēju, atbalsta pasākumu un plānoto vai piešķirto atbalsta summu.”</w:t>
            </w:r>
          </w:p>
          <w:p w14:paraId="14CCAB94" w14:textId="21F76D06" w:rsidR="00423956" w:rsidRPr="007E6672" w:rsidRDefault="00423956" w:rsidP="00104F07">
            <w:pPr>
              <w:jc w:val="both"/>
              <w:rPr>
                <w:szCs w:val="24"/>
              </w:rPr>
            </w:pPr>
          </w:p>
        </w:tc>
      </w:tr>
      <w:tr w:rsidR="008439B5" w:rsidRPr="007E6672" w14:paraId="34460BD8" w14:textId="77777777" w:rsidTr="004C29BA">
        <w:tc>
          <w:tcPr>
            <w:tcW w:w="675" w:type="dxa"/>
            <w:tcBorders>
              <w:top w:val="single" w:sz="6" w:space="0" w:color="000000"/>
              <w:left w:val="single" w:sz="6" w:space="0" w:color="000000"/>
              <w:bottom w:val="single" w:sz="6" w:space="0" w:color="000000"/>
              <w:right w:val="single" w:sz="6" w:space="0" w:color="000000"/>
            </w:tcBorders>
          </w:tcPr>
          <w:p w14:paraId="2A01C636" w14:textId="77777777" w:rsidR="008439B5" w:rsidRPr="007E6672" w:rsidRDefault="008439B5" w:rsidP="008439B5">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000E5853" w14:textId="24BAA225" w:rsidR="008439B5" w:rsidRPr="00E40FA7" w:rsidRDefault="008439B5" w:rsidP="008439B5">
            <w:pPr>
              <w:pStyle w:val="naisc"/>
              <w:spacing w:before="0" w:after="0"/>
              <w:jc w:val="both"/>
            </w:pPr>
            <w:r w:rsidRPr="00E40FA7">
              <w:t xml:space="preserve">MK noteikumu Nr.469 grozījumu projekta </w:t>
            </w:r>
            <w:r>
              <w:t>2</w:t>
            </w:r>
            <w:r w:rsidRPr="00E40FA7">
              <w:t>.punkts</w:t>
            </w:r>
            <w:r>
              <w:t xml:space="preserve"> (pēc papildinājumiem </w:t>
            </w:r>
            <w:r w:rsidR="00A831B1">
              <w:t>1</w:t>
            </w:r>
            <w:r>
              <w:t>.punkts)</w:t>
            </w:r>
          </w:p>
          <w:p w14:paraId="211DD4F8" w14:textId="639C58FA" w:rsidR="008439B5" w:rsidRPr="007E6672" w:rsidRDefault="008439B5" w:rsidP="008439B5">
            <w:pPr>
              <w:pStyle w:val="naisc"/>
              <w:spacing w:before="0" w:after="0"/>
              <w:jc w:val="both"/>
            </w:pPr>
          </w:p>
        </w:tc>
        <w:tc>
          <w:tcPr>
            <w:tcW w:w="4253" w:type="dxa"/>
            <w:tcBorders>
              <w:top w:val="single" w:sz="6" w:space="0" w:color="000000"/>
              <w:left w:val="single" w:sz="6" w:space="0" w:color="000000"/>
              <w:bottom w:val="single" w:sz="6" w:space="0" w:color="000000"/>
              <w:right w:val="single" w:sz="6" w:space="0" w:color="000000"/>
            </w:tcBorders>
          </w:tcPr>
          <w:p w14:paraId="3B3101D3" w14:textId="77777777" w:rsidR="008439B5" w:rsidRPr="007E6672" w:rsidRDefault="008439B5" w:rsidP="008439B5">
            <w:pPr>
              <w:pStyle w:val="naisc"/>
              <w:spacing w:before="0" w:after="0"/>
              <w:jc w:val="both"/>
              <w:rPr>
                <w:b/>
              </w:rPr>
            </w:pPr>
            <w:r>
              <w:rPr>
                <w:b/>
              </w:rPr>
              <w:t>Finanšu ministrijas 07.08</w:t>
            </w:r>
            <w:r w:rsidRPr="007E6672">
              <w:rPr>
                <w:b/>
              </w:rPr>
              <w:t>.20</w:t>
            </w:r>
            <w:r>
              <w:rPr>
                <w:b/>
              </w:rPr>
              <w:t>20</w:t>
            </w:r>
            <w:r w:rsidRPr="007E6672">
              <w:rPr>
                <w:b/>
              </w:rPr>
              <w:t>. atzinums</w:t>
            </w:r>
            <w:r>
              <w:rPr>
                <w:b/>
              </w:rPr>
              <w:t xml:space="preserve"> Nr.12/A-7/4241</w:t>
            </w:r>
          </w:p>
          <w:p w14:paraId="170B780C" w14:textId="137FDF7C" w:rsidR="008439B5" w:rsidRPr="008439B5" w:rsidRDefault="008439B5" w:rsidP="008439B5">
            <w:pPr>
              <w:contextualSpacing/>
              <w:jc w:val="both"/>
              <w:rPr>
                <w:szCs w:val="24"/>
              </w:rPr>
            </w:pPr>
            <w:r w:rsidRPr="008439B5">
              <w:rPr>
                <w:szCs w:val="24"/>
              </w:rPr>
              <w:t xml:space="preserve">Vēršam uzmanību, ka atbilstoši likuma “Par nodokļiem un nodevām” 18.panta pirmās daļas 8.punktam nodokļu administrācija </w:t>
            </w:r>
            <w:r w:rsidRPr="008439B5">
              <w:rPr>
                <w:szCs w:val="24"/>
                <w:shd w:val="clear" w:color="auto" w:fill="FFFFFF"/>
              </w:rPr>
              <w:t xml:space="preserve">nodrošina nodokļu (nodevu) iekasēšanas publiskumu, regulāri publicējot informāciju par atsevišķu nodokļu (nodevu) </w:t>
            </w:r>
            <w:proofErr w:type="spellStart"/>
            <w:r w:rsidRPr="008439B5">
              <w:rPr>
                <w:szCs w:val="24"/>
                <w:shd w:val="clear" w:color="auto" w:fill="FFFFFF"/>
              </w:rPr>
              <w:t>kopieņēmumiem</w:t>
            </w:r>
            <w:proofErr w:type="spellEnd"/>
            <w:r w:rsidRPr="008439B5">
              <w:rPr>
                <w:szCs w:val="24"/>
                <w:shd w:val="clear" w:color="auto" w:fill="FFFFFF"/>
              </w:rPr>
              <w:t>, un informācijas pieejamību par tiem nodokļu maksātājiem, kuriem Valsts ieņēmumu dienesta administrēto nodokļu (nodevu) parāda kopsumma pārsniedz 150 </w:t>
            </w:r>
            <w:proofErr w:type="spellStart"/>
            <w:r w:rsidRPr="008439B5">
              <w:rPr>
                <w:i/>
                <w:iCs/>
                <w:szCs w:val="24"/>
                <w:shd w:val="clear" w:color="auto" w:fill="FFFFFF"/>
              </w:rPr>
              <w:t>euro</w:t>
            </w:r>
            <w:proofErr w:type="spellEnd"/>
            <w:r w:rsidRPr="008439B5">
              <w:rPr>
                <w:szCs w:val="24"/>
                <w:shd w:val="clear" w:color="auto" w:fill="FFFFFF"/>
              </w:rPr>
              <w:t xml:space="preserve">, </w:t>
            </w:r>
            <w:r w:rsidRPr="008439B5">
              <w:rPr>
                <w:bCs/>
                <w:szCs w:val="24"/>
                <w:u w:val="single"/>
                <w:shd w:val="clear" w:color="auto" w:fill="FFFFFF"/>
              </w:rPr>
              <w:t>izņemot nodokļu maksājumus, kuru maksāšanas termiņš saskaņā ar šā likuma </w:t>
            </w:r>
            <w:hyperlink r:id="rId11" w:anchor="p24" w:history="1">
              <w:r w:rsidRPr="008439B5">
                <w:rPr>
                  <w:rStyle w:val="Hyperlink"/>
                  <w:bCs/>
                  <w:szCs w:val="24"/>
                  <w:shd w:val="clear" w:color="auto" w:fill="FFFFFF"/>
                </w:rPr>
                <w:t>24.panta</w:t>
              </w:r>
            </w:hyperlink>
            <w:r w:rsidRPr="008439B5">
              <w:rPr>
                <w:bCs/>
                <w:szCs w:val="24"/>
                <w:u w:val="single"/>
                <w:shd w:val="clear" w:color="auto" w:fill="FFFFFF"/>
              </w:rPr>
              <w:t> pirmo un 1.</w:t>
            </w:r>
            <w:r w:rsidRPr="008439B5">
              <w:rPr>
                <w:bCs/>
                <w:szCs w:val="24"/>
                <w:u w:val="single"/>
                <w:shd w:val="clear" w:color="auto" w:fill="FFFFFF"/>
                <w:vertAlign w:val="superscript"/>
              </w:rPr>
              <w:t>3</w:t>
            </w:r>
            <w:r w:rsidRPr="008439B5">
              <w:rPr>
                <w:bCs/>
                <w:szCs w:val="24"/>
                <w:u w:val="single"/>
                <w:shd w:val="clear" w:color="auto" w:fill="FFFFFF"/>
              </w:rPr>
              <w:t> daļu ir pagarināts, sadalīts termiņos, atlikts vai atkārtoti sadalīts termiņos</w:t>
            </w:r>
            <w:r w:rsidRPr="008439B5">
              <w:rPr>
                <w:b/>
                <w:bCs/>
                <w:szCs w:val="24"/>
                <w:shd w:val="clear" w:color="auto" w:fill="FFFFFF"/>
              </w:rPr>
              <w:t xml:space="preserve">. </w:t>
            </w:r>
            <w:r w:rsidRPr="008439B5">
              <w:rPr>
                <w:szCs w:val="24"/>
                <w:shd w:val="clear" w:color="auto" w:fill="FFFFFF"/>
              </w:rPr>
              <w:t xml:space="preserve">Tādējādi likumdevējs ir noteicis, ka minētajā publiskajā datu bāzē netiek atspoguļoti </w:t>
            </w:r>
            <w:r w:rsidRPr="008439B5">
              <w:rPr>
                <w:szCs w:val="24"/>
                <w:shd w:val="clear" w:color="auto" w:fill="FFFFFF"/>
              </w:rPr>
              <w:lastRenderedPageBreak/>
              <w:t xml:space="preserve">nodokļu samaksas termiņa pagarinājumi, un ņemot vērā, ka </w:t>
            </w:r>
            <w:r w:rsidRPr="008439B5">
              <w:rPr>
                <w:szCs w:val="24"/>
              </w:rPr>
              <w:t>noteikumu projekta 2.punktā iekļautajā noteikumu 22.</w:t>
            </w:r>
            <w:r w:rsidRPr="008439B5">
              <w:rPr>
                <w:szCs w:val="24"/>
                <w:vertAlign w:val="superscript"/>
              </w:rPr>
              <w:t xml:space="preserve">1 </w:t>
            </w:r>
            <w:r w:rsidRPr="008439B5">
              <w:rPr>
                <w:szCs w:val="24"/>
              </w:rPr>
              <w:t xml:space="preserve">punkta redakcijā tieši ir uzsvars uz Valsts ieņēmumu dienesta administrēto nodokļu (nodevu) parādnieku datubāzē iekļauto informāciju, konkrētas normas redakcijā nodokļu samaksas pagarinājumus nav nepieciešams </w:t>
            </w:r>
            <w:r w:rsidRPr="008439B5">
              <w:rPr>
                <w:szCs w:val="24"/>
                <w:shd w:val="clear" w:color="auto" w:fill="FFFFFF"/>
              </w:rPr>
              <w:t>atsevišķi izdalīt.</w:t>
            </w:r>
          </w:p>
        </w:tc>
        <w:tc>
          <w:tcPr>
            <w:tcW w:w="3827" w:type="dxa"/>
            <w:gridSpan w:val="2"/>
            <w:tcBorders>
              <w:top w:val="single" w:sz="6" w:space="0" w:color="000000"/>
              <w:left w:val="single" w:sz="6" w:space="0" w:color="000000"/>
              <w:bottom w:val="single" w:sz="6" w:space="0" w:color="000000"/>
              <w:right w:val="single" w:sz="6" w:space="0" w:color="000000"/>
            </w:tcBorders>
          </w:tcPr>
          <w:p w14:paraId="2E092480" w14:textId="77777777" w:rsidR="008439B5" w:rsidRPr="007E6672" w:rsidRDefault="008439B5" w:rsidP="008439B5">
            <w:pPr>
              <w:pStyle w:val="naisc"/>
              <w:spacing w:before="0" w:after="0"/>
              <w:rPr>
                <w:b/>
              </w:rPr>
            </w:pPr>
            <w:r w:rsidRPr="007E6672">
              <w:rPr>
                <w:b/>
              </w:rPr>
              <w:lastRenderedPageBreak/>
              <w:t>Ņemts vērā</w:t>
            </w:r>
          </w:p>
          <w:p w14:paraId="2FCA088F" w14:textId="77777777" w:rsidR="008439B5" w:rsidRPr="007E6672" w:rsidRDefault="008439B5" w:rsidP="008439B5">
            <w:pPr>
              <w:pStyle w:val="naisc"/>
              <w:spacing w:before="0" w:after="0"/>
              <w:jc w:val="both"/>
              <w:rPr>
                <w:b/>
              </w:rPr>
            </w:pPr>
          </w:p>
          <w:p w14:paraId="74B7296B" w14:textId="791B9632" w:rsidR="008439B5" w:rsidRPr="00064923" w:rsidRDefault="008439B5" w:rsidP="008439B5">
            <w:pPr>
              <w:pStyle w:val="naisc"/>
              <w:spacing w:before="0" w:after="0"/>
              <w:jc w:val="both"/>
              <w:rPr>
                <w:bCs/>
              </w:rPr>
            </w:pPr>
          </w:p>
        </w:tc>
        <w:tc>
          <w:tcPr>
            <w:tcW w:w="3235" w:type="dxa"/>
            <w:tcBorders>
              <w:top w:val="single" w:sz="4" w:space="0" w:color="auto"/>
              <w:left w:val="single" w:sz="4" w:space="0" w:color="auto"/>
              <w:bottom w:val="single" w:sz="4" w:space="0" w:color="auto"/>
            </w:tcBorders>
          </w:tcPr>
          <w:p w14:paraId="7DB005CE" w14:textId="77777777" w:rsidR="008439B5" w:rsidRDefault="008439B5" w:rsidP="008439B5">
            <w:pPr>
              <w:jc w:val="both"/>
              <w:rPr>
                <w:szCs w:val="24"/>
              </w:rPr>
            </w:pPr>
            <w:r>
              <w:rPr>
                <w:szCs w:val="24"/>
              </w:rPr>
              <w:t>Precizēts MK noteikumu Nr.469 22.</w:t>
            </w:r>
            <w:r w:rsidRPr="00A831B1">
              <w:rPr>
                <w:szCs w:val="24"/>
                <w:vertAlign w:val="superscript"/>
              </w:rPr>
              <w:t>1</w:t>
            </w:r>
            <w:r>
              <w:rPr>
                <w:szCs w:val="24"/>
              </w:rPr>
              <w:t xml:space="preserve"> punkts šādā redakcijā:</w:t>
            </w:r>
          </w:p>
          <w:p w14:paraId="31BCD50C" w14:textId="733E4500" w:rsidR="008439B5" w:rsidRPr="008439B5" w:rsidRDefault="008439B5" w:rsidP="008439B5">
            <w:pPr>
              <w:jc w:val="both"/>
              <w:rPr>
                <w:szCs w:val="24"/>
              </w:rPr>
            </w:pPr>
            <w:r w:rsidRPr="008439B5">
              <w:rPr>
                <w:szCs w:val="24"/>
              </w:rPr>
              <w:t>“22.</w:t>
            </w:r>
            <w:r w:rsidRPr="00A831B1">
              <w:rPr>
                <w:szCs w:val="24"/>
                <w:vertAlign w:val="superscript"/>
              </w:rPr>
              <w:t>1</w:t>
            </w:r>
            <w:r w:rsidRPr="008439B5">
              <w:rPr>
                <w:szCs w:val="24"/>
              </w:rPr>
              <w:t> Paralēlo aizdevumu nepiešķir saimnieciskās darbības veicējam, kuram paralēlā aizdevuma piešķiršanas brīdī saskaņā ar Valsts ieņēmumu dienesta administrēto nodokļu (nodevu) parādnieku datubāzē pieejamo informāciju ir nodokļu vai nodevu parādi, tai skaitā valsts sociālās apdrošināšanas obligāto iemaksu parādi, kas kopsummā pārsniedz 150 </w:t>
            </w:r>
            <w:proofErr w:type="spellStart"/>
            <w:r w:rsidRPr="008439B5">
              <w:rPr>
                <w:szCs w:val="24"/>
              </w:rPr>
              <w:t>euro</w:t>
            </w:r>
            <w:proofErr w:type="spellEnd"/>
            <w:r w:rsidRPr="008439B5">
              <w:rPr>
                <w:szCs w:val="24"/>
              </w:rPr>
              <w:t xml:space="preserve"> un tam nav noslēgt</w:t>
            </w:r>
            <w:r>
              <w:rPr>
                <w:szCs w:val="24"/>
              </w:rPr>
              <w:t>s</w:t>
            </w:r>
            <w:r w:rsidRPr="008439B5">
              <w:rPr>
                <w:szCs w:val="24"/>
              </w:rPr>
              <w:t xml:space="preserve"> vienošanās līgums vai Valsts ieņēmumu dienests nav pieņēmis lēmumu par nokavēto nodokļu maksājumu labprātīgu izpildi.”</w:t>
            </w:r>
          </w:p>
        </w:tc>
      </w:tr>
      <w:tr w:rsidR="008439B5" w:rsidRPr="007E6672" w14:paraId="03576636" w14:textId="77777777" w:rsidTr="004C29BA">
        <w:tc>
          <w:tcPr>
            <w:tcW w:w="675" w:type="dxa"/>
            <w:tcBorders>
              <w:top w:val="single" w:sz="6" w:space="0" w:color="000000"/>
              <w:left w:val="single" w:sz="6" w:space="0" w:color="000000"/>
              <w:bottom w:val="single" w:sz="6" w:space="0" w:color="000000"/>
              <w:right w:val="single" w:sz="6" w:space="0" w:color="000000"/>
            </w:tcBorders>
          </w:tcPr>
          <w:p w14:paraId="7E41392D" w14:textId="77777777" w:rsidR="008439B5" w:rsidRPr="007E6672" w:rsidRDefault="008439B5" w:rsidP="008439B5">
            <w:pPr>
              <w:pStyle w:val="naisc"/>
              <w:numPr>
                <w:ilvl w:val="0"/>
                <w:numId w:val="2"/>
              </w:numPr>
              <w:spacing w:before="0" w:after="0"/>
              <w:jc w:val="both"/>
            </w:pPr>
          </w:p>
        </w:tc>
        <w:tc>
          <w:tcPr>
            <w:tcW w:w="2719" w:type="dxa"/>
            <w:gridSpan w:val="2"/>
            <w:tcBorders>
              <w:top w:val="single" w:sz="6" w:space="0" w:color="000000"/>
              <w:left w:val="single" w:sz="6" w:space="0" w:color="000000"/>
              <w:bottom w:val="single" w:sz="6" w:space="0" w:color="000000"/>
              <w:right w:val="single" w:sz="6" w:space="0" w:color="000000"/>
            </w:tcBorders>
          </w:tcPr>
          <w:p w14:paraId="273B8024" w14:textId="72948AF7" w:rsidR="008439B5" w:rsidRPr="007E6672" w:rsidRDefault="00BE2069" w:rsidP="008439B5">
            <w:pPr>
              <w:pStyle w:val="naisc"/>
              <w:spacing w:before="0" w:after="0"/>
              <w:jc w:val="both"/>
            </w:pPr>
            <w:r w:rsidRPr="00A82678">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28A36745" w14:textId="77777777" w:rsidR="00BE2069" w:rsidRPr="007E6672" w:rsidRDefault="00BE2069" w:rsidP="00BE2069">
            <w:pPr>
              <w:pStyle w:val="naisc"/>
              <w:spacing w:before="0" w:after="0"/>
              <w:jc w:val="both"/>
              <w:rPr>
                <w:b/>
              </w:rPr>
            </w:pPr>
            <w:r>
              <w:rPr>
                <w:b/>
              </w:rPr>
              <w:t>Finanšu ministrijas 07.08</w:t>
            </w:r>
            <w:r w:rsidRPr="007E6672">
              <w:rPr>
                <w:b/>
              </w:rPr>
              <w:t>.20</w:t>
            </w:r>
            <w:r>
              <w:rPr>
                <w:b/>
              </w:rPr>
              <w:t>20</w:t>
            </w:r>
            <w:r w:rsidRPr="007E6672">
              <w:rPr>
                <w:b/>
              </w:rPr>
              <w:t>. atzinums</w:t>
            </w:r>
            <w:r>
              <w:rPr>
                <w:b/>
              </w:rPr>
              <w:t xml:space="preserve"> Nr.12/A-7/4241</w:t>
            </w:r>
          </w:p>
          <w:p w14:paraId="7E2EB14E" w14:textId="17C62669" w:rsidR="008439B5" w:rsidRPr="00BE2069" w:rsidRDefault="00BE2069" w:rsidP="008439B5">
            <w:pPr>
              <w:contextualSpacing/>
              <w:jc w:val="both"/>
              <w:rPr>
                <w:szCs w:val="24"/>
              </w:rPr>
            </w:pPr>
            <w:r w:rsidRPr="00BE2069">
              <w:rPr>
                <w:szCs w:val="24"/>
              </w:rPr>
              <w:t>Anotācijā kā pamatojums iepriekš minētajiem grozījumiem noteikumu 22.</w:t>
            </w:r>
            <w:r w:rsidRPr="00BE2069">
              <w:rPr>
                <w:szCs w:val="24"/>
                <w:vertAlign w:val="superscript"/>
              </w:rPr>
              <w:t>1</w:t>
            </w:r>
            <w:r w:rsidRPr="00BE2069">
              <w:rPr>
                <w:szCs w:val="24"/>
              </w:rPr>
              <w:t xml:space="preserve">punktā tiek norādīta Covid-19 radītā negatīvā ietekme uz uzņēmumu saimniecisko darbību. Vēršam uzmanību, ka saistībā ar Covid-19 radīto seku ietekmes mazināšanu tika pieņemti vairāki normatīvie akti, lai atbalstītu komersantus, kuriem ir pagaidu grūtības, ja to darbību uz pārejošu laika posmu ir negatīvi ietekmējusi vīrusa Covid-19 izplatība, kā arī atbalstītu komersantus, kuri ir gatavi pielāgot vai būtiski pārveidot savu līdzšinējo biznesa modeli vīrusa Covid-19 ietekmes rezultātā. Tāpat norādām, ka izstrādātās atsevišķās tiesību normas, ņemot vērā īslaicīgas krīzes dažādu apstākļu ietekmi, tika ieviestas uz konkrētu laika periodu. Līdz ar to, ja noteikumu projektā veiktie grozījumi izstrādāti tikai Covid-19 krīzes seku mazināšanai, tad ierosinām noteikt </w:t>
            </w:r>
            <w:r w:rsidRPr="00BE2069">
              <w:rPr>
                <w:szCs w:val="24"/>
              </w:rPr>
              <w:lastRenderedPageBreak/>
              <w:t xml:space="preserve">termiņu, līdz kuram konkrētā tiesību norma ir spēkā. </w:t>
            </w:r>
            <w:r w:rsidRPr="009B1C90">
              <w:rPr>
                <w:szCs w:val="24"/>
              </w:rPr>
              <w:t xml:space="preserve">Savukārt, ja noteikumu projekta 2.punktā iekļautais regulējums paredzēts, ņemot vērā vairākus apstākļus, proti, ne tikai Covid-19 krīzes seku mazināšanu, tad būtu nepieciešams papildināt anotācijā sniegto informāciju ar </w:t>
            </w:r>
            <w:proofErr w:type="spellStart"/>
            <w:r w:rsidRPr="009B1C90">
              <w:rPr>
                <w:szCs w:val="24"/>
              </w:rPr>
              <w:t>izvērtējumu</w:t>
            </w:r>
            <w:proofErr w:type="spellEnd"/>
            <w:r w:rsidRPr="009B1C90">
              <w:rPr>
                <w:szCs w:val="24"/>
              </w:rPr>
              <w:t xml:space="preserve"> par tiesību normas nepieciešamību, kā arī ar informāciju par risku </w:t>
            </w:r>
            <w:proofErr w:type="spellStart"/>
            <w:r w:rsidRPr="009B1C90">
              <w:rPr>
                <w:szCs w:val="24"/>
              </w:rPr>
              <w:t>izvērtējumu</w:t>
            </w:r>
            <w:proofErr w:type="spellEnd"/>
            <w:r w:rsidRPr="009B1C90">
              <w:rPr>
                <w:szCs w:val="24"/>
              </w:rPr>
              <w:t xml:space="preserve"> attiecībā uz subjektiem (saimnieciskās darbības veicējiem, ar kuriem ir noslēgts vienošanās līgums vai Valsts ieņēmumu dienests ir pieņēmis lēmumu par nokavēto nodokļu maksājumu labprātīgu izpildi),  kuriem tiesību norma paredzēs iespēju piešķirt paralēlo aizdevumu, </w:t>
            </w:r>
            <w:r w:rsidRPr="009B1C90">
              <w:rPr>
                <w:color w:val="000000"/>
                <w:szCs w:val="24"/>
              </w:rPr>
              <w:t>neskatoties uz to, ka tie nav veikuši noteiktajā laikā piekritīgos nodokļu vai nodevu maksājumus.</w:t>
            </w:r>
            <w:r w:rsidRPr="00BE2069">
              <w:rPr>
                <w:color w:val="000000"/>
                <w:szCs w:val="24"/>
              </w:rPr>
              <w:t xml:space="preserve"> Vēršam uzmanību, ka vienošanās līgums tiek slēgts, lai izbeigtu tiesisku strīdu par datu atbilstības pārbaudes un nodokļu revīzijas (audita) rezultātā aprēķinātajiem papildu maksājumiem budžetā, savukārt lēmums par nokavēto nodokļu maksājumu labprātīgu izpildi tiek pieņemts tādu nokavēto nodokļu maksājumu samaksai, kuri jau tiek piedzīti.</w:t>
            </w:r>
          </w:p>
        </w:tc>
        <w:tc>
          <w:tcPr>
            <w:tcW w:w="3827" w:type="dxa"/>
            <w:gridSpan w:val="2"/>
            <w:tcBorders>
              <w:top w:val="single" w:sz="6" w:space="0" w:color="000000"/>
              <w:left w:val="single" w:sz="6" w:space="0" w:color="000000"/>
              <w:bottom w:val="single" w:sz="6" w:space="0" w:color="000000"/>
              <w:right w:val="single" w:sz="6" w:space="0" w:color="000000"/>
            </w:tcBorders>
          </w:tcPr>
          <w:p w14:paraId="60550601" w14:textId="77777777" w:rsidR="008439B5" w:rsidRPr="007E6672" w:rsidRDefault="008439B5" w:rsidP="008439B5">
            <w:pPr>
              <w:pStyle w:val="naisc"/>
              <w:spacing w:before="0" w:after="0"/>
              <w:rPr>
                <w:b/>
              </w:rPr>
            </w:pPr>
            <w:r w:rsidRPr="007E6672">
              <w:rPr>
                <w:b/>
              </w:rPr>
              <w:lastRenderedPageBreak/>
              <w:t>Ņemts vērā</w:t>
            </w:r>
          </w:p>
          <w:p w14:paraId="38D43A31" w14:textId="1FBD7FBC" w:rsidR="008439B5" w:rsidRPr="00851166" w:rsidRDefault="008439B5" w:rsidP="008439B5">
            <w:pPr>
              <w:pStyle w:val="naisc"/>
              <w:jc w:val="both"/>
              <w:rPr>
                <w:bCs/>
              </w:rPr>
            </w:pPr>
          </w:p>
        </w:tc>
        <w:tc>
          <w:tcPr>
            <w:tcW w:w="3235" w:type="dxa"/>
            <w:tcBorders>
              <w:top w:val="single" w:sz="4" w:space="0" w:color="auto"/>
              <w:left w:val="single" w:sz="4" w:space="0" w:color="auto"/>
              <w:bottom w:val="single" w:sz="4" w:space="0" w:color="auto"/>
            </w:tcBorders>
          </w:tcPr>
          <w:p w14:paraId="40C93DDF" w14:textId="57B2E945" w:rsidR="008439B5" w:rsidRPr="007E6672" w:rsidRDefault="009B1C90" w:rsidP="008439B5">
            <w:pPr>
              <w:jc w:val="both"/>
              <w:rPr>
                <w:szCs w:val="24"/>
              </w:rPr>
            </w:pPr>
            <w:r>
              <w:rPr>
                <w:szCs w:val="24"/>
              </w:rPr>
              <w:t xml:space="preserve">Papildināts </w:t>
            </w:r>
            <w:r>
              <w:t>a</w:t>
            </w:r>
            <w:r w:rsidRPr="00A82678">
              <w:t>notācijas I. sadaļas “Tiesību akta projekta izstrādes nepieciešamība” 2. punkts “Pašreizējā situācija un problēmas, kuru risināšanai tiesību akta projekts izstrādāts, tiesiskā regulējuma mērķis un būtība”</w:t>
            </w:r>
          </w:p>
        </w:tc>
      </w:tr>
      <w:tr w:rsidR="008439B5" w:rsidRPr="007E6672" w14:paraId="70ED666C"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D21E74F" w14:textId="2007E459" w:rsidR="008439B5" w:rsidRPr="00793272" w:rsidRDefault="000B01E1" w:rsidP="008439B5">
            <w:pPr>
              <w:pStyle w:val="naisc"/>
              <w:spacing w:before="0" w:after="0"/>
              <w:jc w:val="both"/>
            </w:pPr>
            <w:r w:rsidRPr="00793272">
              <w:t>9.</w:t>
            </w:r>
          </w:p>
        </w:tc>
        <w:tc>
          <w:tcPr>
            <w:tcW w:w="2719" w:type="dxa"/>
            <w:gridSpan w:val="2"/>
            <w:tcBorders>
              <w:top w:val="single" w:sz="6" w:space="0" w:color="000000"/>
              <w:left w:val="single" w:sz="6" w:space="0" w:color="000000"/>
              <w:bottom w:val="single" w:sz="6" w:space="0" w:color="000000"/>
              <w:right w:val="single" w:sz="6" w:space="0" w:color="000000"/>
            </w:tcBorders>
          </w:tcPr>
          <w:p w14:paraId="38B39612" w14:textId="181BB0FB" w:rsidR="008439B5" w:rsidRPr="00793272" w:rsidRDefault="000B01E1" w:rsidP="008439B5">
            <w:pPr>
              <w:pStyle w:val="naisc"/>
              <w:spacing w:before="0" w:after="0"/>
              <w:jc w:val="both"/>
            </w:pPr>
            <w:r w:rsidRPr="00793272">
              <w:t>MK noteikumu Nr.469 grozījumu projekta 3.punkts</w:t>
            </w:r>
            <w:r w:rsidR="00793272" w:rsidRPr="00793272">
              <w:t xml:space="preserve"> (pēc papildinājuma 4.punkts) </w:t>
            </w:r>
            <w:r w:rsidRPr="00793272">
              <w:t xml:space="preserve"> un Anotācijas I. sadaļas </w:t>
            </w:r>
            <w:r w:rsidRPr="00793272">
              <w:lastRenderedPageBreak/>
              <w:t>“Tiesību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07C03AA7" w14:textId="77777777" w:rsidR="008439B5" w:rsidRPr="00793272" w:rsidRDefault="000B01E1" w:rsidP="000B01E1">
            <w:pPr>
              <w:pStyle w:val="naisc"/>
              <w:spacing w:before="0" w:after="0"/>
              <w:jc w:val="both"/>
              <w:rPr>
                <w:b/>
              </w:rPr>
            </w:pPr>
            <w:r w:rsidRPr="000F5EBD">
              <w:rPr>
                <w:b/>
              </w:rPr>
              <w:lastRenderedPageBreak/>
              <w:t>Finanšu ministrijas 20.08.2020. atzinums Nr.10.1-6/7-1/755</w:t>
            </w:r>
          </w:p>
          <w:p w14:paraId="224C63F2" w14:textId="77777777" w:rsidR="000B01E1" w:rsidRPr="00793272" w:rsidRDefault="000B01E1" w:rsidP="000B01E1">
            <w:pPr>
              <w:ind w:firstLine="720"/>
              <w:jc w:val="both"/>
              <w:rPr>
                <w:rFonts w:eastAsiaTheme="minorHAnsi"/>
                <w:szCs w:val="24"/>
              </w:rPr>
            </w:pPr>
            <w:r w:rsidRPr="00793272">
              <w:rPr>
                <w:szCs w:val="24"/>
              </w:rPr>
              <w:t xml:space="preserve">Ministru kabineta 2016.gada 15.jūlija noteikumu Nr.469 "Noteikumi par paralēlajiem aizdevumiem </w:t>
            </w:r>
            <w:r w:rsidRPr="00793272">
              <w:rPr>
                <w:szCs w:val="24"/>
              </w:rPr>
              <w:lastRenderedPageBreak/>
              <w:t>saimnieciskās darbības veicējiem konkurētspējas uzlabošanai"</w:t>
            </w:r>
            <w:r w:rsidRPr="00793272">
              <w:rPr>
                <w:i/>
                <w:iCs/>
                <w:szCs w:val="24"/>
              </w:rPr>
              <w:t xml:space="preserve"> </w:t>
            </w:r>
            <w:r w:rsidRPr="00793272">
              <w:rPr>
                <w:szCs w:val="24"/>
              </w:rPr>
              <w:t xml:space="preserve">(turpmāk – MK noteikumi Nr.469) 22.punkts paredz, ka paralēlo aizdevumu nepiešķir saimnieciskās darbības veicējam, kurš lēmuma pieņemšanas brīdī atbilst grūtībās nonākuša komersanta statusam saskaņā ar </w:t>
            </w:r>
            <w:r w:rsidRPr="00793272">
              <w:rPr>
                <w:i/>
                <w:iCs/>
                <w:szCs w:val="24"/>
              </w:rPr>
              <w:t>Komisijas 2014.gada 17.jūnija regulas (ES) Nr.651/2014, ar ko noteiktas atbalsta kategorijas atzīst par saderīgām ar iekšējo tirgu, piemērojot Līguma 107. un 108.pantu</w:t>
            </w:r>
            <w:r w:rsidRPr="00793272">
              <w:rPr>
                <w:szCs w:val="24"/>
              </w:rPr>
              <w:t xml:space="preserve"> (turpmāk – Komisijas regula Nr.651/2014) 2.panta 18.punktā noteikto definīciju. Savukārt, no noteikumu projekta 3.punkta, kā arī no anotācijā ietvertās informācijas ir secināms, ka atbalsta pasākuma ietvaros tomēr ir plānots sniegt atbalstu grūtībās nonākušiem uzņēmumiem saskaņā ar </w:t>
            </w:r>
            <w:r w:rsidRPr="00793272">
              <w:rPr>
                <w:i/>
                <w:iCs/>
                <w:szCs w:val="24"/>
              </w:rPr>
              <w:t>Komisijas 2020.gada 2.jūlija regulu (ES) 2020/972 ar ko groza Regulu (ES) Nr. 1407/2013 attiecībā uz tās pagarināšanu un groza Regulu (ES) Nr. 651/2014 attiecībā uz tās pagarināšanu un attiecīgiem pielāgojumiem</w:t>
            </w:r>
            <w:r w:rsidRPr="00793272">
              <w:rPr>
                <w:szCs w:val="24"/>
              </w:rPr>
              <w:t xml:space="preserve"> veiktajiem grozījumiem Komisijas regulas Nr.651/2014 1.panta 4.punkta c) apakšpunktā. Līdz ar to lūdzam:</w:t>
            </w:r>
          </w:p>
          <w:p w14:paraId="67A30E62" w14:textId="17700BFA" w:rsidR="000B01E1" w:rsidRPr="00793272" w:rsidRDefault="000B01E1" w:rsidP="000B01E1">
            <w:pPr>
              <w:pStyle w:val="ListParagraph"/>
              <w:numPr>
                <w:ilvl w:val="1"/>
                <w:numId w:val="18"/>
              </w:numPr>
              <w:jc w:val="both"/>
              <w:rPr>
                <w:rFonts w:ascii="Times New Roman" w:hAnsi="Times New Roman" w:cs="Times New Roman"/>
                <w:sz w:val="24"/>
                <w:szCs w:val="24"/>
              </w:rPr>
            </w:pPr>
            <w:r w:rsidRPr="00793272">
              <w:t xml:space="preserve">papildināt noteikumu projektu ar punktu, ar kuru tiek precizēts MK noteikumu Nr.469 22.2.apakšpunkts, paredzot, ka </w:t>
            </w:r>
            <w:r w:rsidRPr="00793272">
              <w:lastRenderedPageBreak/>
              <w:t>paralēlo aizdevumu nepiešķir saimnieciskās darbības veicējam, kurš lēmuma pieņemšanas brīdī atbilst grūtībās nonākuša komersanta statusam atbilstoši Komisijas regulas Nr.651/2014 2.panta 18.punktā noteiktajai definīcijai, izņemot Komisijas regulas Nr.651/2014 1.panta 4.punkta c) apakšpunktā ietvertā izņēmuma gadījumā, ievērojot šo noteikumu 49.punkta nosacījumus, vai arī</w:t>
            </w:r>
          </w:p>
          <w:p w14:paraId="756BACC6" w14:textId="2716AC47" w:rsidR="000B01E1" w:rsidRPr="00793272" w:rsidRDefault="000B01E1" w:rsidP="000B01E1">
            <w:pPr>
              <w:pStyle w:val="ListParagraph"/>
              <w:numPr>
                <w:ilvl w:val="0"/>
                <w:numId w:val="18"/>
              </w:numPr>
              <w:spacing w:after="0" w:line="240" w:lineRule="auto"/>
              <w:contextualSpacing w:val="0"/>
              <w:jc w:val="both"/>
            </w:pPr>
            <w:r w:rsidRPr="00793272">
              <w:t>precizēt noteikumu projekta 3.punktu un anotācijā ietverto informāciju, svītrojot nosacījumus un skaidrojumus, kas paredz atbalsta sniegšanu saskaņā ar Komisijas regulu Nr.651/2014 grūtībās nonākušiem uzņēmumiem.</w:t>
            </w:r>
          </w:p>
          <w:p w14:paraId="5C90F83E" w14:textId="38574A0A" w:rsidR="000B01E1" w:rsidRPr="00793272" w:rsidRDefault="000B01E1" w:rsidP="000B01E1">
            <w:pPr>
              <w:pStyle w:val="naisc"/>
              <w:spacing w:before="0" w:after="0"/>
              <w:jc w:val="both"/>
              <w:rPr>
                <w:b/>
              </w:rPr>
            </w:pPr>
          </w:p>
        </w:tc>
        <w:tc>
          <w:tcPr>
            <w:tcW w:w="3827" w:type="dxa"/>
            <w:gridSpan w:val="2"/>
            <w:tcBorders>
              <w:top w:val="single" w:sz="6" w:space="0" w:color="000000"/>
              <w:left w:val="single" w:sz="6" w:space="0" w:color="000000"/>
              <w:bottom w:val="single" w:sz="6" w:space="0" w:color="000000"/>
              <w:right w:val="single" w:sz="6" w:space="0" w:color="000000"/>
            </w:tcBorders>
          </w:tcPr>
          <w:p w14:paraId="4C1C6AAD" w14:textId="77777777" w:rsidR="000B01E1" w:rsidRPr="00793272" w:rsidRDefault="000B01E1" w:rsidP="000B01E1">
            <w:pPr>
              <w:pStyle w:val="naisc"/>
              <w:spacing w:before="0" w:after="0"/>
              <w:rPr>
                <w:b/>
              </w:rPr>
            </w:pPr>
            <w:r w:rsidRPr="00793272">
              <w:rPr>
                <w:b/>
              </w:rPr>
              <w:lastRenderedPageBreak/>
              <w:t>Ņemts vērā</w:t>
            </w:r>
          </w:p>
          <w:p w14:paraId="40905C35" w14:textId="77777777" w:rsidR="008439B5" w:rsidRPr="00793272" w:rsidRDefault="008439B5" w:rsidP="008439B5">
            <w:pPr>
              <w:pStyle w:val="naisc"/>
              <w:spacing w:before="0" w:after="0"/>
              <w:rPr>
                <w:b/>
              </w:rPr>
            </w:pPr>
          </w:p>
        </w:tc>
        <w:tc>
          <w:tcPr>
            <w:tcW w:w="3235" w:type="dxa"/>
            <w:tcBorders>
              <w:top w:val="single" w:sz="4" w:space="0" w:color="auto"/>
              <w:left w:val="single" w:sz="4" w:space="0" w:color="auto"/>
              <w:bottom w:val="single" w:sz="4" w:space="0" w:color="auto"/>
            </w:tcBorders>
          </w:tcPr>
          <w:p w14:paraId="0DF4EF93" w14:textId="77777777" w:rsidR="008439B5" w:rsidRPr="00793272" w:rsidRDefault="00793272" w:rsidP="008439B5">
            <w:pPr>
              <w:jc w:val="both"/>
              <w:rPr>
                <w:szCs w:val="24"/>
              </w:rPr>
            </w:pPr>
            <w:r w:rsidRPr="00793272">
              <w:rPr>
                <w:szCs w:val="24"/>
              </w:rPr>
              <w:t>MK noteikumu Nr.469 22.2.apakšpunkts izteikts šādā redakcijā:</w:t>
            </w:r>
          </w:p>
          <w:p w14:paraId="2E14CF78" w14:textId="77777777" w:rsidR="00793272" w:rsidRPr="00793272" w:rsidRDefault="00793272" w:rsidP="00793272">
            <w:pPr>
              <w:autoSpaceDE w:val="0"/>
              <w:autoSpaceDN w:val="0"/>
              <w:adjustRightInd w:val="0"/>
              <w:ind w:firstLine="709"/>
              <w:jc w:val="both"/>
              <w:rPr>
                <w:szCs w:val="24"/>
              </w:rPr>
            </w:pPr>
            <w:r w:rsidRPr="00793272">
              <w:rPr>
                <w:szCs w:val="24"/>
              </w:rPr>
              <w:t xml:space="preserve">“22.2. tas atbilst grūtībās nonākuša komersanta </w:t>
            </w:r>
            <w:r w:rsidRPr="00793272">
              <w:rPr>
                <w:szCs w:val="24"/>
              </w:rPr>
              <w:lastRenderedPageBreak/>
              <w:t>statusam saskaņā ar Komisijas regulas Nr.  </w:t>
            </w:r>
            <w:hyperlink r:id="rId12" w:tgtFrame="_blank" w:history="1">
              <w:r w:rsidRPr="00793272">
                <w:rPr>
                  <w:szCs w:val="24"/>
                </w:rPr>
                <w:t>651/2014</w:t>
              </w:r>
            </w:hyperlink>
            <w:r w:rsidRPr="00793272">
              <w:rPr>
                <w:szCs w:val="24"/>
              </w:rPr>
              <w:t> 2. panta 18. punktā noteikto definīciju, izņemot Komisijas regulas Nr.651/2014 1.panta 4.punkta c) apakšpunktā ietvertā izņēmuma gadījumā, ievērojot šo noteikumu 49.punkta nosacījumus.”</w:t>
            </w:r>
          </w:p>
          <w:p w14:paraId="7D2E367D" w14:textId="4C23A16F" w:rsidR="00793272" w:rsidRPr="005F0CD4" w:rsidRDefault="00793272" w:rsidP="008439B5">
            <w:pPr>
              <w:jc w:val="both"/>
              <w:rPr>
                <w:szCs w:val="24"/>
              </w:rPr>
            </w:pPr>
          </w:p>
        </w:tc>
      </w:tr>
      <w:tr w:rsidR="000B01E1" w:rsidRPr="007E6672" w14:paraId="3C1676E8" w14:textId="77777777" w:rsidTr="004C29BA">
        <w:tc>
          <w:tcPr>
            <w:tcW w:w="675" w:type="dxa"/>
            <w:tcBorders>
              <w:top w:val="single" w:sz="6" w:space="0" w:color="000000"/>
              <w:left w:val="single" w:sz="6" w:space="0" w:color="000000"/>
              <w:bottom w:val="single" w:sz="6" w:space="0" w:color="000000"/>
              <w:right w:val="single" w:sz="6" w:space="0" w:color="000000"/>
            </w:tcBorders>
          </w:tcPr>
          <w:p w14:paraId="3AD2AC37" w14:textId="105222E8" w:rsidR="000B01E1" w:rsidRPr="007E6672" w:rsidRDefault="000B01E1" w:rsidP="008439B5">
            <w:pPr>
              <w:pStyle w:val="naisc"/>
              <w:spacing w:before="0" w:after="0"/>
              <w:jc w:val="both"/>
            </w:pPr>
            <w:r>
              <w:lastRenderedPageBreak/>
              <w:t>10.</w:t>
            </w:r>
          </w:p>
        </w:tc>
        <w:tc>
          <w:tcPr>
            <w:tcW w:w="2719" w:type="dxa"/>
            <w:gridSpan w:val="2"/>
            <w:tcBorders>
              <w:top w:val="single" w:sz="6" w:space="0" w:color="000000"/>
              <w:left w:val="single" w:sz="6" w:space="0" w:color="000000"/>
              <w:bottom w:val="single" w:sz="6" w:space="0" w:color="000000"/>
              <w:right w:val="single" w:sz="6" w:space="0" w:color="000000"/>
            </w:tcBorders>
          </w:tcPr>
          <w:p w14:paraId="3F259086" w14:textId="2A82B23D" w:rsidR="000B01E1" w:rsidRPr="005F0CD4" w:rsidRDefault="000B01E1" w:rsidP="008439B5">
            <w:pPr>
              <w:pStyle w:val="naisc"/>
              <w:spacing w:before="0" w:after="0"/>
              <w:jc w:val="both"/>
            </w:pPr>
            <w:r w:rsidRPr="00793272">
              <w:t>MK noteikumi Nr.469 un 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5B29D44F" w14:textId="77777777" w:rsidR="000B01E1" w:rsidRPr="000F5EBD" w:rsidRDefault="000B01E1" w:rsidP="000B01E1">
            <w:pPr>
              <w:pStyle w:val="naisc"/>
              <w:spacing w:before="0" w:after="0"/>
              <w:jc w:val="both"/>
              <w:rPr>
                <w:b/>
              </w:rPr>
            </w:pPr>
            <w:r w:rsidRPr="000F5EBD">
              <w:rPr>
                <w:b/>
              </w:rPr>
              <w:t>Finanšu ministrijas 20.08.2020. atzinums Nr.10.1-6/7-1/755</w:t>
            </w:r>
          </w:p>
          <w:p w14:paraId="29E0749F" w14:textId="77777777" w:rsidR="000B01E1" w:rsidRPr="000B01E1" w:rsidRDefault="000B01E1" w:rsidP="000B01E1">
            <w:pPr>
              <w:jc w:val="both"/>
              <w:rPr>
                <w:rFonts w:eastAsiaTheme="minorHAnsi"/>
              </w:rPr>
            </w:pPr>
            <w:r>
              <w:t xml:space="preserve">Ņemot vērā, ka MK noteikumu Nr.469 ietvaros atbalsts tiek piešķirts kā reģionālais atbalsts saskaņā ar Komisijas regulas Nr.651/2014 14.pantu, pašreiz atbilstoši apstiprinātajai reģionālā atbalsta kartei reģionālo atbalstu Latvijā ir iespējams piešķirt </w:t>
            </w:r>
            <w:r w:rsidRPr="000B01E1">
              <w:rPr>
                <w:u w:val="single"/>
              </w:rPr>
              <w:t>līdz 2020.gada 31.decembrim</w:t>
            </w:r>
            <w:r>
              <w:t xml:space="preserve"> (skat. </w:t>
            </w:r>
            <w:r w:rsidRPr="000B01E1">
              <w:rPr>
                <w:i/>
                <w:iCs/>
              </w:rPr>
              <w:t xml:space="preserve">Ministru kabineta 2014.gada 16.decembra noteikumu Nr.786 “Noteikumi par reģionālās attīstības atbalstu Latvijas Republikā līdz </w:t>
            </w:r>
            <w:r w:rsidRPr="000B01E1">
              <w:rPr>
                <w:i/>
                <w:iCs/>
              </w:rPr>
              <w:lastRenderedPageBreak/>
              <w:t>2020.gadam”</w:t>
            </w:r>
            <w:r>
              <w:t xml:space="preserve"> (turpmāk – MK noteikumi Nr.786) 8.punktu), kas arī ir norādītais MK noteikumu Nr.469 darbības termiņš atbalsta programmas kopsavilkuma informācijā lietā SA.46229 </w:t>
            </w:r>
            <w:r w:rsidRPr="000B01E1">
              <w:rPr>
                <w:i/>
                <w:iCs/>
              </w:rPr>
              <w:t>Paralēlie aizdevumi saimnieciskās darbības veicēju konkurētspējas uzlabošanai.</w:t>
            </w:r>
            <w:r>
              <w:t xml:space="preserve"> Vienlaikus informējam, ka Vides aizsardzības un reģionālās attīstības ministrija, ievērojot 2020.gada 2.jūlijā ar </w:t>
            </w:r>
            <w:r w:rsidRPr="000B01E1">
              <w:rPr>
                <w:i/>
                <w:iCs/>
              </w:rPr>
              <w:t xml:space="preserve">Komisijas paziņojumu par darbības termiņa pagarināšanu un grozījumiem Reģionālā atbalsta pamatnostādnēs 2014.–2020. gadam [..] </w:t>
            </w:r>
            <w:r>
              <w:t>(2020/C 224/02) veiktos grozījumus Reģionālā atbalsta pamatnostādnēs 2014.-2020.gadam, pašreiz saskaņošanai Valsts sekretāru sanāksmes ietvaros virza grozījumu projektu MK noteikumos Nr.786, paredzot spēkā esošās reģionālās atbalsta kartes pagarinājumu līdz 2021.gada 31.decembrim, un par minēto reģionālās atbalsta kartes paziņojumu vēl ir nepieciešams iesniegt paziņojumu Eiropas Komisijā un saņemt pozitīvu Eiropas Komisijas lēmumu. Ņemot vērā, ka šobrīd nav iespējams precīzi prognozēt, kad varētu tikt pieņemts Eiropas Komisijas lēmums par reģionālās atbalsta kartes pagarinājumu, lūdzam:</w:t>
            </w:r>
          </w:p>
          <w:p w14:paraId="22E6B368" w14:textId="77777777" w:rsidR="000B01E1" w:rsidRDefault="000B01E1" w:rsidP="000B01E1">
            <w:pPr>
              <w:pStyle w:val="ListParagraph"/>
              <w:numPr>
                <w:ilvl w:val="1"/>
                <w:numId w:val="19"/>
              </w:numPr>
              <w:spacing w:after="0" w:line="240" w:lineRule="auto"/>
              <w:ind w:left="0" w:firstLine="426"/>
              <w:contextualSpacing w:val="0"/>
              <w:jc w:val="both"/>
            </w:pPr>
            <w:r>
              <w:t xml:space="preserve">noteikumu projekta 49.punktu izteikt, piemēram, šādā redakcijā: </w:t>
            </w:r>
          </w:p>
          <w:p w14:paraId="077D66BD" w14:textId="77777777" w:rsidR="000B01E1" w:rsidRDefault="000B01E1" w:rsidP="000B01E1">
            <w:pPr>
              <w:ind w:firstLine="426"/>
              <w:jc w:val="both"/>
              <w:rPr>
                <w:szCs w:val="24"/>
              </w:rPr>
            </w:pPr>
            <w:r>
              <w:rPr>
                <w:szCs w:val="24"/>
              </w:rPr>
              <w:lastRenderedPageBreak/>
              <w:t>“</w:t>
            </w:r>
            <w:bookmarkStart w:id="4" w:name="_Hlk49156599"/>
            <w:r>
              <w:rPr>
                <w:szCs w:val="24"/>
              </w:rPr>
              <w:t>49. Lēmumu par atbalsta piešķiršanu saskaņā ar Komisijas regulu Nr.651/2014 var pieņemt līdz šīs regulas darbības beigām, izņemot lēmumu par atbalsta piešķiršanu grūtībās nonākušiem saimnieciskās darbības veicējiem saskaņā ar Komisijas regulas Nr.651/2014 2.panta 18.punktā noteikto definīciju var pieņemt līdz Komisijas regulas Nr.651/2014 1.panta 4.punkta c) apakšpunktā noteiktā termiņa beigām.”;</w:t>
            </w:r>
            <w:bookmarkEnd w:id="4"/>
          </w:p>
          <w:p w14:paraId="1F2636A7" w14:textId="17D9E5EC" w:rsidR="000B01E1" w:rsidRPr="005F0CD4" w:rsidRDefault="000B01E1" w:rsidP="000B01E1">
            <w:pPr>
              <w:pStyle w:val="ListParagraph"/>
              <w:numPr>
                <w:ilvl w:val="1"/>
                <w:numId w:val="19"/>
              </w:numPr>
              <w:spacing w:after="0" w:line="240" w:lineRule="auto"/>
              <w:ind w:left="0" w:firstLine="426"/>
              <w:contextualSpacing w:val="0"/>
              <w:jc w:val="both"/>
              <w:rPr>
                <w:b/>
              </w:rPr>
            </w:pPr>
            <w:r w:rsidRPr="000B01E1">
              <w:rPr>
                <w:rFonts w:ascii="Times New Roman" w:hAnsi="Times New Roman" w:cs="Times New Roman"/>
                <w:sz w:val="24"/>
                <w:szCs w:val="24"/>
              </w:rPr>
              <w:t>precizēt anotācijas II sadaļā (1.lpp.) norādīto informāciju par Komisijas regulas Nr.651/2014 darbības termiņu reģionālā atbalsta gadījumā, jo pašreiz tā nav korekta. Vienlaikus, gadījumā, ja plānojat atbalstu šīs programmas ietvaros sniegt līdz 2021.gada 31.decembrim, lūdzam papildināt anotāciju ar informāciju par nepieciešamību pēc pozitīva Eiropas Komisijas lēmuma saņemšanas par pašreiz spēkā esošās reģionālās atbalsta kartes (MK noteikumi Nr.786) darbības termiņa pagarināšanu, nosūtīt Eiropas Komisijai kopsavilkuma informāciju par šo atbalsta pasākumu atbilstoši Komisijas regulas 2020/972 preambulas 7.apsvērumā un Komisijas Regulas Nr.651/2014 11.panta a) apakšpunktā noteiktajam, izmantojot Komisijas elektroniskās paziņošanas (SANI2) sistēmu, ne vēlāk kā līdz šī gada beigām.</w:t>
            </w:r>
            <w:r w:rsidRPr="000B01E1">
              <w:rPr>
                <w:rFonts w:ascii="Times New Roman" w:hAnsi="Times New Roman" w:cs="Times New Roman"/>
                <w:color w:val="FF0000"/>
                <w:sz w:val="24"/>
                <w:szCs w:val="24"/>
              </w:rPr>
              <w:t xml:space="preserve"> </w:t>
            </w:r>
          </w:p>
        </w:tc>
        <w:tc>
          <w:tcPr>
            <w:tcW w:w="3827" w:type="dxa"/>
            <w:gridSpan w:val="2"/>
            <w:tcBorders>
              <w:top w:val="single" w:sz="6" w:space="0" w:color="000000"/>
              <w:left w:val="single" w:sz="6" w:space="0" w:color="000000"/>
              <w:bottom w:val="single" w:sz="6" w:space="0" w:color="000000"/>
              <w:right w:val="single" w:sz="6" w:space="0" w:color="000000"/>
            </w:tcBorders>
          </w:tcPr>
          <w:p w14:paraId="0EC9D5A4" w14:textId="77777777" w:rsidR="000B01E1" w:rsidRPr="007E6672" w:rsidRDefault="000B01E1" w:rsidP="000B01E1">
            <w:pPr>
              <w:pStyle w:val="naisc"/>
              <w:spacing w:before="0" w:after="0"/>
              <w:rPr>
                <w:b/>
              </w:rPr>
            </w:pPr>
            <w:r w:rsidRPr="00793272">
              <w:rPr>
                <w:b/>
              </w:rPr>
              <w:lastRenderedPageBreak/>
              <w:t>Ņemts vērā</w:t>
            </w:r>
          </w:p>
          <w:p w14:paraId="180B7392" w14:textId="3206A589" w:rsidR="000B01E1" w:rsidRPr="005F0CD4" w:rsidRDefault="000B01E1" w:rsidP="008439B5">
            <w:pPr>
              <w:pStyle w:val="naisc"/>
              <w:spacing w:before="0" w:after="0"/>
              <w:rPr>
                <w:b/>
              </w:rPr>
            </w:pPr>
          </w:p>
        </w:tc>
        <w:tc>
          <w:tcPr>
            <w:tcW w:w="3235" w:type="dxa"/>
            <w:tcBorders>
              <w:top w:val="single" w:sz="4" w:space="0" w:color="auto"/>
              <w:left w:val="single" w:sz="4" w:space="0" w:color="auto"/>
              <w:bottom w:val="single" w:sz="4" w:space="0" w:color="auto"/>
            </w:tcBorders>
          </w:tcPr>
          <w:p w14:paraId="0ACDA1FC" w14:textId="5D2295BD" w:rsidR="00793272" w:rsidRPr="00793272" w:rsidRDefault="00793272" w:rsidP="00793272">
            <w:pPr>
              <w:jc w:val="both"/>
              <w:rPr>
                <w:szCs w:val="24"/>
              </w:rPr>
            </w:pPr>
            <w:r w:rsidRPr="00793272">
              <w:rPr>
                <w:szCs w:val="24"/>
              </w:rPr>
              <w:t>MK noteikumu Nr.469 49.punkts izteikts šādā redakcijā:</w:t>
            </w:r>
          </w:p>
          <w:p w14:paraId="0532AD67" w14:textId="77777777" w:rsidR="000B01E1" w:rsidRPr="00793272" w:rsidRDefault="00793272" w:rsidP="008439B5">
            <w:pPr>
              <w:jc w:val="both"/>
              <w:rPr>
                <w:szCs w:val="24"/>
              </w:rPr>
            </w:pPr>
            <w:r w:rsidRPr="00793272">
              <w:rPr>
                <w:szCs w:val="24"/>
              </w:rPr>
              <w:t xml:space="preserve">“49. Lēmumu par atbalsta piešķiršanu saskaņā ar Komisijas regulu Nr.651/2014 var pieņemt līdz šīs regulas darbības beigām, izņemot lēmumu par atbalsta piešķiršanu grūtībās nonākušiem saimnieciskās darbības veicējiem saskaņā ar Komisijas regulas Nr.651/2014 </w:t>
            </w:r>
            <w:r w:rsidRPr="00793272">
              <w:rPr>
                <w:szCs w:val="24"/>
              </w:rPr>
              <w:lastRenderedPageBreak/>
              <w:t>2.panta 18.punktā noteikto definīciju var pieņemt līdz Komisijas regulas Nr.651/2014 1.panta 4.punkta c) apakšpunktā noteiktā termiņa beigām.”.</w:t>
            </w:r>
          </w:p>
          <w:p w14:paraId="35A832D3" w14:textId="77777777" w:rsidR="00793272" w:rsidRPr="00793272" w:rsidRDefault="00793272" w:rsidP="008439B5">
            <w:pPr>
              <w:jc w:val="both"/>
              <w:rPr>
                <w:szCs w:val="24"/>
              </w:rPr>
            </w:pPr>
          </w:p>
          <w:p w14:paraId="0A5D65C9" w14:textId="311C0E85" w:rsidR="00793272" w:rsidRPr="00793272" w:rsidRDefault="00793272" w:rsidP="008439B5">
            <w:pPr>
              <w:jc w:val="both"/>
              <w:rPr>
                <w:szCs w:val="24"/>
              </w:rPr>
            </w:pPr>
            <w:r w:rsidRPr="00793272">
              <w:rPr>
                <w:szCs w:val="24"/>
              </w:rPr>
              <w:t xml:space="preserve">Precizēta informācija </w:t>
            </w:r>
            <w:r w:rsidRPr="00793272">
              <w:t>Anotācijas I. sadaļas “Tiesību akta projekta izstrādes nepieciešamība” 2. punkts “Pašreizējā situācija un problēmas, kuru risināšanai tiesību akta projekts izstrādāts, tiesiskā regulējuma mērķis un būtība”</w:t>
            </w:r>
          </w:p>
        </w:tc>
      </w:tr>
      <w:tr w:rsidR="000B01E1" w:rsidRPr="007E6672" w14:paraId="19F97A4C" w14:textId="77777777" w:rsidTr="004C29BA">
        <w:tc>
          <w:tcPr>
            <w:tcW w:w="675" w:type="dxa"/>
            <w:tcBorders>
              <w:top w:val="single" w:sz="6" w:space="0" w:color="000000"/>
              <w:left w:val="single" w:sz="6" w:space="0" w:color="000000"/>
              <w:bottom w:val="single" w:sz="6" w:space="0" w:color="000000"/>
              <w:right w:val="single" w:sz="6" w:space="0" w:color="000000"/>
            </w:tcBorders>
          </w:tcPr>
          <w:p w14:paraId="1439F5DA" w14:textId="114ED1F9" w:rsidR="000B01E1" w:rsidRPr="000F5EBD" w:rsidRDefault="000B01E1" w:rsidP="008439B5">
            <w:pPr>
              <w:pStyle w:val="naisc"/>
              <w:spacing w:before="0" w:after="0"/>
              <w:jc w:val="both"/>
            </w:pPr>
            <w:r w:rsidRPr="000F5EBD">
              <w:lastRenderedPageBreak/>
              <w:t>11.</w:t>
            </w:r>
          </w:p>
        </w:tc>
        <w:tc>
          <w:tcPr>
            <w:tcW w:w="2719" w:type="dxa"/>
            <w:gridSpan w:val="2"/>
            <w:tcBorders>
              <w:top w:val="single" w:sz="6" w:space="0" w:color="000000"/>
              <w:left w:val="single" w:sz="6" w:space="0" w:color="000000"/>
              <w:bottom w:val="single" w:sz="6" w:space="0" w:color="000000"/>
              <w:right w:val="single" w:sz="6" w:space="0" w:color="000000"/>
            </w:tcBorders>
          </w:tcPr>
          <w:p w14:paraId="0E996C7D" w14:textId="284298A5" w:rsidR="000B01E1" w:rsidRPr="000F5EBD" w:rsidRDefault="000B01E1" w:rsidP="008439B5">
            <w:pPr>
              <w:pStyle w:val="naisc"/>
              <w:spacing w:before="0" w:after="0"/>
              <w:jc w:val="both"/>
            </w:pPr>
            <w:r w:rsidRPr="000F5EBD">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11B55D9A" w14:textId="77777777" w:rsidR="000B01E1" w:rsidRPr="000F5EBD" w:rsidRDefault="000B01E1" w:rsidP="000B01E1">
            <w:pPr>
              <w:pStyle w:val="naisc"/>
              <w:spacing w:before="0" w:after="0"/>
              <w:jc w:val="both"/>
              <w:rPr>
                <w:b/>
              </w:rPr>
            </w:pPr>
            <w:r w:rsidRPr="000F5EBD">
              <w:rPr>
                <w:b/>
              </w:rPr>
              <w:t>Finanšu ministrijas 20.08.2020. atzinums Nr.10.1-6/7-1/755</w:t>
            </w:r>
          </w:p>
          <w:p w14:paraId="2EE3A50B" w14:textId="766A6857" w:rsidR="000B01E1" w:rsidRPr="000F5EBD" w:rsidRDefault="000B01E1" w:rsidP="008439B5">
            <w:pPr>
              <w:pStyle w:val="naisc"/>
              <w:spacing w:before="0" w:after="0"/>
              <w:jc w:val="both"/>
              <w:rPr>
                <w:b/>
              </w:rPr>
            </w:pPr>
            <w:r w:rsidRPr="000F5EBD">
              <w:t xml:space="preserve">Ņemot vērā Ministru kabineta sēdes </w:t>
            </w:r>
            <w:proofErr w:type="spellStart"/>
            <w:r w:rsidRPr="000F5EBD">
              <w:t>protokollēmuma</w:t>
            </w:r>
            <w:proofErr w:type="spellEnd"/>
            <w:r w:rsidRPr="000F5EBD">
              <w:t xml:space="preserve"> projekta 3.punktā paredzēto, lūdzam papildināt anotācijas I sadaļas 3.punktu ar informāciju, ka gadījumā, ja  programmas kopējais sagaidāmo paredzamo un neparedzamo zaudējumu apjoms pārsniedz šajā programmu rādītāju novērtējumā minētos apjomus, </w:t>
            </w:r>
            <w:r w:rsidRPr="000F5EBD">
              <w:rPr>
                <w:spacing w:val="2"/>
                <w:shd w:val="clear" w:color="auto" w:fill="FEFEFE"/>
              </w:rPr>
              <w:t xml:space="preserve">AS "Attīstības finanšu institūcija </w:t>
            </w:r>
            <w:proofErr w:type="spellStart"/>
            <w:r w:rsidRPr="000F5EBD">
              <w:rPr>
                <w:spacing w:val="2"/>
                <w:shd w:val="clear" w:color="auto" w:fill="FEFEFE"/>
              </w:rPr>
              <w:t>Altum</w:t>
            </w:r>
            <w:proofErr w:type="spellEnd"/>
            <w:r w:rsidRPr="000F5EBD">
              <w:rPr>
                <w:spacing w:val="2"/>
                <w:shd w:val="clear" w:color="auto" w:fill="FEFEFE"/>
              </w:rPr>
              <w:t xml:space="preserve">" </w:t>
            </w:r>
            <w:r w:rsidRPr="000F5EBD">
              <w:t>nepieciešamais papildu finansējums zaudējumu segšanai tiks nodrošināts MK noteikumos Nr.469 darbības programmas "Izaugsme un nodarbinātība" 3.1.1. specifiskā atbalsta mērķa "Sekmēt MVK izveidi un attīstību, īpaši apstrādes rūpniecībā un RIS3 prioritārajās nozarēs" 3.1.1.2. pasākumam "</w:t>
            </w:r>
            <w:proofErr w:type="spellStart"/>
            <w:r w:rsidRPr="000F5EBD">
              <w:t>Mezanīna</w:t>
            </w:r>
            <w:proofErr w:type="spellEnd"/>
            <w:r w:rsidRPr="000F5EBD">
              <w:t xml:space="preserve"> aizdevumi" paredzētā finansējuma ietvaros.</w:t>
            </w:r>
          </w:p>
        </w:tc>
        <w:tc>
          <w:tcPr>
            <w:tcW w:w="3827" w:type="dxa"/>
            <w:gridSpan w:val="2"/>
            <w:tcBorders>
              <w:top w:val="single" w:sz="6" w:space="0" w:color="000000"/>
              <w:left w:val="single" w:sz="6" w:space="0" w:color="000000"/>
              <w:bottom w:val="single" w:sz="6" w:space="0" w:color="000000"/>
              <w:right w:val="single" w:sz="6" w:space="0" w:color="000000"/>
            </w:tcBorders>
          </w:tcPr>
          <w:p w14:paraId="4D082E0B" w14:textId="77777777" w:rsidR="000B01E1" w:rsidRPr="007E6672" w:rsidRDefault="000B01E1" w:rsidP="000B01E1">
            <w:pPr>
              <w:pStyle w:val="naisc"/>
              <w:spacing w:before="0" w:after="0"/>
              <w:rPr>
                <w:b/>
              </w:rPr>
            </w:pPr>
            <w:r w:rsidRPr="000F5EBD">
              <w:rPr>
                <w:b/>
              </w:rPr>
              <w:t>Ņemts vērā</w:t>
            </w:r>
          </w:p>
          <w:p w14:paraId="6E3F6239" w14:textId="77777777" w:rsidR="000B01E1" w:rsidRPr="005F0CD4" w:rsidRDefault="000B01E1" w:rsidP="008439B5">
            <w:pPr>
              <w:pStyle w:val="naisc"/>
              <w:spacing w:before="0" w:after="0"/>
              <w:rPr>
                <w:b/>
              </w:rPr>
            </w:pPr>
          </w:p>
        </w:tc>
        <w:tc>
          <w:tcPr>
            <w:tcW w:w="3235" w:type="dxa"/>
            <w:tcBorders>
              <w:top w:val="single" w:sz="4" w:space="0" w:color="auto"/>
              <w:left w:val="single" w:sz="4" w:space="0" w:color="auto"/>
              <w:bottom w:val="single" w:sz="4" w:space="0" w:color="auto"/>
            </w:tcBorders>
          </w:tcPr>
          <w:p w14:paraId="10A80CA3" w14:textId="0DF448F2" w:rsidR="000B01E1" w:rsidRPr="005F0CD4" w:rsidRDefault="00EF1552" w:rsidP="008439B5">
            <w:pPr>
              <w:jc w:val="both"/>
              <w:rPr>
                <w:szCs w:val="24"/>
              </w:rPr>
            </w:pPr>
            <w:r w:rsidRPr="00793272">
              <w:rPr>
                <w:szCs w:val="24"/>
              </w:rPr>
              <w:t xml:space="preserve">Precizēta informācija </w:t>
            </w:r>
            <w:r w:rsidRPr="00793272">
              <w:t>Anotācijas I. sadaļas “Tiesību akta projekta izstrādes nepieciešamība” 2. punkts “Pašreizējā situācija un problēmas, kuru risināšanai tiesību akta projekts izstrādāts, tiesiskā regulējuma mērķis un būtība”</w:t>
            </w:r>
          </w:p>
        </w:tc>
      </w:tr>
      <w:tr w:rsidR="00EF1552" w:rsidRPr="007E6672" w14:paraId="5298A2DC" w14:textId="77777777" w:rsidTr="004C29BA">
        <w:tc>
          <w:tcPr>
            <w:tcW w:w="675" w:type="dxa"/>
            <w:tcBorders>
              <w:top w:val="single" w:sz="6" w:space="0" w:color="000000"/>
              <w:left w:val="single" w:sz="6" w:space="0" w:color="000000"/>
              <w:bottom w:val="single" w:sz="6" w:space="0" w:color="000000"/>
              <w:right w:val="single" w:sz="6" w:space="0" w:color="000000"/>
            </w:tcBorders>
          </w:tcPr>
          <w:p w14:paraId="7530379C" w14:textId="1C9C75D5" w:rsidR="00EF1552" w:rsidRPr="000F5EBD" w:rsidRDefault="00EF1552" w:rsidP="00EF1552">
            <w:pPr>
              <w:pStyle w:val="naisc"/>
              <w:spacing w:before="0" w:after="0"/>
              <w:jc w:val="both"/>
            </w:pPr>
            <w:r>
              <w:t>12.</w:t>
            </w:r>
          </w:p>
        </w:tc>
        <w:tc>
          <w:tcPr>
            <w:tcW w:w="2719" w:type="dxa"/>
            <w:gridSpan w:val="2"/>
            <w:tcBorders>
              <w:top w:val="single" w:sz="6" w:space="0" w:color="000000"/>
              <w:left w:val="single" w:sz="6" w:space="0" w:color="000000"/>
              <w:bottom w:val="single" w:sz="6" w:space="0" w:color="000000"/>
              <w:right w:val="single" w:sz="6" w:space="0" w:color="000000"/>
            </w:tcBorders>
          </w:tcPr>
          <w:p w14:paraId="55D24F0F" w14:textId="7BEF26B2" w:rsidR="00EF1552" w:rsidRPr="000F5EBD" w:rsidRDefault="00EF1552" w:rsidP="00EF1552">
            <w:pPr>
              <w:pStyle w:val="naisc"/>
              <w:spacing w:before="0" w:after="0"/>
              <w:jc w:val="both"/>
            </w:pPr>
            <w:r w:rsidRPr="000F5EBD">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5FA9A298" w14:textId="1C9AF271" w:rsidR="00EF1552" w:rsidRPr="000F5EBD" w:rsidRDefault="00EF1552" w:rsidP="00EF1552">
            <w:pPr>
              <w:pStyle w:val="naisc"/>
              <w:spacing w:before="0" w:after="0"/>
              <w:jc w:val="both"/>
              <w:rPr>
                <w:b/>
              </w:rPr>
            </w:pPr>
            <w:r w:rsidRPr="000F5EBD">
              <w:rPr>
                <w:b/>
              </w:rPr>
              <w:t xml:space="preserve">Finanšu ministrijas </w:t>
            </w:r>
            <w:r>
              <w:rPr>
                <w:b/>
              </w:rPr>
              <w:t>07.09</w:t>
            </w:r>
            <w:r w:rsidRPr="000F5EBD">
              <w:rPr>
                <w:b/>
              </w:rPr>
              <w:t>.2020. atzinums Nr.</w:t>
            </w:r>
            <w:r w:rsidRPr="00EF1552">
              <w:rPr>
                <w:b/>
              </w:rPr>
              <w:t xml:space="preserve"> 10.1-6/7-1/821</w:t>
            </w:r>
          </w:p>
          <w:p w14:paraId="24CCA902" w14:textId="2A884B9F" w:rsidR="00EF1552" w:rsidRPr="00EF1552" w:rsidRDefault="00EF1552" w:rsidP="00EF1552">
            <w:pPr>
              <w:ind w:firstLine="720"/>
              <w:jc w:val="both"/>
              <w:rPr>
                <w:rFonts w:eastAsia="Times New Roman"/>
                <w:szCs w:val="24"/>
                <w:lang w:eastAsia="lv-LV"/>
              </w:rPr>
            </w:pPr>
            <w:r w:rsidRPr="00EF1552">
              <w:rPr>
                <w:rFonts w:eastAsia="Times New Roman"/>
                <w:szCs w:val="24"/>
                <w:lang w:eastAsia="lv-LV"/>
              </w:rPr>
              <w:t xml:space="preserve">Vēršam uzmanību, ka 2020.gada 7.augusta Finanšu ministrijas atzinumā tika izteikts iebildums attiecībā uz noteikumu projekta 2.punktā iekļauto regulējumu un norādīts, ka būtu nepieciešams noteikumu projekta anotāciju papildināt ar informāciju par veikto </w:t>
            </w:r>
            <w:proofErr w:type="spellStart"/>
            <w:r w:rsidRPr="00EF1552">
              <w:rPr>
                <w:rFonts w:eastAsia="Times New Roman"/>
                <w:szCs w:val="24"/>
                <w:lang w:eastAsia="lv-LV"/>
              </w:rPr>
              <w:t>izvērtējumu</w:t>
            </w:r>
            <w:proofErr w:type="spellEnd"/>
            <w:r w:rsidRPr="00EF1552">
              <w:rPr>
                <w:rFonts w:eastAsia="Times New Roman"/>
                <w:szCs w:val="24"/>
                <w:lang w:eastAsia="lv-LV"/>
              </w:rPr>
              <w:t xml:space="preserve"> saistībā ar minētās tiesību normas nepieciešamību, kā arī sniegt informāciju par risku </w:t>
            </w:r>
            <w:proofErr w:type="spellStart"/>
            <w:r w:rsidRPr="00EF1552">
              <w:rPr>
                <w:rFonts w:eastAsia="Times New Roman"/>
                <w:szCs w:val="24"/>
                <w:lang w:eastAsia="lv-LV"/>
              </w:rPr>
              <w:t>izvērtējumu</w:t>
            </w:r>
            <w:proofErr w:type="spellEnd"/>
            <w:r w:rsidRPr="00EF1552">
              <w:rPr>
                <w:rFonts w:eastAsia="Times New Roman"/>
                <w:szCs w:val="24"/>
                <w:lang w:eastAsia="lv-LV"/>
              </w:rPr>
              <w:t xml:space="preserve"> </w:t>
            </w:r>
            <w:r w:rsidRPr="00EF1552">
              <w:rPr>
                <w:rFonts w:eastAsia="Times New Roman"/>
                <w:szCs w:val="24"/>
                <w:lang w:eastAsia="lv-LV"/>
              </w:rPr>
              <w:lastRenderedPageBreak/>
              <w:t xml:space="preserve">attiecībā uz subjektiem (saimnieciskās darbības veicējiem, ar kuriem ir noslēgts vienošanās līgums vai Valsts ieņēmumu dienests ir pieņēmis lēmumu par nokavēto nodokļu maksājumu labprātīgu izpildi),  jo minētajiem subjektiem tiesību norma paredz iespēju piešķirt paralēlo aizdevumu, neskatoties uz to, ka tie nav veikuši noteiktajā laikā piekritīgos nodokļu vai nodevu maksājumus. Finanšu ministrija vērsa uzmanību, ka vienošanās līgums tiek slēgts, lai izbeigtu tiesisku strīdu par datu atbilstības pārbaudes un nodokļu revīzijas (audita) rezultātā aprēķinātajiem papildu maksājumiem budžetā, savukārt lēmums par nokavēto nodokļu maksājumu labprātīgu izpildi tiek pieņemts tādu nokavēto nodokļu maksājumu samaksai, kuri jau tiek piedzīti. 2020.gada 12.augustā Finanšu ministrija saņēma precizēto noteikumu projekta anotāciju, kurā bija iekļauta nepieciešamā informācija par riska </w:t>
            </w:r>
            <w:proofErr w:type="spellStart"/>
            <w:r w:rsidRPr="00EF1552">
              <w:rPr>
                <w:rFonts w:eastAsia="Times New Roman"/>
                <w:szCs w:val="24"/>
                <w:lang w:eastAsia="lv-LV"/>
              </w:rPr>
              <w:t>izvērtējumu</w:t>
            </w:r>
            <w:proofErr w:type="spellEnd"/>
            <w:r w:rsidRPr="00EF1552">
              <w:rPr>
                <w:rFonts w:eastAsia="Times New Roman"/>
                <w:szCs w:val="24"/>
                <w:lang w:eastAsia="lv-LV"/>
              </w:rPr>
              <w:t xml:space="preserve">. </w:t>
            </w:r>
          </w:p>
          <w:p w14:paraId="002FE82A" w14:textId="6B260928" w:rsidR="00EF1552" w:rsidRPr="000F5EBD" w:rsidRDefault="00EF1552" w:rsidP="00EF1552">
            <w:pPr>
              <w:ind w:firstLine="720"/>
              <w:jc w:val="both"/>
              <w:rPr>
                <w:b/>
              </w:rPr>
            </w:pPr>
            <w:r w:rsidRPr="00EF1552">
              <w:rPr>
                <w:rFonts w:eastAsia="Times New Roman"/>
                <w:szCs w:val="24"/>
                <w:lang w:eastAsia="lv-LV"/>
              </w:rPr>
              <w:t xml:space="preserve">Tomēr vēršam uzmanību, ka šobrīd precizētajā noteikumu projekta anotācijā informācija attiecībā uz risku </w:t>
            </w:r>
            <w:proofErr w:type="spellStart"/>
            <w:r w:rsidRPr="00EF1552">
              <w:rPr>
                <w:rFonts w:eastAsia="Times New Roman"/>
                <w:szCs w:val="24"/>
                <w:lang w:eastAsia="lv-LV"/>
              </w:rPr>
              <w:t>izvērtējumu</w:t>
            </w:r>
            <w:proofErr w:type="spellEnd"/>
            <w:r w:rsidRPr="00EF1552">
              <w:rPr>
                <w:rFonts w:eastAsia="Times New Roman"/>
                <w:szCs w:val="24"/>
                <w:lang w:eastAsia="lv-LV"/>
              </w:rPr>
              <w:t xml:space="preserve"> saistībā ar iepriekš norādīto ir svītrota. Līdz ar to norādām, ka  uzturam 2020.gada 7.augustā izteikto Finanšu ministrijas iebildumu, proti, lūdzam papildināt noteikumu projekta anotāciju ar nepieciešamo informāciju par risku </w:t>
            </w:r>
            <w:proofErr w:type="spellStart"/>
            <w:r w:rsidRPr="00EF1552">
              <w:rPr>
                <w:rFonts w:eastAsia="Times New Roman"/>
                <w:szCs w:val="24"/>
                <w:lang w:eastAsia="lv-LV"/>
              </w:rPr>
              <w:lastRenderedPageBreak/>
              <w:t>izvērtējumu</w:t>
            </w:r>
            <w:proofErr w:type="spellEnd"/>
            <w:r w:rsidRPr="00EF1552">
              <w:rPr>
                <w:rFonts w:eastAsia="Times New Roman"/>
                <w:szCs w:val="24"/>
                <w:lang w:eastAsia="lv-LV"/>
              </w:rPr>
              <w:t xml:space="preserve"> attiecībā uz subjektiem (saimnieciskās darbības veicējiem, ar kuriem ir noslēgts vienošanās līgums vai Valsts ieņēmumu dienests ir pieņēmis lēmumu par nokavēto nodokļu maksājumu labprātīgu izpildi),  kuriem tiesību norma paredzēs iespēju piešķirt paralēlo aizdevumu, neskatoties uz to, ka tie nav veikuši noteiktajā laikā piekritīgos nodokļu vai nodevu maksājumus.</w:t>
            </w:r>
          </w:p>
        </w:tc>
        <w:tc>
          <w:tcPr>
            <w:tcW w:w="3827" w:type="dxa"/>
            <w:gridSpan w:val="2"/>
            <w:tcBorders>
              <w:top w:val="single" w:sz="6" w:space="0" w:color="000000"/>
              <w:left w:val="single" w:sz="6" w:space="0" w:color="000000"/>
              <w:bottom w:val="single" w:sz="6" w:space="0" w:color="000000"/>
              <w:right w:val="single" w:sz="6" w:space="0" w:color="000000"/>
            </w:tcBorders>
          </w:tcPr>
          <w:p w14:paraId="5FDF471B" w14:textId="77777777" w:rsidR="00EF1552" w:rsidRPr="007E6672" w:rsidRDefault="00EF1552" w:rsidP="00EF1552">
            <w:pPr>
              <w:pStyle w:val="naisc"/>
              <w:spacing w:before="0" w:after="0"/>
              <w:rPr>
                <w:b/>
              </w:rPr>
            </w:pPr>
            <w:r w:rsidRPr="000F5EBD">
              <w:rPr>
                <w:b/>
              </w:rPr>
              <w:lastRenderedPageBreak/>
              <w:t>Ņemts vērā</w:t>
            </w:r>
          </w:p>
          <w:p w14:paraId="48EA5472" w14:textId="77777777" w:rsidR="00EF1552" w:rsidRPr="000F5EBD" w:rsidRDefault="00EF1552" w:rsidP="00EF1552">
            <w:pPr>
              <w:pStyle w:val="naisc"/>
              <w:spacing w:before="0" w:after="0"/>
              <w:rPr>
                <w:b/>
              </w:rPr>
            </w:pPr>
          </w:p>
        </w:tc>
        <w:tc>
          <w:tcPr>
            <w:tcW w:w="3235" w:type="dxa"/>
            <w:tcBorders>
              <w:top w:val="single" w:sz="4" w:space="0" w:color="auto"/>
              <w:left w:val="single" w:sz="4" w:space="0" w:color="auto"/>
              <w:bottom w:val="single" w:sz="4" w:space="0" w:color="auto"/>
            </w:tcBorders>
          </w:tcPr>
          <w:p w14:paraId="60B6744D" w14:textId="6F9F36FD" w:rsidR="00EF1552" w:rsidRPr="005F0CD4" w:rsidRDefault="00EF1552" w:rsidP="00EF1552">
            <w:pPr>
              <w:jc w:val="both"/>
              <w:rPr>
                <w:szCs w:val="24"/>
              </w:rPr>
            </w:pPr>
            <w:r w:rsidRPr="00793272">
              <w:rPr>
                <w:szCs w:val="24"/>
              </w:rPr>
              <w:t xml:space="preserve">Precizēta informācija </w:t>
            </w:r>
            <w:r w:rsidRPr="00793272">
              <w:t>Anotācijas I. sadaļas “Tiesību akta projekta izstrādes nepieciešamība” 2. punkts “Pašreizējā situācija un problēmas, kuru risināšanai tiesību akta projekts izstrādāts, tiesiskā regulējuma mērķis un būtība”</w:t>
            </w:r>
          </w:p>
        </w:tc>
      </w:tr>
      <w:tr w:rsidR="00235B8C" w:rsidRPr="007E6672" w14:paraId="1D84CF57" w14:textId="77777777" w:rsidTr="00AC75A8">
        <w:tc>
          <w:tcPr>
            <w:tcW w:w="14709" w:type="dxa"/>
            <w:gridSpan w:val="7"/>
            <w:tcBorders>
              <w:top w:val="single" w:sz="6" w:space="0" w:color="000000"/>
              <w:left w:val="single" w:sz="6" w:space="0" w:color="000000"/>
              <w:bottom w:val="single" w:sz="6" w:space="0" w:color="000000"/>
            </w:tcBorders>
          </w:tcPr>
          <w:p w14:paraId="44F2466E" w14:textId="556ECA56" w:rsidR="00235B8C" w:rsidRPr="00F40D52" w:rsidRDefault="00235B8C" w:rsidP="00235B8C">
            <w:pPr>
              <w:jc w:val="center"/>
              <w:rPr>
                <w:b/>
                <w:bCs/>
                <w:szCs w:val="24"/>
              </w:rPr>
            </w:pPr>
            <w:r w:rsidRPr="00F40D52">
              <w:rPr>
                <w:b/>
                <w:bCs/>
                <w:szCs w:val="24"/>
              </w:rPr>
              <w:lastRenderedPageBreak/>
              <w:t>Priekšlikumi</w:t>
            </w:r>
          </w:p>
        </w:tc>
      </w:tr>
      <w:tr w:rsidR="00EF1552" w:rsidRPr="007E6672" w14:paraId="7C2FCFF2" w14:textId="77777777" w:rsidTr="004C29BA">
        <w:tc>
          <w:tcPr>
            <w:tcW w:w="675" w:type="dxa"/>
            <w:tcBorders>
              <w:top w:val="single" w:sz="6" w:space="0" w:color="000000"/>
              <w:left w:val="single" w:sz="6" w:space="0" w:color="000000"/>
              <w:bottom w:val="single" w:sz="6" w:space="0" w:color="000000"/>
              <w:right w:val="single" w:sz="6" w:space="0" w:color="000000"/>
            </w:tcBorders>
          </w:tcPr>
          <w:p w14:paraId="0A644352" w14:textId="61B8876F" w:rsidR="00EF1552" w:rsidRPr="000F5EBD" w:rsidRDefault="008B0808" w:rsidP="00EF1552">
            <w:pPr>
              <w:pStyle w:val="naisc"/>
              <w:spacing w:before="0" w:after="0"/>
              <w:jc w:val="both"/>
            </w:pPr>
            <w:r>
              <w:t>1.</w:t>
            </w:r>
          </w:p>
        </w:tc>
        <w:tc>
          <w:tcPr>
            <w:tcW w:w="2719" w:type="dxa"/>
            <w:gridSpan w:val="2"/>
            <w:tcBorders>
              <w:top w:val="single" w:sz="6" w:space="0" w:color="000000"/>
              <w:left w:val="single" w:sz="6" w:space="0" w:color="000000"/>
              <w:bottom w:val="single" w:sz="6" w:space="0" w:color="000000"/>
              <w:right w:val="single" w:sz="6" w:space="0" w:color="000000"/>
            </w:tcBorders>
          </w:tcPr>
          <w:p w14:paraId="43775AB5" w14:textId="41215598" w:rsidR="00EF1552" w:rsidRPr="000F5EBD" w:rsidRDefault="008B0808" w:rsidP="00EF1552">
            <w:pPr>
              <w:pStyle w:val="naisc"/>
              <w:spacing w:before="0" w:after="0"/>
              <w:jc w:val="both"/>
            </w:pPr>
            <w:r w:rsidRPr="00793272">
              <w:t>MK noteikumu Nr.469 grozījumu projekta 3.punkts</w:t>
            </w:r>
            <w:r w:rsidR="00F87547">
              <w:t xml:space="preserve"> (pēc papildinājumiem 5.punkts)</w:t>
            </w:r>
          </w:p>
        </w:tc>
        <w:tc>
          <w:tcPr>
            <w:tcW w:w="4253" w:type="dxa"/>
            <w:tcBorders>
              <w:top w:val="single" w:sz="6" w:space="0" w:color="000000"/>
              <w:left w:val="single" w:sz="6" w:space="0" w:color="000000"/>
              <w:bottom w:val="single" w:sz="6" w:space="0" w:color="000000"/>
              <w:right w:val="single" w:sz="6" w:space="0" w:color="000000"/>
            </w:tcBorders>
          </w:tcPr>
          <w:p w14:paraId="311654AE" w14:textId="77777777" w:rsidR="008B0808" w:rsidRPr="00F40D52" w:rsidRDefault="008B0808" w:rsidP="008B0808">
            <w:pPr>
              <w:pStyle w:val="naisc"/>
              <w:spacing w:before="0" w:after="0"/>
              <w:jc w:val="both"/>
              <w:rPr>
                <w:b/>
                <w:bCs/>
              </w:rPr>
            </w:pPr>
            <w:r w:rsidRPr="00F40D52">
              <w:rPr>
                <w:b/>
                <w:bCs/>
              </w:rPr>
              <w:t>Finanšu ministrijas 07.09.2020. atzinums Nr. 10.1-6/7-1/821</w:t>
            </w:r>
          </w:p>
          <w:p w14:paraId="4D33AE7E" w14:textId="21B50D18" w:rsidR="008B0808" w:rsidRPr="008B0808" w:rsidRDefault="008B0808" w:rsidP="008B0808">
            <w:pPr>
              <w:ind w:firstLine="720"/>
              <w:jc w:val="both"/>
              <w:rPr>
                <w:rFonts w:eastAsia="Times New Roman"/>
                <w:szCs w:val="24"/>
                <w:lang w:eastAsia="lv-LV"/>
              </w:rPr>
            </w:pPr>
            <w:r w:rsidRPr="008B0808">
              <w:rPr>
                <w:rFonts w:eastAsia="Times New Roman"/>
                <w:szCs w:val="24"/>
                <w:lang w:eastAsia="lv-LV"/>
              </w:rPr>
              <w:t>Ņemot vērā, ka noteikumu projekta 3.punktā ietvertais jaunais Ministru kabineta 2016.gada 15.jūlija noteikumu Nr.469 "Noteikumi par paralēlajiem aizdevumiem saimnieciskās darbības veicējiem konkurētspējas uzlabošanai" 41.punkta otrais teikums ir attiecināms uz gadījumiem, kad ir paredzēta kumulācija ar izmaksām, kas nav nosakāmas, lūdzam precizēt noteikumu projekta 3.punkta redakciju. Piedāvājam šādu redakciju:</w:t>
            </w:r>
          </w:p>
          <w:p w14:paraId="52B9E5FF" w14:textId="77777777" w:rsidR="008B0808" w:rsidRPr="008B0808" w:rsidRDefault="008B0808" w:rsidP="008B0808">
            <w:pPr>
              <w:ind w:firstLine="720"/>
              <w:jc w:val="both"/>
              <w:rPr>
                <w:rFonts w:eastAsia="Times New Roman"/>
                <w:szCs w:val="24"/>
                <w:lang w:eastAsia="lv-LV"/>
              </w:rPr>
            </w:pPr>
            <w:r w:rsidRPr="008B0808">
              <w:rPr>
                <w:rFonts w:eastAsia="Times New Roman"/>
                <w:szCs w:val="24"/>
                <w:lang w:eastAsia="lv-LV"/>
              </w:rPr>
              <w:t>“</w:t>
            </w:r>
            <w:bookmarkStart w:id="5" w:name="_Hlk50375711"/>
            <w:r w:rsidRPr="008B0808">
              <w:rPr>
                <w:rFonts w:eastAsia="Times New Roman"/>
                <w:szCs w:val="24"/>
                <w:lang w:eastAsia="lv-LV"/>
              </w:rPr>
              <w:t xml:space="preserve">Atbalsta apvienošanas gadījumā ar citu valsts atbalstu par tām pašām attiecināmajām izmaksām papildus informācijai, kas paredzēta šo noteikumu 35. punktā, saimnieciskās darbības veicējs iesniedz sabiedrībā </w:t>
            </w:r>
            <w:proofErr w:type="spellStart"/>
            <w:r w:rsidRPr="008B0808">
              <w:rPr>
                <w:rFonts w:eastAsia="Times New Roman"/>
                <w:szCs w:val="24"/>
                <w:lang w:eastAsia="lv-LV"/>
              </w:rPr>
              <w:t>Altum</w:t>
            </w:r>
            <w:proofErr w:type="spellEnd"/>
            <w:r w:rsidRPr="008B0808">
              <w:rPr>
                <w:rFonts w:eastAsia="Times New Roman"/>
                <w:szCs w:val="24"/>
                <w:lang w:eastAsia="lv-LV"/>
              </w:rPr>
              <w:t xml:space="preserve"> informāciju par plānoto un piešķirto atbalstu, kura attiecināmās izmaksas nav nosakāmas, </w:t>
            </w:r>
            <w:r w:rsidRPr="008B0808">
              <w:rPr>
                <w:rFonts w:eastAsia="Times New Roman"/>
                <w:szCs w:val="24"/>
                <w:lang w:eastAsia="lv-LV"/>
              </w:rPr>
              <w:lastRenderedPageBreak/>
              <w:t>norādot atbalsta piešķiršanas datumu, atbalsta sniedzēju, atbalsta pasākumu un plānoto vai piešķirto atbalsta summu</w:t>
            </w:r>
            <w:bookmarkEnd w:id="5"/>
            <w:r w:rsidRPr="008B0808">
              <w:rPr>
                <w:rFonts w:eastAsia="Times New Roman"/>
                <w:szCs w:val="24"/>
                <w:lang w:eastAsia="lv-LV"/>
              </w:rPr>
              <w:t xml:space="preserve">.” </w:t>
            </w:r>
          </w:p>
          <w:p w14:paraId="54DFBB41" w14:textId="77777777" w:rsidR="00EF1552" w:rsidRPr="008B0808" w:rsidRDefault="00EF1552" w:rsidP="00EF1552">
            <w:pPr>
              <w:pStyle w:val="naisc"/>
              <w:spacing w:before="0" w:after="0"/>
              <w:jc w:val="both"/>
            </w:pPr>
          </w:p>
        </w:tc>
        <w:tc>
          <w:tcPr>
            <w:tcW w:w="3827" w:type="dxa"/>
            <w:gridSpan w:val="2"/>
            <w:tcBorders>
              <w:top w:val="single" w:sz="6" w:space="0" w:color="000000"/>
              <w:left w:val="single" w:sz="6" w:space="0" w:color="000000"/>
              <w:bottom w:val="single" w:sz="6" w:space="0" w:color="000000"/>
              <w:right w:val="single" w:sz="6" w:space="0" w:color="000000"/>
            </w:tcBorders>
          </w:tcPr>
          <w:p w14:paraId="787EEA11" w14:textId="77777777" w:rsidR="008B0808" w:rsidRPr="007E6672" w:rsidRDefault="008B0808" w:rsidP="008B0808">
            <w:pPr>
              <w:pStyle w:val="naisc"/>
              <w:spacing w:before="0" w:after="0"/>
              <w:rPr>
                <w:b/>
              </w:rPr>
            </w:pPr>
            <w:r w:rsidRPr="000F5EBD">
              <w:rPr>
                <w:b/>
              </w:rPr>
              <w:lastRenderedPageBreak/>
              <w:t>Ņemts vērā</w:t>
            </w:r>
          </w:p>
          <w:p w14:paraId="261F7CDD" w14:textId="77777777" w:rsidR="00EF1552" w:rsidRPr="000F5EBD" w:rsidRDefault="00EF1552" w:rsidP="00EF1552">
            <w:pPr>
              <w:pStyle w:val="naisc"/>
              <w:spacing w:before="0" w:after="0"/>
              <w:rPr>
                <w:b/>
              </w:rPr>
            </w:pPr>
          </w:p>
        </w:tc>
        <w:tc>
          <w:tcPr>
            <w:tcW w:w="3235" w:type="dxa"/>
            <w:tcBorders>
              <w:top w:val="single" w:sz="4" w:space="0" w:color="auto"/>
              <w:left w:val="single" w:sz="4" w:space="0" w:color="auto"/>
              <w:bottom w:val="single" w:sz="4" w:space="0" w:color="auto"/>
            </w:tcBorders>
          </w:tcPr>
          <w:p w14:paraId="1FE8D3E8" w14:textId="5A86C34A" w:rsidR="008B0808" w:rsidRPr="00793272" w:rsidRDefault="008B0808" w:rsidP="008B0808">
            <w:pPr>
              <w:jc w:val="both"/>
              <w:rPr>
                <w:szCs w:val="24"/>
              </w:rPr>
            </w:pPr>
            <w:r w:rsidRPr="00793272">
              <w:rPr>
                <w:szCs w:val="24"/>
              </w:rPr>
              <w:t xml:space="preserve">MK noteikumu Nr.469 </w:t>
            </w:r>
            <w:r w:rsidRPr="008B0808">
              <w:rPr>
                <w:szCs w:val="24"/>
              </w:rPr>
              <w:t xml:space="preserve"> 41.punkta beigu teikums</w:t>
            </w:r>
            <w:r w:rsidRPr="00793272">
              <w:rPr>
                <w:szCs w:val="24"/>
              </w:rPr>
              <w:t xml:space="preserve"> izteikts šādā redakcijā:</w:t>
            </w:r>
          </w:p>
          <w:p w14:paraId="2105F25E" w14:textId="7DA79CD1" w:rsidR="00EF1552" w:rsidRPr="005F0CD4" w:rsidRDefault="008B0808" w:rsidP="00EF1552">
            <w:pPr>
              <w:jc w:val="both"/>
              <w:rPr>
                <w:szCs w:val="24"/>
              </w:rPr>
            </w:pPr>
            <w:r>
              <w:rPr>
                <w:rFonts w:eastAsia="Times New Roman"/>
                <w:szCs w:val="24"/>
                <w:lang w:eastAsia="lv-LV"/>
              </w:rPr>
              <w:t>“</w:t>
            </w:r>
            <w:r w:rsidR="00E37F0A" w:rsidRPr="008B0808">
              <w:rPr>
                <w:rFonts w:eastAsia="Times New Roman"/>
                <w:szCs w:val="24"/>
                <w:lang w:eastAsia="lv-LV"/>
              </w:rPr>
              <w:t xml:space="preserve">Atbalsta apvienošanas gadījumā ar citu valsts atbalstu par tām pašām attiecināmajām izmaksām papildus informācijai, kas paredzēta šo noteikumu 35. punktā, saimnieciskās darbības veicējs iesniedz sabiedrībā </w:t>
            </w:r>
            <w:proofErr w:type="spellStart"/>
            <w:r w:rsidR="00E37F0A" w:rsidRPr="008B0808">
              <w:rPr>
                <w:rFonts w:eastAsia="Times New Roman"/>
                <w:szCs w:val="24"/>
                <w:lang w:eastAsia="lv-LV"/>
              </w:rPr>
              <w:t>Altum</w:t>
            </w:r>
            <w:proofErr w:type="spellEnd"/>
            <w:r w:rsidR="00E37F0A" w:rsidRPr="008B0808">
              <w:rPr>
                <w:rFonts w:eastAsia="Times New Roman"/>
                <w:szCs w:val="24"/>
                <w:lang w:eastAsia="lv-LV"/>
              </w:rPr>
              <w:t xml:space="preserve"> informāciju par plānoto un piešķirto atbalstu, kura attiecināmās izmaksas nav nosakāmas, norādot atbalsta piešķiršanas datumu, atbalsta sniedzēju, atbalsta pasākumu un plānoto vai piešķirto atbalsta summu</w:t>
            </w:r>
            <w:r>
              <w:rPr>
                <w:rFonts w:eastAsia="Times New Roman"/>
                <w:szCs w:val="24"/>
                <w:lang w:eastAsia="lv-LV"/>
              </w:rPr>
              <w:t>.”</w:t>
            </w:r>
          </w:p>
        </w:tc>
      </w:tr>
      <w:tr w:rsidR="00414A53" w:rsidRPr="007E6672" w14:paraId="35A7E477" w14:textId="77777777" w:rsidTr="004C29BA">
        <w:tc>
          <w:tcPr>
            <w:tcW w:w="675" w:type="dxa"/>
            <w:tcBorders>
              <w:top w:val="single" w:sz="6" w:space="0" w:color="000000"/>
              <w:left w:val="single" w:sz="6" w:space="0" w:color="000000"/>
              <w:bottom w:val="single" w:sz="6" w:space="0" w:color="000000"/>
              <w:right w:val="single" w:sz="6" w:space="0" w:color="000000"/>
            </w:tcBorders>
          </w:tcPr>
          <w:p w14:paraId="6473EE64" w14:textId="335ADAF4" w:rsidR="00414A53" w:rsidRDefault="00414A53" w:rsidP="00414A53">
            <w:pPr>
              <w:pStyle w:val="naisc"/>
              <w:spacing w:before="0" w:after="0"/>
              <w:jc w:val="both"/>
            </w:pPr>
            <w:r>
              <w:t>2.</w:t>
            </w:r>
          </w:p>
        </w:tc>
        <w:tc>
          <w:tcPr>
            <w:tcW w:w="2719" w:type="dxa"/>
            <w:gridSpan w:val="2"/>
            <w:tcBorders>
              <w:top w:val="single" w:sz="6" w:space="0" w:color="000000"/>
              <w:left w:val="single" w:sz="6" w:space="0" w:color="000000"/>
              <w:bottom w:val="single" w:sz="6" w:space="0" w:color="000000"/>
              <w:right w:val="single" w:sz="6" w:space="0" w:color="000000"/>
            </w:tcBorders>
          </w:tcPr>
          <w:p w14:paraId="4E8D64AB" w14:textId="3D030A7B" w:rsidR="00414A53" w:rsidRPr="00793272" w:rsidRDefault="00414A53" w:rsidP="00414A53">
            <w:pPr>
              <w:pStyle w:val="naisc"/>
              <w:spacing w:before="0" w:after="0"/>
              <w:jc w:val="both"/>
            </w:pPr>
            <w:r w:rsidRPr="000F5EBD">
              <w:t>Anotācijas I. sadaļas “Tiesību akta projekta izstrādes nepieciešamība” 2. punkts “Pašreizējā situācija un problēmas, kuru risināšanai tiesību akta projekts izstrādāts, tiesiskā regulējuma mērķis un būtība”</w:t>
            </w:r>
          </w:p>
        </w:tc>
        <w:tc>
          <w:tcPr>
            <w:tcW w:w="4253" w:type="dxa"/>
            <w:tcBorders>
              <w:top w:val="single" w:sz="6" w:space="0" w:color="000000"/>
              <w:left w:val="single" w:sz="6" w:space="0" w:color="000000"/>
              <w:bottom w:val="single" w:sz="6" w:space="0" w:color="000000"/>
              <w:right w:val="single" w:sz="6" w:space="0" w:color="000000"/>
            </w:tcBorders>
          </w:tcPr>
          <w:p w14:paraId="2D066432" w14:textId="1A954EF4" w:rsidR="00414A53" w:rsidRPr="00F40D52" w:rsidRDefault="00414A53" w:rsidP="00414A53">
            <w:pPr>
              <w:jc w:val="both"/>
              <w:rPr>
                <w:b/>
                <w:bCs/>
              </w:rPr>
            </w:pPr>
            <w:r w:rsidRPr="00F40D52">
              <w:rPr>
                <w:b/>
                <w:bCs/>
              </w:rPr>
              <w:t xml:space="preserve">Finanšu ministrijas </w:t>
            </w:r>
            <w:r>
              <w:rPr>
                <w:b/>
                <w:bCs/>
              </w:rPr>
              <w:t>22</w:t>
            </w:r>
            <w:r w:rsidRPr="00F40D52">
              <w:rPr>
                <w:b/>
                <w:bCs/>
              </w:rPr>
              <w:t>.09.2020. atzinums Nr.10.1-6/7-1/865</w:t>
            </w:r>
          </w:p>
          <w:p w14:paraId="121C284F" w14:textId="0A0B7636" w:rsidR="00414A53" w:rsidRDefault="00414A53" w:rsidP="00414A53">
            <w:pPr>
              <w:spacing w:after="240"/>
              <w:jc w:val="both"/>
              <w:rPr>
                <w:rFonts w:eastAsiaTheme="minorHAnsi"/>
                <w:color w:val="1F497D"/>
                <w:sz w:val="22"/>
              </w:rPr>
            </w:pPr>
            <w:r w:rsidRPr="00414A53">
              <w:rPr>
                <w:rFonts w:eastAsia="Times New Roman"/>
                <w:szCs w:val="24"/>
                <w:lang w:eastAsia="lv-LV"/>
              </w:rPr>
              <w:t>Lūdzam anotācijas 2.lpp. otrajā rindkopā svītrot vārdus “vai arī tiem ir piešķirts nodokļu parāda samaksas termiņa pagarinājums”, jo šādi nodokļu maksātāji, kuriem ir piešķirts nodokļu parāda samaksas termiņa pagarinājums, pamatojoties uz likuma “Par nodokļiem un nodevām” 24.pantu, netiek iekļauti Valsts ieņēmumu dienesta administrēto nodokļu (nodevu) parādnieku datubāzē</w:t>
            </w:r>
            <w:r>
              <w:rPr>
                <w:color w:val="1F497D"/>
              </w:rPr>
              <w:t>.</w:t>
            </w:r>
          </w:p>
          <w:p w14:paraId="4A642E57" w14:textId="693E8F27" w:rsidR="00414A53" w:rsidRPr="00F40D52" w:rsidRDefault="00414A53" w:rsidP="00414A53">
            <w:pPr>
              <w:pStyle w:val="naisc"/>
              <w:spacing w:before="0" w:after="0"/>
              <w:jc w:val="both"/>
              <w:rPr>
                <w:b/>
                <w:bCs/>
              </w:rPr>
            </w:pPr>
          </w:p>
          <w:p w14:paraId="215BD501" w14:textId="77777777" w:rsidR="00414A53" w:rsidRPr="00F40D52" w:rsidRDefault="00414A53" w:rsidP="00414A53">
            <w:pPr>
              <w:pStyle w:val="naisc"/>
              <w:spacing w:before="0" w:after="0"/>
              <w:jc w:val="both"/>
              <w:rPr>
                <w:b/>
                <w:bCs/>
              </w:rPr>
            </w:pPr>
          </w:p>
        </w:tc>
        <w:tc>
          <w:tcPr>
            <w:tcW w:w="3827" w:type="dxa"/>
            <w:gridSpan w:val="2"/>
            <w:tcBorders>
              <w:top w:val="single" w:sz="6" w:space="0" w:color="000000"/>
              <w:left w:val="single" w:sz="6" w:space="0" w:color="000000"/>
              <w:bottom w:val="single" w:sz="6" w:space="0" w:color="000000"/>
              <w:right w:val="single" w:sz="6" w:space="0" w:color="000000"/>
            </w:tcBorders>
          </w:tcPr>
          <w:p w14:paraId="79D5D887" w14:textId="77777777" w:rsidR="00414A53" w:rsidRPr="007E6672" w:rsidRDefault="00414A53" w:rsidP="00414A53">
            <w:pPr>
              <w:pStyle w:val="naisc"/>
              <w:spacing w:before="0" w:after="0"/>
              <w:rPr>
                <w:b/>
              </w:rPr>
            </w:pPr>
            <w:r w:rsidRPr="000F5EBD">
              <w:rPr>
                <w:b/>
              </w:rPr>
              <w:t>Ņemts vērā</w:t>
            </w:r>
          </w:p>
          <w:p w14:paraId="5B075BE2" w14:textId="77777777" w:rsidR="00414A53" w:rsidRPr="000F5EBD" w:rsidRDefault="00414A53" w:rsidP="00414A53">
            <w:pPr>
              <w:pStyle w:val="naisc"/>
              <w:spacing w:before="0" w:after="0"/>
              <w:rPr>
                <w:b/>
              </w:rPr>
            </w:pPr>
          </w:p>
        </w:tc>
        <w:tc>
          <w:tcPr>
            <w:tcW w:w="3235" w:type="dxa"/>
            <w:tcBorders>
              <w:top w:val="single" w:sz="4" w:space="0" w:color="auto"/>
              <w:left w:val="single" w:sz="4" w:space="0" w:color="auto"/>
              <w:bottom w:val="single" w:sz="4" w:space="0" w:color="auto"/>
            </w:tcBorders>
          </w:tcPr>
          <w:p w14:paraId="445CC2BF" w14:textId="1BE09B7F" w:rsidR="00414A53" w:rsidRPr="00793272" w:rsidRDefault="00414A53" w:rsidP="00414A53">
            <w:pPr>
              <w:jc w:val="both"/>
              <w:rPr>
                <w:szCs w:val="24"/>
              </w:rPr>
            </w:pPr>
            <w:r w:rsidRPr="00793272">
              <w:rPr>
                <w:szCs w:val="24"/>
              </w:rPr>
              <w:t xml:space="preserve">Precizēta informācija </w:t>
            </w:r>
            <w:r w:rsidRPr="00793272">
              <w:t>Anotācijas I. sadaļas “Tiesību akta projekta izstrādes nepieciešamība” 2. punkts “Pašreizējā situācija un problēmas, kuru risināšanai tiesību a</w:t>
            </w:r>
            <w:bookmarkStart w:id="6" w:name="_GoBack"/>
            <w:bookmarkEnd w:id="6"/>
            <w:r w:rsidRPr="00793272">
              <w:t>kta projekts izstrādāts, tiesiskā regulējuma mērķis un būtība”</w:t>
            </w:r>
          </w:p>
        </w:tc>
      </w:tr>
      <w:tr w:rsidR="00414A53" w:rsidRPr="007E6672" w14:paraId="3BB711FC" w14:textId="77777777" w:rsidTr="00104F07">
        <w:tblPrEx>
          <w:tblBorders>
            <w:top w:val="none" w:sz="0" w:space="0" w:color="auto"/>
            <w:left w:val="none" w:sz="0" w:space="0" w:color="auto"/>
            <w:bottom w:val="none" w:sz="0" w:space="0" w:color="auto"/>
            <w:right w:val="none" w:sz="0" w:space="0" w:color="auto"/>
          </w:tblBorders>
        </w:tblPrEx>
        <w:trPr>
          <w:gridAfter w:val="2"/>
          <w:wAfter w:w="3862" w:type="dxa"/>
        </w:trPr>
        <w:tc>
          <w:tcPr>
            <w:tcW w:w="3108" w:type="dxa"/>
            <w:gridSpan w:val="2"/>
          </w:tcPr>
          <w:p w14:paraId="7D34CF01" w14:textId="77777777" w:rsidR="00414A53" w:rsidRPr="00C615A2" w:rsidRDefault="00414A53" w:rsidP="00414A53">
            <w:pPr>
              <w:pStyle w:val="naiskr"/>
              <w:spacing w:before="0" w:after="0"/>
              <w:jc w:val="center"/>
            </w:pPr>
          </w:p>
          <w:p w14:paraId="6DF643AF" w14:textId="77777777" w:rsidR="00414A53" w:rsidRPr="00C615A2" w:rsidRDefault="00414A53" w:rsidP="00414A53">
            <w:pPr>
              <w:pStyle w:val="naiskr"/>
              <w:spacing w:before="0" w:after="0"/>
              <w:jc w:val="center"/>
            </w:pPr>
          </w:p>
          <w:p w14:paraId="1B8F8730" w14:textId="77777777" w:rsidR="00414A53" w:rsidRPr="007E6672" w:rsidRDefault="00414A53" w:rsidP="00414A53">
            <w:pPr>
              <w:pStyle w:val="naiskr"/>
              <w:spacing w:before="0" w:after="0"/>
            </w:pPr>
            <w:r w:rsidRPr="00C615A2">
              <w:t>Atbildīgā amatpersona</w:t>
            </w:r>
          </w:p>
        </w:tc>
        <w:tc>
          <w:tcPr>
            <w:tcW w:w="7739" w:type="dxa"/>
            <w:gridSpan w:val="3"/>
          </w:tcPr>
          <w:p w14:paraId="6C420497" w14:textId="77777777" w:rsidR="00414A53" w:rsidRPr="007E6672" w:rsidRDefault="00414A53" w:rsidP="00414A53">
            <w:pPr>
              <w:pStyle w:val="naisf"/>
              <w:spacing w:before="0" w:after="0"/>
              <w:ind w:firstLine="0"/>
              <w:jc w:val="center"/>
            </w:pPr>
          </w:p>
        </w:tc>
      </w:tr>
      <w:tr w:rsidR="00414A53" w:rsidRPr="007E6672" w14:paraId="12816AF7" w14:textId="77777777" w:rsidTr="00104F07">
        <w:tblPrEx>
          <w:tblBorders>
            <w:top w:val="none" w:sz="0" w:space="0" w:color="auto"/>
            <w:left w:val="none" w:sz="0" w:space="0" w:color="auto"/>
            <w:bottom w:val="none" w:sz="0" w:space="0" w:color="auto"/>
            <w:right w:val="none" w:sz="0" w:space="0" w:color="auto"/>
          </w:tblBorders>
        </w:tblPrEx>
        <w:trPr>
          <w:gridAfter w:val="2"/>
          <w:wAfter w:w="3862" w:type="dxa"/>
        </w:trPr>
        <w:tc>
          <w:tcPr>
            <w:tcW w:w="3108" w:type="dxa"/>
            <w:gridSpan w:val="2"/>
          </w:tcPr>
          <w:p w14:paraId="7939D792" w14:textId="77777777" w:rsidR="00414A53" w:rsidRPr="007E6672" w:rsidRDefault="00414A53" w:rsidP="00414A53">
            <w:pPr>
              <w:pStyle w:val="naiskr"/>
              <w:spacing w:before="0" w:after="0"/>
              <w:ind w:firstLine="720"/>
              <w:jc w:val="center"/>
            </w:pPr>
          </w:p>
        </w:tc>
        <w:tc>
          <w:tcPr>
            <w:tcW w:w="7739" w:type="dxa"/>
            <w:gridSpan w:val="3"/>
            <w:tcBorders>
              <w:top w:val="single" w:sz="6" w:space="0" w:color="000000"/>
            </w:tcBorders>
          </w:tcPr>
          <w:p w14:paraId="3B0FF2E0" w14:textId="77777777" w:rsidR="00414A53" w:rsidRPr="007E6672" w:rsidRDefault="00414A53" w:rsidP="00414A53">
            <w:pPr>
              <w:pStyle w:val="naisc"/>
              <w:spacing w:before="0" w:after="0"/>
              <w:ind w:firstLine="720"/>
            </w:pPr>
            <w:r w:rsidRPr="007E6672">
              <w:t>(paraksts)*</w:t>
            </w:r>
          </w:p>
          <w:p w14:paraId="6DE55882" w14:textId="77777777" w:rsidR="00414A53" w:rsidRPr="007E6672" w:rsidRDefault="00414A53" w:rsidP="00414A53">
            <w:pPr>
              <w:pStyle w:val="naisc"/>
              <w:spacing w:before="0" w:after="0"/>
              <w:ind w:firstLine="720"/>
            </w:pPr>
          </w:p>
        </w:tc>
      </w:tr>
    </w:tbl>
    <w:p w14:paraId="0748D8AB" w14:textId="77777777" w:rsidR="00211A39" w:rsidRPr="00211A39" w:rsidRDefault="00211A39" w:rsidP="00211A39">
      <w:pPr>
        <w:rPr>
          <w:rFonts w:eastAsia="Times New Roman"/>
          <w:szCs w:val="24"/>
          <w:lang w:eastAsia="lv-LV"/>
        </w:rPr>
      </w:pPr>
    </w:p>
    <w:p w14:paraId="10ACD7F3" w14:textId="77777777" w:rsidR="00211A39" w:rsidRPr="00211A39" w:rsidRDefault="00211A39" w:rsidP="00211A39">
      <w:pPr>
        <w:ind w:left="2880"/>
        <w:rPr>
          <w:rFonts w:eastAsia="Times New Roman"/>
          <w:szCs w:val="24"/>
          <w:lang w:eastAsia="lv-LV"/>
        </w:rPr>
      </w:pPr>
      <w:r w:rsidRPr="00211A39">
        <w:rPr>
          <w:rFonts w:eastAsia="Times New Roman"/>
          <w:szCs w:val="24"/>
          <w:lang w:eastAsia="lv-LV"/>
        </w:rPr>
        <w:t>Kristaps Soms</w:t>
      </w:r>
    </w:p>
    <w:tbl>
      <w:tblPr>
        <w:tblW w:w="0" w:type="auto"/>
        <w:tblLook w:val="00A0" w:firstRow="1" w:lastRow="0" w:firstColumn="1" w:lastColumn="0" w:noHBand="0" w:noVBand="0"/>
      </w:tblPr>
      <w:tblGrid>
        <w:gridCol w:w="8268"/>
      </w:tblGrid>
      <w:tr w:rsidR="00211A39" w:rsidRPr="00211A39" w14:paraId="62AC3B1D" w14:textId="77777777" w:rsidTr="000F556F">
        <w:tc>
          <w:tcPr>
            <w:tcW w:w="8268" w:type="dxa"/>
            <w:tcBorders>
              <w:top w:val="single" w:sz="4" w:space="0" w:color="000000"/>
            </w:tcBorders>
          </w:tcPr>
          <w:p w14:paraId="51E53EEF"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(par projektu atbildīgās amatpersonas vārds un uzvārds)</w:t>
            </w:r>
          </w:p>
        </w:tc>
      </w:tr>
      <w:tr w:rsidR="00211A39" w:rsidRPr="00211A39" w14:paraId="20E5E827" w14:textId="77777777" w:rsidTr="000F556F">
        <w:tc>
          <w:tcPr>
            <w:tcW w:w="8268" w:type="dxa"/>
            <w:tcBorders>
              <w:bottom w:val="single" w:sz="4" w:space="0" w:color="000000"/>
            </w:tcBorders>
          </w:tcPr>
          <w:p w14:paraId="0464B96E" w14:textId="77777777" w:rsidR="00211A39" w:rsidRPr="00211A39" w:rsidRDefault="00211A39" w:rsidP="00211A39">
            <w:pPr>
              <w:jc w:val="center"/>
              <w:rPr>
                <w:rFonts w:eastAsia="Times New Roman"/>
                <w:szCs w:val="24"/>
                <w:lang w:eastAsia="lv-LV"/>
              </w:rPr>
            </w:pPr>
          </w:p>
          <w:p w14:paraId="272A6809"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 xml:space="preserve">Ekonomikas ministrijas Uzņēmējdarbības konkurētspējas departamenta direktors </w:t>
            </w:r>
          </w:p>
        </w:tc>
      </w:tr>
      <w:tr w:rsidR="00211A39" w:rsidRPr="00211A39" w14:paraId="5F17BB85" w14:textId="77777777" w:rsidTr="000F556F">
        <w:tc>
          <w:tcPr>
            <w:tcW w:w="8268" w:type="dxa"/>
            <w:tcBorders>
              <w:top w:val="single" w:sz="4" w:space="0" w:color="000000"/>
            </w:tcBorders>
          </w:tcPr>
          <w:p w14:paraId="2F07F391"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(amats)</w:t>
            </w:r>
          </w:p>
        </w:tc>
      </w:tr>
      <w:tr w:rsidR="00211A39" w:rsidRPr="00211A39" w14:paraId="08A9BC34" w14:textId="77777777" w:rsidTr="000F556F">
        <w:tc>
          <w:tcPr>
            <w:tcW w:w="8268" w:type="dxa"/>
            <w:tcBorders>
              <w:bottom w:val="single" w:sz="4" w:space="0" w:color="000000"/>
            </w:tcBorders>
          </w:tcPr>
          <w:p w14:paraId="2C81BFD9"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Tālr. 67013299</w:t>
            </w:r>
          </w:p>
        </w:tc>
      </w:tr>
      <w:tr w:rsidR="00211A39" w:rsidRPr="00211A39" w14:paraId="605966E7" w14:textId="77777777" w:rsidTr="000F556F">
        <w:tc>
          <w:tcPr>
            <w:tcW w:w="8268" w:type="dxa"/>
            <w:tcBorders>
              <w:top w:val="single" w:sz="4" w:space="0" w:color="000000"/>
            </w:tcBorders>
          </w:tcPr>
          <w:p w14:paraId="72A5DE98" w14:textId="77777777" w:rsidR="00211A39" w:rsidRPr="00211A39" w:rsidRDefault="00211A39" w:rsidP="00211A39">
            <w:pPr>
              <w:jc w:val="center"/>
              <w:rPr>
                <w:rFonts w:eastAsia="Times New Roman"/>
                <w:szCs w:val="24"/>
                <w:lang w:eastAsia="lv-LV"/>
              </w:rPr>
            </w:pPr>
            <w:r w:rsidRPr="00211A39">
              <w:rPr>
                <w:rFonts w:eastAsia="Times New Roman"/>
                <w:szCs w:val="24"/>
                <w:lang w:eastAsia="lv-LV"/>
              </w:rPr>
              <w:t>(tālruņa un faksa numurs)</w:t>
            </w:r>
          </w:p>
        </w:tc>
      </w:tr>
      <w:tr w:rsidR="00211A39" w:rsidRPr="00211A39" w14:paraId="477A362F" w14:textId="77777777" w:rsidTr="000F556F">
        <w:tc>
          <w:tcPr>
            <w:tcW w:w="8268" w:type="dxa"/>
            <w:tcBorders>
              <w:bottom w:val="single" w:sz="4" w:space="0" w:color="000000"/>
            </w:tcBorders>
          </w:tcPr>
          <w:p w14:paraId="519B5CAD" w14:textId="77777777" w:rsidR="00211A39" w:rsidRDefault="00211A39" w:rsidP="00211A39">
            <w:pPr>
              <w:jc w:val="center"/>
              <w:rPr>
                <w:rFonts w:eastAsia="Times New Roman"/>
                <w:szCs w:val="24"/>
                <w:lang w:eastAsia="lv-LV"/>
              </w:rPr>
            </w:pPr>
          </w:p>
          <w:p w14:paraId="60CD8528" w14:textId="59B6B71B" w:rsidR="00211A39" w:rsidRPr="00211A39" w:rsidRDefault="00211A39" w:rsidP="00211A39">
            <w:pPr>
              <w:jc w:val="center"/>
              <w:rPr>
                <w:rFonts w:eastAsia="Times New Roman"/>
                <w:szCs w:val="24"/>
                <w:lang w:eastAsia="lv-LV"/>
              </w:rPr>
            </w:pPr>
            <w:r w:rsidRPr="00211A39">
              <w:rPr>
                <w:rFonts w:eastAsia="Times New Roman"/>
                <w:szCs w:val="24"/>
                <w:lang w:eastAsia="lv-LV"/>
              </w:rPr>
              <w:lastRenderedPageBreak/>
              <w:t>Kristaps.Soms@em.gov.lv</w:t>
            </w:r>
          </w:p>
        </w:tc>
      </w:tr>
      <w:tr w:rsidR="00211A39" w:rsidRPr="00211A39" w14:paraId="0733E6C5" w14:textId="77777777" w:rsidTr="000F556F">
        <w:tc>
          <w:tcPr>
            <w:tcW w:w="8268" w:type="dxa"/>
            <w:tcBorders>
              <w:top w:val="single" w:sz="4" w:space="0" w:color="000000"/>
            </w:tcBorders>
          </w:tcPr>
          <w:p w14:paraId="273BFA11" w14:textId="77777777" w:rsidR="00211A39" w:rsidRDefault="00211A39" w:rsidP="00211A39">
            <w:pPr>
              <w:jc w:val="center"/>
              <w:rPr>
                <w:rFonts w:eastAsia="Times New Roman"/>
                <w:szCs w:val="24"/>
                <w:lang w:eastAsia="lv-LV"/>
              </w:rPr>
            </w:pPr>
            <w:r w:rsidRPr="00211A39">
              <w:rPr>
                <w:rFonts w:eastAsia="Times New Roman"/>
                <w:szCs w:val="24"/>
                <w:lang w:eastAsia="lv-LV"/>
              </w:rPr>
              <w:lastRenderedPageBreak/>
              <w:t>(e-pasta adrese)</w:t>
            </w:r>
          </w:p>
          <w:p w14:paraId="5025D4A8" w14:textId="77777777" w:rsidR="00AD45CC" w:rsidRDefault="00AD45CC" w:rsidP="00211A39">
            <w:pPr>
              <w:jc w:val="center"/>
              <w:rPr>
                <w:rFonts w:eastAsia="Times New Roman"/>
                <w:szCs w:val="24"/>
                <w:lang w:eastAsia="lv-LV"/>
              </w:rPr>
            </w:pPr>
          </w:p>
          <w:p w14:paraId="565C0FE4" w14:textId="77777777" w:rsidR="00AD45CC" w:rsidRPr="003B58EB" w:rsidRDefault="00AD45CC" w:rsidP="00AD45CC">
            <w:pPr>
              <w:widowControl w:val="0"/>
              <w:contextualSpacing/>
              <w:jc w:val="both"/>
              <w:rPr>
                <w:rFonts w:eastAsia="Times New Roman"/>
                <w:color w:val="000000" w:themeColor="text1"/>
                <w:sz w:val="20"/>
                <w:szCs w:val="20"/>
              </w:rPr>
            </w:pPr>
            <w:r>
              <w:rPr>
                <w:rFonts w:eastAsia="Times New Roman"/>
                <w:color w:val="000000" w:themeColor="text1"/>
                <w:sz w:val="20"/>
                <w:szCs w:val="20"/>
              </w:rPr>
              <w:t>Kristīne Priedīte</w:t>
            </w:r>
            <w:r w:rsidRPr="003B58EB">
              <w:rPr>
                <w:rFonts w:eastAsia="Times New Roman"/>
                <w:color w:val="000000" w:themeColor="text1"/>
                <w:sz w:val="20"/>
                <w:szCs w:val="20"/>
              </w:rPr>
              <w:t xml:space="preserve"> 67013</w:t>
            </w:r>
            <w:r>
              <w:rPr>
                <w:rFonts w:eastAsia="Times New Roman"/>
                <w:color w:val="000000" w:themeColor="text1"/>
                <w:sz w:val="20"/>
                <w:szCs w:val="20"/>
              </w:rPr>
              <w:t>241</w:t>
            </w:r>
          </w:p>
          <w:p w14:paraId="367D7D12" w14:textId="619D1A26" w:rsidR="00AD45CC" w:rsidRPr="00211A39" w:rsidRDefault="00414A53" w:rsidP="00AD45CC">
            <w:pPr>
              <w:rPr>
                <w:rFonts w:eastAsia="Times New Roman"/>
                <w:szCs w:val="24"/>
                <w:lang w:eastAsia="lv-LV"/>
              </w:rPr>
            </w:pPr>
            <w:hyperlink r:id="rId13" w:history="1">
              <w:r w:rsidR="00AD45CC" w:rsidRPr="00981E4E">
                <w:rPr>
                  <w:rStyle w:val="Hyperlink"/>
                  <w:rFonts w:eastAsia="Times New Roman"/>
                  <w:sz w:val="20"/>
                  <w:szCs w:val="20"/>
                </w:rPr>
                <w:t>Kristine.Priedite@em.gov.lv</w:t>
              </w:r>
            </w:hyperlink>
          </w:p>
        </w:tc>
      </w:tr>
    </w:tbl>
    <w:p w14:paraId="60DD9C64" w14:textId="77777777" w:rsidR="00DB7FF4" w:rsidRPr="001C6772" w:rsidRDefault="00DB7FF4" w:rsidP="00DB7FF4">
      <w:pPr>
        <w:jc w:val="both"/>
        <w:rPr>
          <w:szCs w:val="24"/>
        </w:rPr>
      </w:pPr>
    </w:p>
    <w:p w14:paraId="30C59833" w14:textId="77777777" w:rsidR="00E83698" w:rsidRPr="001C6772" w:rsidRDefault="00DB7FF4" w:rsidP="00DB7FF4">
      <w:pPr>
        <w:jc w:val="both"/>
        <w:rPr>
          <w:szCs w:val="24"/>
        </w:rPr>
      </w:pPr>
      <w:r w:rsidRPr="001C6772">
        <w:rPr>
          <w:szCs w:val="24"/>
        </w:rPr>
        <w:t xml:space="preserve"> </w:t>
      </w:r>
    </w:p>
    <w:sectPr w:rsidR="00E83698" w:rsidRPr="001C6772" w:rsidSect="00104F07">
      <w:headerReference w:type="even" r:id="rId14"/>
      <w:headerReference w:type="default" r:id="rId15"/>
      <w:footerReference w:type="default" r:id="rId16"/>
      <w:footerReference w:type="first" r:id="rId17"/>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AA720" w14:textId="77777777" w:rsidR="009E5B5B" w:rsidRDefault="009E5B5B" w:rsidP="004D2F03">
      <w:r>
        <w:separator/>
      </w:r>
    </w:p>
  </w:endnote>
  <w:endnote w:type="continuationSeparator" w:id="0">
    <w:p w14:paraId="3E0D4F67" w14:textId="77777777" w:rsidR="009E5B5B" w:rsidRDefault="009E5B5B" w:rsidP="004D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0105" w14:textId="64B9CAFD" w:rsidR="009E5B5B" w:rsidRPr="00474161" w:rsidRDefault="009E5B5B" w:rsidP="00E92EFB">
    <w:pPr>
      <w:pStyle w:val="Footer"/>
    </w:pPr>
    <w:r w:rsidRPr="004A5110">
      <w:rPr>
        <w:sz w:val="20"/>
        <w:szCs w:val="20"/>
      </w:rPr>
      <w:t>EMIzz_</w:t>
    </w:r>
    <w:r w:rsidR="00F40D52">
      <w:rPr>
        <w:sz w:val="20"/>
        <w:szCs w:val="20"/>
      </w:rPr>
      <w:t>22</w:t>
    </w:r>
    <w:r w:rsidR="00EF1552">
      <w:rPr>
        <w:sz w:val="20"/>
        <w:szCs w:val="20"/>
      </w:rPr>
      <w:t>09</w:t>
    </w:r>
    <w:r>
      <w:rPr>
        <w:sz w:val="20"/>
        <w:szCs w:val="20"/>
      </w:rPr>
      <w:t>2020_groz469</w:t>
    </w:r>
  </w:p>
  <w:p w14:paraId="10F6D5EA" w14:textId="77777777" w:rsidR="009E5B5B" w:rsidRPr="00E92EFB" w:rsidRDefault="009E5B5B" w:rsidP="00E92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7C90" w14:textId="01F58719" w:rsidR="009E5B5B" w:rsidRPr="00474161" w:rsidRDefault="009E5B5B" w:rsidP="00104F07">
    <w:pPr>
      <w:pStyle w:val="Footer"/>
    </w:pPr>
    <w:bookmarkStart w:id="7" w:name="_Hlk515882858"/>
    <w:bookmarkStart w:id="8" w:name="_Hlk515882859"/>
    <w:r w:rsidRPr="004A5110">
      <w:rPr>
        <w:sz w:val="20"/>
        <w:szCs w:val="20"/>
      </w:rPr>
      <w:t>EMIzz_</w:t>
    </w:r>
    <w:r w:rsidR="00F40D52">
      <w:rPr>
        <w:sz w:val="20"/>
        <w:szCs w:val="20"/>
      </w:rPr>
      <w:t>22</w:t>
    </w:r>
    <w:r w:rsidR="00EF1552">
      <w:rPr>
        <w:sz w:val="20"/>
        <w:szCs w:val="20"/>
      </w:rPr>
      <w:t>09</w:t>
    </w:r>
    <w:r>
      <w:rPr>
        <w:sz w:val="20"/>
        <w:szCs w:val="20"/>
      </w:rPr>
      <w:t>2020_groz</w:t>
    </w:r>
    <w:bookmarkEnd w:id="7"/>
    <w:bookmarkEnd w:id="8"/>
    <w:r>
      <w:rPr>
        <w:sz w:val="20"/>
        <w:szCs w:val="20"/>
      </w:rPr>
      <w:t>469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E839" w14:textId="77777777" w:rsidR="009E5B5B" w:rsidRDefault="009E5B5B" w:rsidP="004D2F03">
      <w:r>
        <w:separator/>
      </w:r>
    </w:p>
  </w:footnote>
  <w:footnote w:type="continuationSeparator" w:id="0">
    <w:p w14:paraId="77EDA7C5" w14:textId="77777777" w:rsidR="009E5B5B" w:rsidRDefault="009E5B5B" w:rsidP="004D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3F85" w14:textId="77777777" w:rsidR="009E5B5B" w:rsidRDefault="009E5B5B" w:rsidP="00104F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79726" w14:textId="77777777" w:rsidR="009E5B5B" w:rsidRDefault="009E5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995944"/>
      <w:docPartObj>
        <w:docPartGallery w:val="Page Numbers (Top of Page)"/>
        <w:docPartUnique/>
      </w:docPartObj>
    </w:sdtPr>
    <w:sdtEndPr>
      <w:rPr>
        <w:noProof/>
      </w:rPr>
    </w:sdtEndPr>
    <w:sdtContent>
      <w:p w14:paraId="31CE0679" w14:textId="77777777" w:rsidR="009E5B5B" w:rsidRDefault="009E5B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DB2D3E" w14:textId="77777777" w:rsidR="009E5B5B" w:rsidRDefault="009E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7C06A6"/>
    <w:multiLevelType w:val="hybridMultilevel"/>
    <w:tmpl w:val="297A7576"/>
    <w:lvl w:ilvl="0" w:tplc="FD8CAC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4" w15:restartNumberingAfterBreak="0">
    <w:nsid w:val="0F6F391A"/>
    <w:multiLevelType w:val="hybridMultilevel"/>
    <w:tmpl w:val="4F1AFD84"/>
    <w:lvl w:ilvl="0" w:tplc="ADB45D3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5C107A"/>
    <w:multiLevelType w:val="hybridMultilevel"/>
    <w:tmpl w:val="9B64D380"/>
    <w:lvl w:ilvl="0" w:tplc="04260001">
      <w:start w:val="1"/>
      <w:numFmt w:val="bullet"/>
      <w:lvlText w:val=""/>
      <w:lvlJc w:val="left"/>
      <w:pPr>
        <w:ind w:left="-2572" w:hanging="360"/>
      </w:pPr>
      <w:rPr>
        <w:rFonts w:ascii="Symbol" w:hAnsi="Symbol"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1132" w:hanging="360"/>
      </w:pPr>
      <w:rPr>
        <w:rFonts w:ascii="Wingdings" w:hAnsi="Wingdings" w:hint="default"/>
      </w:rPr>
    </w:lvl>
    <w:lvl w:ilvl="3" w:tplc="04260001" w:tentative="1">
      <w:start w:val="1"/>
      <w:numFmt w:val="bullet"/>
      <w:lvlText w:val=""/>
      <w:lvlJc w:val="left"/>
      <w:pPr>
        <w:ind w:left="-412" w:hanging="360"/>
      </w:pPr>
      <w:rPr>
        <w:rFonts w:ascii="Symbol" w:hAnsi="Symbol" w:hint="default"/>
      </w:rPr>
    </w:lvl>
    <w:lvl w:ilvl="4" w:tplc="04260003" w:tentative="1">
      <w:start w:val="1"/>
      <w:numFmt w:val="bullet"/>
      <w:lvlText w:val="o"/>
      <w:lvlJc w:val="left"/>
      <w:pPr>
        <w:ind w:left="308" w:hanging="360"/>
      </w:pPr>
      <w:rPr>
        <w:rFonts w:ascii="Courier New" w:hAnsi="Courier New" w:cs="Courier New" w:hint="default"/>
      </w:rPr>
    </w:lvl>
    <w:lvl w:ilvl="5" w:tplc="04260005" w:tentative="1">
      <w:start w:val="1"/>
      <w:numFmt w:val="bullet"/>
      <w:lvlText w:val=""/>
      <w:lvlJc w:val="left"/>
      <w:pPr>
        <w:ind w:left="1028" w:hanging="360"/>
      </w:pPr>
      <w:rPr>
        <w:rFonts w:ascii="Wingdings" w:hAnsi="Wingdings" w:hint="default"/>
      </w:rPr>
    </w:lvl>
    <w:lvl w:ilvl="6" w:tplc="04260001" w:tentative="1">
      <w:start w:val="1"/>
      <w:numFmt w:val="bullet"/>
      <w:lvlText w:val=""/>
      <w:lvlJc w:val="left"/>
      <w:pPr>
        <w:ind w:left="1748" w:hanging="360"/>
      </w:pPr>
      <w:rPr>
        <w:rFonts w:ascii="Symbol" w:hAnsi="Symbol" w:hint="default"/>
      </w:rPr>
    </w:lvl>
    <w:lvl w:ilvl="7" w:tplc="04260003" w:tentative="1">
      <w:start w:val="1"/>
      <w:numFmt w:val="bullet"/>
      <w:lvlText w:val="o"/>
      <w:lvlJc w:val="left"/>
      <w:pPr>
        <w:ind w:left="2468" w:hanging="360"/>
      </w:pPr>
      <w:rPr>
        <w:rFonts w:ascii="Courier New" w:hAnsi="Courier New" w:cs="Courier New" w:hint="default"/>
      </w:rPr>
    </w:lvl>
    <w:lvl w:ilvl="8" w:tplc="04260005" w:tentative="1">
      <w:start w:val="1"/>
      <w:numFmt w:val="bullet"/>
      <w:lvlText w:val=""/>
      <w:lvlJc w:val="left"/>
      <w:pPr>
        <w:ind w:left="3188" w:hanging="360"/>
      </w:pPr>
      <w:rPr>
        <w:rFonts w:ascii="Wingdings" w:hAnsi="Wingdings" w:hint="default"/>
      </w:rPr>
    </w:lvl>
  </w:abstractNum>
  <w:abstractNum w:abstractNumId="6" w15:restartNumberingAfterBreak="1">
    <w:nsid w:val="2B853D5A"/>
    <w:multiLevelType w:val="hybridMultilevel"/>
    <w:tmpl w:val="DF08B12A"/>
    <w:lvl w:ilvl="0" w:tplc="F654B70C">
      <w:start w:val="1"/>
      <w:numFmt w:val="upperRoman"/>
      <w:lvlText w:val="%1."/>
      <w:lvlJc w:val="left"/>
      <w:pPr>
        <w:ind w:left="1080" w:hanging="720"/>
      </w:pPr>
      <w:rPr>
        <w:rFonts w:hint="default"/>
      </w:rPr>
    </w:lvl>
    <w:lvl w:ilvl="1" w:tplc="DE90E65E" w:tentative="1">
      <w:start w:val="1"/>
      <w:numFmt w:val="lowerLetter"/>
      <w:lvlText w:val="%2."/>
      <w:lvlJc w:val="left"/>
      <w:pPr>
        <w:ind w:left="1440" w:hanging="360"/>
      </w:pPr>
    </w:lvl>
    <w:lvl w:ilvl="2" w:tplc="5234EE7C" w:tentative="1">
      <w:start w:val="1"/>
      <w:numFmt w:val="lowerRoman"/>
      <w:lvlText w:val="%3."/>
      <w:lvlJc w:val="right"/>
      <w:pPr>
        <w:ind w:left="2160" w:hanging="180"/>
      </w:pPr>
    </w:lvl>
    <w:lvl w:ilvl="3" w:tplc="AB36BBBE" w:tentative="1">
      <w:start w:val="1"/>
      <w:numFmt w:val="decimal"/>
      <w:lvlText w:val="%4."/>
      <w:lvlJc w:val="left"/>
      <w:pPr>
        <w:ind w:left="2880" w:hanging="360"/>
      </w:pPr>
    </w:lvl>
    <w:lvl w:ilvl="4" w:tplc="0590B5C0" w:tentative="1">
      <w:start w:val="1"/>
      <w:numFmt w:val="lowerLetter"/>
      <w:lvlText w:val="%5."/>
      <w:lvlJc w:val="left"/>
      <w:pPr>
        <w:ind w:left="3600" w:hanging="360"/>
      </w:pPr>
    </w:lvl>
    <w:lvl w:ilvl="5" w:tplc="07106922" w:tentative="1">
      <w:start w:val="1"/>
      <w:numFmt w:val="lowerRoman"/>
      <w:lvlText w:val="%6."/>
      <w:lvlJc w:val="right"/>
      <w:pPr>
        <w:ind w:left="4320" w:hanging="180"/>
      </w:pPr>
    </w:lvl>
    <w:lvl w:ilvl="6" w:tplc="B55051C0" w:tentative="1">
      <w:start w:val="1"/>
      <w:numFmt w:val="decimal"/>
      <w:lvlText w:val="%7."/>
      <w:lvlJc w:val="left"/>
      <w:pPr>
        <w:ind w:left="5040" w:hanging="360"/>
      </w:pPr>
    </w:lvl>
    <w:lvl w:ilvl="7" w:tplc="BE8A52BE" w:tentative="1">
      <w:start w:val="1"/>
      <w:numFmt w:val="lowerLetter"/>
      <w:lvlText w:val="%8."/>
      <w:lvlJc w:val="left"/>
      <w:pPr>
        <w:ind w:left="5760" w:hanging="360"/>
      </w:pPr>
    </w:lvl>
    <w:lvl w:ilvl="8" w:tplc="C94E4EC4" w:tentative="1">
      <w:start w:val="1"/>
      <w:numFmt w:val="lowerRoman"/>
      <w:lvlText w:val="%9."/>
      <w:lvlJc w:val="right"/>
      <w:pPr>
        <w:ind w:left="6480" w:hanging="180"/>
      </w:pPr>
    </w:lvl>
  </w:abstractNum>
  <w:abstractNum w:abstractNumId="7" w15:restartNumberingAfterBreak="0">
    <w:nsid w:val="35CE6B78"/>
    <w:multiLevelType w:val="hybridMultilevel"/>
    <w:tmpl w:val="AD4E0C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AB216E"/>
    <w:multiLevelType w:val="hybridMultilevel"/>
    <w:tmpl w:val="E7E496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2C52FA"/>
    <w:multiLevelType w:val="multilevel"/>
    <w:tmpl w:val="810E8BE2"/>
    <w:lvl w:ilvl="0">
      <w:start w:val="1"/>
      <w:numFmt w:val="decimal"/>
      <w:lvlText w:val="%1."/>
      <w:lvlJc w:val="left"/>
      <w:pPr>
        <w:ind w:left="360" w:hanging="360"/>
      </w:pPr>
    </w:lvl>
    <w:lvl w:ilvl="1">
      <w:start w:val="1"/>
      <w:numFmt w:val="decimal"/>
      <w:lvlText w:val="%2."/>
      <w:lvlJc w:val="left"/>
      <w:pPr>
        <w:ind w:left="786" w:hanging="360"/>
      </w:pPr>
      <w:rPr>
        <w:rFonts w:ascii="Times New Roman" w:eastAsia="Calibri" w:hAnsi="Times New Roman" w:cs="Times New Roman"/>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1" w15:restartNumberingAfterBreak="0">
    <w:nsid w:val="646120E7"/>
    <w:multiLevelType w:val="hybridMultilevel"/>
    <w:tmpl w:val="D252215C"/>
    <w:lvl w:ilvl="0" w:tplc="34A2AF22">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F77C0B"/>
    <w:multiLevelType w:val="hybridMultilevel"/>
    <w:tmpl w:val="01B490E8"/>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3C55CF"/>
    <w:multiLevelType w:val="hybridMultilevel"/>
    <w:tmpl w:val="D2C8F4F6"/>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234CC6"/>
    <w:multiLevelType w:val="hybridMultilevel"/>
    <w:tmpl w:val="0728F5A0"/>
    <w:lvl w:ilvl="0" w:tplc="B99C4D82">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0495FAA"/>
    <w:multiLevelType w:val="hybridMultilevel"/>
    <w:tmpl w:val="6DF499C2"/>
    <w:lvl w:ilvl="0" w:tplc="E86C1E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AE6290B"/>
    <w:multiLevelType w:val="hybridMultilevel"/>
    <w:tmpl w:val="2BA47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964DA2"/>
    <w:multiLevelType w:val="hybridMultilevel"/>
    <w:tmpl w:val="FB30F71E"/>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D97526F"/>
    <w:multiLevelType w:val="multilevel"/>
    <w:tmpl w:val="810E8BE2"/>
    <w:lvl w:ilvl="0">
      <w:start w:val="1"/>
      <w:numFmt w:val="decimal"/>
      <w:lvlText w:val="%1."/>
      <w:lvlJc w:val="left"/>
      <w:pPr>
        <w:ind w:left="360" w:hanging="360"/>
      </w:pPr>
    </w:lvl>
    <w:lvl w:ilvl="1">
      <w:start w:val="1"/>
      <w:numFmt w:val="decimal"/>
      <w:lvlText w:val="%2."/>
      <w:lvlJc w:val="left"/>
      <w:pPr>
        <w:ind w:left="786" w:hanging="360"/>
      </w:pPr>
      <w:rPr>
        <w:rFonts w:ascii="Times New Roman" w:eastAsia="Calibri" w:hAnsi="Times New Roman" w:cs="Times New Roman"/>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6"/>
  </w:num>
  <w:num w:numId="2">
    <w:abstractNumId w:val="13"/>
  </w:num>
  <w:num w:numId="3">
    <w:abstractNumId w:val="3"/>
  </w:num>
  <w:num w:numId="4">
    <w:abstractNumId w:val="1"/>
  </w:num>
  <w:num w:numId="5">
    <w:abstractNumId w:val="0"/>
  </w:num>
  <w:num w:numId="6">
    <w:abstractNumId w:val="7"/>
  </w:num>
  <w:num w:numId="7">
    <w:abstractNumId w:val="16"/>
  </w:num>
  <w:num w:numId="8">
    <w:abstractNumId w:val="9"/>
  </w:num>
  <w:num w:numId="9">
    <w:abstractNumId w:val="11"/>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F4"/>
    <w:rsid w:val="00000607"/>
    <w:rsid w:val="00000BA8"/>
    <w:rsid w:val="000011D3"/>
    <w:rsid w:val="00007A62"/>
    <w:rsid w:val="000122B2"/>
    <w:rsid w:val="00015388"/>
    <w:rsid w:val="000165C9"/>
    <w:rsid w:val="00016667"/>
    <w:rsid w:val="00020081"/>
    <w:rsid w:val="0002423B"/>
    <w:rsid w:val="0003186A"/>
    <w:rsid w:val="00035905"/>
    <w:rsid w:val="00035FD2"/>
    <w:rsid w:val="000409AD"/>
    <w:rsid w:val="0004132F"/>
    <w:rsid w:val="000453E8"/>
    <w:rsid w:val="00045E9E"/>
    <w:rsid w:val="0004640F"/>
    <w:rsid w:val="0005042E"/>
    <w:rsid w:val="00052B71"/>
    <w:rsid w:val="00053DF0"/>
    <w:rsid w:val="00054EC9"/>
    <w:rsid w:val="00057277"/>
    <w:rsid w:val="0006192A"/>
    <w:rsid w:val="00064923"/>
    <w:rsid w:val="00070163"/>
    <w:rsid w:val="000715A3"/>
    <w:rsid w:val="0007171C"/>
    <w:rsid w:val="00072844"/>
    <w:rsid w:val="00073C44"/>
    <w:rsid w:val="00084575"/>
    <w:rsid w:val="00086B35"/>
    <w:rsid w:val="00091A75"/>
    <w:rsid w:val="00096EDA"/>
    <w:rsid w:val="000A223F"/>
    <w:rsid w:val="000A253C"/>
    <w:rsid w:val="000B01E1"/>
    <w:rsid w:val="000B5777"/>
    <w:rsid w:val="000B6FD4"/>
    <w:rsid w:val="000C2782"/>
    <w:rsid w:val="000C60B8"/>
    <w:rsid w:val="000D1C34"/>
    <w:rsid w:val="000E041F"/>
    <w:rsid w:val="000E0582"/>
    <w:rsid w:val="000E67F1"/>
    <w:rsid w:val="000E730E"/>
    <w:rsid w:val="000E7FE3"/>
    <w:rsid w:val="000F556F"/>
    <w:rsid w:val="000F5A3C"/>
    <w:rsid w:val="000F5EBD"/>
    <w:rsid w:val="00103743"/>
    <w:rsid w:val="00103E6E"/>
    <w:rsid w:val="00104A22"/>
    <w:rsid w:val="00104F07"/>
    <w:rsid w:val="00105573"/>
    <w:rsid w:val="00105FC1"/>
    <w:rsid w:val="001064CC"/>
    <w:rsid w:val="0011027A"/>
    <w:rsid w:val="00111107"/>
    <w:rsid w:val="00113CE2"/>
    <w:rsid w:val="00114CD7"/>
    <w:rsid w:val="00114DBE"/>
    <w:rsid w:val="00116AD6"/>
    <w:rsid w:val="00120FFA"/>
    <w:rsid w:val="00121FFB"/>
    <w:rsid w:val="00126F6D"/>
    <w:rsid w:val="00130CF4"/>
    <w:rsid w:val="0013339E"/>
    <w:rsid w:val="00141947"/>
    <w:rsid w:val="001457DA"/>
    <w:rsid w:val="001474C6"/>
    <w:rsid w:val="00152D63"/>
    <w:rsid w:val="00162E5A"/>
    <w:rsid w:val="0016530F"/>
    <w:rsid w:val="00170507"/>
    <w:rsid w:val="0017297B"/>
    <w:rsid w:val="001734C9"/>
    <w:rsid w:val="00176834"/>
    <w:rsid w:val="001913A2"/>
    <w:rsid w:val="001941E3"/>
    <w:rsid w:val="001971A3"/>
    <w:rsid w:val="001A011A"/>
    <w:rsid w:val="001A1D53"/>
    <w:rsid w:val="001A5038"/>
    <w:rsid w:val="001A5193"/>
    <w:rsid w:val="001B127C"/>
    <w:rsid w:val="001B4947"/>
    <w:rsid w:val="001C0F92"/>
    <w:rsid w:val="001C2112"/>
    <w:rsid w:val="001C6772"/>
    <w:rsid w:val="001D2E34"/>
    <w:rsid w:val="001D3786"/>
    <w:rsid w:val="001D46BC"/>
    <w:rsid w:val="001D66C5"/>
    <w:rsid w:val="001D6F09"/>
    <w:rsid w:val="001E50EF"/>
    <w:rsid w:val="001F0A82"/>
    <w:rsid w:val="001F19D9"/>
    <w:rsid w:val="00202525"/>
    <w:rsid w:val="002027C6"/>
    <w:rsid w:val="00206F79"/>
    <w:rsid w:val="00207E7A"/>
    <w:rsid w:val="0021073C"/>
    <w:rsid w:val="00211A39"/>
    <w:rsid w:val="00216E80"/>
    <w:rsid w:val="00216EF9"/>
    <w:rsid w:val="002252BA"/>
    <w:rsid w:val="002268DE"/>
    <w:rsid w:val="002332A4"/>
    <w:rsid w:val="00235B8C"/>
    <w:rsid w:val="00240757"/>
    <w:rsid w:val="00242600"/>
    <w:rsid w:val="002471DB"/>
    <w:rsid w:val="0025456D"/>
    <w:rsid w:val="00254AA3"/>
    <w:rsid w:val="00257CE8"/>
    <w:rsid w:val="00262564"/>
    <w:rsid w:val="00263A58"/>
    <w:rsid w:val="00263D9F"/>
    <w:rsid w:val="002676AC"/>
    <w:rsid w:val="002704E8"/>
    <w:rsid w:val="002734D3"/>
    <w:rsid w:val="00277535"/>
    <w:rsid w:val="0028023E"/>
    <w:rsid w:val="00280955"/>
    <w:rsid w:val="00280B04"/>
    <w:rsid w:val="0028387F"/>
    <w:rsid w:val="00294090"/>
    <w:rsid w:val="00295132"/>
    <w:rsid w:val="00296168"/>
    <w:rsid w:val="002974B1"/>
    <w:rsid w:val="002975DC"/>
    <w:rsid w:val="00297713"/>
    <w:rsid w:val="00297EE8"/>
    <w:rsid w:val="002A04C2"/>
    <w:rsid w:val="002A0FF4"/>
    <w:rsid w:val="002A215D"/>
    <w:rsid w:val="002B0AC5"/>
    <w:rsid w:val="002B103B"/>
    <w:rsid w:val="002B2F95"/>
    <w:rsid w:val="002B345C"/>
    <w:rsid w:val="002B4B71"/>
    <w:rsid w:val="002C0E77"/>
    <w:rsid w:val="002C2EA7"/>
    <w:rsid w:val="002C4ED9"/>
    <w:rsid w:val="002C77CF"/>
    <w:rsid w:val="002D3FCD"/>
    <w:rsid w:val="002D56F8"/>
    <w:rsid w:val="002D6EEE"/>
    <w:rsid w:val="002E0D13"/>
    <w:rsid w:val="002F6D74"/>
    <w:rsid w:val="00300871"/>
    <w:rsid w:val="00300941"/>
    <w:rsid w:val="003036BF"/>
    <w:rsid w:val="003047BD"/>
    <w:rsid w:val="003137B2"/>
    <w:rsid w:val="00315473"/>
    <w:rsid w:val="003169EB"/>
    <w:rsid w:val="0032636E"/>
    <w:rsid w:val="00334386"/>
    <w:rsid w:val="00336833"/>
    <w:rsid w:val="003410F4"/>
    <w:rsid w:val="00344E03"/>
    <w:rsid w:val="00345DC0"/>
    <w:rsid w:val="003465A3"/>
    <w:rsid w:val="00347A39"/>
    <w:rsid w:val="00350AF2"/>
    <w:rsid w:val="00352312"/>
    <w:rsid w:val="0035244C"/>
    <w:rsid w:val="00352762"/>
    <w:rsid w:val="003530A4"/>
    <w:rsid w:val="003549FA"/>
    <w:rsid w:val="003560AA"/>
    <w:rsid w:val="00365668"/>
    <w:rsid w:val="00366177"/>
    <w:rsid w:val="003716F4"/>
    <w:rsid w:val="00374366"/>
    <w:rsid w:val="003765A6"/>
    <w:rsid w:val="00377F00"/>
    <w:rsid w:val="003849BC"/>
    <w:rsid w:val="00386193"/>
    <w:rsid w:val="00392ACB"/>
    <w:rsid w:val="00393598"/>
    <w:rsid w:val="00396DEA"/>
    <w:rsid w:val="003A3F30"/>
    <w:rsid w:val="003A48E9"/>
    <w:rsid w:val="003A5297"/>
    <w:rsid w:val="003B1C78"/>
    <w:rsid w:val="003B2FF9"/>
    <w:rsid w:val="003B6C4E"/>
    <w:rsid w:val="003C1632"/>
    <w:rsid w:val="003C78A3"/>
    <w:rsid w:val="003D0454"/>
    <w:rsid w:val="003D2ACD"/>
    <w:rsid w:val="003D3E5F"/>
    <w:rsid w:val="003D4DBD"/>
    <w:rsid w:val="003D5B5B"/>
    <w:rsid w:val="003D67B3"/>
    <w:rsid w:val="003E20A0"/>
    <w:rsid w:val="003E362A"/>
    <w:rsid w:val="003E76BE"/>
    <w:rsid w:val="003F5022"/>
    <w:rsid w:val="004011EC"/>
    <w:rsid w:val="00401401"/>
    <w:rsid w:val="00405598"/>
    <w:rsid w:val="0040794E"/>
    <w:rsid w:val="00410635"/>
    <w:rsid w:val="00411ACB"/>
    <w:rsid w:val="00413D61"/>
    <w:rsid w:val="00414A53"/>
    <w:rsid w:val="004169BD"/>
    <w:rsid w:val="00420D36"/>
    <w:rsid w:val="0042305F"/>
    <w:rsid w:val="00423892"/>
    <w:rsid w:val="00423956"/>
    <w:rsid w:val="0042603E"/>
    <w:rsid w:val="0043028C"/>
    <w:rsid w:val="00432089"/>
    <w:rsid w:val="00441A94"/>
    <w:rsid w:val="004507ED"/>
    <w:rsid w:val="00455110"/>
    <w:rsid w:val="004571E6"/>
    <w:rsid w:val="00461F36"/>
    <w:rsid w:val="00462EBE"/>
    <w:rsid w:val="00465CFE"/>
    <w:rsid w:val="0046799D"/>
    <w:rsid w:val="004729B1"/>
    <w:rsid w:val="004738B0"/>
    <w:rsid w:val="0047469D"/>
    <w:rsid w:val="00484C9B"/>
    <w:rsid w:val="0048745B"/>
    <w:rsid w:val="0049063E"/>
    <w:rsid w:val="004930FB"/>
    <w:rsid w:val="0049347D"/>
    <w:rsid w:val="004A01B7"/>
    <w:rsid w:val="004A0BF9"/>
    <w:rsid w:val="004B07B4"/>
    <w:rsid w:val="004B36F9"/>
    <w:rsid w:val="004B3C83"/>
    <w:rsid w:val="004B4A7C"/>
    <w:rsid w:val="004B5B63"/>
    <w:rsid w:val="004C180F"/>
    <w:rsid w:val="004C29BA"/>
    <w:rsid w:val="004C2E2D"/>
    <w:rsid w:val="004C67B5"/>
    <w:rsid w:val="004D2837"/>
    <w:rsid w:val="004D2F03"/>
    <w:rsid w:val="004D52ED"/>
    <w:rsid w:val="004D66B7"/>
    <w:rsid w:val="004D691C"/>
    <w:rsid w:val="004E1BB1"/>
    <w:rsid w:val="004E2750"/>
    <w:rsid w:val="004E56A6"/>
    <w:rsid w:val="004E70E6"/>
    <w:rsid w:val="004F06C1"/>
    <w:rsid w:val="004F202B"/>
    <w:rsid w:val="004F3927"/>
    <w:rsid w:val="004F4366"/>
    <w:rsid w:val="00500449"/>
    <w:rsid w:val="00502962"/>
    <w:rsid w:val="005030AE"/>
    <w:rsid w:val="005073B2"/>
    <w:rsid w:val="00507AF2"/>
    <w:rsid w:val="00524CAE"/>
    <w:rsid w:val="005259BF"/>
    <w:rsid w:val="0052746A"/>
    <w:rsid w:val="00527AE2"/>
    <w:rsid w:val="0053127B"/>
    <w:rsid w:val="0053271C"/>
    <w:rsid w:val="00533FED"/>
    <w:rsid w:val="0054015A"/>
    <w:rsid w:val="005419DB"/>
    <w:rsid w:val="00543529"/>
    <w:rsid w:val="005453EE"/>
    <w:rsid w:val="0055345A"/>
    <w:rsid w:val="00553DEB"/>
    <w:rsid w:val="00554A68"/>
    <w:rsid w:val="00557D19"/>
    <w:rsid w:val="005614A7"/>
    <w:rsid w:val="00564744"/>
    <w:rsid w:val="0056742E"/>
    <w:rsid w:val="00572667"/>
    <w:rsid w:val="00580445"/>
    <w:rsid w:val="00584154"/>
    <w:rsid w:val="00584436"/>
    <w:rsid w:val="005909E3"/>
    <w:rsid w:val="00592A45"/>
    <w:rsid w:val="005939AE"/>
    <w:rsid w:val="005A1445"/>
    <w:rsid w:val="005A4695"/>
    <w:rsid w:val="005A4CB2"/>
    <w:rsid w:val="005B0EC0"/>
    <w:rsid w:val="005B19B6"/>
    <w:rsid w:val="005B5AAF"/>
    <w:rsid w:val="005C206A"/>
    <w:rsid w:val="005C214F"/>
    <w:rsid w:val="005C27D6"/>
    <w:rsid w:val="005C33DB"/>
    <w:rsid w:val="005E1959"/>
    <w:rsid w:val="005E6294"/>
    <w:rsid w:val="005E7C10"/>
    <w:rsid w:val="005F0CD4"/>
    <w:rsid w:val="005F1C13"/>
    <w:rsid w:val="005F34EB"/>
    <w:rsid w:val="005F7A53"/>
    <w:rsid w:val="00601740"/>
    <w:rsid w:val="00607C9F"/>
    <w:rsid w:val="00611538"/>
    <w:rsid w:val="00613279"/>
    <w:rsid w:val="006253E8"/>
    <w:rsid w:val="00631414"/>
    <w:rsid w:val="006361F8"/>
    <w:rsid w:val="00643E70"/>
    <w:rsid w:val="00644C02"/>
    <w:rsid w:val="00650034"/>
    <w:rsid w:val="00651599"/>
    <w:rsid w:val="006532DE"/>
    <w:rsid w:val="00654A41"/>
    <w:rsid w:val="0065559F"/>
    <w:rsid w:val="006577AC"/>
    <w:rsid w:val="00663122"/>
    <w:rsid w:val="00663C64"/>
    <w:rsid w:val="00672941"/>
    <w:rsid w:val="00674EE2"/>
    <w:rsid w:val="00676C11"/>
    <w:rsid w:val="00681F22"/>
    <w:rsid w:val="006877AB"/>
    <w:rsid w:val="006924F6"/>
    <w:rsid w:val="006928FD"/>
    <w:rsid w:val="006939D0"/>
    <w:rsid w:val="0069584F"/>
    <w:rsid w:val="006A1EA8"/>
    <w:rsid w:val="006A477B"/>
    <w:rsid w:val="006B0A6F"/>
    <w:rsid w:val="006B5B60"/>
    <w:rsid w:val="006C0350"/>
    <w:rsid w:val="006C2002"/>
    <w:rsid w:val="006C4069"/>
    <w:rsid w:val="006C7AC7"/>
    <w:rsid w:val="006C7B83"/>
    <w:rsid w:val="006D0CEA"/>
    <w:rsid w:val="006D570D"/>
    <w:rsid w:val="006D7742"/>
    <w:rsid w:val="006D7A66"/>
    <w:rsid w:val="006E38FF"/>
    <w:rsid w:val="006E3A82"/>
    <w:rsid w:val="006F0D41"/>
    <w:rsid w:val="006F258D"/>
    <w:rsid w:val="006F4E99"/>
    <w:rsid w:val="006F6467"/>
    <w:rsid w:val="006F6490"/>
    <w:rsid w:val="006F6EB1"/>
    <w:rsid w:val="006F70F5"/>
    <w:rsid w:val="006F7BEC"/>
    <w:rsid w:val="007004A8"/>
    <w:rsid w:val="00701995"/>
    <w:rsid w:val="007034A8"/>
    <w:rsid w:val="00706042"/>
    <w:rsid w:val="00707799"/>
    <w:rsid w:val="0071191D"/>
    <w:rsid w:val="00716F81"/>
    <w:rsid w:val="007200A7"/>
    <w:rsid w:val="007201B6"/>
    <w:rsid w:val="00733A85"/>
    <w:rsid w:val="00744A54"/>
    <w:rsid w:val="00745E20"/>
    <w:rsid w:val="00747624"/>
    <w:rsid w:val="00750695"/>
    <w:rsid w:val="0075417F"/>
    <w:rsid w:val="00757B51"/>
    <w:rsid w:val="00760EF0"/>
    <w:rsid w:val="007668D7"/>
    <w:rsid w:val="00771B3C"/>
    <w:rsid w:val="007736C8"/>
    <w:rsid w:val="00783AFF"/>
    <w:rsid w:val="00784037"/>
    <w:rsid w:val="00786DDD"/>
    <w:rsid w:val="007921A8"/>
    <w:rsid w:val="00793272"/>
    <w:rsid w:val="007A2987"/>
    <w:rsid w:val="007A2BB4"/>
    <w:rsid w:val="007A7356"/>
    <w:rsid w:val="007A7B09"/>
    <w:rsid w:val="007B2863"/>
    <w:rsid w:val="007B313E"/>
    <w:rsid w:val="007B625E"/>
    <w:rsid w:val="007C4ADE"/>
    <w:rsid w:val="007C5250"/>
    <w:rsid w:val="007D18A9"/>
    <w:rsid w:val="007E100B"/>
    <w:rsid w:val="007E319F"/>
    <w:rsid w:val="007E5633"/>
    <w:rsid w:val="007E5A4E"/>
    <w:rsid w:val="007E65E1"/>
    <w:rsid w:val="007E6672"/>
    <w:rsid w:val="007F0CBE"/>
    <w:rsid w:val="007F28C4"/>
    <w:rsid w:val="00805302"/>
    <w:rsid w:val="00814951"/>
    <w:rsid w:val="0083109B"/>
    <w:rsid w:val="00833F87"/>
    <w:rsid w:val="0084010F"/>
    <w:rsid w:val="008439B5"/>
    <w:rsid w:val="00844397"/>
    <w:rsid w:val="00851166"/>
    <w:rsid w:val="0085290C"/>
    <w:rsid w:val="008610D6"/>
    <w:rsid w:val="00862BDC"/>
    <w:rsid w:val="00866BB5"/>
    <w:rsid w:val="00870C3D"/>
    <w:rsid w:val="008715F0"/>
    <w:rsid w:val="00873720"/>
    <w:rsid w:val="00873C92"/>
    <w:rsid w:val="00874CBC"/>
    <w:rsid w:val="0088152C"/>
    <w:rsid w:val="00882BD3"/>
    <w:rsid w:val="0088426B"/>
    <w:rsid w:val="00885661"/>
    <w:rsid w:val="00885726"/>
    <w:rsid w:val="00885D50"/>
    <w:rsid w:val="008A47A8"/>
    <w:rsid w:val="008A5B03"/>
    <w:rsid w:val="008A62DE"/>
    <w:rsid w:val="008B0808"/>
    <w:rsid w:val="008B2C78"/>
    <w:rsid w:val="008B5A39"/>
    <w:rsid w:val="008C1B74"/>
    <w:rsid w:val="008C6EE1"/>
    <w:rsid w:val="008E67C8"/>
    <w:rsid w:val="008F3F56"/>
    <w:rsid w:val="00900E87"/>
    <w:rsid w:val="00902FD4"/>
    <w:rsid w:val="009040F1"/>
    <w:rsid w:val="00905E8E"/>
    <w:rsid w:val="0090626E"/>
    <w:rsid w:val="00906F88"/>
    <w:rsid w:val="00911174"/>
    <w:rsid w:val="00913189"/>
    <w:rsid w:val="00914869"/>
    <w:rsid w:val="00920A76"/>
    <w:rsid w:val="0092152D"/>
    <w:rsid w:val="0092185E"/>
    <w:rsid w:val="00930479"/>
    <w:rsid w:val="009314F2"/>
    <w:rsid w:val="00940DEB"/>
    <w:rsid w:val="009427C3"/>
    <w:rsid w:val="009437BD"/>
    <w:rsid w:val="00946289"/>
    <w:rsid w:val="0095303B"/>
    <w:rsid w:val="0095505C"/>
    <w:rsid w:val="00962BCE"/>
    <w:rsid w:val="00963514"/>
    <w:rsid w:val="00982DF2"/>
    <w:rsid w:val="0098736E"/>
    <w:rsid w:val="009938A1"/>
    <w:rsid w:val="00994900"/>
    <w:rsid w:val="009A7DCD"/>
    <w:rsid w:val="009B1C90"/>
    <w:rsid w:val="009B6DB2"/>
    <w:rsid w:val="009C0BF9"/>
    <w:rsid w:val="009C5C56"/>
    <w:rsid w:val="009D2378"/>
    <w:rsid w:val="009D58D9"/>
    <w:rsid w:val="009D7AE0"/>
    <w:rsid w:val="009E2BC9"/>
    <w:rsid w:val="009E3DA8"/>
    <w:rsid w:val="009E4C07"/>
    <w:rsid w:val="009E5B5B"/>
    <w:rsid w:val="009F1A70"/>
    <w:rsid w:val="009F49B8"/>
    <w:rsid w:val="009F5054"/>
    <w:rsid w:val="00A00039"/>
    <w:rsid w:val="00A009E5"/>
    <w:rsid w:val="00A03AFF"/>
    <w:rsid w:val="00A03CEA"/>
    <w:rsid w:val="00A043FC"/>
    <w:rsid w:val="00A04C61"/>
    <w:rsid w:val="00A06F7E"/>
    <w:rsid w:val="00A107D2"/>
    <w:rsid w:val="00A135F7"/>
    <w:rsid w:val="00A14982"/>
    <w:rsid w:val="00A21B32"/>
    <w:rsid w:val="00A267AA"/>
    <w:rsid w:val="00A27E43"/>
    <w:rsid w:val="00A31A95"/>
    <w:rsid w:val="00A33C7A"/>
    <w:rsid w:val="00A37172"/>
    <w:rsid w:val="00A37DCC"/>
    <w:rsid w:val="00A408E4"/>
    <w:rsid w:val="00A418A3"/>
    <w:rsid w:val="00A45102"/>
    <w:rsid w:val="00A51A09"/>
    <w:rsid w:val="00A555B1"/>
    <w:rsid w:val="00A57D54"/>
    <w:rsid w:val="00A65475"/>
    <w:rsid w:val="00A66A73"/>
    <w:rsid w:val="00A67768"/>
    <w:rsid w:val="00A67D7E"/>
    <w:rsid w:val="00A704B7"/>
    <w:rsid w:val="00A72B36"/>
    <w:rsid w:val="00A75E89"/>
    <w:rsid w:val="00A76993"/>
    <w:rsid w:val="00A80E0C"/>
    <w:rsid w:val="00A82678"/>
    <w:rsid w:val="00A831B1"/>
    <w:rsid w:val="00A86036"/>
    <w:rsid w:val="00A94547"/>
    <w:rsid w:val="00A94B68"/>
    <w:rsid w:val="00A954F9"/>
    <w:rsid w:val="00A97E5D"/>
    <w:rsid w:val="00AA1454"/>
    <w:rsid w:val="00AA6524"/>
    <w:rsid w:val="00AA65C4"/>
    <w:rsid w:val="00AA771B"/>
    <w:rsid w:val="00AA7E1E"/>
    <w:rsid w:val="00AB3C77"/>
    <w:rsid w:val="00AB797B"/>
    <w:rsid w:val="00AC37C4"/>
    <w:rsid w:val="00AD3B7A"/>
    <w:rsid w:val="00AD45CC"/>
    <w:rsid w:val="00AD717A"/>
    <w:rsid w:val="00AE0622"/>
    <w:rsid w:val="00AE15B4"/>
    <w:rsid w:val="00AF3EDE"/>
    <w:rsid w:val="00AF4ADB"/>
    <w:rsid w:val="00AF5D08"/>
    <w:rsid w:val="00B07E83"/>
    <w:rsid w:val="00B1578E"/>
    <w:rsid w:val="00B15F59"/>
    <w:rsid w:val="00B27C62"/>
    <w:rsid w:val="00B31714"/>
    <w:rsid w:val="00B31FB1"/>
    <w:rsid w:val="00B36429"/>
    <w:rsid w:val="00B41AC0"/>
    <w:rsid w:val="00B526A9"/>
    <w:rsid w:val="00B572A1"/>
    <w:rsid w:val="00B57567"/>
    <w:rsid w:val="00B57CFA"/>
    <w:rsid w:val="00B60EE6"/>
    <w:rsid w:val="00B61032"/>
    <w:rsid w:val="00B65B3A"/>
    <w:rsid w:val="00B665A4"/>
    <w:rsid w:val="00B675B7"/>
    <w:rsid w:val="00B72426"/>
    <w:rsid w:val="00B727A1"/>
    <w:rsid w:val="00B75F46"/>
    <w:rsid w:val="00B813A0"/>
    <w:rsid w:val="00B84EFE"/>
    <w:rsid w:val="00B904DD"/>
    <w:rsid w:val="00B917F7"/>
    <w:rsid w:val="00B92EE4"/>
    <w:rsid w:val="00B962C1"/>
    <w:rsid w:val="00BA101F"/>
    <w:rsid w:val="00BA2BAF"/>
    <w:rsid w:val="00BA646A"/>
    <w:rsid w:val="00BA7E1E"/>
    <w:rsid w:val="00BB281E"/>
    <w:rsid w:val="00BB396F"/>
    <w:rsid w:val="00BB54B1"/>
    <w:rsid w:val="00BB5ECD"/>
    <w:rsid w:val="00BC1494"/>
    <w:rsid w:val="00BC1A79"/>
    <w:rsid w:val="00BC38A7"/>
    <w:rsid w:val="00BC5A2C"/>
    <w:rsid w:val="00BD20A0"/>
    <w:rsid w:val="00BD4DE5"/>
    <w:rsid w:val="00BD6A10"/>
    <w:rsid w:val="00BD6BED"/>
    <w:rsid w:val="00BE2069"/>
    <w:rsid w:val="00BE38D4"/>
    <w:rsid w:val="00BE6B5A"/>
    <w:rsid w:val="00BE6E47"/>
    <w:rsid w:val="00BF0A78"/>
    <w:rsid w:val="00BF34BE"/>
    <w:rsid w:val="00BF505D"/>
    <w:rsid w:val="00C05F61"/>
    <w:rsid w:val="00C1056C"/>
    <w:rsid w:val="00C20488"/>
    <w:rsid w:val="00C20E59"/>
    <w:rsid w:val="00C2444B"/>
    <w:rsid w:val="00C27CA3"/>
    <w:rsid w:val="00C31F04"/>
    <w:rsid w:val="00C3309A"/>
    <w:rsid w:val="00C34768"/>
    <w:rsid w:val="00C414C6"/>
    <w:rsid w:val="00C46344"/>
    <w:rsid w:val="00C4684F"/>
    <w:rsid w:val="00C50EA6"/>
    <w:rsid w:val="00C52958"/>
    <w:rsid w:val="00C615A2"/>
    <w:rsid w:val="00C61705"/>
    <w:rsid w:val="00C7365E"/>
    <w:rsid w:val="00C739E0"/>
    <w:rsid w:val="00C81039"/>
    <w:rsid w:val="00C83655"/>
    <w:rsid w:val="00C85D0A"/>
    <w:rsid w:val="00C86B0F"/>
    <w:rsid w:val="00CA09D6"/>
    <w:rsid w:val="00CA1BEC"/>
    <w:rsid w:val="00CA241C"/>
    <w:rsid w:val="00CA4551"/>
    <w:rsid w:val="00CA5AAE"/>
    <w:rsid w:val="00CA6C59"/>
    <w:rsid w:val="00CB16DC"/>
    <w:rsid w:val="00CC00BE"/>
    <w:rsid w:val="00CC2F95"/>
    <w:rsid w:val="00CC657A"/>
    <w:rsid w:val="00CD2C26"/>
    <w:rsid w:val="00CD3176"/>
    <w:rsid w:val="00CD3DDA"/>
    <w:rsid w:val="00CD7812"/>
    <w:rsid w:val="00CE5D2A"/>
    <w:rsid w:val="00CE6842"/>
    <w:rsid w:val="00CF320F"/>
    <w:rsid w:val="00CF3747"/>
    <w:rsid w:val="00CF4B4F"/>
    <w:rsid w:val="00D01E35"/>
    <w:rsid w:val="00D03EC5"/>
    <w:rsid w:val="00D0527F"/>
    <w:rsid w:val="00D05590"/>
    <w:rsid w:val="00D06FE4"/>
    <w:rsid w:val="00D15F42"/>
    <w:rsid w:val="00D20371"/>
    <w:rsid w:val="00D23EC3"/>
    <w:rsid w:val="00D25E01"/>
    <w:rsid w:val="00D27F83"/>
    <w:rsid w:val="00D31434"/>
    <w:rsid w:val="00D32BC1"/>
    <w:rsid w:val="00D35189"/>
    <w:rsid w:val="00D35B30"/>
    <w:rsid w:val="00D36D8C"/>
    <w:rsid w:val="00D430D0"/>
    <w:rsid w:val="00D439EE"/>
    <w:rsid w:val="00D43F4C"/>
    <w:rsid w:val="00D46493"/>
    <w:rsid w:val="00D46F68"/>
    <w:rsid w:val="00D52776"/>
    <w:rsid w:val="00D52C71"/>
    <w:rsid w:val="00D53E21"/>
    <w:rsid w:val="00D54165"/>
    <w:rsid w:val="00D54433"/>
    <w:rsid w:val="00D6153D"/>
    <w:rsid w:val="00D62249"/>
    <w:rsid w:val="00D62CB2"/>
    <w:rsid w:val="00D63A99"/>
    <w:rsid w:val="00D65FE6"/>
    <w:rsid w:val="00D73130"/>
    <w:rsid w:val="00D73D51"/>
    <w:rsid w:val="00D85B16"/>
    <w:rsid w:val="00D86B6F"/>
    <w:rsid w:val="00D943E9"/>
    <w:rsid w:val="00DA5266"/>
    <w:rsid w:val="00DA6821"/>
    <w:rsid w:val="00DA71DC"/>
    <w:rsid w:val="00DB4AB8"/>
    <w:rsid w:val="00DB7FF4"/>
    <w:rsid w:val="00DC5D20"/>
    <w:rsid w:val="00DD0A93"/>
    <w:rsid w:val="00DD60A7"/>
    <w:rsid w:val="00DD6BDF"/>
    <w:rsid w:val="00DE0086"/>
    <w:rsid w:val="00DE1D6B"/>
    <w:rsid w:val="00DE3490"/>
    <w:rsid w:val="00DE59DC"/>
    <w:rsid w:val="00DE5D1B"/>
    <w:rsid w:val="00DE79D9"/>
    <w:rsid w:val="00DF196F"/>
    <w:rsid w:val="00E028C9"/>
    <w:rsid w:val="00E02FFE"/>
    <w:rsid w:val="00E03286"/>
    <w:rsid w:val="00E05D72"/>
    <w:rsid w:val="00E1377E"/>
    <w:rsid w:val="00E2241B"/>
    <w:rsid w:val="00E232D7"/>
    <w:rsid w:val="00E246C8"/>
    <w:rsid w:val="00E249A7"/>
    <w:rsid w:val="00E30AB7"/>
    <w:rsid w:val="00E3136B"/>
    <w:rsid w:val="00E32DA5"/>
    <w:rsid w:val="00E33626"/>
    <w:rsid w:val="00E369D9"/>
    <w:rsid w:val="00E37273"/>
    <w:rsid w:val="00E379D9"/>
    <w:rsid w:val="00E37F0A"/>
    <w:rsid w:val="00E40FA7"/>
    <w:rsid w:val="00E45A37"/>
    <w:rsid w:val="00E4672B"/>
    <w:rsid w:val="00E60F33"/>
    <w:rsid w:val="00E61584"/>
    <w:rsid w:val="00E6164A"/>
    <w:rsid w:val="00E672C5"/>
    <w:rsid w:val="00E72361"/>
    <w:rsid w:val="00E727DF"/>
    <w:rsid w:val="00E75C58"/>
    <w:rsid w:val="00E83698"/>
    <w:rsid w:val="00E83B6F"/>
    <w:rsid w:val="00E92EFB"/>
    <w:rsid w:val="00E97D25"/>
    <w:rsid w:val="00EA4C08"/>
    <w:rsid w:val="00EA600A"/>
    <w:rsid w:val="00EA72FD"/>
    <w:rsid w:val="00EB58BD"/>
    <w:rsid w:val="00EB7AE7"/>
    <w:rsid w:val="00EC27AF"/>
    <w:rsid w:val="00EC4783"/>
    <w:rsid w:val="00ED48A1"/>
    <w:rsid w:val="00ED6AC2"/>
    <w:rsid w:val="00ED7498"/>
    <w:rsid w:val="00EE1A2C"/>
    <w:rsid w:val="00EE2D73"/>
    <w:rsid w:val="00EE3563"/>
    <w:rsid w:val="00EE52B6"/>
    <w:rsid w:val="00EE5E45"/>
    <w:rsid w:val="00EE6576"/>
    <w:rsid w:val="00EE781C"/>
    <w:rsid w:val="00EF1336"/>
    <w:rsid w:val="00EF1372"/>
    <w:rsid w:val="00EF1552"/>
    <w:rsid w:val="00EF5095"/>
    <w:rsid w:val="00EF58F6"/>
    <w:rsid w:val="00EF6430"/>
    <w:rsid w:val="00F05985"/>
    <w:rsid w:val="00F0634D"/>
    <w:rsid w:val="00F16BA0"/>
    <w:rsid w:val="00F16C34"/>
    <w:rsid w:val="00F22898"/>
    <w:rsid w:val="00F238D0"/>
    <w:rsid w:val="00F24602"/>
    <w:rsid w:val="00F24FF3"/>
    <w:rsid w:val="00F258E7"/>
    <w:rsid w:val="00F40D52"/>
    <w:rsid w:val="00F43A84"/>
    <w:rsid w:val="00F45DFF"/>
    <w:rsid w:val="00F5096D"/>
    <w:rsid w:val="00F513D7"/>
    <w:rsid w:val="00F5589C"/>
    <w:rsid w:val="00F57B3E"/>
    <w:rsid w:val="00F60198"/>
    <w:rsid w:val="00F604FE"/>
    <w:rsid w:val="00F73C8A"/>
    <w:rsid w:val="00F742AF"/>
    <w:rsid w:val="00F7439A"/>
    <w:rsid w:val="00F80CCA"/>
    <w:rsid w:val="00F82A58"/>
    <w:rsid w:val="00F86C0D"/>
    <w:rsid w:val="00F87547"/>
    <w:rsid w:val="00FA5264"/>
    <w:rsid w:val="00FB2226"/>
    <w:rsid w:val="00FB35F7"/>
    <w:rsid w:val="00FC0481"/>
    <w:rsid w:val="00FC213E"/>
    <w:rsid w:val="00FC5A2D"/>
    <w:rsid w:val="00FD1EBB"/>
    <w:rsid w:val="00FD25F4"/>
    <w:rsid w:val="00FD3000"/>
    <w:rsid w:val="00FD5F47"/>
    <w:rsid w:val="00FE6058"/>
    <w:rsid w:val="00FF089D"/>
    <w:rsid w:val="00FF1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9B3A"/>
  <w15:chartTrackingRefBased/>
  <w15:docId w15:val="{C979C722-42E4-4B6D-9DAE-0D22E920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F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7FF4"/>
    <w:pPr>
      <w:spacing w:before="100" w:beforeAutospacing="1" w:after="100" w:afterAutospacing="1"/>
    </w:pPr>
    <w:rPr>
      <w:rFonts w:eastAsia="Times New Roman"/>
      <w:szCs w:val="24"/>
      <w:lang w:eastAsia="lv-LV"/>
    </w:rPr>
  </w:style>
  <w:style w:type="paragraph" w:customStyle="1" w:styleId="naisf">
    <w:name w:val="naisf"/>
    <w:basedOn w:val="Normal"/>
    <w:rsid w:val="00DB7FF4"/>
    <w:pPr>
      <w:spacing w:before="75" w:after="75"/>
      <w:ind w:firstLine="375"/>
      <w:jc w:val="both"/>
    </w:pPr>
    <w:rPr>
      <w:rFonts w:eastAsia="Times New Roman"/>
      <w:szCs w:val="24"/>
      <w:lang w:eastAsia="lv-LV"/>
    </w:rPr>
  </w:style>
  <w:style w:type="paragraph" w:customStyle="1" w:styleId="naiskr">
    <w:name w:val="naiskr"/>
    <w:basedOn w:val="Normal"/>
    <w:rsid w:val="00DB7FF4"/>
    <w:pPr>
      <w:spacing w:before="75" w:after="75"/>
    </w:pPr>
    <w:rPr>
      <w:rFonts w:eastAsia="Times New Roman"/>
      <w:szCs w:val="24"/>
      <w:lang w:eastAsia="lv-LV"/>
    </w:rPr>
  </w:style>
  <w:style w:type="paragraph" w:customStyle="1" w:styleId="naisc">
    <w:name w:val="naisc"/>
    <w:basedOn w:val="Normal"/>
    <w:rsid w:val="00DB7FF4"/>
    <w:pPr>
      <w:spacing w:before="75" w:after="75"/>
      <w:jc w:val="center"/>
    </w:pPr>
    <w:rPr>
      <w:rFonts w:eastAsia="Times New Roman"/>
      <w:szCs w:val="24"/>
      <w:lang w:eastAsia="lv-LV"/>
    </w:rPr>
  </w:style>
  <w:style w:type="paragraph" w:styleId="Header">
    <w:name w:val="header"/>
    <w:basedOn w:val="Normal"/>
    <w:link w:val="HeaderChar"/>
    <w:uiPriority w:val="99"/>
    <w:rsid w:val="00DB7FF4"/>
    <w:pPr>
      <w:tabs>
        <w:tab w:val="center" w:pos="4153"/>
        <w:tab w:val="right" w:pos="8306"/>
      </w:tabs>
    </w:pPr>
    <w:rPr>
      <w:rFonts w:eastAsia="Times New Roman"/>
      <w:szCs w:val="24"/>
      <w:lang w:eastAsia="lv-LV"/>
    </w:rPr>
  </w:style>
  <w:style w:type="character" w:customStyle="1" w:styleId="HeaderChar">
    <w:name w:val="Header Char"/>
    <w:basedOn w:val="DefaultParagraphFont"/>
    <w:link w:val="Header"/>
    <w:uiPriority w:val="99"/>
    <w:rsid w:val="00DB7FF4"/>
    <w:rPr>
      <w:rFonts w:ascii="Times New Roman" w:eastAsia="Times New Roman" w:hAnsi="Times New Roman" w:cs="Times New Roman"/>
      <w:sz w:val="24"/>
      <w:szCs w:val="24"/>
      <w:lang w:eastAsia="lv-LV"/>
    </w:rPr>
  </w:style>
  <w:style w:type="character" w:styleId="PageNumber">
    <w:name w:val="page number"/>
    <w:uiPriority w:val="99"/>
    <w:rsid w:val="00DB7FF4"/>
    <w:rPr>
      <w:rFonts w:cs="Times New Roman"/>
    </w:rPr>
  </w:style>
  <w:style w:type="paragraph" w:styleId="Footer">
    <w:name w:val="footer"/>
    <w:basedOn w:val="Normal"/>
    <w:link w:val="FooterChar"/>
    <w:rsid w:val="00DB7FF4"/>
    <w:pPr>
      <w:tabs>
        <w:tab w:val="center" w:pos="4153"/>
        <w:tab w:val="right" w:pos="8306"/>
      </w:tabs>
    </w:pPr>
    <w:rPr>
      <w:rFonts w:eastAsia="Times New Roman"/>
      <w:szCs w:val="24"/>
      <w:lang w:eastAsia="lv-LV"/>
    </w:rPr>
  </w:style>
  <w:style w:type="character" w:customStyle="1" w:styleId="FooterChar">
    <w:name w:val="Footer Char"/>
    <w:basedOn w:val="DefaultParagraphFont"/>
    <w:link w:val="Footer"/>
    <w:rsid w:val="00DB7FF4"/>
    <w:rPr>
      <w:rFonts w:ascii="Times New Roman" w:eastAsia="Times New Roman" w:hAnsi="Times New Roman" w:cs="Times New Roman"/>
      <w:sz w:val="24"/>
      <w:szCs w:val="24"/>
      <w:lang w:eastAsia="lv-LV"/>
    </w:rPr>
  </w:style>
  <w:style w:type="paragraph" w:customStyle="1" w:styleId="Body1">
    <w:name w:val="Body 1"/>
    <w:rsid w:val="00DB7FF4"/>
    <w:pPr>
      <w:spacing w:after="200" w:line="276" w:lineRule="auto"/>
      <w:outlineLvl w:val="0"/>
    </w:pPr>
    <w:rPr>
      <w:rFonts w:ascii="Helvetica" w:eastAsia="Arial Unicode MS" w:hAnsi="Helvetica" w:cs="Times New Roman"/>
      <w:color w:val="000000"/>
      <w:szCs w:val="20"/>
      <w:u w:color="000000"/>
      <w:lang w:eastAsia="lv-LV"/>
    </w:rPr>
  </w:style>
  <w:style w:type="paragraph" w:styleId="ListParagraph">
    <w:name w:val="List Paragraph"/>
    <w:aliases w:val="1st level - Bullet List Paragraph,Bullet EY,Bullet list,Dot pt,Lettre d'introduction,List Paragraph1,List Paragraph11,Medium Grid 1 - Accent 21,Normal bullet 2,Numbered List,Paragrafo elenco,Paragraph,Paragraphe de liste 2,Reference list"/>
    <w:basedOn w:val="Normal"/>
    <w:link w:val="ListParagraphChar"/>
    <w:uiPriority w:val="34"/>
    <w:qFormat/>
    <w:rsid w:val="00CC00BE"/>
    <w:pPr>
      <w:spacing w:after="160" w:line="259" w:lineRule="auto"/>
      <w:ind w:left="720"/>
      <w:contextualSpacing/>
    </w:pPr>
    <w:rPr>
      <w:rFonts w:asciiTheme="minorHAnsi" w:eastAsiaTheme="minorHAnsi" w:hAnsiTheme="minorHAnsi" w:cstheme="minorBidi"/>
      <w:sz w:val="22"/>
    </w:rPr>
  </w:style>
  <w:style w:type="paragraph" w:customStyle="1" w:styleId="tv213">
    <w:name w:val="tv213"/>
    <w:basedOn w:val="Normal"/>
    <w:rsid w:val="00B962C1"/>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423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5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7CFA"/>
    <w:rPr>
      <w:sz w:val="16"/>
      <w:szCs w:val="16"/>
    </w:rPr>
  </w:style>
  <w:style w:type="paragraph" w:styleId="CommentText">
    <w:name w:val="annotation text"/>
    <w:basedOn w:val="Normal"/>
    <w:link w:val="CommentTextChar"/>
    <w:uiPriority w:val="99"/>
    <w:semiHidden/>
    <w:unhideWhenUsed/>
    <w:rsid w:val="00B57CFA"/>
    <w:rPr>
      <w:sz w:val="20"/>
      <w:szCs w:val="20"/>
    </w:rPr>
  </w:style>
  <w:style w:type="character" w:customStyle="1" w:styleId="CommentTextChar">
    <w:name w:val="Comment Text Char"/>
    <w:basedOn w:val="DefaultParagraphFont"/>
    <w:link w:val="CommentText"/>
    <w:uiPriority w:val="99"/>
    <w:semiHidden/>
    <w:rsid w:val="00B57CF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CFA"/>
    <w:rPr>
      <w:b/>
      <w:bCs/>
    </w:rPr>
  </w:style>
  <w:style w:type="character" w:customStyle="1" w:styleId="CommentSubjectChar">
    <w:name w:val="Comment Subject Char"/>
    <w:basedOn w:val="CommentTextChar"/>
    <w:link w:val="CommentSubject"/>
    <w:uiPriority w:val="99"/>
    <w:semiHidden/>
    <w:rsid w:val="00B57CFA"/>
    <w:rPr>
      <w:rFonts w:ascii="Times New Roman" w:eastAsia="Calibri" w:hAnsi="Times New Roman" w:cs="Times New Roman"/>
      <w:b/>
      <w:bCs/>
      <w:sz w:val="20"/>
      <w:szCs w:val="20"/>
    </w:rPr>
  </w:style>
  <w:style w:type="character" w:styleId="Hyperlink">
    <w:name w:val="Hyperlink"/>
    <w:basedOn w:val="DefaultParagraphFont"/>
    <w:unhideWhenUsed/>
    <w:rsid w:val="00AD45CC"/>
    <w:rPr>
      <w:color w:val="0000FF"/>
      <w:u w:val="single"/>
    </w:rPr>
  </w:style>
  <w:style w:type="character" w:styleId="UnresolvedMention">
    <w:name w:val="Unresolved Mention"/>
    <w:basedOn w:val="DefaultParagraphFont"/>
    <w:uiPriority w:val="99"/>
    <w:semiHidden/>
    <w:unhideWhenUsed/>
    <w:rsid w:val="00AD45CC"/>
    <w:rPr>
      <w:color w:val="605E5C"/>
      <w:shd w:val="clear" w:color="auto" w:fill="E1DFDD"/>
    </w:rPr>
  </w:style>
  <w:style w:type="character" w:customStyle="1" w:styleId="ListParagraphChar">
    <w:name w:val="List Paragraph Char"/>
    <w:aliases w:val="1st level - Bullet List Paragraph Char,Bullet EY Char,Bullet list Char,Dot pt Char,Lettre d'introduction Char,List Paragraph1 Char,List Paragraph11 Char,Medium Grid 1 - Accent 21 Char,Normal bullet 2 Char,Numbered List Char"/>
    <w:basedOn w:val="DefaultParagraphFont"/>
    <w:link w:val="ListParagraph"/>
    <w:uiPriority w:val="34"/>
    <w:locked/>
    <w:rsid w:val="003A48E9"/>
  </w:style>
  <w:style w:type="paragraph" w:styleId="Caption">
    <w:name w:val="caption"/>
    <w:basedOn w:val="Normal"/>
    <w:next w:val="Normal"/>
    <w:qFormat/>
    <w:rsid w:val="00BF0A78"/>
    <w:pPr>
      <w:framePr w:w="9083" w:hSpace="181" w:wrap="around" w:vAnchor="page" w:hAnchor="page" w:x="1702" w:y="579" w:anchorLock="1"/>
      <w:pBdr>
        <w:bottom w:val="single" w:sz="6" w:space="4" w:color="auto"/>
      </w:pBdr>
      <w:jc w:val="center"/>
    </w:pPr>
    <w:rPr>
      <w:rFonts w:eastAsia="Times New Roman"/>
      <w:spacing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3926">
      <w:bodyDiv w:val="1"/>
      <w:marLeft w:val="0"/>
      <w:marRight w:val="0"/>
      <w:marTop w:val="0"/>
      <w:marBottom w:val="0"/>
      <w:divBdr>
        <w:top w:val="none" w:sz="0" w:space="0" w:color="auto"/>
        <w:left w:val="none" w:sz="0" w:space="0" w:color="auto"/>
        <w:bottom w:val="none" w:sz="0" w:space="0" w:color="auto"/>
        <w:right w:val="none" w:sz="0" w:space="0" w:color="auto"/>
      </w:divBdr>
    </w:div>
    <w:div w:id="153187861">
      <w:bodyDiv w:val="1"/>
      <w:marLeft w:val="0"/>
      <w:marRight w:val="0"/>
      <w:marTop w:val="0"/>
      <w:marBottom w:val="0"/>
      <w:divBdr>
        <w:top w:val="none" w:sz="0" w:space="0" w:color="auto"/>
        <w:left w:val="none" w:sz="0" w:space="0" w:color="auto"/>
        <w:bottom w:val="none" w:sz="0" w:space="0" w:color="auto"/>
        <w:right w:val="none" w:sz="0" w:space="0" w:color="auto"/>
      </w:divBdr>
    </w:div>
    <w:div w:id="481847239">
      <w:bodyDiv w:val="1"/>
      <w:marLeft w:val="0"/>
      <w:marRight w:val="0"/>
      <w:marTop w:val="0"/>
      <w:marBottom w:val="0"/>
      <w:divBdr>
        <w:top w:val="none" w:sz="0" w:space="0" w:color="auto"/>
        <w:left w:val="none" w:sz="0" w:space="0" w:color="auto"/>
        <w:bottom w:val="none" w:sz="0" w:space="0" w:color="auto"/>
        <w:right w:val="none" w:sz="0" w:space="0" w:color="auto"/>
      </w:divBdr>
    </w:div>
    <w:div w:id="505903048">
      <w:bodyDiv w:val="1"/>
      <w:marLeft w:val="0"/>
      <w:marRight w:val="0"/>
      <w:marTop w:val="0"/>
      <w:marBottom w:val="0"/>
      <w:divBdr>
        <w:top w:val="none" w:sz="0" w:space="0" w:color="auto"/>
        <w:left w:val="none" w:sz="0" w:space="0" w:color="auto"/>
        <w:bottom w:val="none" w:sz="0" w:space="0" w:color="auto"/>
        <w:right w:val="none" w:sz="0" w:space="0" w:color="auto"/>
      </w:divBdr>
    </w:div>
    <w:div w:id="542641605">
      <w:bodyDiv w:val="1"/>
      <w:marLeft w:val="0"/>
      <w:marRight w:val="0"/>
      <w:marTop w:val="0"/>
      <w:marBottom w:val="0"/>
      <w:divBdr>
        <w:top w:val="none" w:sz="0" w:space="0" w:color="auto"/>
        <w:left w:val="none" w:sz="0" w:space="0" w:color="auto"/>
        <w:bottom w:val="none" w:sz="0" w:space="0" w:color="auto"/>
        <w:right w:val="none" w:sz="0" w:space="0" w:color="auto"/>
      </w:divBdr>
    </w:div>
    <w:div w:id="684670924">
      <w:bodyDiv w:val="1"/>
      <w:marLeft w:val="0"/>
      <w:marRight w:val="0"/>
      <w:marTop w:val="0"/>
      <w:marBottom w:val="0"/>
      <w:divBdr>
        <w:top w:val="none" w:sz="0" w:space="0" w:color="auto"/>
        <w:left w:val="none" w:sz="0" w:space="0" w:color="auto"/>
        <w:bottom w:val="none" w:sz="0" w:space="0" w:color="auto"/>
        <w:right w:val="none" w:sz="0" w:space="0" w:color="auto"/>
      </w:divBdr>
    </w:div>
    <w:div w:id="746340389">
      <w:bodyDiv w:val="1"/>
      <w:marLeft w:val="0"/>
      <w:marRight w:val="0"/>
      <w:marTop w:val="0"/>
      <w:marBottom w:val="0"/>
      <w:divBdr>
        <w:top w:val="none" w:sz="0" w:space="0" w:color="auto"/>
        <w:left w:val="none" w:sz="0" w:space="0" w:color="auto"/>
        <w:bottom w:val="none" w:sz="0" w:space="0" w:color="auto"/>
        <w:right w:val="none" w:sz="0" w:space="0" w:color="auto"/>
      </w:divBdr>
    </w:div>
    <w:div w:id="1106924882">
      <w:bodyDiv w:val="1"/>
      <w:marLeft w:val="0"/>
      <w:marRight w:val="0"/>
      <w:marTop w:val="0"/>
      <w:marBottom w:val="0"/>
      <w:divBdr>
        <w:top w:val="none" w:sz="0" w:space="0" w:color="auto"/>
        <w:left w:val="none" w:sz="0" w:space="0" w:color="auto"/>
        <w:bottom w:val="none" w:sz="0" w:space="0" w:color="auto"/>
        <w:right w:val="none" w:sz="0" w:space="0" w:color="auto"/>
      </w:divBdr>
    </w:div>
    <w:div w:id="1161313124">
      <w:bodyDiv w:val="1"/>
      <w:marLeft w:val="0"/>
      <w:marRight w:val="0"/>
      <w:marTop w:val="0"/>
      <w:marBottom w:val="0"/>
      <w:divBdr>
        <w:top w:val="none" w:sz="0" w:space="0" w:color="auto"/>
        <w:left w:val="none" w:sz="0" w:space="0" w:color="auto"/>
        <w:bottom w:val="none" w:sz="0" w:space="0" w:color="auto"/>
        <w:right w:val="none" w:sz="0" w:space="0" w:color="auto"/>
      </w:divBdr>
    </w:div>
    <w:div w:id="1282607964">
      <w:bodyDiv w:val="1"/>
      <w:marLeft w:val="0"/>
      <w:marRight w:val="0"/>
      <w:marTop w:val="0"/>
      <w:marBottom w:val="0"/>
      <w:divBdr>
        <w:top w:val="none" w:sz="0" w:space="0" w:color="auto"/>
        <w:left w:val="none" w:sz="0" w:space="0" w:color="auto"/>
        <w:bottom w:val="none" w:sz="0" w:space="0" w:color="auto"/>
        <w:right w:val="none" w:sz="0" w:space="0" w:color="auto"/>
      </w:divBdr>
    </w:div>
    <w:div w:id="1338193122">
      <w:bodyDiv w:val="1"/>
      <w:marLeft w:val="0"/>
      <w:marRight w:val="0"/>
      <w:marTop w:val="0"/>
      <w:marBottom w:val="0"/>
      <w:divBdr>
        <w:top w:val="none" w:sz="0" w:space="0" w:color="auto"/>
        <w:left w:val="none" w:sz="0" w:space="0" w:color="auto"/>
        <w:bottom w:val="none" w:sz="0" w:space="0" w:color="auto"/>
        <w:right w:val="none" w:sz="0" w:space="0" w:color="auto"/>
      </w:divBdr>
    </w:div>
    <w:div w:id="1689138652">
      <w:bodyDiv w:val="1"/>
      <w:marLeft w:val="0"/>
      <w:marRight w:val="0"/>
      <w:marTop w:val="0"/>
      <w:marBottom w:val="0"/>
      <w:divBdr>
        <w:top w:val="none" w:sz="0" w:space="0" w:color="auto"/>
        <w:left w:val="none" w:sz="0" w:space="0" w:color="auto"/>
        <w:bottom w:val="none" w:sz="0" w:space="0" w:color="auto"/>
        <w:right w:val="none" w:sz="0" w:space="0" w:color="auto"/>
      </w:divBdr>
      <w:divsChild>
        <w:div w:id="1687636616">
          <w:marLeft w:val="0"/>
          <w:marRight w:val="0"/>
          <w:marTop w:val="0"/>
          <w:marBottom w:val="0"/>
          <w:divBdr>
            <w:top w:val="none" w:sz="0" w:space="0" w:color="auto"/>
            <w:left w:val="none" w:sz="0" w:space="0" w:color="auto"/>
            <w:bottom w:val="none" w:sz="0" w:space="0" w:color="auto"/>
            <w:right w:val="none" w:sz="0" w:space="0" w:color="auto"/>
          </w:divBdr>
        </w:div>
      </w:divsChild>
    </w:div>
    <w:div w:id="1702827959">
      <w:bodyDiv w:val="1"/>
      <w:marLeft w:val="0"/>
      <w:marRight w:val="0"/>
      <w:marTop w:val="0"/>
      <w:marBottom w:val="0"/>
      <w:divBdr>
        <w:top w:val="none" w:sz="0" w:space="0" w:color="auto"/>
        <w:left w:val="none" w:sz="0" w:space="0" w:color="auto"/>
        <w:bottom w:val="none" w:sz="0" w:space="0" w:color="auto"/>
        <w:right w:val="none" w:sz="0" w:space="0" w:color="auto"/>
      </w:divBdr>
    </w:div>
    <w:div w:id="1829129156">
      <w:bodyDiv w:val="1"/>
      <w:marLeft w:val="0"/>
      <w:marRight w:val="0"/>
      <w:marTop w:val="0"/>
      <w:marBottom w:val="0"/>
      <w:divBdr>
        <w:top w:val="none" w:sz="0" w:space="0" w:color="auto"/>
        <w:left w:val="none" w:sz="0" w:space="0" w:color="auto"/>
        <w:bottom w:val="none" w:sz="0" w:space="0" w:color="auto"/>
        <w:right w:val="none" w:sz="0" w:space="0" w:color="auto"/>
      </w:divBdr>
    </w:div>
    <w:div w:id="1847598265">
      <w:bodyDiv w:val="1"/>
      <w:marLeft w:val="0"/>
      <w:marRight w:val="0"/>
      <w:marTop w:val="0"/>
      <w:marBottom w:val="0"/>
      <w:divBdr>
        <w:top w:val="none" w:sz="0" w:space="0" w:color="auto"/>
        <w:left w:val="none" w:sz="0" w:space="0" w:color="auto"/>
        <w:bottom w:val="none" w:sz="0" w:space="0" w:color="auto"/>
        <w:right w:val="none" w:sz="0" w:space="0" w:color="auto"/>
      </w:divBdr>
    </w:div>
    <w:div w:id="1860581884">
      <w:bodyDiv w:val="1"/>
      <w:marLeft w:val="0"/>
      <w:marRight w:val="0"/>
      <w:marTop w:val="0"/>
      <w:marBottom w:val="0"/>
      <w:divBdr>
        <w:top w:val="none" w:sz="0" w:space="0" w:color="auto"/>
        <w:left w:val="none" w:sz="0" w:space="0" w:color="auto"/>
        <w:bottom w:val="none" w:sz="0" w:space="0" w:color="auto"/>
        <w:right w:val="none" w:sz="0" w:space="0" w:color="auto"/>
      </w:divBdr>
    </w:div>
    <w:div w:id="1870992814">
      <w:bodyDiv w:val="1"/>
      <w:marLeft w:val="0"/>
      <w:marRight w:val="0"/>
      <w:marTop w:val="0"/>
      <w:marBottom w:val="0"/>
      <w:divBdr>
        <w:top w:val="none" w:sz="0" w:space="0" w:color="auto"/>
        <w:left w:val="none" w:sz="0" w:space="0" w:color="auto"/>
        <w:bottom w:val="none" w:sz="0" w:space="0" w:color="auto"/>
        <w:right w:val="none" w:sz="0" w:space="0" w:color="auto"/>
      </w:divBdr>
    </w:div>
    <w:div w:id="2059426701">
      <w:bodyDiv w:val="1"/>
      <w:marLeft w:val="0"/>
      <w:marRight w:val="0"/>
      <w:marTop w:val="0"/>
      <w:marBottom w:val="0"/>
      <w:divBdr>
        <w:top w:val="none" w:sz="0" w:space="0" w:color="auto"/>
        <w:left w:val="none" w:sz="0" w:space="0" w:color="auto"/>
        <w:bottom w:val="none" w:sz="0" w:space="0" w:color="auto"/>
        <w:right w:val="none" w:sz="0" w:space="0" w:color="auto"/>
      </w:divBdr>
    </w:div>
    <w:div w:id="20635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mailto:Kristine.Priedite@e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94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eli/reg/2014/651/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C70A-4579-4B91-96DB-13FFCDD3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18</Pages>
  <Words>16956</Words>
  <Characters>9666</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Eberharde</dc:creator>
  <cp:keywords/>
  <dc:description/>
  <cp:lastModifiedBy>Kristīne Priedīte</cp:lastModifiedBy>
  <cp:revision>223</cp:revision>
  <cp:lastPrinted>2020-08-10T12:14:00Z</cp:lastPrinted>
  <dcterms:created xsi:type="dcterms:W3CDTF">2020-03-10T14:19:00Z</dcterms:created>
  <dcterms:modified xsi:type="dcterms:W3CDTF">2020-09-22T07:26:00Z</dcterms:modified>
</cp:coreProperties>
</file>