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82336844"/>
        <w:docPartObj>
          <w:docPartGallery w:val="Cover Pages"/>
          <w:docPartUnique/>
        </w:docPartObj>
      </w:sdtPr>
      <w:sdtEndPr/>
      <w:sdtContent>
        <w:p w14:paraId="1C9D4B62" w14:textId="3E9F0171" w:rsidR="00E14DCE" w:rsidRDefault="00E14DCE">
          <w:r>
            <w:rPr>
              <w:noProof/>
            </w:rPr>
            <mc:AlternateContent>
              <mc:Choice Requires="wpg">
                <w:drawing>
                  <wp:anchor distT="0" distB="0" distL="114300" distR="114300" simplePos="0" relativeHeight="251662336" behindDoc="0" locked="0" layoutInCell="1" allowOverlap="1" wp14:anchorId="5961A4C6" wp14:editId="4AE3A0D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790700"/>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17907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14F584C6" id="Group 149" o:spid="_x0000_s1026" style="position:absolute;margin-left:0;margin-top:0;width:8in;height:141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h0UVeV&#10;BQAApBsAAA4AAAAAAAAAAAAAAAAAOgIAAGRycy9lMm9Eb2MueG1sUEsBAi0ACgAAAAAAAAAhAJsb&#10;FBFoZAAAaGQAABQAAAAAAAAAAAAAAAAA+wcAAGRycy9tZWRpYS9pbWFnZTEucG5nUEsBAi0AFAAG&#10;AAgAAAAhAIf/NDzXAAAABgEAAA8AAAAAAAAAAAAAAAAAlW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346F1D80" w14:textId="77777777" w:rsidR="00E14DCE" w:rsidRDefault="00E14DCE" w:rsidP="00E14DCE">
          <w:pPr>
            <w:jc w:val="center"/>
            <w:rPr>
              <w:rFonts w:ascii="Times New Roman" w:hAnsi="Times New Roman"/>
              <w:b/>
              <w:sz w:val="36"/>
              <w:szCs w:val="36"/>
            </w:rPr>
          </w:pPr>
        </w:p>
        <w:p w14:paraId="0BD5FC54" w14:textId="77777777" w:rsidR="00E14DCE" w:rsidRDefault="00E14DCE" w:rsidP="00E14DCE">
          <w:pPr>
            <w:jc w:val="center"/>
            <w:rPr>
              <w:rFonts w:ascii="Times New Roman" w:hAnsi="Times New Roman"/>
              <w:b/>
              <w:sz w:val="36"/>
              <w:szCs w:val="36"/>
            </w:rPr>
          </w:pPr>
        </w:p>
        <w:p w14:paraId="7C337ADE" w14:textId="77777777" w:rsidR="00E14DCE" w:rsidRDefault="00E14DCE" w:rsidP="00E14DCE">
          <w:pPr>
            <w:jc w:val="center"/>
            <w:rPr>
              <w:rFonts w:ascii="Times New Roman" w:hAnsi="Times New Roman"/>
              <w:b/>
              <w:sz w:val="36"/>
              <w:szCs w:val="36"/>
            </w:rPr>
          </w:pPr>
        </w:p>
        <w:p w14:paraId="5AF46E31" w14:textId="77777777" w:rsidR="00E14DCE" w:rsidRDefault="00E14DCE" w:rsidP="00E14DCE">
          <w:pPr>
            <w:jc w:val="center"/>
            <w:rPr>
              <w:rFonts w:ascii="Times New Roman" w:hAnsi="Times New Roman"/>
              <w:b/>
              <w:sz w:val="36"/>
              <w:szCs w:val="36"/>
            </w:rPr>
          </w:pPr>
        </w:p>
        <w:p w14:paraId="34CF0A7E" w14:textId="6B68C83C" w:rsidR="00E14DCE" w:rsidRPr="00220277" w:rsidRDefault="00E14DCE" w:rsidP="00E14DCE">
          <w:pPr>
            <w:jc w:val="center"/>
            <w:rPr>
              <w:rFonts w:ascii="Times New Roman" w:hAnsi="Times New Roman"/>
              <w:b/>
              <w:sz w:val="36"/>
              <w:szCs w:val="36"/>
            </w:rPr>
          </w:pPr>
          <w:r w:rsidRPr="00220277">
            <w:rPr>
              <w:rFonts w:ascii="Times New Roman" w:hAnsi="Times New Roman"/>
              <w:b/>
              <w:sz w:val="36"/>
              <w:szCs w:val="36"/>
            </w:rPr>
            <w:t>Informatīvais ziņojums</w:t>
          </w:r>
        </w:p>
        <w:p w14:paraId="644014F6" w14:textId="77777777" w:rsidR="00E14DCE" w:rsidRDefault="00E14DCE" w:rsidP="00E14DCE">
          <w:pPr>
            <w:spacing w:line="240" w:lineRule="auto"/>
            <w:jc w:val="center"/>
            <w:rPr>
              <w:rFonts w:ascii="Times New Roman" w:hAnsi="Times New Roman"/>
              <w:b/>
              <w:caps/>
              <w:color w:val="1F4E79" w:themeColor="accent5" w:themeShade="80"/>
              <w:sz w:val="36"/>
              <w:szCs w:val="36"/>
            </w:rPr>
          </w:pPr>
        </w:p>
        <w:p w14:paraId="34BAC723" w14:textId="1FC1E040" w:rsidR="00E14DCE" w:rsidRDefault="00E14DCE" w:rsidP="00F9706F">
          <w:pPr>
            <w:spacing w:line="276" w:lineRule="auto"/>
            <w:ind w:firstLine="0"/>
            <w:jc w:val="center"/>
            <w:rPr>
              <w:rFonts w:ascii="Times New Roman" w:hAnsi="Times New Roman"/>
              <w:b/>
              <w:color w:val="1F4E79" w:themeColor="accent5" w:themeShade="80"/>
              <w:sz w:val="36"/>
              <w:szCs w:val="36"/>
              <w:shd w:val="clear" w:color="auto" w:fill="FFFFFF"/>
            </w:rPr>
          </w:pPr>
          <w:r w:rsidRPr="00767889">
            <w:rPr>
              <w:rFonts w:ascii="Times New Roman" w:hAnsi="Times New Roman"/>
              <w:b/>
              <w:caps/>
              <w:color w:val="1F4E79" w:themeColor="accent5" w:themeShade="80"/>
              <w:sz w:val="36"/>
              <w:szCs w:val="36"/>
            </w:rPr>
            <w:t>Par prognozētām izmaiņām darbaspēka un būvmateriālu izmaksās būvniecības nozarē</w:t>
          </w:r>
          <w:r w:rsidRPr="00767889">
            <w:rPr>
              <w:rFonts w:ascii="Times New Roman" w:hAnsi="Times New Roman"/>
              <w:b/>
              <w:caps/>
              <w:color w:val="1F4E79" w:themeColor="accent5" w:themeShade="80"/>
              <w:sz w:val="36"/>
              <w:szCs w:val="36"/>
              <w:shd w:val="clear" w:color="auto" w:fill="FFFFFF"/>
            </w:rPr>
            <w:t xml:space="preserve"> un to ietekmi uz tautsaimniecību</w:t>
          </w:r>
        </w:p>
        <w:p w14:paraId="7C7647E7" w14:textId="4CC74A2B" w:rsidR="00E14DCE" w:rsidRDefault="00E14DCE" w:rsidP="00E14DCE">
          <w:pPr>
            <w:spacing w:line="240" w:lineRule="auto"/>
            <w:jc w:val="center"/>
            <w:rPr>
              <w:rFonts w:ascii="Times New Roman" w:hAnsi="Times New Roman"/>
              <w:b/>
              <w:color w:val="1F4E79" w:themeColor="accent5" w:themeShade="80"/>
              <w:sz w:val="36"/>
              <w:szCs w:val="36"/>
              <w:shd w:val="clear" w:color="auto" w:fill="FFFFFF"/>
            </w:rPr>
          </w:pPr>
        </w:p>
        <w:p w14:paraId="60B15FFA" w14:textId="75B655E2" w:rsidR="00E14DCE" w:rsidRDefault="00E14DCE" w:rsidP="00E14DCE">
          <w:pPr>
            <w:spacing w:line="240" w:lineRule="auto"/>
            <w:jc w:val="center"/>
            <w:rPr>
              <w:rFonts w:ascii="Times New Roman" w:hAnsi="Times New Roman"/>
              <w:b/>
              <w:color w:val="1F4E79" w:themeColor="accent5" w:themeShade="80"/>
              <w:sz w:val="36"/>
              <w:szCs w:val="36"/>
              <w:shd w:val="clear" w:color="auto" w:fill="FFFFFF"/>
            </w:rPr>
          </w:pPr>
        </w:p>
        <w:p w14:paraId="3751626D" w14:textId="7DDA173A" w:rsidR="00E14DCE" w:rsidRDefault="00E14DCE" w:rsidP="00E14DCE">
          <w:pPr>
            <w:spacing w:line="240" w:lineRule="auto"/>
            <w:jc w:val="center"/>
            <w:rPr>
              <w:rFonts w:ascii="Times New Roman" w:hAnsi="Times New Roman"/>
              <w:b/>
              <w:color w:val="1F4E79" w:themeColor="accent5" w:themeShade="80"/>
              <w:sz w:val="36"/>
              <w:szCs w:val="36"/>
              <w:shd w:val="clear" w:color="auto" w:fill="FFFFFF"/>
            </w:rPr>
          </w:pPr>
        </w:p>
        <w:p w14:paraId="02C3FF7E" w14:textId="5E81FE55" w:rsidR="0045738B" w:rsidRDefault="0045738B">
          <w:pPr>
            <w:spacing w:after="160" w:line="259" w:lineRule="auto"/>
            <w:ind w:firstLine="0"/>
            <w:jc w:val="left"/>
            <w:rPr>
              <w:rFonts w:ascii="Times New Roman" w:hAnsi="Times New Roman"/>
              <w:b/>
              <w:color w:val="1F4E79" w:themeColor="accent5" w:themeShade="80"/>
              <w:sz w:val="36"/>
              <w:szCs w:val="36"/>
              <w:shd w:val="clear" w:color="auto" w:fill="FFFFFF"/>
            </w:rPr>
          </w:pPr>
          <w:r>
            <w:rPr>
              <w:rFonts w:ascii="Times New Roman" w:hAnsi="Times New Roman"/>
              <w:b/>
              <w:color w:val="1F4E79" w:themeColor="accent5" w:themeShade="80"/>
              <w:sz w:val="36"/>
              <w:szCs w:val="36"/>
              <w:shd w:val="clear" w:color="auto" w:fill="FFFFFF"/>
            </w:rPr>
            <w:br w:type="page"/>
          </w:r>
        </w:p>
        <w:p w14:paraId="1F39B10B" w14:textId="77777777" w:rsidR="007B4A04" w:rsidRPr="007F3895" w:rsidRDefault="00E14DCE" w:rsidP="00E14DCE">
          <w:pPr>
            <w:rPr>
              <w:rFonts w:ascii="Times New Roman" w:hAnsi="Times New Roman" w:cs="Times New Roman"/>
              <w:color w:val="2A2A2A"/>
              <w:sz w:val="24"/>
              <w:szCs w:val="24"/>
              <w:shd w:val="clear" w:color="auto" w:fill="FFFFFF"/>
            </w:rPr>
          </w:pPr>
          <w:r w:rsidRPr="007F3895">
            <w:rPr>
              <w:rFonts w:ascii="Times New Roman" w:hAnsi="Times New Roman" w:cs="Times New Roman"/>
              <w:color w:val="2A2A2A"/>
              <w:sz w:val="24"/>
              <w:szCs w:val="24"/>
              <w:shd w:val="clear" w:color="auto" w:fill="FFFFFF"/>
            </w:rPr>
            <w:lastRenderedPageBreak/>
            <w:t>Ekonomikas ministrija, lai nodrošinātu "Deklarācijas par Artura Krišjāņa Kariņa vadītā Ministru kabineta iecerēto darbību" 26.uzdevuma efektīvu izpildi, ir v</w:t>
          </w:r>
          <w:r w:rsidRPr="007F3895">
            <w:rPr>
              <w:rFonts w:ascii="Times New Roman" w:hAnsi="Times New Roman" w:cs="Times New Roman"/>
              <w:sz w:val="24"/>
              <w:szCs w:val="24"/>
            </w:rPr>
            <w:t xml:space="preserve">eikusi pētījumu par prognozētām izmaiņām darba spēka un būvmateriālu izmaksās būvniecības nozarē un atbilstoši </w:t>
          </w:r>
          <w:r w:rsidRPr="007F3895">
            <w:rPr>
              <w:rFonts w:ascii="Times New Roman" w:hAnsi="Times New Roman" w:cs="Times New Roman"/>
              <w:color w:val="2A2A2A"/>
              <w:sz w:val="24"/>
              <w:szCs w:val="24"/>
              <w:shd w:val="clear" w:color="auto" w:fill="FFFFFF"/>
            </w:rPr>
            <w:t>Ministru kabineta 2019.gada 23.aprīļa sēdē (protokols Nr.21,</w:t>
          </w:r>
          <w:r w:rsidRPr="007F3895">
            <w:rPr>
              <w:rFonts w:ascii="Times New Roman" w:eastAsia="Times New Roman" w:hAnsi="Times New Roman" w:cs="Times New Roman"/>
              <w:sz w:val="24"/>
              <w:szCs w:val="24"/>
            </w:rPr>
            <w:t xml:space="preserve"> 23.§, 3.punkts) dotajam uzdevumam, iesniedz </w:t>
          </w:r>
          <w:r w:rsidRPr="007F3895">
            <w:rPr>
              <w:rFonts w:ascii="Times New Roman" w:hAnsi="Times New Roman" w:cs="Times New Roman"/>
              <w:color w:val="2A2A2A"/>
              <w:sz w:val="24"/>
              <w:szCs w:val="24"/>
              <w:shd w:val="clear" w:color="auto" w:fill="FFFFFF"/>
            </w:rPr>
            <w:t xml:space="preserve">Ministru kabinetam </w:t>
          </w:r>
          <w:r w:rsidRPr="007F3895">
            <w:rPr>
              <w:rFonts w:ascii="Times New Roman" w:eastAsia="Times New Roman" w:hAnsi="Times New Roman" w:cs="Times New Roman"/>
              <w:sz w:val="24"/>
              <w:szCs w:val="24"/>
            </w:rPr>
            <w:t xml:space="preserve">informāciju </w:t>
          </w:r>
          <w:r w:rsidRPr="007F3895">
            <w:rPr>
              <w:rFonts w:ascii="Times New Roman" w:hAnsi="Times New Roman" w:cs="Times New Roman"/>
              <w:color w:val="2A2A2A"/>
              <w:sz w:val="24"/>
              <w:szCs w:val="24"/>
              <w:shd w:val="clear" w:color="auto" w:fill="FFFFFF"/>
            </w:rPr>
            <w:t xml:space="preserve">par </w:t>
          </w:r>
          <w:proofErr w:type="spellStart"/>
          <w:r w:rsidRPr="007F3895">
            <w:rPr>
              <w:rFonts w:ascii="Times New Roman" w:hAnsi="Times New Roman" w:cs="Times New Roman"/>
              <w:color w:val="2A2A2A"/>
              <w:sz w:val="24"/>
              <w:szCs w:val="24"/>
              <w:shd w:val="clear" w:color="auto" w:fill="FFFFFF"/>
            </w:rPr>
            <w:t>izvērtējuma</w:t>
          </w:r>
          <w:proofErr w:type="spellEnd"/>
          <w:r w:rsidRPr="007F3895">
            <w:rPr>
              <w:rFonts w:ascii="Times New Roman" w:hAnsi="Times New Roman" w:cs="Times New Roman"/>
              <w:color w:val="2A2A2A"/>
              <w:sz w:val="24"/>
              <w:szCs w:val="24"/>
              <w:shd w:val="clear" w:color="auto" w:fill="FFFFFF"/>
            </w:rPr>
            <w:t xml:space="preserve"> rezultātiem, un prognozēto ietekmi uz tautsaimniecību.</w:t>
          </w:r>
          <w:r w:rsidR="007B4A04" w:rsidRPr="007F3895">
            <w:rPr>
              <w:rFonts w:ascii="Times New Roman" w:hAnsi="Times New Roman" w:cs="Times New Roman"/>
              <w:color w:val="2A2A2A"/>
              <w:sz w:val="24"/>
              <w:szCs w:val="24"/>
              <w:shd w:val="clear" w:color="auto" w:fill="FFFFFF"/>
            </w:rPr>
            <w:t xml:space="preserve"> </w:t>
          </w:r>
        </w:p>
        <w:p w14:paraId="68885821" w14:textId="77777777" w:rsidR="007B4A04" w:rsidRPr="007F3895" w:rsidRDefault="00E14DCE" w:rsidP="00E14DCE">
          <w:pPr>
            <w:rPr>
              <w:rFonts w:ascii="Times New Roman" w:hAnsi="Times New Roman" w:cs="Times New Roman"/>
              <w:color w:val="2A2A2A"/>
              <w:sz w:val="24"/>
              <w:szCs w:val="24"/>
              <w:shd w:val="clear" w:color="auto" w:fill="FFFFFF"/>
            </w:rPr>
          </w:pPr>
          <w:r w:rsidRPr="007F3895">
            <w:rPr>
              <w:rFonts w:ascii="Times New Roman" w:hAnsi="Times New Roman" w:cs="Times New Roman"/>
              <w:color w:val="2A2A2A"/>
              <w:sz w:val="24"/>
              <w:szCs w:val="24"/>
              <w:shd w:val="clear" w:color="auto" w:fill="FFFFFF"/>
            </w:rPr>
            <w:t xml:space="preserve">Pētījums </w:t>
          </w:r>
          <w:r w:rsidRPr="007F3895">
            <w:rPr>
              <w:rFonts w:ascii="Times New Roman" w:hAnsi="Times New Roman" w:cs="Times New Roman"/>
              <w:sz w:val="24"/>
              <w:szCs w:val="24"/>
            </w:rPr>
            <w:t xml:space="preserve">„Par prognozētām izmaiņām darbaspēka un būvmateriālu izmaksās būvniecības nozarē Latvijā 2020.- 2024.gadam” </w:t>
          </w:r>
          <w:r w:rsidRPr="007F3895">
            <w:rPr>
              <w:rFonts w:ascii="Times New Roman" w:hAnsi="Times New Roman" w:cs="Times New Roman"/>
              <w:color w:val="2A2A2A"/>
              <w:sz w:val="24"/>
              <w:szCs w:val="24"/>
              <w:shd w:val="clear" w:color="auto" w:fill="FFFFFF"/>
            </w:rPr>
            <w:t xml:space="preserve"> veikts pēc 2018. gadā izstrādātās metodoloģijas </w:t>
          </w:r>
          <w:r w:rsidRPr="007F3895">
            <w:rPr>
              <w:rFonts w:ascii="Times New Roman" w:hAnsi="Times New Roman" w:cs="Times New Roman"/>
              <w:sz w:val="24"/>
              <w:szCs w:val="24"/>
            </w:rPr>
            <w:t xml:space="preserve">darbaspēka un būvmateriālu izmaksu izmaiņu  </w:t>
          </w:r>
          <w:r w:rsidRPr="007F3895">
            <w:rPr>
              <w:rFonts w:ascii="Times New Roman" w:hAnsi="Times New Roman" w:cs="Times New Roman"/>
              <w:color w:val="2A2A2A"/>
              <w:sz w:val="24"/>
              <w:szCs w:val="24"/>
              <w:shd w:val="clear" w:color="auto" w:fill="FFFFFF"/>
            </w:rPr>
            <w:t>prognozēšanai</w:t>
          </w:r>
          <w:r w:rsidRPr="007F3895">
            <w:rPr>
              <w:rFonts w:ascii="Times New Roman" w:hAnsi="Times New Roman" w:cs="Times New Roman"/>
              <w:sz w:val="24"/>
              <w:szCs w:val="24"/>
            </w:rPr>
            <w:t xml:space="preserve"> būvniecības nozarē. Ar pētījumu plašāk var iepazīties </w:t>
          </w:r>
          <w:r w:rsidRPr="007F3895">
            <w:rPr>
              <w:rFonts w:ascii="Times New Roman" w:hAnsi="Times New Roman" w:cs="Times New Roman"/>
              <w:color w:val="2A2A2A"/>
              <w:sz w:val="24"/>
              <w:szCs w:val="24"/>
              <w:shd w:val="clear" w:color="auto" w:fill="FFFFFF"/>
            </w:rPr>
            <w:t>Ekonomikas</w:t>
          </w:r>
        </w:p>
        <w:p w14:paraId="69E14982" w14:textId="1821D8C4" w:rsidR="00E14DCE" w:rsidRPr="007F3895" w:rsidRDefault="00E14DCE" w:rsidP="00A01DCA">
          <w:pPr>
            <w:ind w:firstLine="0"/>
            <w:jc w:val="left"/>
            <w:rPr>
              <w:rFonts w:ascii="Times New Roman" w:hAnsi="Times New Roman" w:cs="Times New Roman"/>
              <w:color w:val="2A2A2A"/>
              <w:sz w:val="24"/>
              <w:szCs w:val="24"/>
              <w:shd w:val="clear" w:color="auto" w:fill="FFFFFF"/>
            </w:rPr>
          </w:pPr>
          <w:r w:rsidRPr="007F3895">
            <w:rPr>
              <w:rFonts w:ascii="Times New Roman" w:hAnsi="Times New Roman" w:cs="Times New Roman"/>
              <w:color w:val="2A2A2A"/>
              <w:sz w:val="24"/>
              <w:szCs w:val="24"/>
              <w:shd w:val="clear" w:color="auto" w:fill="FFFFFF"/>
            </w:rPr>
            <w:t>ministrijas tīmekļa vietnē</w:t>
          </w:r>
          <w:r w:rsidR="007B4A04" w:rsidRPr="007F3895">
            <w:rPr>
              <w:rFonts w:ascii="Times New Roman" w:hAnsi="Times New Roman" w:cs="Times New Roman"/>
              <w:color w:val="2A2A2A"/>
              <w:sz w:val="24"/>
              <w:szCs w:val="24"/>
              <w:shd w:val="clear" w:color="auto" w:fill="FFFFFF"/>
            </w:rPr>
            <w:t xml:space="preserve"> :</w:t>
          </w:r>
          <w:r w:rsidR="00A01DCA" w:rsidRPr="007F3895">
            <w:rPr>
              <w:sz w:val="24"/>
              <w:szCs w:val="24"/>
            </w:rPr>
            <w:t xml:space="preserve"> </w:t>
          </w:r>
          <w:hyperlink r:id="rId11" w:history="1">
            <w:r w:rsidR="00A01DCA" w:rsidRPr="007F3895">
              <w:rPr>
                <w:rStyle w:val="Hyperlink"/>
                <w:rFonts w:ascii="Times New Roman" w:hAnsi="Times New Roman" w:cs="Times New Roman"/>
                <w:sz w:val="24"/>
                <w:szCs w:val="24"/>
                <w:shd w:val="clear" w:color="auto" w:fill="FFFFFF"/>
              </w:rPr>
              <w:t>https://www.em.gov.lv/lv/nozares_politika/buvnieciba_/_buvniecibas_nozare__attistiba__strategija_un_petijumi/</w:t>
            </w:r>
          </w:hyperlink>
          <w:r w:rsidR="00A01DCA" w:rsidRPr="007F3895">
            <w:rPr>
              <w:rFonts w:ascii="Times New Roman" w:hAnsi="Times New Roman" w:cs="Times New Roman"/>
              <w:color w:val="2A2A2A"/>
              <w:sz w:val="24"/>
              <w:szCs w:val="24"/>
              <w:shd w:val="clear" w:color="auto" w:fill="FFFFFF"/>
            </w:rPr>
            <w:t xml:space="preserve"> </w:t>
          </w:r>
          <w:r w:rsidR="007B4A04" w:rsidRPr="007F3895">
            <w:rPr>
              <w:rFonts w:ascii="Times New Roman" w:hAnsi="Times New Roman" w:cs="Times New Roman"/>
              <w:color w:val="2A2A2A"/>
              <w:sz w:val="24"/>
              <w:szCs w:val="24"/>
              <w:shd w:val="clear" w:color="auto" w:fill="FFFFFF"/>
            </w:rPr>
            <w:t xml:space="preserve"> </w:t>
          </w:r>
        </w:p>
        <w:p w14:paraId="39019A11" w14:textId="77777777" w:rsidR="00A00519" w:rsidRPr="007F3895" w:rsidRDefault="0045738B" w:rsidP="00A00519">
          <w:pPr>
            <w:ind w:firstLine="0"/>
            <w:rPr>
              <w:rFonts w:ascii="Times New Roman" w:hAnsi="Times New Roman" w:cs="Times New Roman"/>
              <w:color w:val="2A2A2A"/>
              <w:sz w:val="24"/>
              <w:szCs w:val="24"/>
              <w:shd w:val="clear" w:color="auto" w:fill="FFFFFF"/>
            </w:rPr>
          </w:pPr>
          <w:r w:rsidRPr="007F3895">
            <w:rPr>
              <w:rFonts w:ascii="Times New Roman" w:hAnsi="Times New Roman" w:cs="Times New Roman"/>
              <w:color w:val="2A2A2A"/>
              <w:sz w:val="24"/>
              <w:szCs w:val="24"/>
              <w:shd w:val="clear" w:color="auto" w:fill="FFFFFF"/>
            </w:rPr>
            <w:tab/>
          </w:r>
          <w:r w:rsidR="002F65DC" w:rsidRPr="007F3895">
            <w:rPr>
              <w:rFonts w:ascii="Times New Roman" w:hAnsi="Times New Roman" w:cs="Times New Roman"/>
              <w:color w:val="2A2A2A"/>
              <w:sz w:val="24"/>
              <w:szCs w:val="24"/>
              <w:shd w:val="clear" w:color="auto" w:fill="FFFFFF"/>
            </w:rPr>
            <w:t xml:space="preserve">Pētījuma mērķis ir sekot līdzi būvniecības nozares attīstības tendencēm, tai skaitā būvniecības apjoma pieauguma svārstībām un būvniecības izmaksu pieauguma rādītājiem, lai laikus identificētu nozares attīstību traucējošos faktorus un iespējamos pārkāršanas riskus, kā arī, balstoties uz nozares ekspertu </w:t>
          </w:r>
          <w:r w:rsidR="00A00519" w:rsidRPr="007F3895">
            <w:rPr>
              <w:rFonts w:ascii="Times New Roman" w:hAnsi="Times New Roman" w:cs="Times New Roman"/>
              <w:color w:val="2A2A2A"/>
              <w:sz w:val="24"/>
              <w:szCs w:val="24"/>
              <w:shd w:val="clear" w:color="auto" w:fill="FFFFFF"/>
            </w:rPr>
            <w:t>viedokli, un izmantojot prognozēšanas metodes, prognozētu būvniecības produkcijas apjomu un būvniecības izmaksas.</w:t>
          </w:r>
        </w:p>
        <w:p w14:paraId="747C0241" w14:textId="77777777" w:rsidR="00B5766D" w:rsidRPr="007F3895" w:rsidRDefault="00A00519" w:rsidP="00A00519">
          <w:pPr>
            <w:rPr>
              <w:rFonts w:ascii="Times New Roman" w:hAnsi="Times New Roman" w:cs="Times New Roman"/>
              <w:color w:val="2A2A2A"/>
              <w:sz w:val="24"/>
              <w:szCs w:val="24"/>
              <w:shd w:val="clear" w:color="auto" w:fill="FFFFFF"/>
            </w:rPr>
          </w:pPr>
          <w:r w:rsidRPr="007F3895">
            <w:rPr>
              <w:rFonts w:ascii="Times New Roman" w:hAnsi="Times New Roman" w:cs="Times New Roman"/>
              <w:color w:val="2A2A2A"/>
              <w:sz w:val="24"/>
              <w:szCs w:val="24"/>
              <w:shd w:val="clear" w:color="auto" w:fill="FFFFFF"/>
            </w:rPr>
            <w:t xml:space="preserve">Pētījuma secinājumi ir izmantojami privāto un publisko investīciju plānošanai, publisko investīciju gadījumā pētījuma dati tiek izmantoti nākamā gada valsts un pašvaldību budžetu plānošanai, nodrošinot jēgpilnu investīciju </w:t>
          </w:r>
          <w:r w:rsidR="00B5766D" w:rsidRPr="007F3895">
            <w:rPr>
              <w:rFonts w:ascii="Times New Roman" w:hAnsi="Times New Roman" w:cs="Times New Roman"/>
              <w:color w:val="2A2A2A"/>
              <w:sz w:val="24"/>
              <w:szCs w:val="24"/>
              <w:shd w:val="clear" w:color="auto" w:fill="FFFFFF"/>
            </w:rPr>
            <w:t xml:space="preserve">naudas plūsmas plānošanu nākamā gada valsts budžeta izstrādes procesā. Pētījuma rezultāti ir izmantojami, lai valsts varētu ilgtermiņa plānot ieguldījumus infrastruktūrā, izlīdzinot iespējamās apjoma svārstības. </w:t>
          </w:r>
        </w:p>
        <w:p w14:paraId="05CE1EBD" w14:textId="15F2C347" w:rsidR="00C9158F" w:rsidRPr="00C9158F" w:rsidRDefault="00C9158F" w:rsidP="00C9158F">
          <w:pPr>
            <w:rPr>
              <w:rFonts w:ascii="Times New Roman" w:hAnsi="Times New Roman" w:cs="Times New Roman"/>
              <w:sz w:val="24"/>
              <w:szCs w:val="24"/>
            </w:rPr>
          </w:pPr>
          <w:r w:rsidRPr="00C9158F">
            <w:rPr>
              <w:rFonts w:ascii="Times New Roman" w:hAnsi="Times New Roman" w:cs="Times New Roman"/>
              <w:sz w:val="24"/>
              <w:szCs w:val="24"/>
            </w:rPr>
            <w:t xml:space="preserve">Pētījumā izmantotā metodika </w:t>
          </w:r>
          <w:r w:rsidRPr="00C9158F">
            <w:rPr>
              <w:rFonts w:ascii="Times New Roman" w:hAnsi="Times New Roman" w:cs="Times New Roman"/>
              <w:color w:val="2A2A2A"/>
              <w:sz w:val="24"/>
              <w:szCs w:val="24"/>
              <w:shd w:val="clear" w:color="auto" w:fill="FFFFFF"/>
            </w:rPr>
            <w:t xml:space="preserve">ir izstrādātā 2018. gadā </w:t>
          </w:r>
          <w:r w:rsidRPr="00C9158F">
            <w:rPr>
              <w:rFonts w:ascii="Times New Roman" w:hAnsi="Times New Roman" w:cs="Times New Roman"/>
              <w:sz w:val="24"/>
              <w:szCs w:val="24"/>
            </w:rPr>
            <w:t xml:space="preserve">ietver gan statistisko, gan </w:t>
          </w:r>
          <w:proofErr w:type="spellStart"/>
          <w:r w:rsidRPr="00C9158F">
            <w:rPr>
              <w:rFonts w:ascii="Times New Roman" w:hAnsi="Times New Roman" w:cs="Times New Roman"/>
              <w:sz w:val="24"/>
              <w:szCs w:val="24"/>
            </w:rPr>
            <w:t>ekspertmetožu</w:t>
          </w:r>
          <w:proofErr w:type="spellEnd"/>
          <w:r w:rsidRPr="00C9158F">
            <w:rPr>
              <w:rFonts w:ascii="Times New Roman" w:hAnsi="Times New Roman" w:cs="Times New Roman"/>
              <w:sz w:val="24"/>
              <w:szCs w:val="24"/>
            </w:rPr>
            <w:t>, gan kombinēto metožu izmantošanu. Pētījuma statistisko datu masīvu veido CSP būvniecības jomas dati, kas raksturo būvniecības izmaksu, apjoma un citu būvniecības nozari raksturojošo komponenšu izmaiņas Latvijā. CSP apkopotie rādītāji, saukti arī par BII – Būvniecības izmaksu indekss, tika izmantoti gan kopējo būvniecības cenu izmaiņu izpētei, gan arī izmaiņu izpētei pa resursu veidiem un pa objektu grupām tajos griezumos, kur šādi dati eksistē. Analizējot citu rādītāju ietekmi uz būvniecības izmaiņām, tika apkopoti arī citi statistiskie dati, kuriem ir iespējamas korelatīvās sakarības ar būvniecības izmaiņām.</w:t>
          </w:r>
        </w:p>
        <w:p w14:paraId="4F7DFCD8" w14:textId="4878AA3A" w:rsidR="00C9158F" w:rsidRPr="00410045" w:rsidRDefault="00C9158F" w:rsidP="00C9158F">
          <w:pPr>
            <w:rPr>
              <w:rFonts w:ascii="Times New Roman" w:hAnsi="Times New Roman" w:cs="Times New Roman"/>
              <w:sz w:val="24"/>
              <w:szCs w:val="24"/>
            </w:rPr>
          </w:pPr>
          <w:r w:rsidRPr="00410045">
            <w:rPr>
              <w:rFonts w:ascii="Times New Roman" w:hAnsi="Times New Roman" w:cs="Times New Roman"/>
              <w:sz w:val="24"/>
              <w:szCs w:val="24"/>
            </w:rPr>
            <w:t xml:space="preserve">Iegūto statistisko datu analīzei tika izmantotas dažādas analīzes metodes, atbilstoši datu tipam un datu attīstības tendencēm. Izmaiņu tālākās attīstības noteikšanai tika izmantoti dažāda veida modeļi, kas raksturo dinamikas rindu </w:t>
          </w:r>
          <w:proofErr w:type="spellStart"/>
          <w:r w:rsidRPr="00410045">
            <w:rPr>
              <w:rFonts w:ascii="Times New Roman" w:hAnsi="Times New Roman" w:cs="Times New Roman"/>
              <w:sz w:val="24"/>
              <w:szCs w:val="24"/>
            </w:rPr>
            <w:t>pamattendenču</w:t>
          </w:r>
          <w:proofErr w:type="spellEnd"/>
          <w:r w:rsidRPr="00410045">
            <w:rPr>
              <w:rFonts w:ascii="Times New Roman" w:hAnsi="Times New Roman" w:cs="Times New Roman"/>
              <w:sz w:val="24"/>
              <w:szCs w:val="24"/>
            </w:rPr>
            <w:t xml:space="preserve"> tālāku attīstību, balstoties </w:t>
          </w:r>
          <w:r w:rsidRPr="00410045">
            <w:rPr>
              <w:rFonts w:ascii="Times New Roman" w:hAnsi="Times New Roman" w:cs="Times New Roman"/>
              <w:sz w:val="24"/>
              <w:szCs w:val="24"/>
            </w:rPr>
            <w:lastRenderedPageBreak/>
            <w:t xml:space="preserve">uz iepriekšējo tendenču ekstrapolāciju. Iegūtajiem modeļiem tika veikta kvalitātes novērtēšana ar dispersijas rādītājiem. </w:t>
          </w:r>
        </w:p>
        <w:p w14:paraId="2F59CF8C" w14:textId="7F192DBF" w:rsidR="00C9158F" w:rsidRPr="00410045" w:rsidRDefault="00C9158F" w:rsidP="00C9158F">
          <w:pPr>
            <w:rPr>
              <w:rFonts w:ascii="Times New Roman" w:hAnsi="Times New Roman" w:cs="Times New Roman"/>
              <w:sz w:val="24"/>
              <w:szCs w:val="24"/>
            </w:rPr>
          </w:pPr>
          <w:proofErr w:type="spellStart"/>
          <w:r w:rsidRPr="00410045">
            <w:rPr>
              <w:rFonts w:ascii="Times New Roman" w:hAnsi="Times New Roman" w:cs="Times New Roman"/>
              <w:sz w:val="24"/>
              <w:szCs w:val="24"/>
            </w:rPr>
            <w:t>Ekspertmetožu</w:t>
          </w:r>
          <w:proofErr w:type="spellEnd"/>
          <w:r w:rsidRPr="00410045">
            <w:rPr>
              <w:rFonts w:ascii="Times New Roman" w:hAnsi="Times New Roman" w:cs="Times New Roman"/>
              <w:sz w:val="24"/>
              <w:szCs w:val="24"/>
            </w:rPr>
            <w:t xml:space="preserve"> pielietošanas galvenais mērķis Pētījumā ir paaugstināt prognožu līmeni. Katrā ekspertu grupā tika piesaistīti ne mazāk kā astoņi eksperti, kopā Pētījumā tika apkopots 51 eksperta viedoklis. Ekspertu loku Pētījumā pārstāv gan būvniecības jomas valstiskā, gan nevalstiskā, gan akadēmiskā, gan industrijas sektora vadošā līmeņa speciālisti. Industriju pārstāvošo ekspertu grupas komplektēšana un izvēle notika pakāpēs, būvniecības jomas uzņēmumus identificējot pēc apgrozījuma ranga, galvenā darbības reģiona, kompetences līmeņa, kas balstīta uz diversifikāciju pēc diviem pakāpes kritērijiem. Ekspertu interviju ietvaros tika identificēti būvniecības izmaiņas ietekmējošie faktori, to ietekmes līmenis, </w:t>
          </w:r>
          <w:proofErr w:type="spellStart"/>
          <w:r w:rsidRPr="00410045">
            <w:rPr>
              <w:rFonts w:ascii="Times New Roman" w:hAnsi="Times New Roman" w:cs="Times New Roman"/>
              <w:sz w:val="24"/>
              <w:szCs w:val="24"/>
            </w:rPr>
            <w:t>ekspertvērtējumi</w:t>
          </w:r>
          <w:proofErr w:type="spellEnd"/>
          <w:r w:rsidRPr="00410045">
            <w:rPr>
              <w:rFonts w:ascii="Times New Roman" w:hAnsi="Times New Roman" w:cs="Times New Roman"/>
              <w:sz w:val="24"/>
              <w:szCs w:val="24"/>
            </w:rPr>
            <w:t xml:space="preserve"> par cenu un būvniecības apjoma izmaiņu tendencēm. Identificētajiem faktoriem un tendencēm tika i</w:t>
          </w:r>
          <w:r w:rsidR="00410045" w:rsidRPr="00410045">
            <w:rPr>
              <w:rFonts w:ascii="Times New Roman" w:hAnsi="Times New Roman" w:cs="Times New Roman"/>
              <w:sz w:val="24"/>
              <w:szCs w:val="24"/>
            </w:rPr>
            <w:t>e</w:t>
          </w:r>
          <w:r w:rsidRPr="00410045">
            <w:rPr>
              <w:rFonts w:ascii="Times New Roman" w:hAnsi="Times New Roman" w:cs="Times New Roman"/>
              <w:sz w:val="24"/>
              <w:szCs w:val="24"/>
            </w:rPr>
            <w:t xml:space="preserve">gūtas dinamikas rindas ar to līdzšinējo un ekspertu prognozēto attīstību. Pētījumā tika iekļautas arī makroekonomikas ekspertu prognozes. </w:t>
          </w:r>
          <w:proofErr w:type="spellStart"/>
          <w:r w:rsidRPr="00410045">
            <w:rPr>
              <w:rFonts w:ascii="Times New Roman" w:hAnsi="Times New Roman" w:cs="Times New Roman"/>
              <w:sz w:val="24"/>
              <w:szCs w:val="24"/>
            </w:rPr>
            <w:t>Ekspertvērtējumu</w:t>
          </w:r>
          <w:proofErr w:type="spellEnd"/>
          <w:r w:rsidRPr="00410045">
            <w:rPr>
              <w:rFonts w:ascii="Times New Roman" w:hAnsi="Times New Roman" w:cs="Times New Roman"/>
              <w:sz w:val="24"/>
              <w:szCs w:val="24"/>
            </w:rPr>
            <w:t xml:space="preserve"> apstrādē, atkarībā no izmantotās jautājumu formas un skalas, tika izmantota summāro vidējo, struktūras vidējo, izkliedes un variācijas rādītāju aprēķini. </w:t>
          </w:r>
        </w:p>
        <w:p w14:paraId="237C08F9" w14:textId="77777777" w:rsidR="00C9158F" w:rsidRPr="00410045" w:rsidRDefault="00C9158F" w:rsidP="00C9158F">
          <w:pPr>
            <w:rPr>
              <w:rFonts w:ascii="Times New Roman" w:hAnsi="Times New Roman" w:cs="Times New Roman"/>
              <w:sz w:val="24"/>
              <w:szCs w:val="24"/>
            </w:rPr>
          </w:pPr>
          <w:r w:rsidRPr="00410045">
            <w:rPr>
              <w:rFonts w:ascii="Times New Roman" w:hAnsi="Times New Roman" w:cs="Times New Roman"/>
              <w:sz w:val="24"/>
              <w:szCs w:val="24"/>
            </w:rPr>
            <w:t xml:space="preserve">Papildus atsevišķai statistiskās informācijas un </w:t>
          </w:r>
          <w:proofErr w:type="spellStart"/>
          <w:r w:rsidRPr="00410045">
            <w:rPr>
              <w:rFonts w:ascii="Times New Roman" w:hAnsi="Times New Roman" w:cs="Times New Roman"/>
              <w:sz w:val="24"/>
              <w:szCs w:val="24"/>
            </w:rPr>
            <w:t>ekspertvērtējumu</w:t>
          </w:r>
          <w:proofErr w:type="spellEnd"/>
          <w:r w:rsidRPr="00410045">
            <w:rPr>
              <w:rFonts w:ascii="Times New Roman" w:hAnsi="Times New Roman" w:cs="Times New Roman"/>
              <w:sz w:val="24"/>
              <w:szCs w:val="24"/>
            </w:rPr>
            <w:t xml:space="preserve"> analīzei, kā gala prognozes instruments tika izmantotas kombinētās prognozes, kas apvieno dažādos informācijas avotus. Tas pētījumā nodrošināja iespēju kompensēt kļūdas un uzlabot gala prognozes ticamību.</w:t>
          </w:r>
        </w:p>
        <w:p w14:paraId="50747FC7" w14:textId="5D5D3E74" w:rsidR="00B5766D" w:rsidRPr="007F3895" w:rsidRDefault="00B5766D" w:rsidP="00A00519">
          <w:pPr>
            <w:rPr>
              <w:rFonts w:ascii="Times New Roman" w:hAnsi="Times New Roman" w:cs="Times New Roman"/>
              <w:color w:val="2A2A2A"/>
              <w:sz w:val="24"/>
              <w:szCs w:val="24"/>
              <w:shd w:val="clear" w:color="auto" w:fill="FFFFFF"/>
            </w:rPr>
          </w:pPr>
          <w:r w:rsidRPr="007F3895">
            <w:rPr>
              <w:rFonts w:ascii="Times New Roman" w:hAnsi="Times New Roman" w:cs="Times New Roman"/>
              <w:color w:val="2A2A2A"/>
              <w:sz w:val="24"/>
              <w:szCs w:val="24"/>
              <w:shd w:val="clear" w:color="auto" w:fill="FFFFFF"/>
            </w:rPr>
            <w:t>2020. gada pētījuma izstrāde notika jūlija – augusta mēnešos, t.i. apzinoties COVID</w:t>
          </w:r>
          <w:r w:rsidR="00692C3D">
            <w:rPr>
              <w:rFonts w:ascii="Times New Roman" w:hAnsi="Times New Roman" w:cs="Times New Roman"/>
              <w:color w:val="2A2A2A"/>
              <w:sz w:val="24"/>
              <w:szCs w:val="24"/>
              <w:shd w:val="clear" w:color="auto" w:fill="FFFFFF"/>
            </w:rPr>
            <w:t xml:space="preserve"> -</w:t>
          </w:r>
          <w:r w:rsidRPr="007F3895">
            <w:rPr>
              <w:rFonts w:ascii="Times New Roman" w:hAnsi="Times New Roman" w:cs="Times New Roman"/>
              <w:color w:val="2A2A2A"/>
              <w:sz w:val="24"/>
              <w:szCs w:val="24"/>
              <w:shd w:val="clear" w:color="auto" w:fill="FFFFFF"/>
            </w:rPr>
            <w:t xml:space="preserve"> 19 plānoto negatīvo ietekmi uz pasaules ekonomiku kopumā un Latvijas tautsaimniecību. COVID 19 izraisītie ierobežojumi tika vērtēti, taču informācija par valsts plānotām investīcijām infrastruktūrā, kā arī informācija par pasākumiem ekonomikas sildīšanai COVID</w:t>
          </w:r>
          <w:r w:rsidR="00692C3D">
            <w:rPr>
              <w:rFonts w:ascii="Times New Roman" w:hAnsi="Times New Roman" w:cs="Times New Roman"/>
              <w:color w:val="2A2A2A"/>
              <w:sz w:val="24"/>
              <w:szCs w:val="24"/>
              <w:shd w:val="clear" w:color="auto" w:fill="FFFFFF"/>
            </w:rPr>
            <w:t>-</w:t>
          </w:r>
          <w:r w:rsidRPr="007F3895">
            <w:rPr>
              <w:rFonts w:ascii="Times New Roman" w:hAnsi="Times New Roman" w:cs="Times New Roman"/>
              <w:color w:val="2A2A2A"/>
              <w:sz w:val="24"/>
              <w:szCs w:val="24"/>
              <w:shd w:val="clear" w:color="auto" w:fill="FFFFFF"/>
            </w:rPr>
            <w:t xml:space="preserve"> 19 negatīvās ietekmes mazināšanai vēl nebija pietiekama, līdz ar to, jāņem vērā, ka ekspertu prognozes attiecībā uz plānoto būvniecības apjomu pieaugumu ir izdarītas uz nepietiekamās informācijas pamata un varētu nebūt precīzas. </w:t>
          </w:r>
        </w:p>
        <w:p w14:paraId="3712875C" w14:textId="77777777" w:rsidR="0045738B" w:rsidRDefault="0045738B">
          <w:pPr>
            <w:spacing w:after="160" w:line="259" w:lineRule="auto"/>
            <w:ind w:firstLine="0"/>
            <w:jc w:val="left"/>
          </w:pPr>
          <w:r>
            <w:br w:type="page"/>
          </w:r>
        </w:p>
        <w:p w14:paraId="56B2016E" w14:textId="729E1EDA" w:rsidR="00E14DCE" w:rsidRDefault="00747ECB">
          <w:pPr>
            <w:spacing w:after="160" w:line="259" w:lineRule="auto"/>
            <w:ind w:firstLine="0"/>
            <w:jc w:val="left"/>
          </w:pPr>
        </w:p>
      </w:sdtContent>
    </w:sdt>
    <w:sdt>
      <w:sdtPr>
        <w:rPr>
          <w:rFonts w:asciiTheme="minorHAnsi" w:eastAsiaTheme="minorHAnsi" w:hAnsiTheme="minorHAnsi" w:cstheme="minorBidi"/>
          <w:color w:val="auto"/>
          <w:sz w:val="22"/>
          <w:szCs w:val="22"/>
          <w:lang w:eastAsia="en-US"/>
        </w:rPr>
        <w:id w:val="1477490183"/>
        <w:docPartObj>
          <w:docPartGallery w:val="Table of Contents"/>
          <w:docPartUnique/>
        </w:docPartObj>
      </w:sdtPr>
      <w:sdtEndPr>
        <w:rPr>
          <w:b/>
          <w:bCs/>
        </w:rPr>
      </w:sdtEndPr>
      <w:sdtContent>
        <w:p w14:paraId="2C1031C9" w14:textId="2F186A47" w:rsidR="00A617AF" w:rsidRDefault="00A617AF" w:rsidP="000C22C6">
          <w:pPr>
            <w:pStyle w:val="TOCHeading"/>
            <w:tabs>
              <w:tab w:val="left" w:pos="3144"/>
            </w:tabs>
            <w:ind w:right="-449"/>
          </w:pPr>
          <w:r>
            <w:t>Satura rādītājs</w:t>
          </w:r>
          <w:r w:rsidR="00F12E1F">
            <w:tab/>
          </w:r>
        </w:p>
        <w:p w14:paraId="35AC82CC" w14:textId="77777777" w:rsidR="00FB566B" w:rsidRPr="00FB566B" w:rsidRDefault="00FB566B" w:rsidP="00FB566B">
          <w:pPr>
            <w:rPr>
              <w:lang w:eastAsia="lv-LV"/>
            </w:rPr>
          </w:pPr>
        </w:p>
        <w:p w14:paraId="0B13AFB5" w14:textId="06AF88BF" w:rsidR="000C22C6" w:rsidRDefault="00A617AF">
          <w:pPr>
            <w:pStyle w:val="TOC1"/>
            <w:rPr>
              <w:rFonts w:eastAsiaTheme="minorEastAsia"/>
              <w:noProof/>
              <w:lang w:eastAsia="lv-LV"/>
            </w:rPr>
          </w:pPr>
          <w:r w:rsidRPr="00FB566B">
            <w:rPr>
              <w:sz w:val="20"/>
              <w:szCs w:val="20"/>
            </w:rPr>
            <w:fldChar w:fldCharType="begin"/>
          </w:r>
          <w:r w:rsidRPr="00FB566B">
            <w:rPr>
              <w:sz w:val="20"/>
              <w:szCs w:val="20"/>
            </w:rPr>
            <w:instrText xml:space="preserve"> TOC \o "1-2" \h \z \u </w:instrText>
          </w:r>
          <w:r w:rsidRPr="00FB566B">
            <w:rPr>
              <w:sz w:val="20"/>
              <w:szCs w:val="20"/>
            </w:rPr>
            <w:fldChar w:fldCharType="separate"/>
          </w:r>
          <w:hyperlink w:anchor="_Toc54287905" w:history="1">
            <w:r w:rsidR="000C22C6" w:rsidRPr="00254199">
              <w:rPr>
                <w:rStyle w:val="Hyperlink"/>
                <w:noProof/>
              </w:rPr>
              <w:t>Izmantotie saīsinājumi un termini</w:t>
            </w:r>
            <w:r w:rsidR="000C22C6">
              <w:rPr>
                <w:noProof/>
                <w:webHidden/>
              </w:rPr>
              <w:tab/>
            </w:r>
            <w:r w:rsidR="000C22C6">
              <w:rPr>
                <w:noProof/>
                <w:webHidden/>
              </w:rPr>
              <w:fldChar w:fldCharType="begin"/>
            </w:r>
            <w:r w:rsidR="000C22C6">
              <w:rPr>
                <w:noProof/>
                <w:webHidden/>
              </w:rPr>
              <w:instrText xml:space="preserve"> PAGEREF _Toc54287905 \h </w:instrText>
            </w:r>
            <w:r w:rsidR="000C22C6">
              <w:rPr>
                <w:noProof/>
                <w:webHidden/>
              </w:rPr>
            </w:r>
            <w:r w:rsidR="000C22C6">
              <w:rPr>
                <w:noProof/>
                <w:webHidden/>
              </w:rPr>
              <w:fldChar w:fldCharType="separate"/>
            </w:r>
            <w:r w:rsidR="000C22C6">
              <w:rPr>
                <w:noProof/>
                <w:webHidden/>
              </w:rPr>
              <w:t>4</w:t>
            </w:r>
            <w:r w:rsidR="000C22C6">
              <w:rPr>
                <w:noProof/>
                <w:webHidden/>
              </w:rPr>
              <w:fldChar w:fldCharType="end"/>
            </w:r>
          </w:hyperlink>
        </w:p>
        <w:p w14:paraId="0D4872F9" w14:textId="238105F0" w:rsidR="000C22C6" w:rsidRDefault="00747ECB">
          <w:pPr>
            <w:pStyle w:val="TOC1"/>
            <w:rPr>
              <w:rFonts w:eastAsiaTheme="minorEastAsia"/>
              <w:noProof/>
              <w:lang w:eastAsia="lv-LV"/>
            </w:rPr>
          </w:pPr>
          <w:hyperlink w:anchor="_Toc54287906" w:history="1">
            <w:r w:rsidR="000C22C6" w:rsidRPr="00254199">
              <w:rPr>
                <w:rStyle w:val="Hyperlink"/>
                <w:noProof/>
              </w:rPr>
              <w:t>1.</w:t>
            </w:r>
            <w:r w:rsidR="000C22C6">
              <w:rPr>
                <w:rFonts w:eastAsiaTheme="minorEastAsia"/>
                <w:noProof/>
                <w:lang w:eastAsia="lv-LV"/>
              </w:rPr>
              <w:tab/>
            </w:r>
            <w:r w:rsidR="000C22C6" w:rsidRPr="00254199">
              <w:rPr>
                <w:rStyle w:val="Hyperlink"/>
                <w:noProof/>
              </w:rPr>
              <w:t>Būvniecības nozares attīstību raksturojošie rādītāji un riski</w:t>
            </w:r>
            <w:r w:rsidR="000C22C6">
              <w:rPr>
                <w:noProof/>
                <w:webHidden/>
              </w:rPr>
              <w:tab/>
            </w:r>
            <w:r w:rsidR="000C22C6">
              <w:rPr>
                <w:noProof/>
                <w:webHidden/>
              </w:rPr>
              <w:fldChar w:fldCharType="begin"/>
            </w:r>
            <w:r w:rsidR="000C22C6">
              <w:rPr>
                <w:noProof/>
                <w:webHidden/>
              </w:rPr>
              <w:instrText xml:space="preserve"> PAGEREF _Toc54287906 \h </w:instrText>
            </w:r>
            <w:r w:rsidR="000C22C6">
              <w:rPr>
                <w:noProof/>
                <w:webHidden/>
              </w:rPr>
            </w:r>
            <w:r w:rsidR="000C22C6">
              <w:rPr>
                <w:noProof/>
                <w:webHidden/>
              </w:rPr>
              <w:fldChar w:fldCharType="separate"/>
            </w:r>
            <w:r w:rsidR="000C22C6">
              <w:rPr>
                <w:noProof/>
                <w:webHidden/>
              </w:rPr>
              <w:t>5</w:t>
            </w:r>
            <w:r w:rsidR="000C22C6">
              <w:rPr>
                <w:noProof/>
                <w:webHidden/>
              </w:rPr>
              <w:fldChar w:fldCharType="end"/>
            </w:r>
          </w:hyperlink>
        </w:p>
        <w:p w14:paraId="2F6F611F" w14:textId="23FD6E29" w:rsidR="000C22C6" w:rsidRDefault="00747ECB">
          <w:pPr>
            <w:pStyle w:val="TOC2"/>
            <w:tabs>
              <w:tab w:val="left" w:pos="880"/>
            </w:tabs>
            <w:rPr>
              <w:rFonts w:eastAsiaTheme="minorEastAsia"/>
              <w:noProof/>
              <w:lang w:eastAsia="lv-LV"/>
            </w:rPr>
          </w:pPr>
          <w:hyperlink w:anchor="_Toc54287907" w:history="1">
            <w:r w:rsidR="000C22C6" w:rsidRPr="00254199">
              <w:rPr>
                <w:rStyle w:val="Hyperlink"/>
                <w:noProof/>
              </w:rPr>
              <w:t>1.1.</w:t>
            </w:r>
            <w:r w:rsidR="000C22C6">
              <w:rPr>
                <w:rFonts w:eastAsiaTheme="minorEastAsia"/>
                <w:noProof/>
                <w:lang w:eastAsia="lv-LV"/>
              </w:rPr>
              <w:tab/>
            </w:r>
            <w:r w:rsidR="000C22C6" w:rsidRPr="00254199">
              <w:rPr>
                <w:rStyle w:val="Hyperlink"/>
                <w:noProof/>
              </w:rPr>
              <w:t>Attīstības dinamika</w:t>
            </w:r>
            <w:r w:rsidR="000C22C6">
              <w:rPr>
                <w:noProof/>
                <w:webHidden/>
              </w:rPr>
              <w:tab/>
            </w:r>
            <w:r w:rsidR="000C22C6">
              <w:rPr>
                <w:noProof/>
                <w:webHidden/>
              </w:rPr>
              <w:fldChar w:fldCharType="begin"/>
            </w:r>
            <w:r w:rsidR="000C22C6">
              <w:rPr>
                <w:noProof/>
                <w:webHidden/>
              </w:rPr>
              <w:instrText xml:space="preserve"> PAGEREF _Toc54287907 \h </w:instrText>
            </w:r>
            <w:r w:rsidR="000C22C6">
              <w:rPr>
                <w:noProof/>
                <w:webHidden/>
              </w:rPr>
            </w:r>
            <w:r w:rsidR="000C22C6">
              <w:rPr>
                <w:noProof/>
                <w:webHidden/>
              </w:rPr>
              <w:fldChar w:fldCharType="separate"/>
            </w:r>
            <w:r w:rsidR="000C22C6">
              <w:rPr>
                <w:noProof/>
                <w:webHidden/>
              </w:rPr>
              <w:t>5</w:t>
            </w:r>
            <w:r w:rsidR="000C22C6">
              <w:rPr>
                <w:noProof/>
                <w:webHidden/>
              </w:rPr>
              <w:fldChar w:fldCharType="end"/>
            </w:r>
          </w:hyperlink>
        </w:p>
        <w:p w14:paraId="5EEDB19C" w14:textId="4E32A646" w:rsidR="000C22C6" w:rsidRDefault="00747ECB">
          <w:pPr>
            <w:pStyle w:val="TOC2"/>
            <w:tabs>
              <w:tab w:val="left" w:pos="880"/>
            </w:tabs>
            <w:rPr>
              <w:rFonts w:eastAsiaTheme="minorEastAsia"/>
              <w:noProof/>
              <w:lang w:eastAsia="lv-LV"/>
            </w:rPr>
          </w:pPr>
          <w:hyperlink w:anchor="_Toc54287908" w:history="1">
            <w:r w:rsidR="000C22C6" w:rsidRPr="00254199">
              <w:rPr>
                <w:rStyle w:val="Hyperlink"/>
                <w:noProof/>
              </w:rPr>
              <w:t>1.2.</w:t>
            </w:r>
            <w:r w:rsidR="000C22C6">
              <w:rPr>
                <w:rFonts w:eastAsiaTheme="minorEastAsia"/>
                <w:noProof/>
                <w:lang w:eastAsia="lv-LV"/>
              </w:rPr>
              <w:tab/>
            </w:r>
            <w:r w:rsidR="000C22C6" w:rsidRPr="00254199">
              <w:rPr>
                <w:rStyle w:val="Hyperlink"/>
                <w:noProof/>
              </w:rPr>
              <w:t>Būvniecības izmaksas un tās ietekmējošie faktori</w:t>
            </w:r>
            <w:r w:rsidR="000C22C6">
              <w:rPr>
                <w:noProof/>
                <w:webHidden/>
              </w:rPr>
              <w:tab/>
            </w:r>
            <w:r w:rsidR="000C22C6">
              <w:rPr>
                <w:noProof/>
                <w:webHidden/>
              </w:rPr>
              <w:fldChar w:fldCharType="begin"/>
            </w:r>
            <w:r w:rsidR="000C22C6">
              <w:rPr>
                <w:noProof/>
                <w:webHidden/>
              </w:rPr>
              <w:instrText xml:space="preserve"> PAGEREF _Toc54287908 \h </w:instrText>
            </w:r>
            <w:r w:rsidR="000C22C6">
              <w:rPr>
                <w:noProof/>
                <w:webHidden/>
              </w:rPr>
            </w:r>
            <w:r w:rsidR="000C22C6">
              <w:rPr>
                <w:noProof/>
                <w:webHidden/>
              </w:rPr>
              <w:fldChar w:fldCharType="separate"/>
            </w:r>
            <w:r w:rsidR="000C22C6">
              <w:rPr>
                <w:noProof/>
                <w:webHidden/>
              </w:rPr>
              <w:t>8</w:t>
            </w:r>
            <w:r w:rsidR="000C22C6">
              <w:rPr>
                <w:noProof/>
                <w:webHidden/>
              </w:rPr>
              <w:fldChar w:fldCharType="end"/>
            </w:r>
          </w:hyperlink>
        </w:p>
        <w:p w14:paraId="5FC39539" w14:textId="0A3AF311" w:rsidR="000C22C6" w:rsidRDefault="00747ECB">
          <w:pPr>
            <w:pStyle w:val="TOC2"/>
            <w:tabs>
              <w:tab w:val="left" w:pos="880"/>
            </w:tabs>
            <w:rPr>
              <w:rFonts w:eastAsiaTheme="minorEastAsia"/>
              <w:noProof/>
              <w:lang w:eastAsia="lv-LV"/>
            </w:rPr>
          </w:pPr>
          <w:hyperlink w:anchor="_Toc54287909" w:history="1">
            <w:r w:rsidR="000C22C6" w:rsidRPr="00254199">
              <w:rPr>
                <w:rStyle w:val="Hyperlink"/>
                <w:noProof/>
              </w:rPr>
              <w:t>1.3.</w:t>
            </w:r>
            <w:r w:rsidR="000C22C6">
              <w:rPr>
                <w:rFonts w:eastAsiaTheme="minorEastAsia"/>
                <w:noProof/>
                <w:lang w:eastAsia="lv-LV"/>
              </w:rPr>
              <w:tab/>
            </w:r>
            <w:r w:rsidR="000C22C6" w:rsidRPr="00254199">
              <w:rPr>
                <w:rStyle w:val="Hyperlink"/>
                <w:noProof/>
              </w:rPr>
              <w:t>Investīcijas būvniecības nozarē</w:t>
            </w:r>
            <w:r w:rsidR="000C22C6">
              <w:rPr>
                <w:noProof/>
                <w:webHidden/>
              </w:rPr>
              <w:tab/>
            </w:r>
            <w:r w:rsidR="000C22C6">
              <w:rPr>
                <w:noProof/>
                <w:webHidden/>
              </w:rPr>
              <w:fldChar w:fldCharType="begin"/>
            </w:r>
            <w:r w:rsidR="000C22C6">
              <w:rPr>
                <w:noProof/>
                <w:webHidden/>
              </w:rPr>
              <w:instrText xml:space="preserve"> PAGEREF _Toc54287909 \h </w:instrText>
            </w:r>
            <w:r w:rsidR="000C22C6">
              <w:rPr>
                <w:noProof/>
                <w:webHidden/>
              </w:rPr>
            </w:r>
            <w:r w:rsidR="000C22C6">
              <w:rPr>
                <w:noProof/>
                <w:webHidden/>
              </w:rPr>
              <w:fldChar w:fldCharType="separate"/>
            </w:r>
            <w:r w:rsidR="000C22C6">
              <w:rPr>
                <w:noProof/>
                <w:webHidden/>
              </w:rPr>
              <w:t>8</w:t>
            </w:r>
            <w:r w:rsidR="000C22C6">
              <w:rPr>
                <w:noProof/>
                <w:webHidden/>
              </w:rPr>
              <w:fldChar w:fldCharType="end"/>
            </w:r>
          </w:hyperlink>
        </w:p>
        <w:p w14:paraId="6D408698" w14:textId="07548678" w:rsidR="000C22C6" w:rsidRDefault="00747ECB">
          <w:pPr>
            <w:pStyle w:val="TOC2"/>
            <w:tabs>
              <w:tab w:val="left" w:pos="880"/>
            </w:tabs>
            <w:rPr>
              <w:rFonts w:eastAsiaTheme="minorEastAsia"/>
              <w:noProof/>
              <w:lang w:eastAsia="lv-LV"/>
            </w:rPr>
          </w:pPr>
          <w:hyperlink w:anchor="_Toc54287910" w:history="1">
            <w:r w:rsidR="000C22C6" w:rsidRPr="00254199">
              <w:rPr>
                <w:rStyle w:val="Hyperlink"/>
                <w:noProof/>
              </w:rPr>
              <w:t>1.4.</w:t>
            </w:r>
            <w:r w:rsidR="000C22C6">
              <w:rPr>
                <w:rFonts w:eastAsiaTheme="minorEastAsia"/>
                <w:noProof/>
                <w:lang w:eastAsia="lv-LV"/>
              </w:rPr>
              <w:tab/>
            </w:r>
            <w:r w:rsidR="000C22C6" w:rsidRPr="00254199">
              <w:rPr>
                <w:rStyle w:val="Hyperlink"/>
                <w:noProof/>
              </w:rPr>
              <w:t>Būvniecības nozares attīstības riski</w:t>
            </w:r>
            <w:r w:rsidR="000C22C6">
              <w:rPr>
                <w:noProof/>
                <w:webHidden/>
              </w:rPr>
              <w:tab/>
            </w:r>
            <w:r w:rsidR="000C22C6">
              <w:rPr>
                <w:noProof/>
                <w:webHidden/>
              </w:rPr>
              <w:fldChar w:fldCharType="begin"/>
            </w:r>
            <w:r w:rsidR="000C22C6">
              <w:rPr>
                <w:noProof/>
                <w:webHidden/>
              </w:rPr>
              <w:instrText xml:space="preserve"> PAGEREF _Toc54287910 \h </w:instrText>
            </w:r>
            <w:r w:rsidR="000C22C6">
              <w:rPr>
                <w:noProof/>
                <w:webHidden/>
              </w:rPr>
            </w:r>
            <w:r w:rsidR="000C22C6">
              <w:rPr>
                <w:noProof/>
                <w:webHidden/>
              </w:rPr>
              <w:fldChar w:fldCharType="separate"/>
            </w:r>
            <w:r w:rsidR="000C22C6">
              <w:rPr>
                <w:noProof/>
                <w:webHidden/>
              </w:rPr>
              <w:t>10</w:t>
            </w:r>
            <w:r w:rsidR="000C22C6">
              <w:rPr>
                <w:noProof/>
                <w:webHidden/>
              </w:rPr>
              <w:fldChar w:fldCharType="end"/>
            </w:r>
          </w:hyperlink>
        </w:p>
        <w:p w14:paraId="5F785BB8" w14:textId="37ECD1ED" w:rsidR="000C22C6" w:rsidRDefault="00747ECB">
          <w:pPr>
            <w:pStyle w:val="TOC1"/>
            <w:rPr>
              <w:rFonts w:eastAsiaTheme="minorEastAsia"/>
              <w:noProof/>
              <w:lang w:eastAsia="lv-LV"/>
            </w:rPr>
          </w:pPr>
          <w:hyperlink w:anchor="_Toc54287911" w:history="1">
            <w:r w:rsidR="000C22C6" w:rsidRPr="00254199">
              <w:rPr>
                <w:rStyle w:val="Hyperlink"/>
                <w:noProof/>
              </w:rPr>
              <w:t>2.</w:t>
            </w:r>
            <w:r w:rsidR="000C22C6">
              <w:rPr>
                <w:rFonts w:eastAsiaTheme="minorEastAsia"/>
                <w:noProof/>
                <w:lang w:eastAsia="lv-LV"/>
              </w:rPr>
              <w:tab/>
            </w:r>
            <w:r w:rsidR="000C22C6" w:rsidRPr="00254199">
              <w:rPr>
                <w:rStyle w:val="Hyperlink"/>
                <w:noProof/>
              </w:rPr>
              <w:t>Pētījums par prognozētām izmaiņām darbaspēka un būvmateriālu izmaksās būvniecības nozarē Latvijā</w:t>
            </w:r>
            <w:r w:rsidR="000C22C6">
              <w:rPr>
                <w:noProof/>
                <w:webHidden/>
              </w:rPr>
              <w:tab/>
            </w:r>
            <w:r w:rsidR="000C22C6">
              <w:rPr>
                <w:noProof/>
                <w:webHidden/>
              </w:rPr>
              <w:fldChar w:fldCharType="begin"/>
            </w:r>
            <w:r w:rsidR="000C22C6">
              <w:rPr>
                <w:noProof/>
                <w:webHidden/>
              </w:rPr>
              <w:instrText xml:space="preserve"> PAGEREF _Toc54287911 \h </w:instrText>
            </w:r>
            <w:r w:rsidR="000C22C6">
              <w:rPr>
                <w:noProof/>
                <w:webHidden/>
              </w:rPr>
            </w:r>
            <w:r w:rsidR="000C22C6">
              <w:rPr>
                <w:noProof/>
                <w:webHidden/>
              </w:rPr>
              <w:fldChar w:fldCharType="separate"/>
            </w:r>
            <w:r w:rsidR="000C22C6">
              <w:rPr>
                <w:noProof/>
                <w:webHidden/>
              </w:rPr>
              <w:t>13</w:t>
            </w:r>
            <w:r w:rsidR="000C22C6">
              <w:rPr>
                <w:noProof/>
                <w:webHidden/>
              </w:rPr>
              <w:fldChar w:fldCharType="end"/>
            </w:r>
          </w:hyperlink>
        </w:p>
        <w:p w14:paraId="27638E44" w14:textId="31713845" w:rsidR="000C22C6" w:rsidRDefault="00747ECB">
          <w:pPr>
            <w:pStyle w:val="TOC2"/>
            <w:tabs>
              <w:tab w:val="left" w:pos="880"/>
            </w:tabs>
            <w:rPr>
              <w:rFonts w:eastAsiaTheme="minorEastAsia"/>
              <w:noProof/>
              <w:lang w:eastAsia="lv-LV"/>
            </w:rPr>
          </w:pPr>
          <w:hyperlink w:anchor="_Toc54287912" w:history="1">
            <w:r w:rsidR="000C22C6" w:rsidRPr="00254199">
              <w:rPr>
                <w:rStyle w:val="Hyperlink"/>
                <w:noProof/>
              </w:rPr>
              <w:t>2.1.</w:t>
            </w:r>
            <w:r w:rsidR="000C22C6">
              <w:rPr>
                <w:rFonts w:eastAsiaTheme="minorEastAsia"/>
                <w:noProof/>
                <w:lang w:eastAsia="lv-LV"/>
              </w:rPr>
              <w:tab/>
            </w:r>
            <w:r w:rsidR="000C22C6" w:rsidRPr="00254199">
              <w:rPr>
                <w:rStyle w:val="Hyperlink"/>
                <w:noProof/>
              </w:rPr>
              <w:t>Veiktā pētījuma galvenie secinājumi.</w:t>
            </w:r>
            <w:r w:rsidR="000C22C6">
              <w:rPr>
                <w:noProof/>
                <w:webHidden/>
              </w:rPr>
              <w:tab/>
            </w:r>
            <w:r w:rsidR="000C22C6">
              <w:rPr>
                <w:noProof/>
                <w:webHidden/>
              </w:rPr>
              <w:fldChar w:fldCharType="begin"/>
            </w:r>
            <w:r w:rsidR="000C22C6">
              <w:rPr>
                <w:noProof/>
                <w:webHidden/>
              </w:rPr>
              <w:instrText xml:space="preserve"> PAGEREF _Toc54287912 \h </w:instrText>
            </w:r>
            <w:r w:rsidR="000C22C6">
              <w:rPr>
                <w:noProof/>
                <w:webHidden/>
              </w:rPr>
            </w:r>
            <w:r w:rsidR="000C22C6">
              <w:rPr>
                <w:noProof/>
                <w:webHidden/>
              </w:rPr>
              <w:fldChar w:fldCharType="separate"/>
            </w:r>
            <w:r w:rsidR="000C22C6">
              <w:rPr>
                <w:noProof/>
                <w:webHidden/>
              </w:rPr>
              <w:t>13</w:t>
            </w:r>
            <w:r w:rsidR="000C22C6">
              <w:rPr>
                <w:noProof/>
                <w:webHidden/>
              </w:rPr>
              <w:fldChar w:fldCharType="end"/>
            </w:r>
          </w:hyperlink>
        </w:p>
        <w:p w14:paraId="31559A2D" w14:textId="52CE2A8D" w:rsidR="000C22C6" w:rsidRDefault="00747ECB">
          <w:pPr>
            <w:pStyle w:val="TOC2"/>
            <w:tabs>
              <w:tab w:val="left" w:pos="880"/>
            </w:tabs>
            <w:rPr>
              <w:rFonts w:eastAsiaTheme="minorEastAsia"/>
              <w:noProof/>
              <w:lang w:eastAsia="lv-LV"/>
            </w:rPr>
          </w:pPr>
          <w:hyperlink w:anchor="_Toc54287913" w:history="1">
            <w:r w:rsidR="000C22C6" w:rsidRPr="00254199">
              <w:rPr>
                <w:rStyle w:val="Hyperlink"/>
                <w:noProof/>
              </w:rPr>
              <w:t>2.2.</w:t>
            </w:r>
            <w:r w:rsidR="000C22C6">
              <w:rPr>
                <w:rFonts w:eastAsiaTheme="minorEastAsia"/>
                <w:noProof/>
                <w:lang w:eastAsia="lv-LV"/>
              </w:rPr>
              <w:tab/>
            </w:r>
            <w:r w:rsidR="000C22C6" w:rsidRPr="00254199">
              <w:rPr>
                <w:rStyle w:val="Hyperlink"/>
                <w:noProof/>
              </w:rPr>
              <w:t>Vispārējās un apakšnozaru ekspertu aptaujas struktūra un norise</w:t>
            </w:r>
            <w:r w:rsidR="000C22C6">
              <w:rPr>
                <w:noProof/>
                <w:webHidden/>
              </w:rPr>
              <w:tab/>
            </w:r>
            <w:r w:rsidR="000C22C6">
              <w:rPr>
                <w:noProof/>
                <w:webHidden/>
              </w:rPr>
              <w:fldChar w:fldCharType="begin"/>
            </w:r>
            <w:r w:rsidR="000C22C6">
              <w:rPr>
                <w:noProof/>
                <w:webHidden/>
              </w:rPr>
              <w:instrText xml:space="preserve"> PAGEREF _Toc54287913 \h </w:instrText>
            </w:r>
            <w:r w:rsidR="000C22C6">
              <w:rPr>
                <w:noProof/>
                <w:webHidden/>
              </w:rPr>
            </w:r>
            <w:r w:rsidR="000C22C6">
              <w:rPr>
                <w:noProof/>
                <w:webHidden/>
              </w:rPr>
              <w:fldChar w:fldCharType="separate"/>
            </w:r>
            <w:r w:rsidR="000C22C6">
              <w:rPr>
                <w:noProof/>
                <w:webHidden/>
              </w:rPr>
              <w:t>16</w:t>
            </w:r>
            <w:r w:rsidR="000C22C6">
              <w:rPr>
                <w:noProof/>
                <w:webHidden/>
              </w:rPr>
              <w:fldChar w:fldCharType="end"/>
            </w:r>
          </w:hyperlink>
        </w:p>
        <w:p w14:paraId="3C087129" w14:textId="6C6A80D3" w:rsidR="000C22C6" w:rsidRDefault="00747ECB">
          <w:pPr>
            <w:pStyle w:val="TOC2"/>
            <w:tabs>
              <w:tab w:val="left" w:pos="880"/>
            </w:tabs>
            <w:rPr>
              <w:rFonts w:eastAsiaTheme="minorEastAsia"/>
              <w:noProof/>
              <w:lang w:eastAsia="lv-LV"/>
            </w:rPr>
          </w:pPr>
          <w:hyperlink w:anchor="_Toc54287914" w:history="1">
            <w:r w:rsidR="000C22C6" w:rsidRPr="00254199">
              <w:rPr>
                <w:rStyle w:val="Hyperlink"/>
                <w:noProof/>
              </w:rPr>
              <w:t>2.3.</w:t>
            </w:r>
            <w:r w:rsidR="000C22C6">
              <w:rPr>
                <w:rFonts w:eastAsiaTheme="minorEastAsia"/>
                <w:noProof/>
                <w:lang w:eastAsia="lv-LV"/>
              </w:rPr>
              <w:tab/>
            </w:r>
            <w:r w:rsidR="000C22C6" w:rsidRPr="00254199">
              <w:rPr>
                <w:rStyle w:val="Hyperlink"/>
                <w:noProof/>
              </w:rPr>
              <w:t>Darbaspēka un būvmateriālu izmaksu izmaiņas ietekmējošie faktori būvniecības nozarē kopumā</w:t>
            </w:r>
            <w:r w:rsidR="000C22C6">
              <w:rPr>
                <w:noProof/>
                <w:webHidden/>
              </w:rPr>
              <w:tab/>
            </w:r>
            <w:r w:rsidR="000C22C6">
              <w:rPr>
                <w:noProof/>
                <w:webHidden/>
              </w:rPr>
              <w:fldChar w:fldCharType="begin"/>
            </w:r>
            <w:r w:rsidR="000C22C6">
              <w:rPr>
                <w:noProof/>
                <w:webHidden/>
              </w:rPr>
              <w:instrText xml:space="preserve"> PAGEREF _Toc54287914 \h </w:instrText>
            </w:r>
            <w:r w:rsidR="000C22C6">
              <w:rPr>
                <w:noProof/>
                <w:webHidden/>
              </w:rPr>
            </w:r>
            <w:r w:rsidR="000C22C6">
              <w:rPr>
                <w:noProof/>
                <w:webHidden/>
              </w:rPr>
              <w:fldChar w:fldCharType="separate"/>
            </w:r>
            <w:r w:rsidR="000C22C6">
              <w:rPr>
                <w:noProof/>
                <w:webHidden/>
              </w:rPr>
              <w:t>16</w:t>
            </w:r>
            <w:r w:rsidR="000C22C6">
              <w:rPr>
                <w:noProof/>
                <w:webHidden/>
              </w:rPr>
              <w:fldChar w:fldCharType="end"/>
            </w:r>
          </w:hyperlink>
        </w:p>
        <w:p w14:paraId="2AEA104E" w14:textId="50C5B3AF" w:rsidR="000C22C6" w:rsidRDefault="00747ECB">
          <w:pPr>
            <w:pStyle w:val="TOC2"/>
            <w:tabs>
              <w:tab w:val="left" w:pos="880"/>
            </w:tabs>
            <w:rPr>
              <w:rFonts w:eastAsiaTheme="minorEastAsia"/>
              <w:noProof/>
              <w:lang w:eastAsia="lv-LV"/>
            </w:rPr>
          </w:pPr>
          <w:hyperlink w:anchor="_Toc54287915" w:history="1">
            <w:r w:rsidR="000C22C6" w:rsidRPr="00254199">
              <w:rPr>
                <w:rStyle w:val="Hyperlink"/>
                <w:noProof/>
              </w:rPr>
              <w:t>2.4.</w:t>
            </w:r>
            <w:r w:rsidR="000C22C6">
              <w:rPr>
                <w:rFonts w:eastAsiaTheme="minorEastAsia"/>
                <w:noProof/>
                <w:lang w:eastAsia="lv-LV"/>
              </w:rPr>
              <w:tab/>
            </w:r>
            <w:r w:rsidR="000C22C6" w:rsidRPr="00254199">
              <w:rPr>
                <w:rStyle w:val="Hyperlink"/>
                <w:noProof/>
              </w:rPr>
              <w:t>Darbaspēka un būvmateriālu izmaksu izmaiņas ietekmējošie faktori pa apakšnozarēm</w:t>
            </w:r>
            <w:r w:rsidR="000C22C6">
              <w:rPr>
                <w:noProof/>
                <w:webHidden/>
              </w:rPr>
              <w:tab/>
            </w:r>
            <w:r w:rsidR="000C22C6">
              <w:rPr>
                <w:noProof/>
                <w:webHidden/>
              </w:rPr>
              <w:fldChar w:fldCharType="begin"/>
            </w:r>
            <w:r w:rsidR="000C22C6">
              <w:rPr>
                <w:noProof/>
                <w:webHidden/>
              </w:rPr>
              <w:instrText xml:space="preserve"> PAGEREF _Toc54287915 \h </w:instrText>
            </w:r>
            <w:r w:rsidR="000C22C6">
              <w:rPr>
                <w:noProof/>
                <w:webHidden/>
              </w:rPr>
            </w:r>
            <w:r w:rsidR="000C22C6">
              <w:rPr>
                <w:noProof/>
                <w:webHidden/>
              </w:rPr>
              <w:fldChar w:fldCharType="separate"/>
            </w:r>
            <w:r w:rsidR="000C22C6">
              <w:rPr>
                <w:noProof/>
                <w:webHidden/>
              </w:rPr>
              <w:t>18</w:t>
            </w:r>
            <w:r w:rsidR="000C22C6">
              <w:rPr>
                <w:noProof/>
                <w:webHidden/>
              </w:rPr>
              <w:fldChar w:fldCharType="end"/>
            </w:r>
          </w:hyperlink>
        </w:p>
        <w:p w14:paraId="70805514" w14:textId="49EA698F" w:rsidR="000C22C6" w:rsidRDefault="00747ECB">
          <w:pPr>
            <w:pStyle w:val="TOC2"/>
            <w:tabs>
              <w:tab w:val="left" w:pos="880"/>
            </w:tabs>
            <w:rPr>
              <w:rFonts w:eastAsiaTheme="minorEastAsia"/>
              <w:noProof/>
              <w:lang w:eastAsia="lv-LV"/>
            </w:rPr>
          </w:pPr>
          <w:hyperlink w:anchor="_Toc54287916" w:history="1">
            <w:r w:rsidR="000C22C6" w:rsidRPr="00254199">
              <w:rPr>
                <w:rStyle w:val="Hyperlink"/>
                <w:noProof/>
              </w:rPr>
              <w:t>2.5.</w:t>
            </w:r>
            <w:r w:rsidR="000C22C6">
              <w:rPr>
                <w:rFonts w:eastAsiaTheme="minorEastAsia"/>
                <w:noProof/>
                <w:lang w:eastAsia="lv-LV"/>
              </w:rPr>
              <w:tab/>
            </w:r>
            <w:r w:rsidR="000C22C6" w:rsidRPr="00254199">
              <w:rPr>
                <w:rStyle w:val="Hyperlink"/>
                <w:noProof/>
              </w:rPr>
              <w:t>Valdības ieviesto ēnu ekonomikas pasākumu un koronvīrusa COVID - 19 izraisīto seku ietekme</w:t>
            </w:r>
            <w:r w:rsidR="000C22C6">
              <w:rPr>
                <w:noProof/>
                <w:webHidden/>
              </w:rPr>
              <w:tab/>
            </w:r>
            <w:r w:rsidR="000C22C6">
              <w:rPr>
                <w:noProof/>
                <w:webHidden/>
              </w:rPr>
              <w:fldChar w:fldCharType="begin"/>
            </w:r>
            <w:r w:rsidR="000C22C6">
              <w:rPr>
                <w:noProof/>
                <w:webHidden/>
              </w:rPr>
              <w:instrText xml:space="preserve"> PAGEREF _Toc54287916 \h </w:instrText>
            </w:r>
            <w:r w:rsidR="000C22C6">
              <w:rPr>
                <w:noProof/>
                <w:webHidden/>
              </w:rPr>
            </w:r>
            <w:r w:rsidR="000C22C6">
              <w:rPr>
                <w:noProof/>
                <w:webHidden/>
              </w:rPr>
              <w:fldChar w:fldCharType="separate"/>
            </w:r>
            <w:r w:rsidR="000C22C6">
              <w:rPr>
                <w:noProof/>
                <w:webHidden/>
              </w:rPr>
              <w:t>20</w:t>
            </w:r>
            <w:r w:rsidR="000C22C6">
              <w:rPr>
                <w:noProof/>
                <w:webHidden/>
              </w:rPr>
              <w:fldChar w:fldCharType="end"/>
            </w:r>
          </w:hyperlink>
        </w:p>
        <w:p w14:paraId="064CCAD1" w14:textId="290FB79E" w:rsidR="000C22C6" w:rsidRDefault="00747ECB">
          <w:pPr>
            <w:pStyle w:val="TOC2"/>
            <w:tabs>
              <w:tab w:val="left" w:pos="880"/>
            </w:tabs>
            <w:rPr>
              <w:rFonts w:eastAsiaTheme="minorEastAsia"/>
              <w:noProof/>
              <w:lang w:eastAsia="lv-LV"/>
            </w:rPr>
          </w:pPr>
          <w:hyperlink w:anchor="_Toc54287917" w:history="1">
            <w:r w:rsidR="000C22C6" w:rsidRPr="00254199">
              <w:rPr>
                <w:rStyle w:val="Hyperlink"/>
                <w:noProof/>
              </w:rPr>
              <w:t>2.6.</w:t>
            </w:r>
            <w:r w:rsidR="000C22C6">
              <w:rPr>
                <w:rFonts w:eastAsiaTheme="minorEastAsia"/>
                <w:noProof/>
                <w:lang w:eastAsia="lv-LV"/>
              </w:rPr>
              <w:tab/>
            </w:r>
            <w:r w:rsidR="000C22C6" w:rsidRPr="00254199">
              <w:rPr>
                <w:rStyle w:val="Hyperlink"/>
                <w:noProof/>
              </w:rPr>
              <w:t>Būvniecības produkcijas apjoma un izmaksu izmaiņu prognoze būvniecības nozarē kopumā</w:t>
            </w:r>
            <w:r w:rsidR="000C22C6">
              <w:rPr>
                <w:noProof/>
                <w:webHidden/>
              </w:rPr>
              <w:tab/>
            </w:r>
            <w:r w:rsidR="000C22C6">
              <w:rPr>
                <w:noProof/>
                <w:webHidden/>
              </w:rPr>
              <w:fldChar w:fldCharType="begin"/>
            </w:r>
            <w:r w:rsidR="000C22C6">
              <w:rPr>
                <w:noProof/>
                <w:webHidden/>
              </w:rPr>
              <w:instrText xml:space="preserve"> PAGEREF _Toc54287917 \h </w:instrText>
            </w:r>
            <w:r w:rsidR="000C22C6">
              <w:rPr>
                <w:noProof/>
                <w:webHidden/>
              </w:rPr>
            </w:r>
            <w:r w:rsidR="000C22C6">
              <w:rPr>
                <w:noProof/>
                <w:webHidden/>
              </w:rPr>
              <w:fldChar w:fldCharType="separate"/>
            </w:r>
            <w:r w:rsidR="000C22C6">
              <w:rPr>
                <w:noProof/>
                <w:webHidden/>
              </w:rPr>
              <w:t>21</w:t>
            </w:r>
            <w:r w:rsidR="000C22C6">
              <w:rPr>
                <w:noProof/>
                <w:webHidden/>
              </w:rPr>
              <w:fldChar w:fldCharType="end"/>
            </w:r>
          </w:hyperlink>
        </w:p>
        <w:p w14:paraId="4B0D72CA" w14:textId="19496EF3" w:rsidR="000C22C6" w:rsidRDefault="00747ECB">
          <w:pPr>
            <w:pStyle w:val="TOC2"/>
            <w:tabs>
              <w:tab w:val="left" w:pos="880"/>
            </w:tabs>
            <w:rPr>
              <w:rFonts w:eastAsiaTheme="minorEastAsia"/>
              <w:noProof/>
              <w:lang w:eastAsia="lv-LV"/>
            </w:rPr>
          </w:pPr>
          <w:hyperlink w:anchor="_Toc54287918" w:history="1">
            <w:r w:rsidR="000C22C6" w:rsidRPr="00254199">
              <w:rPr>
                <w:rStyle w:val="Hyperlink"/>
                <w:noProof/>
              </w:rPr>
              <w:t>2.7.</w:t>
            </w:r>
            <w:r w:rsidR="000C22C6">
              <w:rPr>
                <w:rFonts w:eastAsiaTheme="minorEastAsia"/>
                <w:noProof/>
                <w:lang w:eastAsia="lv-LV"/>
              </w:rPr>
              <w:tab/>
            </w:r>
            <w:r w:rsidR="000C22C6" w:rsidRPr="00254199">
              <w:rPr>
                <w:rStyle w:val="Hyperlink"/>
                <w:noProof/>
              </w:rPr>
              <w:t>Būvniecības produkcijas apjoma un izmaksu izmaiņu prognoze pa resursu veidiem</w:t>
            </w:r>
            <w:r w:rsidR="000C22C6">
              <w:rPr>
                <w:noProof/>
                <w:webHidden/>
              </w:rPr>
              <w:tab/>
            </w:r>
            <w:r w:rsidR="000C22C6">
              <w:rPr>
                <w:noProof/>
                <w:webHidden/>
              </w:rPr>
              <w:fldChar w:fldCharType="begin"/>
            </w:r>
            <w:r w:rsidR="000C22C6">
              <w:rPr>
                <w:noProof/>
                <w:webHidden/>
              </w:rPr>
              <w:instrText xml:space="preserve"> PAGEREF _Toc54287918 \h </w:instrText>
            </w:r>
            <w:r w:rsidR="000C22C6">
              <w:rPr>
                <w:noProof/>
                <w:webHidden/>
              </w:rPr>
            </w:r>
            <w:r w:rsidR="000C22C6">
              <w:rPr>
                <w:noProof/>
                <w:webHidden/>
              </w:rPr>
              <w:fldChar w:fldCharType="separate"/>
            </w:r>
            <w:r w:rsidR="000C22C6">
              <w:rPr>
                <w:noProof/>
                <w:webHidden/>
              </w:rPr>
              <w:t>23</w:t>
            </w:r>
            <w:r w:rsidR="000C22C6">
              <w:rPr>
                <w:noProof/>
                <w:webHidden/>
              </w:rPr>
              <w:fldChar w:fldCharType="end"/>
            </w:r>
          </w:hyperlink>
        </w:p>
        <w:p w14:paraId="5DF9986E" w14:textId="3578C27F" w:rsidR="000C22C6" w:rsidRDefault="00747ECB">
          <w:pPr>
            <w:pStyle w:val="TOC2"/>
            <w:tabs>
              <w:tab w:val="left" w:pos="880"/>
            </w:tabs>
            <w:rPr>
              <w:rFonts w:eastAsiaTheme="minorEastAsia"/>
              <w:noProof/>
              <w:lang w:eastAsia="lv-LV"/>
            </w:rPr>
          </w:pPr>
          <w:hyperlink w:anchor="_Toc54287919" w:history="1">
            <w:r w:rsidR="000C22C6" w:rsidRPr="00254199">
              <w:rPr>
                <w:rStyle w:val="Hyperlink"/>
                <w:noProof/>
              </w:rPr>
              <w:t>2.8.</w:t>
            </w:r>
            <w:r w:rsidR="000C22C6">
              <w:rPr>
                <w:rFonts w:eastAsiaTheme="minorEastAsia"/>
                <w:noProof/>
                <w:lang w:eastAsia="lv-LV"/>
              </w:rPr>
              <w:tab/>
            </w:r>
            <w:r w:rsidR="000C22C6" w:rsidRPr="00254199">
              <w:rPr>
                <w:rStyle w:val="Hyperlink"/>
                <w:noProof/>
              </w:rPr>
              <w:t>Būvniecības produkcijas apjoma un izmaksu izmaiņu prognoze apakšnozarēs</w:t>
            </w:r>
            <w:r w:rsidR="000C22C6">
              <w:rPr>
                <w:noProof/>
                <w:webHidden/>
              </w:rPr>
              <w:tab/>
            </w:r>
            <w:r w:rsidR="000C22C6">
              <w:rPr>
                <w:noProof/>
                <w:webHidden/>
              </w:rPr>
              <w:fldChar w:fldCharType="begin"/>
            </w:r>
            <w:r w:rsidR="000C22C6">
              <w:rPr>
                <w:noProof/>
                <w:webHidden/>
              </w:rPr>
              <w:instrText xml:space="preserve"> PAGEREF _Toc54287919 \h </w:instrText>
            </w:r>
            <w:r w:rsidR="000C22C6">
              <w:rPr>
                <w:noProof/>
                <w:webHidden/>
              </w:rPr>
            </w:r>
            <w:r w:rsidR="000C22C6">
              <w:rPr>
                <w:noProof/>
                <w:webHidden/>
              </w:rPr>
              <w:fldChar w:fldCharType="separate"/>
            </w:r>
            <w:r w:rsidR="000C22C6">
              <w:rPr>
                <w:noProof/>
                <w:webHidden/>
              </w:rPr>
              <w:t>25</w:t>
            </w:r>
            <w:r w:rsidR="000C22C6">
              <w:rPr>
                <w:noProof/>
                <w:webHidden/>
              </w:rPr>
              <w:fldChar w:fldCharType="end"/>
            </w:r>
          </w:hyperlink>
        </w:p>
        <w:p w14:paraId="4B59A720" w14:textId="75EB439A" w:rsidR="000C22C6" w:rsidRDefault="00747ECB">
          <w:pPr>
            <w:pStyle w:val="TOC2"/>
            <w:tabs>
              <w:tab w:val="left" w:pos="880"/>
            </w:tabs>
            <w:rPr>
              <w:rFonts w:eastAsiaTheme="minorEastAsia"/>
              <w:noProof/>
              <w:lang w:eastAsia="lv-LV"/>
            </w:rPr>
          </w:pPr>
          <w:hyperlink w:anchor="_Toc54287920" w:history="1">
            <w:r w:rsidR="000C22C6" w:rsidRPr="00254199">
              <w:rPr>
                <w:rStyle w:val="Hyperlink"/>
                <w:noProof/>
              </w:rPr>
              <w:t>2.9.</w:t>
            </w:r>
            <w:r w:rsidR="000C22C6">
              <w:rPr>
                <w:rFonts w:eastAsiaTheme="minorEastAsia"/>
                <w:noProof/>
                <w:lang w:eastAsia="lv-LV"/>
              </w:rPr>
              <w:tab/>
            </w:r>
            <w:r w:rsidR="000C22C6" w:rsidRPr="00254199">
              <w:rPr>
                <w:rStyle w:val="Hyperlink"/>
                <w:noProof/>
              </w:rPr>
              <w:t>Būvniecības produkcijas apjoma ietekme uz izmaksām un nozares vidējo peļņas normu</w:t>
            </w:r>
            <w:r w:rsidR="000C22C6">
              <w:rPr>
                <w:noProof/>
                <w:webHidden/>
              </w:rPr>
              <w:tab/>
            </w:r>
            <w:r w:rsidR="000C22C6">
              <w:rPr>
                <w:noProof/>
                <w:webHidden/>
              </w:rPr>
              <w:fldChar w:fldCharType="begin"/>
            </w:r>
            <w:r w:rsidR="000C22C6">
              <w:rPr>
                <w:noProof/>
                <w:webHidden/>
              </w:rPr>
              <w:instrText xml:space="preserve"> PAGEREF _Toc54287920 \h </w:instrText>
            </w:r>
            <w:r w:rsidR="000C22C6">
              <w:rPr>
                <w:noProof/>
                <w:webHidden/>
              </w:rPr>
            </w:r>
            <w:r w:rsidR="000C22C6">
              <w:rPr>
                <w:noProof/>
                <w:webHidden/>
              </w:rPr>
              <w:fldChar w:fldCharType="separate"/>
            </w:r>
            <w:r w:rsidR="000C22C6">
              <w:rPr>
                <w:noProof/>
                <w:webHidden/>
              </w:rPr>
              <w:t>29</w:t>
            </w:r>
            <w:r w:rsidR="000C22C6">
              <w:rPr>
                <w:noProof/>
                <w:webHidden/>
              </w:rPr>
              <w:fldChar w:fldCharType="end"/>
            </w:r>
          </w:hyperlink>
        </w:p>
        <w:p w14:paraId="496D576F" w14:textId="0D248329" w:rsidR="000C22C6" w:rsidRDefault="00747ECB">
          <w:pPr>
            <w:pStyle w:val="TOC2"/>
            <w:tabs>
              <w:tab w:val="left" w:pos="880"/>
            </w:tabs>
            <w:rPr>
              <w:rFonts w:eastAsiaTheme="minorEastAsia"/>
              <w:noProof/>
              <w:lang w:eastAsia="lv-LV"/>
            </w:rPr>
          </w:pPr>
          <w:hyperlink w:anchor="_Toc54287921" w:history="1">
            <w:r w:rsidR="000C22C6" w:rsidRPr="00254199">
              <w:rPr>
                <w:rStyle w:val="Hyperlink"/>
                <w:noProof/>
              </w:rPr>
              <w:t>2.10.</w:t>
            </w:r>
            <w:r w:rsidR="000C22C6">
              <w:rPr>
                <w:rFonts w:eastAsiaTheme="minorEastAsia"/>
                <w:noProof/>
                <w:lang w:eastAsia="lv-LV"/>
              </w:rPr>
              <w:tab/>
            </w:r>
            <w:r w:rsidR="000C22C6" w:rsidRPr="00254199">
              <w:rPr>
                <w:rStyle w:val="Hyperlink"/>
                <w:noProof/>
              </w:rPr>
              <w:t>Tautsaimniecības iespējamo pārkaršanas risku izvērtējums</w:t>
            </w:r>
            <w:r w:rsidR="000C22C6">
              <w:rPr>
                <w:noProof/>
                <w:webHidden/>
              </w:rPr>
              <w:tab/>
            </w:r>
            <w:r w:rsidR="000C22C6">
              <w:rPr>
                <w:noProof/>
                <w:webHidden/>
              </w:rPr>
              <w:fldChar w:fldCharType="begin"/>
            </w:r>
            <w:r w:rsidR="000C22C6">
              <w:rPr>
                <w:noProof/>
                <w:webHidden/>
              </w:rPr>
              <w:instrText xml:space="preserve"> PAGEREF _Toc54287921 \h </w:instrText>
            </w:r>
            <w:r w:rsidR="000C22C6">
              <w:rPr>
                <w:noProof/>
                <w:webHidden/>
              </w:rPr>
            </w:r>
            <w:r w:rsidR="000C22C6">
              <w:rPr>
                <w:noProof/>
                <w:webHidden/>
              </w:rPr>
              <w:fldChar w:fldCharType="separate"/>
            </w:r>
            <w:r w:rsidR="000C22C6">
              <w:rPr>
                <w:noProof/>
                <w:webHidden/>
              </w:rPr>
              <w:t>30</w:t>
            </w:r>
            <w:r w:rsidR="000C22C6">
              <w:rPr>
                <w:noProof/>
                <w:webHidden/>
              </w:rPr>
              <w:fldChar w:fldCharType="end"/>
            </w:r>
          </w:hyperlink>
        </w:p>
        <w:p w14:paraId="02C00AE1" w14:textId="356D3F2A" w:rsidR="000C22C6" w:rsidRDefault="00747ECB">
          <w:pPr>
            <w:pStyle w:val="TOC1"/>
            <w:rPr>
              <w:rFonts w:eastAsiaTheme="minorEastAsia"/>
              <w:noProof/>
              <w:lang w:eastAsia="lv-LV"/>
            </w:rPr>
          </w:pPr>
          <w:hyperlink w:anchor="_Toc54287922" w:history="1">
            <w:r w:rsidR="000C22C6" w:rsidRPr="00254199">
              <w:rPr>
                <w:rStyle w:val="Hyperlink"/>
                <w:noProof/>
              </w:rPr>
              <w:t>Pētījuma secinājumi</w:t>
            </w:r>
            <w:r w:rsidR="000C22C6">
              <w:rPr>
                <w:noProof/>
                <w:webHidden/>
              </w:rPr>
              <w:tab/>
            </w:r>
            <w:r w:rsidR="000C22C6">
              <w:rPr>
                <w:noProof/>
                <w:webHidden/>
              </w:rPr>
              <w:fldChar w:fldCharType="begin"/>
            </w:r>
            <w:r w:rsidR="000C22C6">
              <w:rPr>
                <w:noProof/>
                <w:webHidden/>
              </w:rPr>
              <w:instrText xml:space="preserve"> PAGEREF _Toc54287922 \h </w:instrText>
            </w:r>
            <w:r w:rsidR="000C22C6">
              <w:rPr>
                <w:noProof/>
                <w:webHidden/>
              </w:rPr>
            </w:r>
            <w:r w:rsidR="000C22C6">
              <w:rPr>
                <w:noProof/>
                <w:webHidden/>
              </w:rPr>
              <w:fldChar w:fldCharType="separate"/>
            </w:r>
            <w:r w:rsidR="000C22C6">
              <w:rPr>
                <w:noProof/>
                <w:webHidden/>
              </w:rPr>
              <w:t>34</w:t>
            </w:r>
            <w:r w:rsidR="000C22C6">
              <w:rPr>
                <w:noProof/>
                <w:webHidden/>
              </w:rPr>
              <w:fldChar w:fldCharType="end"/>
            </w:r>
          </w:hyperlink>
        </w:p>
        <w:p w14:paraId="1C6E0D24" w14:textId="1F0FCDD0" w:rsidR="000C22C6" w:rsidRDefault="00747ECB">
          <w:pPr>
            <w:pStyle w:val="TOC1"/>
            <w:rPr>
              <w:rFonts w:eastAsiaTheme="minorEastAsia"/>
              <w:noProof/>
              <w:lang w:eastAsia="lv-LV"/>
            </w:rPr>
          </w:pPr>
          <w:hyperlink w:anchor="_Toc54287923" w:history="1">
            <w:r w:rsidR="000C22C6" w:rsidRPr="00254199">
              <w:rPr>
                <w:rStyle w:val="Hyperlink"/>
                <w:noProof/>
              </w:rPr>
              <w:t>Pētījuma saskaņošana un būvniecības nozares viedoklis</w:t>
            </w:r>
            <w:r w:rsidR="000C22C6">
              <w:rPr>
                <w:noProof/>
                <w:webHidden/>
              </w:rPr>
              <w:tab/>
            </w:r>
            <w:r w:rsidR="000C22C6">
              <w:rPr>
                <w:noProof/>
                <w:webHidden/>
              </w:rPr>
              <w:fldChar w:fldCharType="begin"/>
            </w:r>
            <w:r w:rsidR="000C22C6">
              <w:rPr>
                <w:noProof/>
                <w:webHidden/>
              </w:rPr>
              <w:instrText xml:space="preserve"> PAGEREF _Toc54287923 \h </w:instrText>
            </w:r>
            <w:r w:rsidR="000C22C6">
              <w:rPr>
                <w:noProof/>
                <w:webHidden/>
              </w:rPr>
            </w:r>
            <w:r w:rsidR="000C22C6">
              <w:rPr>
                <w:noProof/>
                <w:webHidden/>
              </w:rPr>
              <w:fldChar w:fldCharType="separate"/>
            </w:r>
            <w:r w:rsidR="000C22C6">
              <w:rPr>
                <w:noProof/>
                <w:webHidden/>
              </w:rPr>
              <w:t>36</w:t>
            </w:r>
            <w:r w:rsidR="000C22C6">
              <w:rPr>
                <w:noProof/>
                <w:webHidden/>
              </w:rPr>
              <w:fldChar w:fldCharType="end"/>
            </w:r>
          </w:hyperlink>
        </w:p>
        <w:p w14:paraId="0452C26A" w14:textId="44FAE8C9" w:rsidR="00A617AF" w:rsidRDefault="00A617AF">
          <w:r w:rsidRPr="00FB566B">
            <w:rPr>
              <w:sz w:val="20"/>
              <w:szCs w:val="20"/>
            </w:rPr>
            <w:fldChar w:fldCharType="end"/>
          </w:r>
        </w:p>
      </w:sdtContent>
    </w:sdt>
    <w:p w14:paraId="055ADE9F" w14:textId="77777777" w:rsidR="009A44D2" w:rsidRPr="009A44D2" w:rsidRDefault="009A44D2" w:rsidP="009A44D2"/>
    <w:p w14:paraId="545C465A" w14:textId="65DD9F8B" w:rsidR="0059518C" w:rsidRDefault="0059518C">
      <w:pPr>
        <w:spacing w:after="160" w:line="259" w:lineRule="auto"/>
        <w:ind w:firstLine="0"/>
        <w:jc w:val="left"/>
      </w:pPr>
      <w:r>
        <w:br w:type="page"/>
      </w:r>
    </w:p>
    <w:p w14:paraId="759CAEDE" w14:textId="2D965DCF" w:rsidR="006B18E6" w:rsidRDefault="006B18E6" w:rsidP="000B785B">
      <w:pPr>
        <w:pStyle w:val="Heading1"/>
      </w:pPr>
      <w:bookmarkStart w:id="0" w:name="_Toc54287905"/>
      <w:r>
        <w:lastRenderedPageBreak/>
        <w:t>Izmantotie saīsinājumi un termini</w:t>
      </w:r>
      <w:bookmarkEnd w:id="0"/>
    </w:p>
    <w:tbl>
      <w:tblPr>
        <w:tblW w:w="9175" w:type="dxa"/>
        <w:tblInd w:w="-108" w:type="dxa"/>
        <w:tblLayout w:type="fixed"/>
        <w:tblLook w:val="0000" w:firstRow="0" w:lastRow="0" w:firstColumn="0" w:lastColumn="0" w:noHBand="0" w:noVBand="0"/>
      </w:tblPr>
      <w:tblGrid>
        <w:gridCol w:w="1946"/>
        <w:gridCol w:w="7229"/>
      </w:tblGrid>
      <w:tr w:rsidR="00692C3D" w:rsidRPr="00692C3D" w14:paraId="10C20D0A" w14:textId="77777777" w:rsidTr="00FB566B">
        <w:trPr>
          <w:trHeight w:val="93"/>
        </w:trPr>
        <w:tc>
          <w:tcPr>
            <w:tcW w:w="1946" w:type="dxa"/>
          </w:tcPr>
          <w:p w14:paraId="2C2CCDE0" w14:textId="282B2880"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b/>
                <w:bCs/>
                <w:color w:val="auto"/>
              </w:rPr>
              <w:t xml:space="preserve">Saīsinājums </w:t>
            </w:r>
          </w:p>
        </w:tc>
        <w:tc>
          <w:tcPr>
            <w:tcW w:w="7229" w:type="dxa"/>
          </w:tcPr>
          <w:p w14:paraId="7DDF6FD8" w14:textId="77777777" w:rsidR="003F6B25" w:rsidRPr="00692C3D" w:rsidRDefault="003F6B25" w:rsidP="007B339E">
            <w:pPr>
              <w:pStyle w:val="Default"/>
              <w:rPr>
                <w:rFonts w:asciiTheme="minorHAnsi" w:hAnsiTheme="minorHAnsi" w:cstheme="minorHAnsi"/>
                <w:b/>
                <w:bCs/>
                <w:color w:val="auto"/>
              </w:rPr>
            </w:pPr>
            <w:r w:rsidRPr="00692C3D">
              <w:rPr>
                <w:rFonts w:asciiTheme="minorHAnsi" w:hAnsiTheme="minorHAnsi" w:cstheme="minorHAnsi"/>
                <w:b/>
                <w:bCs/>
                <w:color w:val="auto"/>
              </w:rPr>
              <w:t xml:space="preserve">Skaidrojums </w:t>
            </w:r>
          </w:p>
          <w:p w14:paraId="4DE2CC3D" w14:textId="1BCC0B6F" w:rsidR="00FB566B" w:rsidRPr="00692C3D" w:rsidRDefault="00FB566B" w:rsidP="007B339E">
            <w:pPr>
              <w:pStyle w:val="Default"/>
              <w:rPr>
                <w:rFonts w:asciiTheme="minorHAnsi" w:hAnsiTheme="minorHAnsi" w:cstheme="minorHAnsi"/>
                <w:color w:val="auto"/>
              </w:rPr>
            </w:pPr>
          </w:p>
        </w:tc>
      </w:tr>
      <w:tr w:rsidR="00692C3D" w:rsidRPr="00692C3D" w14:paraId="01B58A87" w14:textId="77777777" w:rsidTr="00FB566B">
        <w:trPr>
          <w:trHeight w:val="93"/>
        </w:trPr>
        <w:tc>
          <w:tcPr>
            <w:tcW w:w="1946" w:type="dxa"/>
          </w:tcPr>
          <w:p w14:paraId="7F7AFA0B"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 xml:space="preserve">CFLA </w:t>
            </w:r>
          </w:p>
        </w:tc>
        <w:tc>
          <w:tcPr>
            <w:tcW w:w="7229" w:type="dxa"/>
          </w:tcPr>
          <w:p w14:paraId="5307CD6F"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 xml:space="preserve">Centrālā finanšu un līgumu aģentūra </w:t>
            </w:r>
          </w:p>
          <w:p w14:paraId="2BD767CA" w14:textId="7FD2BF74" w:rsidR="00FB566B" w:rsidRPr="00692C3D" w:rsidRDefault="00FB566B" w:rsidP="007B339E">
            <w:pPr>
              <w:pStyle w:val="Default"/>
              <w:rPr>
                <w:rFonts w:asciiTheme="minorHAnsi" w:hAnsiTheme="minorHAnsi" w:cstheme="minorHAnsi"/>
                <w:color w:val="auto"/>
              </w:rPr>
            </w:pPr>
          </w:p>
        </w:tc>
      </w:tr>
      <w:tr w:rsidR="00692C3D" w:rsidRPr="00692C3D" w14:paraId="58E1CE87" w14:textId="77777777" w:rsidTr="00FB566B">
        <w:trPr>
          <w:trHeight w:val="93"/>
        </w:trPr>
        <w:tc>
          <w:tcPr>
            <w:tcW w:w="1946" w:type="dxa"/>
          </w:tcPr>
          <w:p w14:paraId="2C8FFDDD"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 xml:space="preserve">CSP </w:t>
            </w:r>
          </w:p>
        </w:tc>
        <w:tc>
          <w:tcPr>
            <w:tcW w:w="7229" w:type="dxa"/>
          </w:tcPr>
          <w:p w14:paraId="3E000308"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 xml:space="preserve">Centrālā statistikas pārvalde </w:t>
            </w:r>
          </w:p>
          <w:p w14:paraId="2B0AD032" w14:textId="6D6104BF" w:rsidR="00FB566B" w:rsidRPr="00692C3D" w:rsidRDefault="00FB566B" w:rsidP="007B339E">
            <w:pPr>
              <w:pStyle w:val="Default"/>
              <w:rPr>
                <w:rFonts w:asciiTheme="minorHAnsi" w:hAnsiTheme="minorHAnsi" w:cstheme="minorHAnsi"/>
                <w:color w:val="auto"/>
              </w:rPr>
            </w:pPr>
          </w:p>
        </w:tc>
      </w:tr>
      <w:tr w:rsidR="00692C3D" w:rsidRPr="00692C3D" w14:paraId="735006AD" w14:textId="77777777" w:rsidTr="00692C3D">
        <w:trPr>
          <w:trHeight w:val="93"/>
        </w:trPr>
        <w:tc>
          <w:tcPr>
            <w:tcW w:w="1946" w:type="dxa"/>
          </w:tcPr>
          <w:p w14:paraId="69BCEC01"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EM</w:t>
            </w:r>
          </w:p>
        </w:tc>
        <w:tc>
          <w:tcPr>
            <w:tcW w:w="7229" w:type="dxa"/>
          </w:tcPr>
          <w:p w14:paraId="703FBF56"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 xml:space="preserve">Latvijas Republikas Ekonomikas Ministrija </w:t>
            </w:r>
          </w:p>
          <w:p w14:paraId="0FB6CFD6" w14:textId="21811643" w:rsidR="00FB566B" w:rsidRPr="00692C3D" w:rsidRDefault="00FB566B" w:rsidP="007B339E">
            <w:pPr>
              <w:pStyle w:val="Default"/>
              <w:rPr>
                <w:rFonts w:asciiTheme="minorHAnsi" w:hAnsiTheme="minorHAnsi" w:cstheme="minorHAnsi"/>
                <w:color w:val="auto"/>
              </w:rPr>
            </w:pPr>
          </w:p>
        </w:tc>
      </w:tr>
      <w:tr w:rsidR="00692C3D" w:rsidRPr="00692C3D" w14:paraId="435C2BB3" w14:textId="77777777" w:rsidTr="00692C3D">
        <w:trPr>
          <w:trHeight w:val="93"/>
        </w:trPr>
        <w:tc>
          <w:tcPr>
            <w:tcW w:w="1946" w:type="dxa"/>
          </w:tcPr>
          <w:p w14:paraId="601D150E"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 xml:space="preserve">ES </w:t>
            </w:r>
          </w:p>
        </w:tc>
        <w:tc>
          <w:tcPr>
            <w:tcW w:w="7229" w:type="dxa"/>
          </w:tcPr>
          <w:p w14:paraId="7A64C1E8"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 xml:space="preserve">Eiropas Savienība </w:t>
            </w:r>
          </w:p>
          <w:p w14:paraId="56BD9DD0" w14:textId="589C2C85" w:rsidR="00FB566B" w:rsidRPr="00692C3D" w:rsidRDefault="00FB566B" w:rsidP="007B339E">
            <w:pPr>
              <w:pStyle w:val="Default"/>
              <w:rPr>
                <w:rFonts w:asciiTheme="minorHAnsi" w:hAnsiTheme="minorHAnsi" w:cstheme="minorHAnsi"/>
                <w:color w:val="auto"/>
              </w:rPr>
            </w:pPr>
          </w:p>
        </w:tc>
      </w:tr>
      <w:tr w:rsidR="00692C3D" w:rsidRPr="00692C3D" w14:paraId="4EAD7AE5" w14:textId="77777777" w:rsidTr="00692C3D">
        <w:trPr>
          <w:trHeight w:val="93"/>
        </w:trPr>
        <w:tc>
          <w:tcPr>
            <w:tcW w:w="1946" w:type="dxa"/>
          </w:tcPr>
          <w:p w14:paraId="42054486" w14:textId="77777777" w:rsidR="003F6B25" w:rsidRPr="00692C3D" w:rsidRDefault="003F6B25" w:rsidP="007B339E">
            <w:pPr>
              <w:pStyle w:val="Default"/>
              <w:rPr>
                <w:rFonts w:asciiTheme="minorHAnsi" w:hAnsiTheme="minorHAnsi" w:cstheme="minorHAnsi"/>
                <w:color w:val="auto"/>
              </w:rPr>
            </w:pPr>
            <w:proofErr w:type="spellStart"/>
            <w:r w:rsidRPr="00692C3D">
              <w:rPr>
                <w:rFonts w:asciiTheme="minorHAnsi" w:hAnsiTheme="minorHAnsi" w:cstheme="minorHAnsi"/>
                <w:color w:val="auto"/>
              </w:rPr>
              <w:t>Eurostat</w:t>
            </w:r>
            <w:proofErr w:type="spellEnd"/>
            <w:r w:rsidRPr="00692C3D">
              <w:rPr>
                <w:rFonts w:asciiTheme="minorHAnsi" w:hAnsiTheme="minorHAnsi" w:cstheme="minorHAnsi"/>
                <w:color w:val="auto"/>
              </w:rPr>
              <w:t xml:space="preserve"> </w:t>
            </w:r>
          </w:p>
        </w:tc>
        <w:tc>
          <w:tcPr>
            <w:tcW w:w="7229" w:type="dxa"/>
          </w:tcPr>
          <w:p w14:paraId="095BAF90"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 xml:space="preserve">Eiropas Komisijas Statistikas birojs </w:t>
            </w:r>
          </w:p>
          <w:p w14:paraId="5F22A1FE" w14:textId="066FC816" w:rsidR="00FB566B" w:rsidRPr="00692C3D" w:rsidRDefault="00FB566B" w:rsidP="007B339E">
            <w:pPr>
              <w:pStyle w:val="Default"/>
              <w:rPr>
                <w:rFonts w:asciiTheme="minorHAnsi" w:hAnsiTheme="minorHAnsi" w:cstheme="minorHAnsi"/>
                <w:color w:val="auto"/>
              </w:rPr>
            </w:pPr>
          </w:p>
        </w:tc>
      </w:tr>
      <w:tr w:rsidR="00692C3D" w:rsidRPr="00692C3D" w14:paraId="17B89CC6" w14:textId="77777777" w:rsidTr="00692C3D">
        <w:trPr>
          <w:trHeight w:val="323"/>
        </w:trPr>
        <w:tc>
          <w:tcPr>
            <w:tcW w:w="1946" w:type="dxa"/>
          </w:tcPr>
          <w:p w14:paraId="70507310" w14:textId="77777777" w:rsidR="003F6B25" w:rsidRPr="00692C3D" w:rsidRDefault="003F6B25" w:rsidP="00F9706F">
            <w:pPr>
              <w:pStyle w:val="Default"/>
              <w:spacing w:line="360" w:lineRule="auto"/>
              <w:rPr>
                <w:rFonts w:asciiTheme="minorHAnsi" w:hAnsiTheme="minorHAnsi" w:cstheme="minorHAnsi"/>
                <w:color w:val="auto"/>
              </w:rPr>
            </w:pPr>
            <w:r w:rsidRPr="00692C3D">
              <w:rPr>
                <w:rFonts w:asciiTheme="minorHAnsi" w:hAnsiTheme="minorHAnsi" w:cstheme="minorHAnsi"/>
                <w:color w:val="auto"/>
              </w:rPr>
              <w:t xml:space="preserve">CAGR </w:t>
            </w:r>
          </w:p>
        </w:tc>
        <w:tc>
          <w:tcPr>
            <w:tcW w:w="7229" w:type="dxa"/>
          </w:tcPr>
          <w:p w14:paraId="595B1EC7" w14:textId="29AB4E49"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Aprēķināts saliktais vairāku gadu pieaugums</w:t>
            </w:r>
          </w:p>
        </w:tc>
      </w:tr>
      <w:tr w:rsidR="00692C3D" w:rsidRPr="00692C3D" w14:paraId="5D4D230E" w14:textId="77777777" w:rsidTr="00692C3D">
        <w:trPr>
          <w:trHeight w:val="93"/>
        </w:trPr>
        <w:tc>
          <w:tcPr>
            <w:tcW w:w="1946" w:type="dxa"/>
          </w:tcPr>
          <w:p w14:paraId="206321A9" w14:textId="77777777" w:rsidR="003F6B25" w:rsidRPr="00692C3D" w:rsidRDefault="003F6B25" w:rsidP="00F9706F">
            <w:pPr>
              <w:pStyle w:val="Default"/>
              <w:spacing w:line="360" w:lineRule="auto"/>
              <w:rPr>
                <w:rFonts w:asciiTheme="minorHAnsi" w:hAnsiTheme="minorHAnsi" w:cstheme="minorHAnsi"/>
                <w:color w:val="auto"/>
              </w:rPr>
            </w:pPr>
            <w:r w:rsidRPr="00692C3D">
              <w:rPr>
                <w:rFonts w:asciiTheme="minorHAnsi" w:hAnsiTheme="minorHAnsi" w:cstheme="minorHAnsi"/>
                <w:color w:val="auto"/>
              </w:rPr>
              <w:t xml:space="preserve">IKP </w:t>
            </w:r>
          </w:p>
        </w:tc>
        <w:tc>
          <w:tcPr>
            <w:tcW w:w="7229" w:type="dxa"/>
          </w:tcPr>
          <w:p w14:paraId="5B99BDF5"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 xml:space="preserve">Iekšzemes kopprodukts </w:t>
            </w:r>
          </w:p>
          <w:p w14:paraId="160F200C" w14:textId="741B6FB7" w:rsidR="00FB566B" w:rsidRPr="00692C3D" w:rsidRDefault="00FB566B" w:rsidP="007B339E">
            <w:pPr>
              <w:pStyle w:val="Default"/>
              <w:rPr>
                <w:rFonts w:asciiTheme="minorHAnsi" w:hAnsiTheme="minorHAnsi" w:cstheme="minorHAnsi"/>
                <w:color w:val="auto"/>
              </w:rPr>
            </w:pPr>
          </w:p>
        </w:tc>
      </w:tr>
      <w:tr w:rsidR="00692C3D" w:rsidRPr="00692C3D" w14:paraId="1F29B4AE" w14:textId="77777777" w:rsidTr="00692C3D">
        <w:trPr>
          <w:trHeight w:val="93"/>
        </w:trPr>
        <w:tc>
          <w:tcPr>
            <w:tcW w:w="1946" w:type="dxa"/>
          </w:tcPr>
          <w:p w14:paraId="66DE9359" w14:textId="2ADFB36C" w:rsidR="003F6B25" w:rsidRPr="00692C3D" w:rsidRDefault="007F3895" w:rsidP="007B339E">
            <w:pPr>
              <w:pStyle w:val="Default"/>
              <w:rPr>
                <w:rFonts w:asciiTheme="minorHAnsi" w:hAnsiTheme="minorHAnsi" w:cstheme="minorHAnsi"/>
                <w:color w:val="auto"/>
              </w:rPr>
            </w:pPr>
            <w:r w:rsidRPr="00692C3D">
              <w:rPr>
                <w:rFonts w:asciiTheme="minorHAnsi" w:hAnsiTheme="minorHAnsi" w:cstheme="minorHAnsi"/>
                <w:color w:val="auto"/>
              </w:rPr>
              <w:t>Pētniek</w:t>
            </w:r>
            <w:r w:rsidR="00F9706F" w:rsidRPr="00692C3D">
              <w:rPr>
                <w:rFonts w:asciiTheme="minorHAnsi" w:hAnsiTheme="minorHAnsi" w:cstheme="minorHAnsi"/>
                <w:color w:val="auto"/>
              </w:rPr>
              <w:t>i</w:t>
            </w:r>
            <w:r w:rsidR="003F6B25" w:rsidRPr="00692C3D">
              <w:rPr>
                <w:rFonts w:asciiTheme="minorHAnsi" w:hAnsiTheme="minorHAnsi" w:cstheme="minorHAnsi"/>
                <w:color w:val="auto"/>
              </w:rPr>
              <w:t xml:space="preserve"> </w:t>
            </w:r>
          </w:p>
        </w:tc>
        <w:tc>
          <w:tcPr>
            <w:tcW w:w="7229" w:type="dxa"/>
          </w:tcPr>
          <w:p w14:paraId="61E5DC15" w14:textId="2F80D624"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w:t>
            </w:r>
            <w:proofErr w:type="spellStart"/>
            <w:r w:rsidRPr="00692C3D">
              <w:rPr>
                <w:rFonts w:asciiTheme="minorHAnsi" w:hAnsiTheme="minorHAnsi" w:cstheme="minorHAnsi"/>
                <w:color w:val="auto"/>
              </w:rPr>
              <w:t>In</w:t>
            </w:r>
            <w:r w:rsidR="00FB566B" w:rsidRPr="00692C3D">
              <w:rPr>
                <w:rFonts w:asciiTheme="minorHAnsi" w:hAnsiTheme="minorHAnsi" w:cstheme="minorHAnsi"/>
                <w:color w:val="auto"/>
              </w:rPr>
              <w:t>noMatrix</w:t>
            </w:r>
            <w:proofErr w:type="spellEnd"/>
            <w:r w:rsidRPr="00692C3D">
              <w:rPr>
                <w:rFonts w:asciiTheme="minorHAnsi" w:hAnsiTheme="minorHAnsi" w:cstheme="minorHAnsi"/>
                <w:color w:val="auto"/>
              </w:rPr>
              <w:t>“</w:t>
            </w:r>
            <w:r w:rsidR="000C0308" w:rsidRPr="00692C3D">
              <w:rPr>
                <w:rFonts w:asciiTheme="minorHAnsi" w:hAnsiTheme="minorHAnsi" w:cstheme="minorHAnsi"/>
                <w:color w:val="auto"/>
              </w:rPr>
              <w:t xml:space="preserve"> SIA</w:t>
            </w:r>
          </w:p>
          <w:p w14:paraId="03C7B2F9" w14:textId="23507D5B" w:rsidR="00FB566B" w:rsidRPr="00692C3D" w:rsidRDefault="00FB566B" w:rsidP="007B339E">
            <w:pPr>
              <w:pStyle w:val="Default"/>
              <w:rPr>
                <w:rFonts w:asciiTheme="minorHAnsi" w:hAnsiTheme="minorHAnsi" w:cstheme="minorHAnsi"/>
                <w:color w:val="auto"/>
              </w:rPr>
            </w:pPr>
          </w:p>
        </w:tc>
      </w:tr>
      <w:tr w:rsidR="00692C3D" w:rsidRPr="00692C3D" w14:paraId="3AB18B85" w14:textId="77777777" w:rsidTr="00692C3D">
        <w:trPr>
          <w:trHeight w:val="323"/>
        </w:trPr>
        <w:tc>
          <w:tcPr>
            <w:tcW w:w="1946" w:type="dxa"/>
          </w:tcPr>
          <w:p w14:paraId="0D1225B2"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 xml:space="preserve">Pētījums </w:t>
            </w:r>
          </w:p>
          <w:p w14:paraId="144722B8" w14:textId="77777777" w:rsidR="00692C3D" w:rsidRPr="00692C3D" w:rsidRDefault="00692C3D" w:rsidP="007B339E">
            <w:pPr>
              <w:pStyle w:val="Default"/>
              <w:rPr>
                <w:rFonts w:asciiTheme="minorHAnsi" w:hAnsiTheme="minorHAnsi" w:cstheme="minorHAnsi"/>
                <w:color w:val="auto"/>
              </w:rPr>
            </w:pPr>
          </w:p>
          <w:p w14:paraId="41CFF2ED" w14:textId="77777777" w:rsidR="00692C3D" w:rsidRPr="00692C3D" w:rsidRDefault="00692C3D" w:rsidP="007B339E">
            <w:pPr>
              <w:pStyle w:val="Default"/>
              <w:rPr>
                <w:rFonts w:asciiTheme="minorHAnsi" w:hAnsiTheme="minorHAnsi" w:cstheme="minorHAnsi"/>
                <w:color w:val="auto"/>
              </w:rPr>
            </w:pPr>
          </w:p>
          <w:p w14:paraId="1E052FDC" w14:textId="770F875C" w:rsidR="00692C3D" w:rsidRPr="00692C3D" w:rsidRDefault="00692C3D" w:rsidP="007B339E">
            <w:pPr>
              <w:pStyle w:val="Default"/>
              <w:rPr>
                <w:rFonts w:ascii="Times New Roman" w:hAnsi="Times New Roman" w:cs="Times New Roman"/>
                <w:color w:val="auto"/>
              </w:rPr>
            </w:pPr>
            <w:r w:rsidRPr="00692C3D">
              <w:rPr>
                <w:rFonts w:ascii="Times New Roman" w:hAnsi="Times New Roman" w:cs="Times New Roman"/>
                <w:color w:val="auto"/>
              </w:rPr>
              <w:t xml:space="preserve">VEDLUDB </w:t>
            </w:r>
          </w:p>
        </w:tc>
        <w:tc>
          <w:tcPr>
            <w:tcW w:w="7229" w:type="dxa"/>
          </w:tcPr>
          <w:p w14:paraId="058884A1" w14:textId="77777777" w:rsidR="003F6B25" w:rsidRPr="00692C3D" w:rsidRDefault="003F6B25" w:rsidP="007B339E">
            <w:pPr>
              <w:pStyle w:val="Default"/>
              <w:rPr>
                <w:rFonts w:asciiTheme="minorHAnsi" w:hAnsiTheme="minorHAnsi" w:cstheme="minorHAnsi"/>
                <w:color w:val="auto"/>
              </w:rPr>
            </w:pPr>
            <w:r w:rsidRPr="00692C3D">
              <w:rPr>
                <w:rFonts w:asciiTheme="minorHAnsi" w:hAnsiTheme="minorHAnsi" w:cstheme="minorHAnsi"/>
                <w:color w:val="auto"/>
              </w:rPr>
              <w:t>Gala nodevums, ziņojums “Pētījums par prognozētām izmaiņām darbaspēka un būvmateriālu izmaksās būvniecības nozarē Latvijā”</w:t>
            </w:r>
          </w:p>
          <w:p w14:paraId="151997E9" w14:textId="77777777" w:rsidR="00692C3D" w:rsidRPr="00692C3D" w:rsidRDefault="00692C3D" w:rsidP="007B339E">
            <w:pPr>
              <w:pStyle w:val="Default"/>
              <w:rPr>
                <w:rFonts w:asciiTheme="minorHAnsi" w:hAnsiTheme="minorHAnsi" w:cstheme="minorHAnsi"/>
                <w:color w:val="auto"/>
              </w:rPr>
            </w:pPr>
          </w:p>
          <w:p w14:paraId="4809CAB0" w14:textId="5914551E" w:rsidR="00692C3D" w:rsidRPr="00692C3D" w:rsidRDefault="00692C3D" w:rsidP="007B339E">
            <w:pPr>
              <w:pStyle w:val="Default"/>
              <w:rPr>
                <w:rFonts w:asciiTheme="minorHAnsi" w:hAnsiTheme="minorHAnsi" w:cstheme="minorHAnsi"/>
                <w:color w:val="auto"/>
              </w:rPr>
            </w:pPr>
            <w:r w:rsidRPr="00692C3D">
              <w:rPr>
                <w:rFonts w:asciiTheme="minorHAnsi" w:hAnsiTheme="minorHAnsi" w:cstheme="minorHAnsi"/>
                <w:color w:val="auto"/>
              </w:rPr>
              <w:t>Valsts elektroniskā darba laika uzskaites datu bāze</w:t>
            </w:r>
          </w:p>
        </w:tc>
      </w:tr>
    </w:tbl>
    <w:p w14:paraId="66A2C550" w14:textId="039A87F5" w:rsidR="009071AE" w:rsidRPr="00692C3D" w:rsidRDefault="00692C3D" w:rsidP="00692C3D">
      <w:pPr>
        <w:ind w:firstLine="0"/>
      </w:pPr>
      <w:r w:rsidRPr="00692C3D">
        <w:rPr>
          <w:rFonts w:cstheme="minorHAnsi"/>
          <w:sz w:val="24"/>
          <w:szCs w:val="24"/>
        </w:rPr>
        <w:tab/>
      </w:r>
      <w:r w:rsidRPr="00692C3D">
        <w:rPr>
          <w:rFonts w:cstheme="minorHAnsi"/>
          <w:sz w:val="24"/>
          <w:szCs w:val="24"/>
        </w:rPr>
        <w:tab/>
      </w:r>
    </w:p>
    <w:p w14:paraId="5109CA01" w14:textId="77777777" w:rsidR="009071AE" w:rsidRDefault="009071AE">
      <w:pPr>
        <w:spacing w:after="160" w:line="259" w:lineRule="auto"/>
        <w:ind w:firstLine="0"/>
        <w:jc w:val="left"/>
      </w:pPr>
      <w:r>
        <w:br w:type="page"/>
      </w:r>
    </w:p>
    <w:p w14:paraId="3DD5FCCD" w14:textId="0A2D3891" w:rsidR="004527B3" w:rsidRDefault="000B785B" w:rsidP="000B785B">
      <w:pPr>
        <w:pStyle w:val="Heading1"/>
        <w:numPr>
          <w:ilvl w:val="0"/>
          <w:numId w:val="17"/>
        </w:numPr>
      </w:pPr>
      <w:bookmarkStart w:id="1" w:name="_Toc54287906"/>
      <w:r>
        <w:lastRenderedPageBreak/>
        <w:t>Būvniecības nozares attīstīb</w:t>
      </w:r>
      <w:r w:rsidR="00255298">
        <w:t>u</w:t>
      </w:r>
      <w:r>
        <w:t xml:space="preserve"> </w:t>
      </w:r>
      <w:r w:rsidR="00255298">
        <w:t>raksturojošie rādītāji un riski</w:t>
      </w:r>
      <w:bookmarkEnd w:id="1"/>
    </w:p>
    <w:p w14:paraId="3E408AEE" w14:textId="0434744A" w:rsidR="00F644F6" w:rsidRPr="007F3895" w:rsidRDefault="00255298" w:rsidP="00255298">
      <w:pPr>
        <w:pStyle w:val="Heading2"/>
        <w:numPr>
          <w:ilvl w:val="1"/>
          <w:numId w:val="1"/>
        </w:numPr>
        <w:ind w:firstLine="59"/>
        <w:rPr>
          <w:color w:val="4472C4" w:themeColor="accent1"/>
        </w:rPr>
      </w:pPr>
      <w:bookmarkStart w:id="2" w:name="_Toc54287907"/>
      <w:r w:rsidRPr="007F3895">
        <w:rPr>
          <w:color w:val="4472C4" w:themeColor="accent1"/>
        </w:rPr>
        <w:t>Attīstības dinamika</w:t>
      </w:r>
      <w:bookmarkEnd w:id="2"/>
    </w:p>
    <w:p w14:paraId="08927AA2" w14:textId="31094477" w:rsidR="000B785B" w:rsidRPr="007F3895" w:rsidRDefault="000B785B" w:rsidP="00255298">
      <w:pPr>
        <w:pStyle w:val="Default"/>
        <w:spacing w:before="120" w:line="360" w:lineRule="auto"/>
        <w:ind w:left="567" w:firstLine="567"/>
        <w:jc w:val="both"/>
      </w:pPr>
      <w:r w:rsidRPr="007F3895">
        <w:rPr>
          <w:rFonts w:asciiTheme="minorHAnsi" w:hAnsiTheme="minorHAnsi" w:cstheme="minorHAnsi"/>
        </w:rPr>
        <w:t xml:space="preserve">Būvniecības nozares izaugsme ir lielā mērā pakļauta cikliskām svārstībām. Produkcijas apjomi dramatiski samazinājās krīzes laikā, nozares </w:t>
      </w:r>
      <w:r w:rsidR="00410045">
        <w:rPr>
          <w:rFonts w:asciiTheme="minorHAnsi" w:hAnsiTheme="minorHAnsi" w:cstheme="minorHAnsi"/>
        </w:rPr>
        <w:t xml:space="preserve">produkcijas apjomi </w:t>
      </w:r>
      <w:r w:rsidRPr="007F3895">
        <w:rPr>
          <w:rFonts w:asciiTheme="minorHAnsi" w:hAnsiTheme="minorHAnsi" w:cstheme="minorHAnsi"/>
        </w:rPr>
        <w:t>laika periodā no 2008.-2010. gadam saruka vairāk nekā 2 reizes</w:t>
      </w:r>
      <w:r w:rsidR="00F9706F">
        <w:rPr>
          <w:rFonts w:asciiTheme="minorHAnsi" w:hAnsiTheme="minorHAnsi" w:cstheme="minorHAnsi"/>
        </w:rPr>
        <w:t xml:space="preserve"> </w:t>
      </w:r>
      <w:r w:rsidR="00F9706F" w:rsidRPr="00F9706F">
        <w:rPr>
          <w:rFonts w:asciiTheme="minorHAnsi" w:hAnsiTheme="minorHAnsi" w:cstheme="minorHAnsi"/>
        </w:rPr>
        <w:t>(</w:t>
      </w:r>
      <w:r w:rsidR="00F9706F" w:rsidRPr="00F9706F">
        <w:rPr>
          <w:rFonts w:asciiTheme="minorHAnsi" w:hAnsiTheme="minorHAnsi" w:cstheme="minorHAnsi"/>
        </w:rPr>
        <w:fldChar w:fldCharType="begin"/>
      </w:r>
      <w:r w:rsidR="00F9706F" w:rsidRPr="00F9706F">
        <w:rPr>
          <w:rFonts w:asciiTheme="minorHAnsi" w:hAnsiTheme="minorHAnsi" w:cstheme="minorHAnsi"/>
        </w:rPr>
        <w:instrText xml:space="preserve"> REF _Ref522273563 \h  \* MERGEFORMAT </w:instrText>
      </w:r>
      <w:r w:rsidR="00F9706F" w:rsidRPr="00F9706F">
        <w:rPr>
          <w:rFonts w:asciiTheme="minorHAnsi" w:hAnsiTheme="minorHAnsi" w:cstheme="minorHAnsi"/>
        </w:rPr>
      </w:r>
      <w:r w:rsidR="00F9706F" w:rsidRPr="00F9706F">
        <w:rPr>
          <w:rFonts w:asciiTheme="minorHAnsi" w:hAnsiTheme="minorHAnsi" w:cstheme="minorHAnsi"/>
        </w:rPr>
        <w:fldChar w:fldCharType="separate"/>
      </w:r>
      <w:r w:rsidR="00F9706F" w:rsidRPr="00F9706F">
        <w:rPr>
          <w:rFonts w:asciiTheme="minorHAnsi" w:hAnsiTheme="minorHAnsi" w:cstheme="minorHAnsi"/>
        </w:rPr>
        <w:t>Att.</w:t>
      </w:r>
      <w:r w:rsidR="00F9706F" w:rsidRPr="00F9706F">
        <w:rPr>
          <w:rFonts w:asciiTheme="minorHAnsi" w:hAnsiTheme="minorHAnsi" w:cstheme="minorHAnsi"/>
        </w:rPr>
        <w:fldChar w:fldCharType="end"/>
      </w:r>
      <w:r w:rsidR="00F9706F">
        <w:rPr>
          <w:rFonts w:asciiTheme="minorHAnsi" w:hAnsiTheme="minorHAnsi" w:cstheme="minorHAnsi"/>
        </w:rPr>
        <w:t>1</w:t>
      </w:r>
      <w:r w:rsidR="00F9706F" w:rsidRPr="00F9706F">
        <w:rPr>
          <w:rFonts w:asciiTheme="minorHAnsi" w:hAnsiTheme="minorHAnsi" w:cstheme="minorHAnsi"/>
        </w:rPr>
        <w:t>.)</w:t>
      </w:r>
      <w:r w:rsidRPr="00F9706F">
        <w:rPr>
          <w:rFonts w:asciiTheme="minorHAnsi" w:hAnsiTheme="minorHAnsi" w:cstheme="minorHAnsi"/>
        </w:rPr>
        <w:t>.</w:t>
      </w:r>
      <w:r w:rsidRPr="007F3895">
        <w:t xml:space="preserve"> </w:t>
      </w:r>
    </w:p>
    <w:p w14:paraId="76773CF7" w14:textId="77777777" w:rsidR="000B785B" w:rsidRDefault="000B785B" w:rsidP="000B785B">
      <w:pPr>
        <w:pStyle w:val="Default"/>
        <w:spacing w:before="120"/>
        <w:ind w:left="567"/>
        <w:jc w:val="both"/>
      </w:pPr>
    </w:p>
    <w:tbl>
      <w:tblPr>
        <w:tblStyle w:val="TableGrid"/>
        <w:tblW w:w="942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4"/>
      </w:tblGrid>
      <w:tr w:rsidR="000B785B" w:rsidRPr="00887DA8" w14:paraId="0F45FF8C" w14:textId="77777777" w:rsidTr="00F9706F">
        <w:tc>
          <w:tcPr>
            <w:tcW w:w="9424" w:type="dxa"/>
          </w:tcPr>
          <w:p w14:paraId="576ABEB3" w14:textId="77777777" w:rsidR="000B785B" w:rsidRPr="007F3895" w:rsidRDefault="000B785B" w:rsidP="000B785B">
            <w:pPr>
              <w:ind w:left="567"/>
              <w:jc w:val="center"/>
              <w:rPr>
                <w:rFonts w:eastAsiaTheme="majorEastAsia" w:cstheme="minorHAnsi"/>
                <w:b/>
                <w:bCs/>
                <w:color w:val="000000" w:themeColor="text1"/>
                <w:kern w:val="24"/>
                <w:sz w:val="24"/>
                <w:szCs w:val="24"/>
              </w:rPr>
            </w:pPr>
            <w:r w:rsidRPr="007F3895">
              <w:rPr>
                <w:rFonts w:eastAsiaTheme="majorEastAsia" w:cstheme="minorHAnsi"/>
                <w:b/>
                <w:bCs/>
                <w:color w:val="000000" w:themeColor="text1"/>
                <w:kern w:val="24"/>
                <w:sz w:val="24"/>
                <w:szCs w:val="24"/>
              </w:rPr>
              <w:t>Būvniecības nozares un ekonomikas dinamika</w:t>
            </w:r>
          </w:p>
          <w:p w14:paraId="3522B351" w14:textId="77777777" w:rsidR="000B785B" w:rsidRPr="00887DA8" w:rsidRDefault="000B785B" w:rsidP="000B785B">
            <w:pPr>
              <w:ind w:left="567"/>
              <w:jc w:val="center"/>
              <w:rPr>
                <w:rFonts w:asciiTheme="majorHAnsi" w:eastAsiaTheme="majorEastAsia" w:hAnsi="Calibri Light" w:cstheme="majorBidi"/>
                <w:color w:val="000000" w:themeColor="text1"/>
                <w:kern w:val="24"/>
                <w:sz w:val="20"/>
                <w:szCs w:val="20"/>
              </w:rPr>
            </w:pPr>
            <w:r w:rsidRPr="00887DA8">
              <w:rPr>
                <w:rFonts w:asciiTheme="majorHAnsi" w:eastAsiaTheme="majorEastAsia" w:hAnsi="Calibri Light" w:cstheme="majorBidi"/>
                <w:color w:val="000000" w:themeColor="text1"/>
                <w:kern w:val="24"/>
                <w:sz w:val="20"/>
                <w:szCs w:val="20"/>
              </w:rPr>
              <w:t>2000.gads = 100</w:t>
            </w:r>
          </w:p>
        </w:tc>
      </w:tr>
      <w:tr w:rsidR="000B785B" w:rsidRPr="00887DA8" w14:paraId="645C0B27" w14:textId="77777777" w:rsidTr="00F9706F">
        <w:trPr>
          <w:trHeight w:val="3734"/>
        </w:trPr>
        <w:tc>
          <w:tcPr>
            <w:tcW w:w="9424" w:type="dxa"/>
          </w:tcPr>
          <w:p w14:paraId="0B695E87" w14:textId="77777777" w:rsidR="000B785B" w:rsidRPr="00887DA8" w:rsidRDefault="000B785B" w:rsidP="000B785B">
            <w:pPr>
              <w:ind w:left="567"/>
              <w:jc w:val="center"/>
              <w:rPr>
                <w:rFonts w:asciiTheme="majorHAnsi" w:eastAsiaTheme="majorEastAsia" w:hAnsi="Calibri Light" w:cstheme="majorBidi"/>
                <w:color w:val="000000" w:themeColor="text1"/>
                <w:kern w:val="24"/>
                <w:sz w:val="24"/>
                <w:szCs w:val="24"/>
              </w:rPr>
            </w:pPr>
            <w:r w:rsidRPr="00887DA8">
              <w:rPr>
                <w:rFonts w:asciiTheme="majorHAnsi" w:eastAsiaTheme="majorEastAsia" w:hAnsi="Calibri Light" w:cstheme="majorBidi"/>
                <w:noProof/>
                <w:color w:val="000000" w:themeColor="text1"/>
                <w:kern w:val="24"/>
                <w:sz w:val="24"/>
                <w:szCs w:val="24"/>
              </w:rPr>
              <w:drawing>
                <wp:inline distT="0" distB="0" distL="0" distR="0" wp14:anchorId="0C431271" wp14:editId="27082CA7">
                  <wp:extent cx="5029200" cy="2171700"/>
                  <wp:effectExtent l="0" t="0" r="0" b="0"/>
                  <wp:docPr id="4" name="Chart 4">
                    <a:extLst xmlns:a="http://schemas.openxmlformats.org/drawingml/2006/main">
                      <a:ext uri="{FF2B5EF4-FFF2-40B4-BE49-F238E27FC236}">
                        <a16:creationId xmlns:a16="http://schemas.microsoft.com/office/drawing/2014/main" id="{7B92A7B8-FD29-41BB-BD26-14A814CE05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36460FFD" w14:textId="0C5398EB" w:rsidR="00F9706F" w:rsidRPr="00F9706F" w:rsidRDefault="00F9706F" w:rsidP="00F9706F">
      <w:pPr>
        <w:ind w:left="567"/>
        <w:jc w:val="center"/>
        <w:rPr>
          <w:rFonts w:eastAsiaTheme="majorEastAsia" w:cstheme="minorHAnsi"/>
          <w:b/>
          <w:bCs/>
          <w:color w:val="000000" w:themeColor="text1"/>
          <w:kern w:val="24"/>
          <w:sz w:val="20"/>
          <w:szCs w:val="20"/>
        </w:rPr>
      </w:pPr>
      <w:r w:rsidRPr="00F9706F">
        <w:rPr>
          <w:sz w:val="20"/>
          <w:szCs w:val="20"/>
        </w:rPr>
        <w:t xml:space="preserve">Att. </w:t>
      </w:r>
      <w:r w:rsidRPr="00F9706F">
        <w:rPr>
          <w:noProof/>
          <w:sz w:val="20"/>
          <w:szCs w:val="20"/>
        </w:rPr>
        <w:t>1</w:t>
      </w:r>
      <w:r w:rsidRPr="00F9706F">
        <w:rPr>
          <w:sz w:val="20"/>
          <w:szCs w:val="20"/>
        </w:rPr>
        <w:t>.</w:t>
      </w:r>
      <w:r w:rsidRPr="00F9706F">
        <w:rPr>
          <w:rFonts w:eastAsiaTheme="majorEastAsia" w:cstheme="minorHAnsi"/>
          <w:color w:val="000000" w:themeColor="text1"/>
          <w:kern w:val="24"/>
          <w:sz w:val="20"/>
          <w:szCs w:val="20"/>
        </w:rPr>
        <w:t xml:space="preserve"> Būvniecības nozares un ekonomikas dinamika</w:t>
      </w:r>
    </w:p>
    <w:p w14:paraId="2D2025F8" w14:textId="4B9462D8" w:rsidR="000B785B" w:rsidRPr="007F3895" w:rsidRDefault="000B785B" w:rsidP="00587921">
      <w:pPr>
        <w:pStyle w:val="Default"/>
        <w:spacing w:before="120" w:line="360" w:lineRule="auto"/>
        <w:ind w:left="567" w:firstLine="720"/>
        <w:jc w:val="both"/>
      </w:pPr>
      <w:r w:rsidRPr="007F3895">
        <w:rPr>
          <w:rFonts w:asciiTheme="minorHAnsi" w:hAnsiTheme="minorHAnsi" w:cstheme="minorHAnsi"/>
        </w:rPr>
        <w:t>Pieprasījums pēc nozares pakalpojumiem atsāka pieaugt 2011.</w:t>
      </w:r>
      <w:r w:rsidR="00F9706F">
        <w:rPr>
          <w:rFonts w:asciiTheme="minorHAnsi" w:hAnsiTheme="minorHAnsi" w:cstheme="minorHAnsi"/>
        </w:rPr>
        <w:t xml:space="preserve"> </w:t>
      </w:r>
      <w:r w:rsidRPr="007F3895">
        <w:rPr>
          <w:rFonts w:asciiTheme="minorHAnsi" w:hAnsiTheme="minorHAnsi" w:cstheme="minorHAnsi"/>
        </w:rPr>
        <w:t>gadā. Būvniecības nozares atveseļošanos lielā mērā noteica ES struktūrfondu aktīvāka apguve. Līdztekus iekšējā pieprasījuma pieaugumam</w:t>
      </w:r>
      <w:r w:rsidR="00410045">
        <w:rPr>
          <w:rFonts w:asciiTheme="minorHAnsi" w:hAnsiTheme="minorHAnsi" w:cstheme="minorHAnsi"/>
        </w:rPr>
        <w:t>,</w:t>
      </w:r>
      <w:r w:rsidRPr="007F3895">
        <w:rPr>
          <w:rFonts w:asciiTheme="minorHAnsi" w:hAnsiTheme="minorHAnsi" w:cstheme="minorHAnsi"/>
        </w:rPr>
        <w:t xml:space="preserve"> nozares attīstību pozitīvi ietekmēja spēja krīzes laikā pārorientēties uz ārējiem tirgiem. Būvniecības produkcijas apjoms ārpus Latvijas 2011. gadā vairāk nekā 5 reizes pārsniedza 2008. gada rādītāju. Būvniecības nozares izaugsme turpinājās laika periodā no 2012.-2014. gadam.</w:t>
      </w:r>
      <w:r w:rsidRPr="007F3895">
        <w:t xml:space="preserve"> </w:t>
      </w:r>
    </w:p>
    <w:p w14:paraId="455D60DA" w14:textId="244E0597" w:rsidR="000B785B" w:rsidRPr="007F3895" w:rsidRDefault="000B785B" w:rsidP="00587921">
      <w:pPr>
        <w:pStyle w:val="Default"/>
        <w:spacing w:before="120" w:line="360" w:lineRule="auto"/>
        <w:ind w:left="567" w:firstLine="567"/>
        <w:jc w:val="both"/>
      </w:pPr>
      <w:r w:rsidRPr="007F3895">
        <w:rPr>
          <w:rFonts w:asciiTheme="minorHAnsi" w:hAnsiTheme="minorHAnsi" w:cstheme="minorHAnsi"/>
        </w:rPr>
        <w:t>Kopumā šajā laikā nozare diezgan strauji atguvās no krīzes radītā trieciena. Lielā mērā to veicināja publiskie pasūtījumi un E</w:t>
      </w:r>
      <w:r w:rsidR="00587921" w:rsidRPr="007F3895">
        <w:rPr>
          <w:rFonts w:asciiTheme="minorHAnsi" w:hAnsiTheme="minorHAnsi" w:cstheme="minorHAnsi"/>
        </w:rPr>
        <w:t>S</w:t>
      </w:r>
      <w:r w:rsidRPr="007F3895">
        <w:rPr>
          <w:rFonts w:asciiTheme="minorHAnsi" w:hAnsiTheme="minorHAnsi" w:cstheme="minorHAnsi"/>
        </w:rPr>
        <w:t xml:space="preserve"> struktūrfondi. Vidējais būvniecības produkcijas apjoma ikgadējais pieaugums </w:t>
      </w:r>
      <w:proofErr w:type="spellStart"/>
      <w:r w:rsidRPr="007F3895">
        <w:rPr>
          <w:rFonts w:asciiTheme="minorHAnsi" w:hAnsiTheme="minorHAnsi" w:cstheme="minorHAnsi"/>
        </w:rPr>
        <w:t>pēckrīzes</w:t>
      </w:r>
      <w:proofErr w:type="spellEnd"/>
      <w:r w:rsidRPr="007F3895">
        <w:rPr>
          <w:rFonts w:asciiTheme="minorHAnsi" w:hAnsiTheme="minorHAnsi" w:cstheme="minorHAnsi"/>
        </w:rPr>
        <w:t xml:space="preserve"> periodā no 2011.-2013. gadam bija 15,7%. Jāatzīmē, ka </w:t>
      </w:r>
      <w:r w:rsidR="00410045">
        <w:rPr>
          <w:rFonts w:asciiTheme="minorHAnsi" w:hAnsiTheme="minorHAnsi" w:cstheme="minorHAnsi"/>
        </w:rPr>
        <w:t xml:space="preserve">šajā laikā </w:t>
      </w:r>
      <w:r w:rsidRPr="007F3895">
        <w:rPr>
          <w:rFonts w:asciiTheme="minorHAnsi" w:hAnsiTheme="minorHAnsi" w:cstheme="minorHAnsi"/>
        </w:rPr>
        <w:t xml:space="preserve">vēl netika sasniegts </w:t>
      </w:r>
      <w:proofErr w:type="spellStart"/>
      <w:r w:rsidRPr="007F3895">
        <w:rPr>
          <w:rFonts w:asciiTheme="minorHAnsi" w:hAnsiTheme="minorHAnsi" w:cstheme="minorHAnsi"/>
        </w:rPr>
        <w:t>pirmskrīzes</w:t>
      </w:r>
      <w:proofErr w:type="spellEnd"/>
      <w:r w:rsidRPr="007F3895">
        <w:rPr>
          <w:rFonts w:asciiTheme="minorHAnsi" w:hAnsiTheme="minorHAnsi" w:cstheme="minorHAnsi"/>
        </w:rPr>
        <w:t xml:space="preserve"> apjoms, nozare 2013. gadā veidoja tikai 60% no </w:t>
      </w:r>
      <w:proofErr w:type="spellStart"/>
      <w:r w:rsidRPr="007F3895">
        <w:rPr>
          <w:rFonts w:asciiTheme="minorHAnsi" w:hAnsiTheme="minorHAnsi" w:cstheme="minorHAnsi"/>
        </w:rPr>
        <w:t>pirmskrīzes</w:t>
      </w:r>
      <w:proofErr w:type="spellEnd"/>
      <w:r w:rsidRPr="007F3895">
        <w:rPr>
          <w:rFonts w:asciiTheme="minorHAnsi" w:hAnsiTheme="minorHAnsi" w:cstheme="minorHAnsi"/>
        </w:rPr>
        <w:t xml:space="preserve"> līmeņa. Būvniecības aktivitātes pieaugums atspoguļojās arī izsniegto būvatļauju skaita pieaugumā.</w:t>
      </w:r>
      <w:r w:rsidRPr="007F3895">
        <w:t xml:space="preserve"> </w:t>
      </w:r>
    </w:p>
    <w:p w14:paraId="2A596928" w14:textId="552E0017" w:rsidR="000B785B" w:rsidRPr="007F3895" w:rsidRDefault="00587921" w:rsidP="00587921">
      <w:pPr>
        <w:pStyle w:val="Default"/>
        <w:spacing w:before="120" w:line="360" w:lineRule="auto"/>
        <w:ind w:left="567" w:firstLine="414"/>
        <w:jc w:val="both"/>
      </w:pPr>
      <w:r w:rsidRPr="007F3895">
        <w:rPr>
          <w:rFonts w:asciiTheme="minorHAnsi" w:hAnsiTheme="minorHAnsi" w:cstheme="minorHAnsi"/>
        </w:rPr>
        <w:lastRenderedPageBreak/>
        <w:t xml:space="preserve"> </w:t>
      </w:r>
      <w:r w:rsidR="000B785B" w:rsidRPr="007F3895">
        <w:rPr>
          <w:rFonts w:asciiTheme="minorHAnsi" w:hAnsiTheme="minorHAnsi" w:cstheme="minorHAnsi"/>
        </w:rPr>
        <w:t xml:space="preserve">Nākamos trīs gadus būvniecības nozares attīstība apstājās. Tas galvenokārt skaidrojams ar ES struktūrfondu pārejas periodu, kura laikā mazinājās investīcijas būvniecībā. 2014.-2016. gadā būvniecības produkcijas apjomi vidēji saruka par 4,2% ik gadu. </w:t>
      </w:r>
      <w:r w:rsidR="000B785B" w:rsidRPr="007F3895">
        <w:rPr>
          <w:rFonts w:asciiTheme="minorHAnsi" w:hAnsiTheme="minorHAnsi" w:cstheme="minorHAnsi"/>
          <w:b/>
          <w:bCs/>
        </w:rPr>
        <w:t xml:space="preserve">Būvniecības aktivitāte saruka visās grupās, visstraujāk inženierbūvju grupā. </w:t>
      </w:r>
      <w:r w:rsidR="000B785B" w:rsidRPr="007F3895">
        <w:rPr>
          <w:rFonts w:asciiTheme="minorHAnsi" w:hAnsiTheme="minorHAnsi" w:cstheme="minorHAnsi"/>
        </w:rPr>
        <w:t>Negatīvās tendences noteica arī izsniegto būvatļauju skaita samazinājums šajos gados.</w:t>
      </w:r>
      <w:r w:rsidR="000B785B" w:rsidRPr="007F3895">
        <w:t xml:space="preserve"> </w:t>
      </w:r>
    </w:p>
    <w:p w14:paraId="4323F4D4" w14:textId="7EBE78EB" w:rsidR="000B785B" w:rsidRPr="007F3895" w:rsidRDefault="00587921" w:rsidP="00587921">
      <w:pPr>
        <w:pStyle w:val="Default"/>
        <w:spacing w:before="120" w:line="360" w:lineRule="auto"/>
        <w:ind w:left="567" w:firstLine="567"/>
        <w:jc w:val="both"/>
      </w:pPr>
      <w:r w:rsidRPr="007F3895">
        <w:rPr>
          <w:rFonts w:asciiTheme="minorHAnsi" w:hAnsiTheme="minorHAnsi" w:cstheme="minorHAnsi"/>
        </w:rPr>
        <w:t xml:space="preserve"> </w:t>
      </w:r>
      <w:r w:rsidR="000B785B" w:rsidRPr="007F3895">
        <w:rPr>
          <w:rFonts w:asciiTheme="minorHAnsi" w:hAnsiTheme="minorHAnsi" w:cstheme="minorHAnsi"/>
        </w:rPr>
        <w:t>Būvniecības nozarē 2017. gadā atsākās izaugsme. Izaugsmes tempu 2017.-2018. gados var raksturot kā strauju. Šajā periodā nozares produkcijas apjomu vidējais palielinājums bija 13,6% gadā</w:t>
      </w:r>
      <w:r w:rsidR="00F9706F">
        <w:rPr>
          <w:rFonts w:asciiTheme="minorHAnsi" w:hAnsiTheme="minorHAnsi" w:cstheme="minorHAnsi"/>
        </w:rPr>
        <w:t xml:space="preserve"> </w:t>
      </w:r>
      <w:r w:rsidR="00F9706F" w:rsidRPr="00F9706F">
        <w:rPr>
          <w:rFonts w:asciiTheme="minorHAnsi" w:hAnsiTheme="minorHAnsi" w:cstheme="minorHAnsi"/>
        </w:rPr>
        <w:t>(</w:t>
      </w:r>
      <w:r w:rsidR="00F9706F" w:rsidRPr="00F9706F">
        <w:rPr>
          <w:rFonts w:asciiTheme="minorHAnsi" w:hAnsiTheme="minorHAnsi" w:cstheme="minorHAnsi"/>
        </w:rPr>
        <w:fldChar w:fldCharType="begin"/>
      </w:r>
      <w:r w:rsidR="00F9706F" w:rsidRPr="00F9706F">
        <w:rPr>
          <w:rFonts w:asciiTheme="minorHAnsi" w:hAnsiTheme="minorHAnsi" w:cstheme="minorHAnsi"/>
        </w:rPr>
        <w:instrText xml:space="preserve"> REF _Ref522273563 \h  \* MERGEFORMAT </w:instrText>
      </w:r>
      <w:r w:rsidR="00F9706F" w:rsidRPr="00F9706F">
        <w:rPr>
          <w:rFonts w:asciiTheme="minorHAnsi" w:hAnsiTheme="minorHAnsi" w:cstheme="minorHAnsi"/>
        </w:rPr>
      </w:r>
      <w:r w:rsidR="00F9706F" w:rsidRPr="00F9706F">
        <w:rPr>
          <w:rFonts w:asciiTheme="minorHAnsi" w:hAnsiTheme="minorHAnsi" w:cstheme="minorHAnsi"/>
        </w:rPr>
        <w:fldChar w:fldCharType="separate"/>
      </w:r>
      <w:r w:rsidR="00F9706F" w:rsidRPr="00F9706F">
        <w:rPr>
          <w:rFonts w:asciiTheme="minorHAnsi" w:hAnsiTheme="minorHAnsi" w:cstheme="minorHAnsi"/>
        </w:rPr>
        <w:t xml:space="preserve">Att. </w:t>
      </w:r>
      <w:r w:rsidR="00F9706F" w:rsidRPr="00F9706F">
        <w:rPr>
          <w:rFonts w:asciiTheme="minorHAnsi" w:hAnsiTheme="minorHAnsi" w:cstheme="minorHAnsi"/>
        </w:rPr>
        <w:fldChar w:fldCharType="end"/>
      </w:r>
      <w:r w:rsidR="00F9706F" w:rsidRPr="00F9706F">
        <w:rPr>
          <w:rFonts w:asciiTheme="minorHAnsi" w:hAnsiTheme="minorHAnsi" w:cstheme="minorHAnsi"/>
        </w:rPr>
        <w:t>2.)</w:t>
      </w:r>
      <w:r w:rsidR="000B785B" w:rsidRPr="00F9706F">
        <w:rPr>
          <w:rFonts w:asciiTheme="minorHAnsi" w:hAnsiTheme="minorHAnsi" w:cstheme="minorHAnsi"/>
        </w:rPr>
        <w:t>.</w:t>
      </w:r>
      <w:r w:rsidR="000B785B" w:rsidRPr="00587921">
        <w:rPr>
          <w:rFonts w:asciiTheme="minorHAnsi" w:hAnsiTheme="minorHAnsi" w:cstheme="minorHAnsi"/>
          <w:sz w:val="22"/>
          <w:szCs w:val="22"/>
        </w:rPr>
        <w:t xml:space="preserve"> </w:t>
      </w:r>
      <w:r w:rsidR="000B785B" w:rsidRPr="007F3895">
        <w:rPr>
          <w:rFonts w:asciiTheme="minorHAnsi" w:hAnsiTheme="minorHAnsi" w:cstheme="minorHAnsi"/>
        </w:rPr>
        <w:t>Nozares attīstības dzinuļi bija ES struktūrfondu projektu īstenošanas intensitātes pieaugums pēc pārejas perioda, kā arī privāto investīciju pieplūdums lielo būvniecības objektu celtniecībai.</w:t>
      </w:r>
      <w:r w:rsidR="000B785B" w:rsidRPr="007F3895">
        <w:t xml:space="preserve"> </w:t>
      </w:r>
      <w:r w:rsidR="000B785B" w:rsidRPr="007F3895">
        <w:rPr>
          <w:rFonts w:asciiTheme="minorHAnsi" w:hAnsiTheme="minorHAnsi" w:cstheme="minorHAnsi"/>
        </w:rPr>
        <w:t xml:space="preserve">Produkcijas apjomi būtiski palielinājās visās būvniecības </w:t>
      </w:r>
      <w:proofErr w:type="spellStart"/>
      <w:r w:rsidR="000B785B" w:rsidRPr="007F3895">
        <w:rPr>
          <w:rFonts w:asciiTheme="minorHAnsi" w:hAnsiTheme="minorHAnsi" w:cstheme="minorHAnsi"/>
        </w:rPr>
        <w:t>pamatgrupās</w:t>
      </w:r>
      <w:proofErr w:type="spellEnd"/>
      <w:r w:rsidR="000B785B" w:rsidRPr="007F3895">
        <w:rPr>
          <w:rFonts w:asciiTheme="minorHAnsi" w:hAnsiTheme="minorHAnsi" w:cstheme="minorHAnsi"/>
        </w:rPr>
        <w:t xml:space="preserve">. </w:t>
      </w:r>
    </w:p>
    <w:p w14:paraId="557445ED" w14:textId="77777777" w:rsidR="000B785B" w:rsidRPr="007F3895" w:rsidRDefault="000B785B" w:rsidP="000B785B">
      <w:pPr>
        <w:pStyle w:val="Default"/>
        <w:spacing w:before="120"/>
        <w:ind w:left="567"/>
        <w:jc w:val="both"/>
      </w:pPr>
    </w:p>
    <w:tbl>
      <w:tblPr>
        <w:tblStyle w:val="TableGrid"/>
        <w:tblW w:w="976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3"/>
      </w:tblGrid>
      <w:tr w:rsidR="000B785B" w:rsidRPr="00A901D1" w14:paraId="3B677A31" w14:textId="77777777" w:rsidTr="00F9706F">
        <w:tc>
          <w:tcPr>
            <w:tcW w:w="9763" w:type="dxa"/>
          </w:tcPr>
          <w:p w14:paraId="68AB77ED" w14:textId="77777777" w:rsidR="000B785B" w:rsidRPr="00587921" w:rsidRDefault="000B785B" w:rsidP="000B785B">
            <w:pPr>
              <w:ind w:left="567"/>
              <w:jc w:val="center"/>
              <w:rPr>
                <w:rFonts w:eastAsiaTheme="majorEastAsia" w:cstheme="minorHAnsi"/>
                <w:b/>
                <w:bCs/>
                <w:color w:val="000000" w:themeColor="text1"/>
                <w:kern w:val="24"/>
                <w:sz w:val="24"/>
                <w:szCs w:val="24"/>
              </w:rPr>
            </w:pPr>
            <w:r w:rsidRPr="00587921">
              <w:rPr>
                <w:rFonts w:eastAsiaTheme="majorEastAsia" w:cstheme="minorHAnsi"/>
                <w:b/>
                <w:bCs/>
                <w:color w:val="000000" w:themeColor="text1"/>
                <w:kern w:val="24"/>
                <w:sz w:val="24"/>
                <w:szCs w:val="24"/>
              </w:rPr>
              <w:t>Apjomu izmaiņu tempi</w:t>
            </w:r>
          </w:p>
          <w:p w14:paraId="1524AF58" w14:textId="77777777" w:rsidR="000B785B" w:rsidRPr="00587921" w:rsidRDefault="000B785B" w:rsidP="000B785B">
            <w:pPr>
              <w:ind w:left="567"/>
              <w:jc w:val="center"/>
              <w:rPr>
                <w:rFonts w:eastAsiaTheme="majorEastAsia" w:cstheme="minorHAnsi"/>
                <w:color w:val="000000" w:themeColor="text1"/>
                <w:kern w:val="24"/>
              </w:rPr>
            </w:pPr>
            <w:r w:rsidRPr="00587921">
              <w:rPr>
                <w:rFonts w:eastAsiaTheme="majorEastAsia" w:cstheme="minorHAnsi"/>
                <w:color w:val="000000" w:themeColor="text1"/>
                <w:kern w:val="24"/>
              </w:rPr>
              <w:t>salīdzināmās cenās, % pret iepriekšējo gadu</w:t>
            </w:r>
          </w:p>
        </w:tc>
      </w:tr>
      <w:tr w:rsidR="000B785B" w:rsidRPr="00A901D1" w14:paraId="7F5164E9" w14:textId="77777777" w:rsidTr="00F9706F">
        <w:trPr>
          <w:trHeight w:val="3734"/>
        </w:trPr>
        <w:tc>
          <w:tcPr>
            <w:tcW w:w="9763" w:type="dxa"/>
          </w:tcPr>
          <w:p w14:paraId="0BC77EA0" w14:textId="77777777" w:rsidR="000B785B" w:rsidRPr="00A901D1" w:rsidRDefault="000B785B" w:rsidP="000B785B">
            <w:pPr>
              <w:ind w:left="567"/>
              <w:rPr>
                <w:rFonts w:asciiTheme="majorHAnsi" w:eastAsiaTheme="majorEastAsia" w:hAnsi="Calibri Light" w:cstheme="majorBidi"/>
                <w:color w:val="000000" w:themeColor="text1"/>
                <w:kern w:val="24"/>
                <w:sz w:val="24"/>
                <w:szCs w:val="24"/>
              </w:rPr>
            </w:pPr>
            <w:r w:rsidRPr="00A901D1">
              <w:rPr>
                <w:rFonts w:asciiTheme="majorHAnsi" w:eastAsiaTheme="majorEastAsia" w:hAnsi="Calibri Light" w:cstheme="majorBidi"/>
                <w:noProof/>
                <w:color w:val="000000" w:themeColor="text1"/>
                <w:kern w:val="24"/>
                <w:sz w:val="24"/>
                <w:szCs w:val="24"/>
              </w:rPr>
              <w:drawing>
                <wp:inline distT="0" distB="0" distL="0" distR="0" wp14:anchorId="711A23BA" wp14:editId="683F8F49">
                  <wp:extent cx="5070475" cy="2314575"/>
                  <wp:effectExtent l="0" t="0" r="0" b="0"/>
                  <wp:docPr id="2" name="Chart 2">
                    <a:extLst xmlns:a="http://schemas.openxmlformats.org/drawingml/2006/main">
                      <a:ext uri="{FF2B5EF4-FFF2-40B4-BE49-F238E27FC236}">
                        <a16:creationId xmlns:a16="http://schemas.microsoft.com/office/drawing/2014/main" id="{B4D926FB-0F08-4B1F-B53B-2E35427C0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22FB9DD0" w14:textId="77777777" w:rsidR="00CD0762" w:rsidRPr="00587921" w:rsidRDefault="00F9706F" w:rsidP="00CD0762">
      <w:pPr>
        <w:ind w:left="567"/>
        <w:jc w:val="center"/>
        <w:rPr>
          <w:rFonts w:eastAsiaTheme="majorEastAsia" w:cstheme="minorHAnsi"/>
          <w:b/>
          <w:bCs/>
          <w:color w:val="000000" w:themeColor="text1"/>
          <w:kern w:val="24"/>
          <w:sz w:val="24"/>
          <w:szCs w:val="24"/>
        </w:rPr>
      </w:pPr>
      <w:r w:rsidRPr="00F9706F">
        <w:rPr>
          <w:sz w:val="20"/>
          <w:szCs w:val="20"/>
        </w:rPr>
        <w:t xml:space="preserve">Att. </w:t>
      </w:r>
      <w:r w:rsidR="00AB553A">
        <w:rPr>
          <w:noProof/>
          <w:sz w:val="20"/>
          <w:szCs w:val="20"/>
        </w:rPr>
        <w:t>2</w:t>
      </w:r>
      <w:r w:rsidRPr="00F9706F">
        <w:rPr>
          <w:sz w:val="20"/>
          <w:szCs w:val="20"/>
        </w:rPr>
        <w:t>.</w:t>
      </w:r>
      <w:r w:rsidRPr="00F9706F">
        <w:rPr>
          <w:rFonts w:eastAsiaTheme="majorEastAsia" w:cstheme="minorHAnsi"/>
          <w:color w:val="000000" w:themeColor="text1"/>
          <w:kern w:val="24"/>
          <w:sz w:val="20"/>
          <w:szCs w:val="20"/>
        </w:rPr>
        <w:t xml:space="preserve"> </w:t>
      </w:r>
      <w:r w:rsidR="00CD0762" w:rsidRPr="00CD0762">
        <w:rPr>
          <w:rFonts w:eastAsiaTheme="majorEastAsia" w:cstheme="minorHAnsi"/>
          <w:color w:val="000000" w:themeColor="text1"/>
          <w:kern w:val="24"/>
          <w:sz w:val="20"/>
          <w:szCs w:val="20"/>
        </w:rPr>
        <w:t>Apjomu izmaiņu tempi</w:t>
      </w:r>
    </w:p>
    <w:p w14:paraId="709945F6" w14:textId="77777777" w:rsidR="000B785B" w:rsidRDefault="000B785B" w:rsidP="000B785B">
      <w:pPr>
        <w:pStyle w:val="Default"/>
        <w:spacing w:before="120"/>
        <w:ind w:left="567"/>
        <w:jc w:val="both"/>
      </w:pPr>
    </w:p>
    <w:tbl>
      <w:tblPr>
        <w:tblStyle w:val="TableGrid"/>
        <w:tblW w:w="970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4"/>
      </w:tblGrid>
      <w:tr w:rsidR="000B785B" w:rsidRPr="00A901D1" w14:paraId="6144FB12" w14:textId="77777777" w:rsidTr="00587921">
        <w:tc>
          <w:tcPr>
            <w:tcW w:w="9704" w:type="dxa"/>
          </w:tcPr>
          <w:p w14:paraId="6E9B25AE" w14:textId="4ABF4240" w:rsidR="000B785B" w:rsidRPr="007F3895" w:rsidRDefault="000B785B" w:rsidP="00587921">
            <w:pPr>
              <w:ind w:left="567"/>
              <w:rPr>
                <w:rFonts w:asciiTheme="majorHAnsi" w:eastAsiaTheme="majorEastAsia" w:hAnsi="Calibri Light" w:cstheme="majorBidi"/>
                <w:color w:val="000000" w:themeColor="text1"/>
                <w:kern w:val="24"/>
                <w:sz w:val="24"/>
                <w:szCs w:val="24"/>
              </w:rPr>
            </w:pPr>
            <w:r w:rsidRPr="007F3895">
              <w:rPr>
                <w:rFonts w:cstheme="minorHAnsi"/>
                <w:sz w:val="24"/>
                <w:szCs w:val="24"/>
              </w:rPr>
              <w:t xml:space="preserve">Būvniecības nozare 2019. gadā turpināja attīstīties, lai arī lēnākos tempos nekā iepriekšējos divus gadus. Nozarei pieaugums kopumā 2019.gadā bija 2,2%, salīdzinot ar 2018.gadu. 2019. gada nozares attīstības tendences ietekmēja bāzes efekts jeb iepriekšējo gadu straujās izaugsmes rezultātā sasniegtie augstie rādītāji. Ietekmējošie faktori </w:t>
            </w:r>
            <w:r w:rsidR="008A3D3F">
              <w:rPr>
                <w:rFonts w:cstheme="minorHAnsi"/>
                <w:sz w:val="24"/>
                <w:szCs w:val="24"/>
              </w:rPr>
              <w:t>bija</w:t>
            </w:r>
            <w:r w:rsidRPr="007F3895">
              <w:rPr>
                <w:rFonts w:cstheme="minorHAnsi"/>
                <w:sz w:val="24"/>
                <w:szCs w:val="24"/>
              </w:rPr>
              <w:t xml:space="preserve"> lielo privāto būvniecības projektu pabeigšana un maksimumu sasniegusī ES struktūrfondu investīciju plūsma.</w:t>
            </w:r>
            <w:r w:rsidRPr="007F3895">
              <w:rPr>
                <w:sz w:val="24"/>
                <w:szCs w:val="24"/>
              </w:rPr>
              <w:t xml:space="preserve"> </w:t>
            </w:r>
            <w:r w:rsidRPr="007F3895">
              <w:rPr>
                <w:rFonts w:cstheme="minorHAnsi"/>
                <w:sz w:val="24"/>
                <w:szCs w:val="24"/>
              </w:rPr>
              <w:t xml:space="preserve">Būvniecības apjomi 2019.gadā palielinājās visās būvniecības </w:t>
            </w:r>
            <w:proofErr w:type="spellStart"/>
            <w:r w:rsidR="008A3D3F">
              <w:rPr>
                <w:rFonts w:cstheme="minorHAnsi"/>
                <w:sz w:val="24"/>
                <w:szCs w:val="24"/>
              </w:rPr>
              <w:t>apakš</w:t>
            </w:r>
            <w:r w:rsidRPr="007F3895">
              <w:rPr>
                <w:rFonts w:cstheme="minorHAnsi"/>
                <w:sz w:val="24"/>
                <w:szCs w:val="24"/>
              </w:rPr>
              <w:t>tgrupās</w:t>
            </w:r>
            <w:proofErr w:type="spellEnd"/>
            <w:r w:rsidRPr="007F3895">
              <w:rPr>
                <w:rFonts w:cstheme="minorHAnsi"/>
                <w:sz w:val="24"/>
                <w:szCs w:val="24"/>
              </w:rPr>
              <w:t xml:space="preserve">, būtiskākais ieguldījums bija ēku būvniecības apjomu pieaugumam. Gan </w:t>
            </w:r>
            <w:proofErr w:type="spellStart"/>
            <w:r w:rsidRPr="007F3895">
              <w:rPr>
                <w:rFonts w:cstheme="minorHAnsi"/>
                <w:sz w:val="24"/>
                <w:szCs w:val="24"/>
              </w:rPr>
              <w:t>inženierbūvniecības</w:t>
            </w:r>
            <w:proofErr w:type="spellEnd"/>
            <w:r w:rsidRPr="007F3895">
              <w:rPr>
                <w:rFonts w:cstheme="minorHAnsi"/>
                <w:sz w:val="24"/>
                <w:szCs w:val="24"/>
              </w:rPr>
              <w:t>, gan specializēto būvdarbu attīstība gada griezumā bija ievērojami mazāka</w:t>
            </w:r>
            <w:r w:rsidR="008A3D3F">
              <w:rPr>
                <w:rFonts w:cstheme="minorHAnsi"/>
                <w:sz w:val="24"/>
                <w:szCs w:val="24"/>
              </w:rPr>
              <w:t xml:space="preserve"> </w:t>
            </w:r>
            <w:r w:rsidR="008A3D3F" w:rsidRPr="00F9706F">
              <w:rPr>
                <w:rFonts w:cstheme="minorHAnsi"/>
                <w:sz w:val="24"/>
                <w:szCs w:val="24"/>
              </w:rPr>
              <w:t>(</w:t>
            </w:r>
            <w:r w:rsidR="008A3D3F" w:rsidRPr="00F9706F">
              <w:rPr>
                <w:rFonts w:cstheme="minorHAnsi"/>
                <w:sz w:val="24"/>
                <w:szCs w:val="24"/>
              </w:rPr>
              <w:fldChar w:fldCharType="begin"/>
            </w:r>
            <w:r w:rsidR="008A3D3F" w:rsidRPr="00F9706F">
              <w:rPr>
                <w:rFonts w:cstheme="minorHAnsi"/>
                <w:sz w:val="24"/>
                <w:szCs w:val="24"/>
              </w:rPr>
              <w:instrText xml:space="preserve"> REF _Ref522273563 \h  \* MERGEFORMAT </w:instrText>
            </w:r>
            <w:r w:rsidR="008A3D3F" w:rsidRPr="00F9706F">
              <w:rPr>
                <w:rFonts w:cstheme="minorHAnsi"/>
                <w:sz w:val="24"/>
                <w:szCs w:val="24"/>
              </w:rPr>
            </w:r>
            <w:r w:rsidR="008A3D3F" w:rsidRPr="00F9706F">
              <w:rPr>
                <w:rFonts w:cstheme="minorHAnsi"/>
                <w:sz w:val="24"/>
                <w:szCs w:val="24"/>
              </w:rPr>
              <w:fldChar w:fldCharType="separate"/>
            </w:r>
            <w:r w:rsidR="008A3D3F" w:rsidRPr="00F9706F">
              <w:rPr>
                <w:rFonts w:cstheme="minorHAnsi"/>
                <w:sz w:val="24"/>
                <w:szCs w:val="24"/>
              </w:rPr>
              <w:t xml:space="preserve">Att. </w:t>
            </w:r>
            <w:r w:rsidR="008A3D3F" w:rsidRPr="00F9706F">
              <w:rPr>
                <w:rFonts w:cstheme="minorHAnsi"/>
                <w:sz w:val="24"/>
                <w:szCs w:val="24"/>
              </w:rPr>
              <w:fldChar w:fldCharType="end"/>
            </w:r>
            <w:r w:rsidR="008A3D3F">
              <w:rPr>
                <w:rFonts w:cstheme="minorHAnsi"/>
                <w:sz w:val="24"/>
                <w:szCs w:val="24"/>
              </w:rPr>
              <w:t>3</w:t>
            </w:r>
            <w:r w:rsidR="008A3D3F" w:rsidRPr="00F9706F">
              <w:rPr>
                <w:rFonts w:cstheme="minorHAnsi"/>
                <w:sz w:val="24"/>
                <w:szCs w:val="24"/>
              </w:rPr>
              <w:t>.)</w:t>
            </w:r>
            <w:r w:rsidRPr="007F3895">
              <w:rPr>
                <w:rFonts w:cstheme="minorHAnsi"/>
                <w:sz w:val="24"/>
                <w:szCs w:val="24"/>
              </w:rPr>
              <w:t>.</w:t>
            </w:r>
          </w:p>
          <w:p w14:paraId="510174C1" w14:textId="77777777" w:rsidR="000B785B" w:rsidRPr="00587921" w:rsidRDefault="000B785B" w:rsidP="000B785B">
            <w:pPr>
              <w:ind w:left="567"/>
              <w:jc w:val="center"/>
              <w:rPr>
                <w:rFonts w:eastAsiaTheme="majorEastAsia" w:cstheme="minorHAnsi"/>
                <w:b/>
                <w:bCs/>
                <w:color w:val="000000" w:themeColor="text1"/>
                <w:kern w:val="24"/>
                <w:sz w:val="24"/>
                <w:szCs w:val="24"/>
              </w:rPr>
            </w:pPr>
            <w:r w:rsidRPr="00587921">
              <w:rPr>
                <w:rFonts w:eastAsiaTheme="majorEastAsia" w:cstheme="minorHAnsi"/>
                <w:b/>
                <w:bCs/>
                <w:color w:val="000000" w:themeColor="text1"/>
                <w:kern w:val="24"/>
                <w:sz w:val="24"/>
                <w:szCs w:val="24"/>
              </w:rPr>
              <w:lastRenderedPageBreak/>
              <w:t>Būvniecības nozares attīstība</w:t>
            </w:r>
          </w:p>
          <w:p w14:paraId="646712B1" w14:textId="00A84949" w:rsidR="000B785B" w:rsidRPr="00A901D1" w:rsidRDefault="000B785B" w:rsidP="00587921">
            <w:pPr>
              <w:ind w:left="567"/>
              <w:jc w:val="center"/>
              <w:rPr>
                <w:rFonts w:asciiTheme="majorHAnsi" w:eastAsiaTheme="majorEastAsia" w:hAnsi="Calibri Light" w:cstheme="majorBidi"/>
                <w:color w:val="000000" w:themeColor="text1"/>
                <w:kern w:val="24"/>
                <w:sz w:val="20"/>
                <w:szCs w:val="20"/>
              </w:rPr>
            </w:pPr>
            <w:r w:rsidRPr="00587921">
              <w:rPr>
                <w:rFonts w:eastAsiaTheme="majorEastAsia" w:cstheme="minorHAnsi"/>
                <w:color w:val="000000" w:themeColor="text1"/>
                <w:kern w:val="24"/>
                <w:sz w:val="20"/>
                <w:szCs w:val="20"/>
              </w:rPr>
              <w:t>2011.gads = 100</w:t>
            </w:r>
          </w:p>
        </w:tc>
      </w:tr>
      <w:tr w:rsidR="000B785B" w:rsidRPr="00A901D1" w14:paraId="54D2726E" w14:textId="77777777" w:rsidTr="00587921">
        <w:trPr>
          <w:trHeight w:val="3734"/>
        </w:trPr>
        <w:tc>
          <w:tcPr>
            <w:tcW w:w="9704" w:type="dxa"/>
          </w:tcPr>
          <w:p w14:paraId="2E60DB86" w14:textId="77777777" w:rsidR="000B785B" w:rsidRPr="00A901D1" w:rsidRDefault="000B785B" w:rsidP="000B785B">
            <w:pPr>
              <w:ind w:left="567"/>
              <w:rPr>
                <w:rFonts w:asciiTheme="majorHAnsi" w:eastAsiaTheme="majorEastAsia" w:hAnsi="Calibri Light" w:cstheme="majorBidi"/>
                <w:color w:val="000000" w:themeColor="text1"/>
                <w:kern w:val="24"/>
                <w:sz w:val="24"/>
                <w:szCs w:val="24"/>
              </w:rPr>
            </w:pPr>
            <w:r w:rsidRPr="00CE4A72">
              <w:rPr>
                <w:rFonts w:ascii="Garamond" w:hAnsi="Garamond"/>
                <w:noProof/>
                <w:sz w:val="18"/>
                <w:szCs w:val="18"/>
                <w:lang w:eastAsia="lv-LV"/>
              </w:rPr>
              <w:lastRenderedPageBreak/>
              <w:drawing>
                <wp:inline distT="0" distB="0" distL="0" distR="0" wp14:anchorId="3C412C4E" wp14:editId="112D416A">
                  <wp:extent cx="5207000" cy="2006600"/>
                  <wp:effectExtent l="0" t="0" r="0" b="0"/>
                  <wp:docPr id="391"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B553A" w:rsidRPr="00A901D1" w14:paraId="1F492DD9" w14:textId="77777777" w:rsidTr="00AB553A">
        <w:trPr>
          <w:trHeight w:val="441"/>
        </w:trPr>
        <w:tc>
          <w:tcPr>
            <w:tcW w:w="9704" w:type="dxa"/>
          </w:tcPr>
          <w:p w14:paraId="5570AC95" w14:textId="2C20D409" w:rsidR="00AB553A" w:rsidRPr="00F9706F" w:rsidRDefault="00AB553A" w:rsidP="00AB553A">
            <w:pPr>
              <w:ind w:left="567"/>
              <w:jc w:val="center"/>
              <w:rPr>
                <w:rFonts w:eastAsiaTheme="majorEastAsia" w:cstheme="minorHAnsi"/>
                <w:b/>
                <w:bCs/>
                <w:color w:val="000000" w:themeColor="text1"/>
                <w:kern w:val="24"/>
                <w:sz w:val="20"/>
                <w:szCs w:val="20"/>
              </w:rPr>
            </w:pPr>
            <w:r w:rsidRPr="00F9706F">
              <w:rPr>
                <w:sz w:val="20"/>
                <w:szCs w:val="20"/>
              </w:rPr>
              <w:t xml:space="preserve">Att. </w:t>
            </w:r>
            <w:r>
              <w:rPr>
                <w:noProof/>
                <w:sz w:val="20"/>
                <w:szCs w:val="20"/>
              </w:rPr>
              <w:t>3</w:t>
            </w:r>
            <w:r w:rsidRPr="00F9706F">
              <w:rPr>
                <w:sz w:val="20"/>
                <w:szCs w:val="20"/>
              </w:rPr>
              <w:t>.</w:t>
            </w:r>
            <w:r w:rsidRPr="00F9706F">
              <w:rPr>
                <w:rFonts w:eastAsiaTheme="majorEastAsia" w:cstheme="minorHAnsi"/>
                <w:color w:val="000000" w:themeColor="text1"/>
                <w:kern w:val="24"/>
                <w:sz w:val="20"/>
                <w:szCs w:val="20"/>
              </w:rPr>
              <w:t xml:space="preserve"> Būvniecības nozares </w:t>
            </w:r>
            <w:r w:rsidR="00CD0762">
              <w:rPr>
                <w:rFonts w:eastAsiaTheme="majorEastAsia" w:cstheme="minorHAnsi"/>
                <w:color w:val="000000" w:themeColor="text1"/>
                <w:kern w:val="24"/>
                <w:sz w:val="20"/>
                <w:szCs w:val="20"/>
              </w:rPr>
              <w:t>attīstība</w:t>
            </w:r>
          </w:p>
          <w:p w14:paraId="7C4C89A3" w14:textId="77777777" w:rsidR="00AB553A" w:rsidRPr="00CE4A72" w:rsidRDefault="00AB553A" w:rsidP="000B785B">
            <w:pPr>
              <w:ind w:left="567"/>
              <w:rPr>
                <w:rFonts w:ascii="Garamond" w:hAnsi="Garamond"/>
                <w:noProof/>
                <w:sz w:val="18"/>
                <w:szCs w:val="18"/>
                <w:lang w:eastAsia="lv-LV"/>
              </w:rPr>
            </w:pPr>
          </w:p>
        </w:tc>
      </w:tr>
    </w:tbl>
    <w:p w14:paraId="287CBC21" w14:textId="77777777" w:rsidR="000B785B" w:rsidRPr="007F3895" w:rsidRDefault="000B785B" w:rsidP="001D0F7E">
      <w:pPr>
        <w:pStyle w:val="Default"/>
        <w:spacing w:before="120" w:line="360" w:lineRule="auto"/>
        <w:ind w:left="567" w:firstLine="567"/>
        <w:jc w:val="both"/>
      </w:pPr>
      <w:r w:rsidRPr="007F3895">
        <w:rPr>
          <w:rFonts w:asciiTheme="minorHAnsi" w:hAnsiTheme="minorHAnsi" w:cstheme="minorHAnsi"/>
        </w:rPr>
        <w:t>2020.gada 1.pusgadā būvniecības produkcijas apjomi pieauga par 5,5% salīdzinājumā ar iepriekšējā gada 1.pusgadu. Tomēr 2.ceturksnī Covid-19 ietekme bija jūtamāka, kad būvniecības produkcijas apjomi bija par 0,6% mazāki kā 2019.gada attiecīgā periodā.</w:t>
      </w:r>
      <w:r w:rsidRPr="007F3895">
        <w:t xml:space="preserve"> </w:t>
      </w:r>
      <w:r w:rsidRPr="007F3895">
        <w:rPr>
          <w:rFonts w:asciiTheme="minorHAnsi" w:hAnsiTheme="minorHAnsi" w:cstheme="minorHAnsi"/>
        </w:rPr>
        <w:t xml:space="preserve">Specializētie būvdarbi 2.ceturksnī salīdzinājumā ar 2019.gada 2.ceturksni pieauga, savukārt gan ēku būvniecības, gan </w:t>
      </w:r>
      <w:proofErr w:type="spellStart"/>
      <w:r w:rsidRPr="007F3895">
        <w:rPr>
          <w:rFonts w:asciiTheme="minorHAnsi" w:hAnsiTheme="minorHAnsi" w:cstheme="minorHAnsi"/>
        </w:rPr>
        <w:t>inženierbūvniecības</w:t>
      </w:r>
      <w:proofErr w:type="spellEnd"/>
      <w:r w:rsidRPr="007F3895">
        <w:rPr>
          <w:rFonts w:asciiTheme="minorHAnsi" w:hAnsiTheme="minorHAnsi" w:cstheme="minorHAnsi"/>
        </w:rPr>
        <w:t xml:space="preserve"> apjomi samazinājās.</w:t>
      </w:r>
      <w:r w:rsidRPr="007F3895">
        <w:t xml:space="preserve"> </w:t>
      </w:r>
    </w:p>
    <w:p w14:paraId="544A137B" w14:textId="77777777" w:rsidR="000B785B" w:rsidRDefault="000B785B" w:rsidP="000B785B">
      <w:pPr>
        <w:pStyle w:val="Default"/>
        <w:spacing w:before="120"/>
        <w:ind w:left="567"/>
        <w:jc w:val="both"/>
      </w:pPr>
    </w:p>
    <w:tbl>
      <w:tblPr>
        <w:tblStyle w:val="TableGrid"/>
        <w:tblW w:w="929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tblGrid>
      <w:tr w:rsidR="000B785B" w:rsidRPr="00A901D1" w14:paraId="04774361" w14:textId="77777777" w:rsidTr="00562372">
        <w:tc>
          <w:tcPr>
            <w:tcW w:w="9291" w:type="dxa"/>
          </w:tcPr>
          <w:p w14:paraId="38DA3930" w14:textId="77777777" w:rsidR="000B785B" w:rsidRPr="001D0F7E" w:rsidRDefault="000B785B" w:rsidP="000B785B">
            <w:pPr>
              <w:ind w:left="567"/>
              <w:jc w:val="center"/>
              <w:rPr>
                <w:rFonts w:eastAsiaTheme="majorEastAsia" w:cstheme="minorHAnsi"/>
                <w:b/>
                <w:bCs/>
                <w:color w:val="000000" w:themeColor="text1"/>
                <w:kern w:val="24"/>
              </w:rPr>
            </w:pPr>
            <w:r w:rsidRPr="001D0F7E">
              <w:rPr>
                <w:rFonts w:eastAsiaTheme="majorEastAsia" w:cstheme="minorHAnsi"/>
                <w:b/>
                <w:bCs/>
                <w:color w:val="000000" w:themeColor="text1"/>
                <w:kern w:val="24"/>
              </w:rPr>
              <w:t>Būvniecības struktūra</w:t>
            </w:r>
          </w:p>
          <w:p w14:paraId="26D0C8AC" w14:textId="77777777" w:rsidR="000B785B" w:rsidRPr="001D0F7E" w:rsidRDefault="000B785B" w:rsidP="000B785B">
            <w:pPr>
              <w:ind w:left="567"/>
              <w:jc w:val="center"/>
              <w:rPr>
                <w:rFonts w:eastAsiaTheme="majorEastAsia" w:cstheme="minorHAnsi"/>
                <w:color w:val="000000" w:themeColor="text1"/>
                <w:kern w:val="24"/>
              </w:rPr>
            </w:pPr>
            <w:r w:rsidRPr="001D0F7E">
              <w:rPr>
                <w:rFonts w:eastAsiaTheme="majorEastAsia" w:cstheme="minorHAnsi"/>
                <w:color w:val="000000" w:themeColor="text1"/>
                <w:kern w:val="24"/>
              </w:rPr>
              <w:t>2020.gada janvārī-jūnijā, procentos</w:t>
            </w:r>
          </w:p>
          <w:p w14:paraId="32AF26FB" w14:textId="33BC1CAA" w:rsidR="000B785B" w:rsidRPr="00A901D1" w:rsidRDefault="001D0F7E" w:rsidP="000B785B">
            <w:pPr>
              <w:ind w:left="567"/>
              <w:jc w:val="center"/>
              <w:rPr>
                <w:rFonts w:asciiTheme="majorHAnsi" w:eastAsiaTheme="majorEastAsia" w:hAnsi="Calibri Light" w:cstheme="majorBidi"/>
                <w:color w:val="000000" w:themeColor="text1"/>
                <w:kern w:val="24"/>
                <w:sz w:val="20"/>
                <w:szCs w:val="20"/>
              </w:rPr>
            </w:pPr>
            <w:r w:rsidRPr="00CE4A72">
              <w:rPr>
                <w:rFonts w:ascii="Calibri Light" w:hAnsi="Calibri Light" w:cs="Segoe UI"/>
                <w:noProof/>
                <w:szCs w:val="20"/>
                <w:lang w:eastAsia="lv-LV"/>
              </w:rPr>
              <w:drawing>
                <wp:inline distT="0" distB="0" distL="0" distR="0" wp14:anchorId="52A48058" wp14:editId="0BDCA0F7">
                  <wp:extent cx="3857625" cy="2159635"/>
                  <wp:effectExtent l="0" t="0" r="0" b="0"/>
                  <wp:docPr id="1381"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B785B" w:rsidRPr="00A901D1" w14:paraId="08DC12FE" w14:textId="77777777" w:rsidTr="001D0F7E">
        <w:trPr>
          <w:trHeight w:val="80"/>
        </w:trPr>
        <w:tc>
          <w:tcPr>
            <w:tcW w:w="9291" w:type="dxa"/>
          </w:tcPr>
          <w:p w14:paraId="74A537FC" w14:textId="1D0E2E97" w:rsidR="00AB553A" w:rsidRPr="00F9706F" w:rsidRDefault="00AB553A" w:rsidP="00AB553A">
            <w:pPr>
              <w:ind w:left="567"/>
              <w:jc w:val="center"/>
              <w:rPr>
                <w:rFonts w:eastAsiaTheme="majorEastAsia" w:cstheme="minorHAnsi"/>
                <w:b/>
                <w:bCs/>
                <w:color w:val="000000" w:themeColor="text1"/>
                <w:kern w:val="24"/>
                <w:sz w:val="20"/>
                <w:szCs w:val="20"/>
              </w:rPr>
            </w:pPr>
            <w:r w:rsidRPr="00F9706F">
              <w:rPr>
                <w:sz w:val="20"/>
                <w:szCs w:val="20"/>
              </w:rPr>
              <w:t xml:space="preserve">Att. </w:t>
            </w:r>
            <w:r>
              <w:rPr>
                <w:noProof/>
                <w:sz w:val="20"/>
                <w:szCs w:val="20"/>
              </w:rPr>
              <w:t>4</w:t>
            </w:r>
            <w:r w:rsidRPr="00F9706F">
              <w:rPr>
                <w:sz w:val="20"/>
                <w:szCs w:val="20"/>
              </w:rPr>
              <w:t>.</w:t>
            </w:r>
            <w:r w:rsidRPr="00F9706F">
              <w:rPr>
                <w:rFonts w:eastAsiaTheme="majorEastAsia" w:cstheme="minorHAnsi"/>
                <w:color w:val="000000" w:themeColor="text1"/>
                <w:kern w:val="24"/>
                <w:sz w:val="20"/>
                <w:szCs w:val="20"/>
              </w:rPr>
              <w:t xml:space="preserve"> Būvniecības nozares </w:t>
            </w:r>
            <w:r w:rsidR="00CD0762">
              <w:rPr>
                <w:rFonts w:eastAsiaTheme="majorEastAsia" w:cstheme="minorHAnsi"/>
                <w:color w:val="000000" w:themeColor="text1"/>
                <w:kern w:val="24"/>
                <w:sz w:val="20"/>
                <w:szCs w:val="20"/>
              </w:rPr>
              <w:t>struktūra</w:t>
            </w:r>
          </w:p>
          <w:p w14:paraId="6E608BB2" w14:textId="15D156B4" w:rsidR="000B785B" w:rsidRPr="00A901D1" w:rsidRDefault="000B785B" w:rsidP="000B785B">
            <w:pPr>
              <w:ind w:left="567"/>
              <w:jc w:val="center"/>
              <w:rPr>
                <w:rFonts w:asciiTheme="majorHAnsi" w:eastAsiaTheme="majorEastAsia" w:hAnsi="Calibri Light" w:cstheme="majorBidi"/>
                <w:color w:val="000000" w:themeColor="text1"/>
                <w:kern w:val="24"/>
                <w:sz w:val="24"/>
                <w:szCs w:val="24"/>
              </w:rPr>
            </w:pPr>
          </w:p>
        </w:tc>
      </w:tr>
    </w:tbl>
    <w:p w14:paraId="64697059" w14:textId="14B81BB2" w:rsidR="000B785B" w:rsidRPr="007F3895" w:rsidRDefault="000B785B" w:rsidP="001D0F7E">
      <w:pPr>
        <w:pStyle w:val="Default"/>
        <w:spacing w:before="120" w:line="360" w:lineRule="auto"/>
        <w:ind w:left="567" w:firstLine="567"/>
        <w:jc w:val="both"/>
      </w:pPr>
      <w:r w:rsidRPr="007F3895">
        <w:rPr>
          <w:rFonts w:asciiTheme="minorHAnsi" w:hAnsiTheme="minorHAnsi" w:cstheme="minorHAnsi"/>
        </w:rPr>
        <w:t>Pēdēj</w:t>
      </w:r>
      <w:r w:rsidR="008A3D3F">
        <w:rPr>
          <w:rFonts w:asciiTheme="minorHAnsi" w:hAnsiTheme="minorHAnsi" w:cstheme="minorHAnsi"/>
        </w:rPr>
        <w:t>os gados</w:t>
      </w:r>
      <w:r w:rsidRPr="007F3895">
        <w:rPr>
          <w:rFonts w:asciiTheme="minorHAnsi" w:hAnsiTheme="minorHAnsi" w:cstheme="minorHAnsi"/>
        </w:rPr>
        <w:t xml:space="preserve"> </w:t>
      </w:r>
      <w:r w:rsidRPr="007F3895">
        <w:rPr>
          <w:rFonts w:asciiTheme="minorHAnsi" w:hAnsiTheme="minorHAnsi" w:cstheme="minorHAnsi"/>
          <w:b/>
          <w:bCs/>
        </w:rPr>
        <w:t>nozares eksporta potenciāls</w:t>
      </w:r>
      <w:r w:rsidRPr="007F3895">
        <w:rPr>
          <w:rFonts w:asciiTheme="minorHAnsi" w:hAnsiTheme="minorHAnsi" w:cstheme="minorHAnsi"/>
        </w:rPr>
        <w:t xml:space="preserve"> ir būtiski audzis. 2008. gadā nozare gandrīz pilnībā darbojās iekšējā tirgū, no kopējā būvdarbu apjoma ārpus Latvijas tika </w:t>
      </w:r>
      <w:r w:rsidRPr="007F3895">
        <w:rPr>
          <w:rFonts w:asciiTheme="minorHAnsi" w:hAnsiTheme="minorHAnsi" w:cstheme="minorHAnsi"/>
        </w:rPr>
        <w:lastRenderedPageBreak/>
        <w:t>veikts mazāk nekā 1%. Kopš 2017. gada vismaz 1/10 no būvniecības produkcijas apjoma tika eksportēta.</w:t>
      </w:r>
      <w:r w:rsidRPr="007F3895">
        <w:t xml:space="preserve"> </w:t>
      </w:r>
    </w:p>
    <w:p w14:paraId="78CBF4AC" w14:textId="3D2CA632" w:rsidR="00255298" w:rsidRDefault="00255298" w:rsidP="00255298">
      <w:pPr>
        <w:pStyle w:val="Heading2"/>
        <w:numPr>
          <w:ilvl w:val="1"/>
          <w:numId w:val="1"/>
        </w:numPr>
        <w:ind w:firstLine="201"/>
      </w:pPr>
      <w:r>
        <w:t xml:space="preserve"> </w:t>
      </w:r>
      <w:bookmarkStart w:id="3" w:name="_Toc54287908"/>
      <w:r>
        <w:t>Būvniecības izmaksas un tās ietekmējošie faktori</w:t>
      </w:r>
      <w:bookmarkEnd w:id="3"/>
    </w:p>
    <w:p w14:paraId="3C07EDA9" w14:textId="725F0982" w:rsidR="000B785B" w:rsidRPr="007F3895" w:rsidRDefault="000B785B" w:rsidP="001D0F7E">
      <w:pPr>
        <w:pStyle w:val="Default"/>
        <w:spacing w:before="120" w:line="360" w:lineRule="auto"/>
        <w:ind w:left="567" w:firstLine="567"/>
        <w:jc w:val="both"/>
      </w:pPr>
      <w:r w:rsidRPr="007F3895">
        <w:rPr>
          <w:rFonts w:asciiTheme="minorHAnsi" w:hAnsiTheme="minorHAnsi" w:cstheme="minorHAnsi"/>
        </w:rPr>
        <w:t xml:space="preserve">Pēdējo gadu nozares attīstība ir </w:t>
      </w:r>
      <w:r w:rsidR="008A3D3F">
        <w:rPr>
          <w:rFonts w:asciiTheme="minorHAnsi" w:hAnsiTheme="minorHAnsi" w:cstheme="minorHAnsi"/>
        </w:rPr>
        <w:t xml:space="preserve">būtiski </w:t>
      </w:r>
      <w:r w:rsidRPr="007F3895">
        <w:rPr>
          <w:rFonts w:asciiTheme="minorHAnsi" w:hAnsiTheme="minorHAnsi" w:cstheme="minorHAnsi"/>
        </w:rPr>
        <w:t xml:space="preserve">ietekmējusi </w:t>
      </w:r>
      <w:r w:rsidRPr="007F3895">
        <w:rPr>
          <w:rFonts w:asciiTheme="minorHAnsi" w:hAnsiTheme="minorHAnsi" w:cstheme="minorHAnsi"/>
          <w:b/>
          <w:bCs/>
        </w:rPr>
        <w:t>būvnieku sniegto pakalpojumu cenas</w:t>
      </w:r>
      <w:r w:rsidRPr="007F3895">
        <w:rPr>
          <w:rFonts w:asciiTheme="minorHAnsi" w:hAnsiTheme="minorHAnsi" w:cstheme="minorHAnsi"/>
        </w:rPr>
        <w:t xml:space="preserve">. </w:t>
      </w:r>
      <w:r w:rsidRPr="00692C3D">
        <w:rPr>
          <w:rFonts w:asciiTheme="minorHAnsi" w:hAnsiTheme="minorHAnsi" w:cstheme="minorHAnsi"/>
        </w:rPr>
        <w:t>Būvniecības izmaksu indekss kopš 2017. gada pieaug straujāk nekā iepriekšējos gados. Analizējot būvniecības izmaksu pieaugumu, jāsecina, ka lielāko spiedienu uz izmaksām rada strādnieku darba samaksa.</w:t>
      </w:r>
      <w:r w:rsidRPr="007F3895">
        <w:t xml:space="preserve"> </w:t>
      </w:r>
    </w:p>
    <w:tbl>
      <w:tblPr>
        <w:tblStyle w:val="TableGrid"/>
        <w:tblW w:w="929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tblGrid>
      <w:tr w:rsidR="000B785B" w:rsidRPr="00A901D1" w14:paraId="2B15D8E6" w14:textId="77777777" w:rsidTr="00562372">
        <w:tc>
          <w:tcPr>
            <w:tcW w:w="9291" w:type="dxa"/>
          </w:tcPr>
          <w:p w14:paraId="6EDA7FBD" w14:textId="77777777" w:rsidR="000B785B" w:rsidRPr="001D0F7E" w:rsidRDefault="000B785B" w:rsidP="000B785B">
            <w:pPr>
              <w:ind w:left="567"/>
              <w:jc w:val="center"/>
              <w:rPr>
                <w:rFonts w:eastAsiaTheme="majorEastAsia" w:cstheme="minorHAnsi"/>
                <w:b/>
                <w:bCs/>
                <w:color w:val="000000" w:themeColor="text1"/>
                <w:kern w:val="24"/>
                <w:sz w:val="24"/>
                <w:szCs w:val="24"/>
              </w:rPr>
            </w:pPr>
            <w:r w:rsidRPr="001D0F7E">
              <w:rPr>
                <w:rFonts w:eastAsiaTheme="majorEastAsia" w:cstheme="minorHAnsi"/>
                <w:b/>
                <w:bCs/>
                <w:color w:val="000000" w:themeColor="text1"/>
                <w:kern w:val="24"/>
                <w:sz w:val="24"/>
                <w:szCs w:val="24"/>
              </w:rPr>
              <w:t>Aizņemtās darbavietas būvniecībā</w:t>
            </w:r>
          </w:p>
          <w:p w14:paraId="6346CF6A" w14:textId="615E8C8E" w:rsidR="001D0F7E" w:rsidRDefault="001D0F7E" w:rsidP="001D0F7E">
            <w:pPr>
              <w:ind w:left="567"/>
              <w:jc w:val="center"/>
              <w:rPr>
                <w:rFonts w:eastAsiaTheme="majorEastAsia" w:cstheme="minorHAnsi"/>
                <w:color w:val="000000" w:themeColor="text1"/>
                <w:kern w:val="24"/>
                <w:sz w:val="20"/>
                <w:szCs w:val="20"/>
              </w:rPr>
            </w:pPr>
            <w:r>
              <w:rPr>
                <w:rFonts w:eastAsiaTheme="majorEastAsia" w:cstheme="minorHAnsi"/>
                <w:color w:val="000000" w:themeColor="text1"/>
                <w:kern w:val="24"/>
                <w:sz w:val="20"/>
                <w:szCs w:val="20"/>
              </w:rPr>
              <w:t>t</w:t>
            </w:r>
            <w:r w:rsidR="000B785B" w:rsidRPr="001D0F7E">
              <w:rPr>
                <w:rFonts w:eastAsiaTheme="majorEastAsia" w:cstheme="minorHAnsi"/>
                <w:color w:val="000000" w:themeColor="text1"/>
                <w:kern w:val="24"/>
                <w:sz w:val="20"/>
                <w:szCs w:val="20"/>
              </w:rPr>
              <w:t>ūkstošos</w:t>
            </w:r>
          </w:p>
          <w:p w14:paraId="328B750A" w14:textId="6550AE97" w:rsidR="000B785B" w:rsidRPr="001D0F7E" w:rsidRDefault="001D0F7E" w:rsidP="001D0F7E">
            <w:pPr>
              <w:ind w:left="567"/>
              <w:jc w:val="center"/>
              <w:rPr>
                <w:rFonts w:eastAsiaTheme="majorEastAsia" w:cstheme="minorHAnsi"/>
                <w:color w:val="000000" w:themeColor="text1"/>
                <w:kern w:val="24"/>
                <w:sz w:val="20"/>
                <w:szCs w:val="20"/>
              </w:rPr>
            </w:pPr>
            <w:r w:rsidRPr="00AB3112">
              <w:rPr>
                <w:rFonts w:ascii="Candara" w:hAnsi="Candara"/>
                <w:noProof/>
                <w:color w:val="000000"/>
                <w:lang w:eastAsia="lv-LV"/>
              </w:rPr>
              <w:drawing>
                <wp:inline distT="0" distB="0" distL="0" distR="0" wp14:anchorId="420DD972" wp14:editId="7472E537">
                  <wp:extent cx="4298950" cy="1682750"/>
                  <wp:effectExtent l="0" t="0" r="0" b="0"/>
                  <wp:docPr id="3"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0B785B" w:rsidRPr="00A901D1" w14:paraId="1DC8BB2D" w14:textId="77777777" w:rsidTr="001D0F7E">
        <w:trPr>
          <w:trHeight w:val="60"/>
        </w:trPr>
        <w:tc>
          <w:tcPr>
            <w:tcW w:w="9291" w:type="dxa"/>
          </w:tcPr>
          <w:p w14:paraId="04D64920" w14:textId="77777777" w:rsidR="00CD0762" w:rsidRPr="001D0F7E" w:rsidRDefault="00AB553A" w:rsidP="00CD0762">
            <w:pPr>
              <w:ind w:left="567"/>
              <w:jc w:val="center"/>
              <w:rPr>
                <w:rFonts w:eastAsiaTheme="majorEastAsia" w:cstheme="minorHAnsi"/>
                <w:b/>
                <w:bCs/>
                <w:color w:val="000000" w:themeColor="text1"/>
                <w:kern w:val="24"/>
                <w:sz w:val="24"/>
                <w:szCs w:val="24"/>
              </w:rPr>
            </w:pPr>
            <w:r w:rsidRPr="00F9706F">
              <w:rPr>
                <w:sz w:val="20"/>
                <w:szCs w:val="20"/>
              </w:rPr>
              <w:t xml:space="preserve">Att. </w:t>
            </w:r>
            <w:r>
              <w:rPr>
                <w:noProof/>
                <w:sz w:val="20"/>
                <w:szCs w:val="20"/>
              </w:rPr>
              <w:t>5</w:t>
            </w:r>
            <w:r w:rsidRPr="00F9706F">
              <w:rPr>
                <w:sz w:val="20"/>
                <w:szCs w:val="20"/>
              </w:rPr>
              <w:t>.</w:t>
            </w:r>
            <w:r w:rsidRPr="00F9706F">
              <w:rPr>
                <w:rFonts w:eastAsiaTheme="majorEastAsia" w:cstheme="minorHAnsi"/>
                <w:color w:val="000000" w:themeColor="text1"/>
                <w:kern w:val="24"/>
                <w:sz w:val="20"/>
                <w:szCs w:val="20"/>
              </w:rPr>
              <w:t xml:space="preserve"> </w:t>
            </w:r>
            <w:r w:rsidR="00CD0762" w:rsidRPr="00CD0762">
              <w:rPr>
                <w:rFonts w:eastAsiaTheme="majorEastAsia" w:cstheme="minorHAnsi"/>
                <w:color w:val="000000" w:themeColor="text1"/>
                <w:kern w:val="24"/>
                <w:sz w:val="20"/>
                <w:szCs w:val="20"/>
              </w:rPr>
              <w:t>Aizņemtās darbavietas būvniecībā</w:t>
            </w:r>
          </w:p>
          <w:p w14:paraId="002EC859" w14:textId="14454E33" w:rsidR="000B785B" w:rsidRPr="00A901D1" w:rsidRDefault="000B785B" w:rsidP="00CD0762">
            <w:pPr>
              <w:ind w:left="567"/>
              <w:jc w:val="center"/>
              <w:rPr>
                <w:rFonts w:asciiTheme="majorHAnsi" w:eastAsiaTheme="majorEastAsia" w:hAnsi="Calibri Light" w:cstheme="majorBidi"/>
                <w:color w:val="000000" w:themeColor="text1"/>
                <w:kern w:val="24"/>
                <w:sz w:val="24"/>
                <w:szCs w:val="24"/>
              </w:rPr>
            </w:pPr>
          </w:p>
        </w:tc>
      </w:tr>
    </w:tbl>
    <w:p w14:paraId="7080BE1E" w14:textId="272B25F5" w:rsidR="000B785B" w:rsidRPr="006C1231" w:rsidRDefault="000B785B" w:rsidP="001D0F7E">
      <w:pPr>
        <w:pStyle w:val="Default"/>
        <w:spacing w:before="120" w:line="360" w:lineRule="auto"/>
        <w:ind w:left="567" w:firstLine="567"/>
        <w:jc w:val="both"/>
        <w:rPr>
          <w:rFonts w:asciiTheme="minorHAnsi" w:hAnsiTheme="minorHAnsi" w:cstheme="minorHAnsi"/>
        </w:rPr>
      </w:pPr>
      <w:r w:rsidRPr="006C1231">
        <w:rPr>
          <w:rFonts w:asciiTheme="minorHAnsi" w:hAnsiTheme="minorHAnsi" w:cstheme="minorHAnsi"/>
        </w:rPr>
        <w:t xml:space="preserve">Periodā pirms krīzes būvniecības nozare aktīvi piesaistīja darbiniekus. 2005.-2007. gadā </w:t>
      </w:r>
      <w:r w:rsidRPr="006C1231">
        <w:rPr>
          <w:rFonts w:asciiTheme="minorHAnsi" w:hAnsiTheme="minorHAnsi" w:cstheme="minorHAnsi"/>
          <w:b/>
          <w:bCs/>
        </w:rPr>
        <w:t>aizņemto darbvietu skaits</w:t>
      </w:r>
      <w:r w:rsidRPr="006C1231">
        <w:rPr>
          <w:rFonts w:asciiTheme="minorHAnsi" w:hAnsiTheme="minorHAnsi" w:cstheme="minorHAnsi"/>
        </w:rPr>
        <w:t xml:space="preserve"> pieauga par gandrīz 30 tūkst</w:t>
      </w:r>
      <w:r w:rsidR="008A2DDD">
        <w:rPr>
          <w:rFonts w:asciiTheme="minorHAnsi" w:hAnsiTheme="minorHAnsi" w:cstheme="minorHAnsi"/>
        </w:rPr>
        <w:t>ošiem</w:t>
      </w:r>
      <w:r w:rsidRPr="006C1231">
        <w:rPr>
          <w:rFonts w:asciiTheme="minorHAnsi" w:hAnsiTheme="minorHAnsi" w:cstheme="minorHAnsi"/>
        </w:rPr>
        <w:t>, sasniedzot 91,7 tūkstošus</w:t>
      </w:r>
      <w:r w:rsidR="005D0D35">
        <w:rPr>
          <w:rFonts w:asciiTheme="minorHAnsi" w:hAnsiTheme="minorHAnsi" w:cstheme="minorHAnsi"/>
        </w:rPr>
        <w:t xml:space="preserve"> </w:t>
      </w:r>
      <w:r w:rsidR="005D0D35" w:rsidRPr="00F9706F">
        <w:rPr>
          <w:rFonts w:asciiTheme="minorHAnsi" w:hAnsiTheme="minorHAnsi" w:cstheme="minorHAnsi"/>
        </w:rPr>
        <w:t>(</w:t>
      </w:r>
      <w:r w:rsidR="005D0D35" w:rsidRPr="00F9706F">
        <w:rPr>
          <w:rFonts w:asciiTheme="minorHAnsi" w:hAnsiTheme="minorHAnsi" w:cstheme="minorHAnsi"/>
        </w:rPr>
        <w:fldChar w:fldCharType="begin"/>
      </w:r>
      <w:r w:rsidR="005D0D35" w:rsidRPr="00F9706F">
        <w:rPr>
          <w:rFonts w:asciiTheme="minorHAnsi" w:hAnsiTheme="minorHAnsi" w:cstheme="minorHAnsi"/>
        </w:rPr>
        <w:instrText xml:space="preserve"> REF _Ref522273563 \h  \* MERGEFORMAT </w:instrText>
      </w:r>
      <w:r w:rsidR="005D0D35" w:rsidRPr="00F9706F">
        <w:rPr>
          <w:rFonts w:asciiTheme="minorHAnsi" w:hAnsiTheme="minorHAnsi" w:cstheme="minorHAnsi"/>
        </w:rPr>
      </w:r>
      <w:r w:rsidR="005D0D35" w:rsidRPr="00F9706F">
        <w:rPr>
          <w:rFonts w:asciiTheme="minorHAnsi" w:hAnsiTheme="minorHAnsi" w:cstheme="minorHAnsi"/>
        </w:rPr>
        <w:fldChar w:fldCharType="separate"/>
      </w:r>
      <w:r w:rsidR="005D0D35" w:rsidRPr="00F9706F">
        <w:rPr>
          <w:rFonts w:asciiTheme="minorHAnsi" w:hAnsiTheme="minorHAnsi" w:cstheme="minorHAnsi"/>
        </w:rPr>
        <w:t xml:space="preserve">Att. </w:t>
      </w:r>
      <w:r w:rsidR="005D0D35" w:rsidRPr="00F9706F">
        <w:rPr>
          <w:rFonts w:asciiTheme="minorHAnsi" w:hAnsiTheme="minorHAnsi" w:cstheme="minorHAnsi"/>
        </w:rPr>
        <w:fldChar w:fldCharType="end"/>
      </w:r>
      <w:r w:rsidR="005D0D35">
        <w:rPr>
          <w:rFonts w:asciiTheme="minorHAnsi" w:hAnsiTheme="minorHAnsi" w:cstheme="minorHAnsi"/>
        </w:rPr>
        <w:t>5</w:t>
      </w:r>
      <w:r w:rsidR="005D0D35" w:rsidRPr="00F9706F">
        <w:rPr>
          <w:rFonts w:asciiTheme="minorHAnsi" w:hAnsiTheme="minorHAnsi" w:cstheme="minorHAnsi"/>
        </w:rPr>
        <w:t>.)</w:t>
      </w:r>
      <w:r w:rsidRPr="006C1231">
        <w:rPr>
          <w:rFonts w:asciiTheme="minorHAnsi" w:hAnsiTheme="minorHAnsi" w:cstheme="minorHAnsi"/>
        </w:rPr>
        <w:t xml:space="preserve">. Nozarē nodarbināto skaits ekonomiskās lejupslīdes laikā tika pakļauts nozīmīgai korekcijai, samazinoties gandrīz 2 reizes. Nodarbināto skaits sāka vienmērīgi palielināties 2011. gadā. Samazinājums bija vērojams 2015. un 2016. gadā, kad notika būvniecības produkcijas samazināšanās. Kopš 2016. gada nozarē atsākusies darbinieku piesaiste. </w:t>
      </w:r>
      <w:r w:rsidRPr="005D0D35">
        <w:rPr>
          <w:rFonts w:asciiTheme="minorHAnsi" w:hAnsiTheme="minorHAnsi" w:cstheme="minorHAnsi"/>
        </w:rPr>
        <w:t>2019.gadā nodarbināto skaits pārsniedz 60 tūkst. un ir lielāks nekā 2010. gadā, taču pieauguma temps bija būtiski lēnāks par produkcijas pieaugumu. Tas nozīmē, ka nozare lielā mērā attīstās uz produktivitātes pieauguma rēķina. 2020.</w:t>
      </w:r>
      <w:r w:rsidR="008A2DDD">
        <w:rPr>
          <w:rFonts w:asciiTheme="minorHAnsi" w:hAnsiTheme="minorHAnsi" w:cstheme="minorHAnsi"/>
        </w:rPr>
        <w:t xml:space="preserve"> </w:t>
      </w:r>
      <w:r w:rsidRPr="005D0D35">
        <w:rPr>
          <w:rFonts w:asciiTheme="minorHAnsi" w:hAnsiTheme="minorHAnsi" w:cstheme="minorHAnsi"/>
        </w:rPr>
        <w:t>gada 1.pusgadā Covid-19 ietekmē būvniecībā vērojams darbavietu skaita kritums.</w:t>
      </w:r>
      <w:r w:rsidRPr="006C1231">
        <w:rPr>
          <w:rFonts w:asciiTheme="minorHAnsi" w:hAnsiTheme="minorHAnsi" w:cstheme="minorHAnsi"/>
        </w:rPr>
        <w:t xml:space="preserve"> </w:t>
      </w:r>
    </w:p>
    <w:p w14:paraId="5CC44653" w14:textId="65BDC8F7" w:rsidR="00255298" w:rsidRDefault="00255298" w:rsidP="00255298">
      <w:pPr>
        <w:pStyle w:val="Heading2"/>
        <w:numPr>
          <w:ilvl w:val="1"/>
          <w:numId w:val="1"/>
        </w:numPr>
        <w:ind w:left="1142" w:hanging="149"/>
      </w:pPr>
      <w:r>
        <w:t xml:space="preserve"> </w:t>
      </w:r>
      <w:bookmarkStart w:id="4" w:name="_Toc54287909"/>
      <w:r>
        <w:t>Investīcijas būvniecības nozarē</w:t>
      </w:r>
      <w:bookmarkEnd w:id="4"/>
    </w:p>
    <w:p w14:paraId="17581465" w14:textId="725D7B1B" w:rsidR="00255298" w:rsidRPr="006C1231" w:rsidRDefault="00255298" w:rsidP="00F016B1">
      <w:pPr>
        <w:pStyle w:val="Default"/>
        <w:spacing w:before="120" w:line="360" w:lineRule="auto"/>
        <w:ind w:left="567" w:firstLine="567"/>
        <w:jc w:val="both"/>
        <w:rPr>
          <w:rFonts w:asciiTheme="minorHAnsi" w:hAnsiTheme="minorHAnsi" w:cstheme="minorHAnsi"/>
        </w:rPr>
      </w:pPr>
      <w:r w:rsidRPr="006C1231">
        <w:rPr>
          <w:rFonts w:asciiTheme="minorHAnsi" w:hAnsiTheme="minorHAnsi" w:cstheme="minorHAnsi"/>
        </w:rPr>
        <w:t xml:space="preserve">Pēdējos gados notiek apjomīgi ieguldījumi būvniecības aktīvos. Tomēr investīciju līmenis ir krietni zemāks nekā straujās izaugsmes gados (2005-2007). Investīciju svārstīgumu lielā mērā ietekmē ES struktūrfondu apgūšanas cikliskums. To straujāku dinamiku būtiski ierobežo vājā kreditēšana, arī relatīvi zems pieprasījums, privātā un </w:t>
      </w:r>
      <w:r w:rsidRPr="006C1231">
        <w:rPr>
          <w:rFonts w:asciiTheme="minorHAnsi" w:hAnsiTheme="minorHAnsi" w:cstheme="minorHAnsi"/>
        </w:rPr>
        <w:lastRenderedPageBreak/>
        <w:t>valsts sektora salīdzinoši augsts parādsaistību līmenis, kā arī ekonomiskās un politiskās situācijas nenoteiktība ārējā vidē</w:t>
      </w:r>
      <w:r w:rsidR="005D0D35">
        <w:rPr>
          <w:rFonts w:asciiTheme="minorHAnsi" w:hAnsiTheme="minorHAnsi" w:cstheme="minorHAnsi"/>
        </w:rPr>
        <w:t xml:space="preserve"> </w:t>
      </w:r>
      <w:r w:rsidR="005D0D35" w:rsidRPr="00F9706F">
        <w:rPr>
          <w:rFonts w:asciiTheme="minorHAnsi" w:hAnsiTheme="minorHAnsi" w:cstheme="minorHAnsi"/>
        </w:rPr>
        <w:t>(</w:t>
      </w:r>
      <w:r w:rsidR="005D0D35" w:rsidRPr="00F9706F">
        <w:rPr>
          <w:rFonts w:asciiTheme="minorHAnsi" w:hAnsiTheme="minorHAnsi" w:cstheme="minorHAnsi"/>
        </w:rPr>
        <w:fldChar w:fldCharType="begin"/>
      </w:r>
      <w:r w:rsidR="005D0D35" w:rsidRPr="00F9706F">
        <w:rPr>
          <w:rFonts w:asciiTheme="minorHAnsi" w:hAnsiTheme="minorHAnsi" w:cstheme="minorHAnsi"/>
        </w:rPr>
        <w:instrText xml:space="preserve"> REF _Ref522273563 \h  \* MERGEFORMAT </w:instrText>
      </w:r>
      <w:r w:rsidR="005D0D35" w:rsidRPr="00F9706F">
        <w:rPr>
          <w:rFonts w:asciiTheme="minorHAnsi" w:hAnsiTheme="minorHAnsi" w:cstheme="minorHAnsi"/>
        </w:rPr>
      </w:r>
      <w:r w:rsidR="005D0D35" w:rsidRPr="00F9706F">
        <w:rPr>
          <w:rFonts w:asciiTheme="minorHAnsi" w:hAnsiTheme="minorHAnsi" w:cstheme="minorHAnsi"/>
        </w:rPr>
        <w:fldChar w:fldCharType="separate"/>
      </w:r>
      <w:r w:rsidR="005D0D35" w:rsidRPr="00F9706F">
        <w:rPr>
          <w:rFonts w:asciiTheme="minorHAnsi" w:hAnsiTheme="minorHAnsi" w:cstheme="minorHAnsi"/>
        </w:rPr>
        <w:t xml:space="preserve">Att. </w:t>
      </w:r>
      <w:r w:rsidR="005D0D35" w:rsidRPr="00F9706F">
        <w:rPr>
          <w:rFonts w:asciiTheme="minorHAnsi" w:hAnsiTheme="minorHAnsi" w:cstheme="minorHAnsi"/>
        </w:rPr>
        <w:fldChar w:fldCharType="end"/>
      </w:r>
      <w:r w:rsidR="005D0D35">
        <w:rPr>
          <w:rFonts w:asciiTheme="minorHAnsi" w:hAnsiTheme="minorHAnsi" w:cstheme="minorHAnsi"/>
        </w:rPr>
        <w:t>6</w:t>
      </w:r>
      <w:r w:rsidR="005D0D35" w:rsidRPr="00F9706F">
        <w:rPr>
          <w:rFonts w:asciiTheme="minorHAnsi" w:hAnsiTheme="minorHAnsi" w:cstheme="minorHAnsi"/>
        </w:rPr>
        <w:t>.)</w:t>
      </w:r>
      <w:r w:rsidRPr="006C1231">
        <w:rPr>
          <w:rFonts w:asciiTheme="minorHAnsi" w:hAnsiTheme="minorHAnsi" w:cstheme="minorHAnsi"/>
        </w:rPr>
        <w:t xml:space="preserve">. </w:t>
      </w:r>
    </w:p>
    <w:tbl>
      <w:tblPr>
        <w:tblStyle w:val="TableGrid"/>
        <w:tblW w:w="976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4"/>
      </w:tblGrid>
      <w:tr w:rsidR="000B785B" w:rsidRPr="001D0F7E" w14:paraId="3F6B9204" w14:textId="77777777" w:rsidTr="00F016B1">
        <w:tc>
          <w:tcPr>
            <w:tcW w:w="9763" w:type="dxa"/>
          </w:tcPr>
          <w:p w14:paraId="160A7D29" w14:textId="77777777" w:rsidR="000B785B" w:rsidRPr="001D0F7E" w:rsidRDefault="000B785B" w:rsidP="000B785B">
            <w:pPr>
              <w:ind w:left="567"/>
              <w:jc w:val="center"/>
              <w:rPr>
                <w:rFonts w:eastAsiaTheme="majorEastAsia" w:cstheme="minorHAnsi"/>
                <w:color w:val="000000" w:themeColor="text1"/>
                <w:kern w:val="24"/>
              </w:rPr>
            </w:pPr>
          </w:p>
          <w:p w14:paraId="2B7055E7" w14:textId="77777777" w:rsidR="000B785B" w:rsidRPr="001D0F7E" w:rsidRDefault="000B785B" w:rsidP="000B785B">
            <w:pPr>
              <w:ind w:left="567"/>
              <w:jc w:val="center"/>
              <w:rPr>
                <w:rFonts w:eastAsiaTheme="majorEastAsia" w:cstheme="minorHAnsi"/>
                <w:b/>
                <w:bCs/>
                <w:color w:val="000000" w:themeColor="text1"/>
                <w:kern w:val="24"/>
              </w:rPr>
            </w:pPr>
            <w:r w:rsidRPr="001D0F7E">
              <w:rPr>
                <w:rFonts w:eastAsiaTheme="majorEastAsia" w:cstheme="minorHAnsi"/>
                <w:b/>
                <w:bCs/>
                <w:color w:val="000000" w:themeColor="text1"/>
                <w:kern w:val="24"/>
              </w:rPr>
              <w:t>Bruto pamatkapitāla veidošana pa aktīvu veidiem</w:t>
            </w:r>
          </w:p>
          <w:p w14:paraId="0F9C47C0" w14:textId="77777777" w:rsidR="000B785B" w:rsidRPr="001D0F7E" w:rsidRDefault="000B785B" w:rsidP="000B785B">
            <w:pPr>
              <w:ind w:left="567"/>
              <w:jc w:val="center"/>
              <w:rPr>
                <w:rFonts w:eastAsiaTheme="majorEastAsia" w:cstheme="minorHAnsi"/>
                <w:color w:val="000000" w:themeColor="text1"/>
                <w:kern w:val="24"/>
              </w:rPr>
            </w:pPr>
            <w:r w:rsidRPr="001D0F7E">
              <w:rPr>
                <w:rFonts w:eastAsiaTheme="majorEastAsia" w:cstheme="minorHAnsi"/>
                <w:color w:val="000000" w:themeColor="text1"/>
                <w:kern w:val="24"/>
              </w:rPr>
              <w:t>2005.gads = 100</w:t>
            </w:r>
          </w:p>
          <w:p w14:paraId="79795981" w14:textId="77777777" w:rsidR="000B785B" w:rsidRPr="001D0F7E" w:rsidRDefault="000B785B" w:rsidP="000B785B">
            <w:pPr>
              <w:ind w:left="567"/>
              <w:jc w:val="center"/>
              <w:rPr>
                <w:rFonts w:eastAsiaTheme="majorEastAsia" w:cstheme="minorHAnsi"/>
                <w:color w:val="000000" w:themeColor="text1"/>
                <w:kern w:val="24"/>
              </w:rPr>
            </w:pPr>
          </w:p>
        </w:tc>
      </w:tr>
      <w:tr w:rsidR="000B785B" w:rsidRPr="00A901D1" w14:paraId="0F559A10" w14:textId="77777777" w:rsidTr="00F016B1">
        <w:trPr>
          <w:trHeight w:val="3734"/>
        </w:trPr>
        <w:tc>
          <w:tcPr>
            <w:tcW w:w="9763" w:type="dxa"/>
          </w:tcPr>
          <w:p w14:paraId="1CCD6983" w14:textId="77777777" w:rsidR="000B785B" w:rsidRPr="00A901D1" w:rsidRDefault="000B785B" w:rsidP="000B785B">
            <w:pPr>
              <w:ind w:left="567"/>
              <w:rPr>
                <w:rFonts w:asciiTheme="majorHAnsi" w:eastAsiaTheme="majorEastAsia" w:hAnsi="Calibri Light" w:cstheme="majorBidi"/>
                <w:color w:val="000000" w:themeColor="text1"/>
                <w:kern w:val="24"/>
                <w:sz w:val="24"/>
                <w:szCs w:val="24"/>
              </w:rPr>
            </w:pPr>
            <w:r>
              <w:rPr>
                <w:noProof/>
                <w:lang w:eastAsia="lv-LV"/>
              </w:rPr>
              <w:drawing>
                <wp:inline distT="0" distB="0" distL="0" distR="0" wp14:anchorId="605F6AB7" wp14:editId="1F7A27CF">
                  <wp:extent cx="5619750" cy="2159635"/>
                  <wp:effectExtent l="0" t="0" r="0" b="0"/>
                  <wp:docPr id="332" name="Chart 3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AB553A" w:rsidRPr="00A901D1" w14:paraId="3FF96D76" w14:textId="77777777" w:rsidTr="00AB553A">
        <w:trPr>
          <w:trHeight w:val="774"/>
        </w:trPr>
        <w:tc>
          <w:tcPr>
            <w:tcW w:w="9763" w:type="dxa"/>
          </w:tcPr>
          <w:p w14:paraId="173BA854" w14:textId="77777777" w:rsidR="00CD0762" w:rsidRPr="001D0F7E" w:rsidRDefault="00AB553A" w:rsidP="00CD0762">
            <w:pPr>
              <w:ind w:left="567"/>
              <w:jc w:val="center"/>
              <w:rPr>
                <w:rFonts w:eastAsiaTheme="majorEastAsia" w:cstheme="minorHAnsi"/>
                <w:b/>
                <w:bCs/>
                <w:color w:val="000000" w:themeColor="text1"/>
                <w:kern w:val="24"/>
              </w:rPr>
            </w:pPr>
            <w:r w:rsidRPr="00F9706F">
              <w:rPr>
                <w:sz w:val="20"/>
                <w:szCs w:val="20"/>
              </w:rPr>
              <w:t xml:space="preserve">Att. </w:t>
            </w:r>
            <w:r>
              <w:rPr>
                <w:noProof/>
                <w:sz w:val="20"/>
                <w:szCs w:val="20"/>
              </w:rPr>
              <w:t>6</w:t>
            </w:r>
            <w:r w:rsidRPr="00F9706F">
              <w:rPr>
                <w:sz w:val="20"/>
                <w:szCs w:val="20"/>
              </w:rPr>
              <w:t>.</w:t>
            </w:r>
            <w:r w:rsidRPr="00F9706F">
              <w:rPr>
                <w:rFonts w:eastAsiaTheme="majorEastAsia" w:cstheme="minorHAnsi"/>
                <w:color w:val="000000" w:themeColor="text1"/>
                <w:kern w:val="24"/>
                <w:sz w:val="20"/>
                <w:szCs w:val="20"/>
              </w:rPr>
              <w:t xml:space="preserve"> </w:t>
            </w:r>
            <w:r w:rsidR="00CD0762" w:rsidRPr="00CD0762">
              <w:rPr>
                <w:rFonts w:eastAsiaTheme="majorEastAsia" w:cstheme="minorHAnsi"/>
                <w:color w:val="000000" w:themeColor="text1"/>
                <w:kern w:val="24"/>
                <w:sz w:val="20"/>
                <w:szCs w:val="20"/>
              </w:rPr>
              <w:t>Bruto pamatkapitāla veidošana pa aktīvu veidiem</w:t>
            </w:r>
          </w:p>
          <w:p w14:paraId="3D6AA99B" w14:textId="77777777" w:rsidR="00AB553A" w:rsidRDefault="00AB553A" w:rsidP="00CD0762">
            <w:pPr>
              <w:ind w:left="567"/>
              <w:jc w:val="center"/>
              <w:rPr>
                <w:noProof/>
                <w:lang w:eastAsia="lv-LV"/>
              </w:rPr>
            </w:pPr>
          </w:p>
        </w:tc>
      </w:tr>
    </w:tbl>
    <w:p w14:paraId="5282AC83" w14:textId="77777777" w:rsidR="000B785B" w:rsidRPr="006C1231" w:rsidRDefault="000B785B" w:rsidP="001D0F7E">
      <w:pPr>
        <w:pStyle w:val="Default"/>
        <w:spacing w:before="120" w:line="360" w:lineRule="auto"/>
        <w:ind w:left="567" w:firstLine="567"/>
        <w:jc w:val="both"/>
        <w:rPr>
          <w:rFonts w:asciiTheme="minorHAnsi" w:hAnsiTheme="minorHAnsi" w:cstheme="minorHAnsi"/>
        </w:rPr>
      </w:pPr>
      <w:r w:rsidRPr="006C1231">
        <w:rPr>
          <w:rFonts w:asciiTheme="minorHAnsi" w:hAnsiTheme="minorHAnsi" w:cstheme="minorHAnsi"/>
        </w:rPr>
        <w:t xml:space="preserve">Investīcijas būvniecības aktīvos galvenokārt ir ieguldījumi ēkās un būvēs, kas veido gandrīz pusi no izdevumiem kopējā pamatkapitāla veidošanai. Krīzes ietekmē investīciju samazinājums šajos aktīvos bija salīdzinoši neliels, turklāt atgūšanās pēc krīzes visai strauja. Kopš 2011. gada ieguldījumi ēkās un būvēs pieauga ik gadu vidēji par 5,3%, tai skaitā 2017. gadā – par 14,2% un 2018. gadā – par 17,8%, ko būtiski ietekmēja apjomīgi valsts ieguldījumi infrastruktūras projektos. </w:t>
      </w:r>
    </w:p>
    <w:p w14:paraId="7A210822" w14:textId="4CAAF7DA" w:rsidR="000B785B" w:rsidRPr="006C1231" w:rsidRDefault="000B785B" w:rsidP="001D0F7E">
      <w:pPr>
        <w:pStyle w:val="Default"/>
        <w:spacing w:before="120" w:line="360" w:lineRule="auto"/>
        <w:ind w:left="567" w:firstLine="567"/>
        <w:jc w:val="both"/>
        <w:rPr>
          <w:rFonts w:asciiTheme="minorHAnsi" w:hAnsiTheme="minorHAnsi" w:cstheme="minorHAnsi"/>
        </w:rPr>
      </w:pPr>
      <w:r w:rsidRPr="00692C3D">
        <w:rPr>
          <w:rFonts w:asciiTheme="minorHAnsi" w:hAnsiTheme="minorHAnsi" w:cstheme="minorHAnsi"/>
        </w:rPr>
        <w:t>Ieguldījumi mājokļos kopējo investīciju struktūrā pēdējos gados veido salīdzinoši nelielu daļu – aptuveni 9-10%, t.i., 2-3% no IKP.</w:t>
      </w:r>
      <w:r w:rsidRPr="006C1231">
        <w:rPr>
          <w:rFonts w:asciiTheme="minorHAnsi" w:hAnsiTheme="minorHAnsi" w:cstheme="minorHAnsi"/>
        </w:rPr>
        <w:t xml:space="preserve"> Pārsvarā tie tiek finansēti ar banku aizdevumiem, kuru samazinājums globālās finanšu krīzes ietekmē</w:t>
      </w:r>
      <w:r w:rsidR="00F644F6" w:rsidRPr="006C1231">
        <w:rPr>
          <w:rFonts w:asciiTheme="minorHAnsi" w:hAnsiTheme="minorHAnsi" w:cstheme="minorHAnsi"/>
        </w:rPr>
        <w:t>,</w:t>
      </w:r>
      <w:r w:rsidRPr="006C1231">
        <w:rPr>
          <w:rFonts w:asciiTheme="minorHAnsi" w:hAnsiTheme="minorHAnsi" w:cstheme="minorHAnsi"/>
        </w:rPr>
        <w:t xml:space="preserve"> vienlaikus ar privātā sektora parādsaistību kāpumu lielā mērā noteica arī ieguldījumu kritumu šajos aktīvos – par gandrīz 70% (2008.-2010. gadā). Laika periodā no 2011.-2018. gadam investīcijas mājokļos ik gadu pieauga vidēji par 4,3%, kas ir tuvu vēsturiski vidējiem rādītājiem. </w:t>
      </w:r>
    </w:p>
    <w:p w14:paraId="60420BCB" w14:textId="439B1291" w:rsidR="000B785B" w:rsidRPr="006C1231" w:rsidRDefault="000B785B" w:rsidP="00F644F6">
      <w:pPr>
        <w:pStyle w:val="Default"/>
        <w:spacing w:before="120" w:line="360" w:lineRule="auto"/>
        <w:ind w:left="567" w:firstLine="567"/>
        <w:jc w:val="both"/>
        <w:rPr>
          <w:rFonts w:asciiTheme="minorHAnsi" w:hAnsiTheme="minorHAnsi" w:cstheme="minorHAnsi"/>
        </w:rPr>
      </w:pPr>
      <w:r w:rsidRPr="006C1231">
        <w:rPr>
          <w:rFonts w:asciiTheme="minorHAnsi" w:hAnsiTheme="minorHAnsi" w:cstheme="minorHAnsi"/>
        </w:rPr>
        <w:t xml:space="preserve">2019. gadā saglabājas iepriekšējo gadu investīciju struktūra, tomēr ieguldījumu dinamika būvniecības aktīvos palēninājās. 2019.gadā būvniecības aktīvos kopumā ieguldīts par 0,7% vairāk nekā pirms gada un to daļa kopējā investīciju apjomā veidoja gandrīz 55%. </w:t>
      </w:r>
      <w:r w:rsidRPr="00692C3D">
        <w:rPr>
          <w:rFonts w:asciiTheme="minorHAnsi" w:hAnsiTheme="minorHAnsi" w:cstheme="minorHAnsi"/>
        </w:rPr>
        <w:t xml:space="preserve">Ieguldījumi mājokļos samazinājās par 3,2%, kamēr ieguldījumi </w:t>
      </w:r>
      <w:proofErr w:type="spellStart"/>
      <w:r w:rsidRPr="00692C3D">
        <w:rPr>
          <w:rFonts w:asciiTheme="minorHAnsi" w:hAnsiTheme="minorHAnsi" w:cstheme="minorHAnsi"/>
        </w:rPr>
        <w:t>inženierbūv</w:t>
      </w:r>
      <w:r w:rsidR="00F644F6" w:rsidRPr="00692C3D">
        <w:rPr>
          <w:rFonts w:asciiTheme="minorHAnsi" w:hAnsiTheme="minorHAnsi" w:cstheme="minorHAnsi"/>
        </w:rPr>
        <w:t>niecībā</w:t>
      </w:r>
      <w:proofErr w:type="spellEnd"/>
      <w:r w:rsidR="00F644F6" w:rsidRPr="00692C3D">
        <w:rPr>
          <w:rFonts w:asciiTheme="minorHAnsi" w:hAnsiTheme="minorHAnsi" w:cstheme="minorHAnsi"/>
        </w:rPr>
        <w:t xml:space="preserve"> </w:t>
      </w:r>
      <w:r w:rsidRPr="00692C3D">
        <w:rPr>
          <w:rFonts w:asciiTheme="minorHAnsi" w:hAnsiTheme="minorHAnsi" w:cstheme="minorHAnsi"/>
        </w:rPr>
        <w:t xml:space="preserve">un </w:t>
      </w:r>
      <w:r w:rsidR="00F644F6" w:rsidRPr="00692C3D">
        <w:rPr>
          <w:rFonts w:asciiTheme="minorHAnsi" w:hAnsiTheme="minorHAnsi" w:cstheme="minorHAnsi"/>
        </w:rPr>
        <w:t>ēku būvniecībā</w:t>
      </w:r>
      <w:r w:rsidRPr="00692C3D">
        <w:rPr>
          <w:rFonts w:asciiTheme="minorHAnsi" w:hAnsiTheme="minorHAnsi" w:cstheme="minorHAnsi"/>
        </w:rPr>
        <w:t xml:space="preserve"> palielinājās – par 1,8% (2018.gadā – par 15%).</w:t>
      </w:r>
      <w:r w:rsidRPr="006C1231">
        <w:rPr>
          <w:rFonts w:asciiTheme="minorHAnsi" w:hAnsiTheme="minorHAnsi" w:cstheme="minorHAnsi"/>
        </w:rPr>
        <w:t xml:space="preserve"> </w:t>
      </w:r>
      <w:r w:rsidRPr="00692C3D">
        <w:rPr>
          <w:rFonts w:asciiTheme="minorHAnsi" w:hAnsiTheme="minorHAnsi" w:cstheme="minorHAnsi"/>
        </w:rPr>
        <w:lastRenderedPageBreak/>
        <w:t>2020.gada 1.pusgadā būvniecības aktīvos kopumā ieguldīts par 3,1% vairāk nekā pirms gada un to daļa kopējā investīciju apjomā veidoja gandrīz 56,2%. Ieguldījumi mājokļos bija par 7,1% zemākā līmenī nekā pirms gada, kamēr ieguldījumi inženierbūv</w:t>
      </w:r>
      <w:r w:rsidR="00F644F6" w:rsidRPr="00692C3D">
        <w:rPr>
          <w:rFonts w:asciiTheme="minorHAnsi" w:hAnsiTheme="minorHAnsi" w:cstheme="minorHAnsi"/>
        </w:rPr>
        <w:t>ē</w:t>
      </w:r>
      <w:r w:rsidRPr="00692C3D">
        <w:rPr>
          <w:rFonts w:asciiTheme="minorHAnsi" w:hAnsiTheme="minorHAnsi" w:cstheme="minorHAnsi"/>
        </w:rPr>
        <w:t xml:space="preserve">s un </w:t>
      </w:r>
      <w:r w:rsidR="00F644F6" w:rsidRPr="00692C3D">
        <w:rPr>
          <w:rFonts w:asciiTheme="minorHAnsi" w:hAnsiTheme="minorHAnsi" w:cstheme="minorHAnsi"/>
        </w:rPr>
        <w:t>ēku būvniecībā</w:t>
      </w:r>
      <w:r w:rsidRPr="00692C3D">
        <w:rPr>
          <w:rFonts w:asciiTheme="minorHAnsi" w:hAnsiTheme="minorHAnsi" w:cstheme="minorHAnsi"/>
        </w:rPr>
        <w:t xml:space="preserve"> pieauga – par 6,3%.</w:t>
      </w:r>
      <w:r w:rsidRPr="006C1231">
        <w:rPr>
          <w:rFonts w:asciiTheme="minorHAnsi" w:hAnsiTheme="minorHAnsi" w:cstheme="minorHAnsi"/>
        </w:rPr>
        <w:t xml:space="preserve"> </w:t>
      </w:r>
    </w:p>
    <w:tbl>
      <w:tblPr>
        <w:tblStyle w:val="TableGrid"/>
        <w:tblW w:w="976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9"/>
      </w:tblGrid>
      <w:tr w:rsidR="000B785B" w:rsidRPr="00F644F6" w14:paraId="53F1ABAC" w14:textId="77777777" w:rsidTr="00AB553A">
        <w:tc>
          <w:tcPr>
            <w:tcW w:w="9763" w:type="dxa"/>
          </w:tcPr>
          <w:p w14:paraId="60CB45EF" w14:textId="77777777" w:rsidR="000B785B" w:rsidRPr="00F644F6" w:rsidRDefault="000B785B" w:rsidP="000B785B">
            <w:pPr>
              <w:ind w:left="567"/>
              <w:jc w:val="center"/>
              <w:rPr>
                <w:rFonts w:eastAsiaTheme="majorEastAsia" w:cstheme="minorHAnsi"/>
                <w:color w:val="000000" w:themeColor="text1"/>
                <w:kern w:val="24"/>
              </w:rPr>
            </w:pPr>
          </w:p>
          <w:p w14:paraId="7146BDD5" w14:textId="77777777" w:rsidR="000B785B" w:rsidRPr="00F644F6" w:rsidRDefault="000B785B" w:rsidP="000B785B">
            <w:pPr>
              <w:ind w:left="567"/>
              <w:jc w:val="center"/>
              <w:rPr>
                <w:rFonts w:eastAsiaTheme="majorEastAsia" w:cstheme="minorHAnsi"/>
                <w:b/>
                <w:bCs/>
                <w:color w:val="000000" w:themeColor="text1"/>
                <w:kern w:val="24"/>
              </w:rPr>
            </w:pPr>
            <w:r w:rsidRPr="00F644F6">
              <w:rPr>
                <w:rFonts w:eastAsiaTheme="majorEastAsia" w:cstheme="minorHAnsi"/>
                <w:b/>
                <w:bCs/>
                <w:color w:val="000000" w:themeColor="text1"/>
                <w:kern w:val="24"/>
              </w:rPr>
              <w:t>Būvniecības nozares konfidences indikators</w:t>
            </w:r>
          </w:p>
          <w:p w14:paraId="41ED96AE" w14:textId="77777777" w:rsidR="000B785B" w:rsidRPr="00F644F6" w:rsidRDefault="000B785B" w:rsidP="000B785B">
            <w:pPr>
              <w:ind w:left="567"/>
              <w:jc w:val="center"/>
              <w:rPr>
                <w:rFonts w:eastAsiaTheme="majorEastAsia" w:cstheme="minorHAnsi"/>
                <w:color w:val="000000" w:themeColor="text1"/>
                <w:kern w:val="24"/>
              </w:rPr>
            </w:pPr>
            <w:r w:rsidRPr="00F644F6">
              <w:rPr>
                <w:rFonts w:eastAsiaTheme="majorEastAsia" w:cstheme="minorHAnsi"/>
                <w:color w:val="000000" w:themeColor="text1"/>
                <w:kern w:val="24"/>
              </w:rPr>
              <w:t>Nozares esošās situācijas un nākotnes perspektīvu pašvērtējumu</w:t>
            </w:r>
          </w:p>
          <w:p w14:paraId="52BA6641" w14:textId="77777777" w:rsidR="000B785B" w:rsidRPr="00F644F6" w:rsidRDefault="000B785B" w:rsidP="000B785B">
            <w:pPr>
              <w:ind w:left="567"/>
              <w:jc w:val="center"/>
              <w:rPr>
                <w:rFonts w:eastAsiaTheme="majorEastAsia" w:cstheme="minorHAnsi"/>
                <w:color w:val="000000" w:themeColor="text1"/>
                <w:kern w:val="24"/>
              </w:rPr>
            </w:pPr>
          </w:p>
        </w:tc>
      </w:tr>
      <w:tr w:rsidR="000B785B" w:rsidRPr="00A901D1" w14:paraId="1C166DE1" w14:textId="77777777" w:rsidTr="00AB553A">
        <w:trPr>
          <w:trHeight w:val="3734"/>
        </w:trPr>
        <w:tc>
          <w:tcPr>
            <w:tcW w:w="9763" w:type="dxa"/>
          </w:tcPr>
          <w:p w14:paraId="7953BA13" w14:textId="77777777" w:rsidR="000B785B" w:rsidRPr="00A901D1" w:rsidRDefault="000B785B" w:rsidP="000B785B">
            <w:pPr>
              <w:ind w:left="567"/>
              <w:rPr>
                <w:rFonts w:asciiTheme="majorHAnsi" w:eastAsiaTheme="majorEastAsia" w:hAnsi="Calibri Light" w:cstheme="majorBidi"/>
                <w:color w:val="000000" w:themeColor="text1"/>
                <w:kern w:val="24"/>
                <w:sz w:val="24"/>
                <w:szCs w:val="24"/>
              </w:rPr>
            </w:pPr>
            <w:r w:rsidRPr="00DD1628">
              <w:rPr>
                <w:rFonts w:asciiTheme="majorHAnsi" w:eastAsiaTheme="majorEastAsia" w:hAnsi="Calibri Light" w:cstheme="majorBidi"/>
                <w:noProof/>
                <w:color w:val="000000" w:themeColor="text1"/>
                <w:kern w:val="24"/>
                <w:sz w:val="24"/>
                <w:szCs w:val="24"/>
              </w:rPr>
              <w:drawing>
                <wp:inline distT="0" distB="0" distL="0" distR="0" wp14:anchorId="266FF646" wp14:editId="3047901B">
                  <wp:extent cx="5781675" cy="2190750"/>
                  <wp:effectExtent l="0" t="0" r="0" b="0"/>
                  <wp:docPr id="7" name="Chart 7">
                    <a:extLst xmlns:a="http://schemas.openxmlformats.org/drawingml/2006/main">
                      <a:ext uri="{FF2B5EF4-FFF2-40B4-BE49-F238E27FC236}">
                        <a16:creationId xmlns:a16="http://schemas.microsoft.com/office/drawing/2014/main" id="{32FA98AD-C216-4B2F-8CF8-C10369B1C9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26F421E" w14:textId="77777777" w:rsidR="00CD0762" w:rsidRPr="00F644F6" w:rsidRDefault="00AB553A" w:rsidP="00CD0762">
      <w:pPr>
        <w:ind w:left="567"/>
        <w:jc w:val="center"/>
        <w:rPr>
          <w:rFonts w:eastAsiaTheme="majorEastAsia" w:cstheme="minorHAnsi"/>
          <w:b/>
          <w:bCs/>
          <w:color w:val="000000" w:themeColor="text1"/>
          <w:kern w:val="24"/>
        </w:rPr>
      </w:pPr>
      <w:r w:rsidRPr="00F9706F">
        <w:rPr>
          <w:sz w:val="20"/>
          <w:szCs w:val="20"/>
        </w:rPr>
        <w:t xml:space="preserve">Att. </w:t>
      </w:r>
      <w:r>
        <w:rPr>
          <w:noProof/>
          <w:sz w:val="20"/>
          <w:szCs w:val="20"/>
        </w:rPr>
        <w:t>7</w:t>
      </w:r>
      <w:r w:rsidRPr="00F9706F">
        <w:rPr>
          <w:sz w:val="20"/>
          <w:szCs w:val="20"/>
        </w:rPr>
        <w:t>.</w:t>
      </w:r>
      <w:r w:rsidRPr="00F9706F">
        <w:rPr>
          <w:rFonts w:eastAsiaTheme="majorEastAsia" w:cstheme="minorHAnsi"/>
          <w:color w:val="000000" w:themeColor="text1"/>
          <w:kern w:val="24"/>
          <w:sz w:val="20"/>
          <w:szCs w:val="20"/>
        </w:rPr>
        <w:t xml:space="preserve"> </w:t>
      </w:r>
      <w:r w:rsidR="00CD0762" w:rsidRPr="00CD0762">
        <w:rPr>
          <w:rFonts w:eastAsiaTheme="majorEastAsia" w:cstheme="minorHAnsi"/>
          <w:color w:val="000000" w:themeColor="text1"/>
          <w:kern w:val="24"/>
          <w:sz w:val="20"/>
          <w:szCs w:val="20"/>
        </w:rPr>
        <w:t>Būvniecības nozares konfidences indikators</w:t>
      </w:r>
    </w:p>
    <w:p w14:paraId="6CA33902" w14:textId="114855BD" w:rsidR="00AB553A" w:rsidRPr="00F9706F" w:rsidRDefault="00AB553A" w:rsidP="00AB553A">
      <w:pPr>
        <w:ind w:left="567"/>
        <w:jc w:val="center"/>
        <w:rPr>
          <w:rFonts w:eastAsiaTheme="majorEastAsia" w:cstheme="minorHAnsi"/>
          <w:b/>
          <w:bCs/>
          <w:color w:val="000000" w:themeColor="text1"/>
          <w:kern w:val="24"/>
          <w:sz w:val="20"/>
          <w:szCs w:val="20"/>
        </w:rPr>
      </w:pPr>
    </w:p>
    <w:p w14:paraId="238217B3" w14:textId="123AFA55" w:rsidR="000B785B" w:rsidRPr="006C1231" w:rsidRDefault="000B785B" w:rsidP="00F644F6">
      <w:pPr>
        <w:pStyle w:val="Default"/>
        <w:spacing w:before="120" w:line="360" w:lineRule="auto"/>
        <w:ind w:left="567"/>
        <w:jc w:val="both"/>
        <w:rPr>
          <w:rFonts w:asciiTheme="minorHAnsi" w:hAnsiTheme="minorHAnsi" w:cstheme="minorHAnsi"/>
        </w:rPr>
      </w:pPr>
      <w:r w:rsidRPr="006C1231">
        <w:rPr>
          <w:rFonts w:asciiTheme="minorHAnsi" w:hAnsiTheme="minorHAnsi" w:cstheme="minorHAnsi"/>
          <w:b/>
          <w:bCs/>
        </w:rPr>
        <w:t>Būvniecības konfidences rādītājs</w:t>
      </w:r>
      <w:r w:rsidRPr="006C1231">
        <w:rPr>
          <w:rFonts w:asciiTheme="minorHAnsi" w:hAnsiTheme="minorHAnsi" w:cstheme="minorHAnsi"/>
        </w:rPr>
        <w:t xml:space="preserve"> arī norāda uz cikliskumu nozarē</w:t>
      </w:r>
      <w:r w:rsidR="00E61642">
        <w:rPr>
          <w:rFonts w:asciiTheme="minorHAnsi" w:hAnsiTheme="minorHAnsi" w:cstheme="minorHAnsi"/>
        </w:rPr>
        <w:t xml:space="preserve"> </w:t>
      </w:r>
      <w:r w:rsidR="00E61642" w:rsidRPr="00F9706F">
        <w:rPr>
          <w:rFonts w:asciiTheme="minorHAnsi" w:hAnsiTheme="minorHAnsi" w:cstheme="minorHAnsi"/>
        </w:rPr>
        <w:t>(</w:t>
      </w:r>
      <w:r w:rsidR="00E61642" w:rsidRPr="00F9706F">
        <w:rPr>
          <w:rFonts w:asciiTheme="minorHAnsi" w:hAnsiTheme="minorHAnsi" w:cstheme="minorHAnsi"/>
        </w:rPr>
        <w:fldChar w:fldCharType="begin"/>
      </w:r>
      <w:r w:rsidR="00E61642" w:rsidRPr="00F9706F">
        <w:rPr>
          <w:rFonts w:asciiTheme="minorHAnsi" w:hAnsiTheme="minorHAnsi" w:cstheme="minorHAnsi"/>
        </w:rPr>
        <w:instrText xml:space="preserve"> REF _Ref522273563 \h  \* MERGEFORMAT </w:instrText>
      </w:r>
      <w:r w:rsidR="00E61642" w:rsidRPr="00F9706F">
        <w:rPr>
          <w:rFonts w:asciiTheme="minorHAnsi" w:hAnsiTheme="minorHAnsi" w:cstheme="minorHAnsi"/>
        </w:rPr>
      </w:r>
      <w:r w:rsidR="00E61642" w:rsidRPr="00F9706F">
        <w:rPr>
          <w:rFonts w:asciiTheme="minorHAnsi" w:hAnsiTheme="minorHAnsi" w:cstheme="minorHAnsi"/>
        </w:rPr>
        <w:fldChar w:fldCharType="separate"/>
      </w:r>
      <w:r w:rsidR="00E61642" w:rsidRPr="00F9706F">
        <w:rPr>
          <w:rFonts w:asciiTheme="minorHAnsi" w:hAnsiTheme="minorHAnsi" w:cstheme="minorHAnsi"/>
        </w:rPr>
        <w:t xml:space="preserve">Att. </w:t>
      </w:r>
      <w:r w:rsidR="00E61642" w:rsidRPr="00F9706F">
        <w:rPr>
          <w:rFonts w:asciiTheme="minorHAnsi" w:hAnsiTheme="minorHAnsi" w:cstheme="minorHAnsi"/>
        </w:rPr>
        <w:fldChar w:fldCharType="end"/>
      </w:r>
      <w:r w:rsidR="00E61642">
        <w:rPr>
          <w:rFonts w:asciiTheme="minorHAnsi" w:hAnsiTheme="minorHAnsi" w:cstheme="minorHAnsi"/>
        </w:rPr>
        <w:t>7</w:t>
      </w:r>
      <w:r w:rsidR="00E61642" w:rsidRPr="00F9706F">
        <w:rPr>
          <w:rFonts w:asciiTheme="minorHAnsi" w:hAnsiTheme="minorHAnsi" w:cstheme="minorHAnsi"/>
        </w:rPr>
        <w:t>.)</w:t>
      </w:r>
      <w:r w:rsidRPr="006C1231">
        <w:rPr>
          <w:rFonts w:asciiTheme="minorHAnsi" w:hAnsiTheme="minorHAnsi" w:cstheme="minorHAnsi"/>
        </w:rPr>
        <w:t>. Kopš 2019.gada vidus būvniecības konfidences rādītājs ir izteikti zems, kas atspoguļojas arī nozares datos. To ietekmēja būvdarbu pasūtījumu līmeņa novērtējuma kritums un uzņēmēju negatīvais vērtējums par gaidāmo nodarbinātību nākamajos trīs mēnešos. Novērtējums īpaši pasliktinājās Covid-19 ietekmē 2020.gada martā-maijā. Tomēr pēdējos mēnešos konfidences rādītājs būvniecībā strauji uzlabojas. Vairāk nekā pirms gada būvniecības uzņēmumi izjūt nepietiekamu pieprasījumu un finansiālās grūtības, bet mazāk – darbaspēka trūkumu.</w:t>
      </w:r>
    </w:p>
    <w:p w14:paraId="58429B73" w14:textId="77777777" w:rsidR="00F016B1" w:rsidRPr="00F644F6" w:rsidRDefault="00F016B1" w:rsidP="00F644F6">
      <w:pPr>
        <w:pStyle w:val="Default"/>
        <w:spacing w:before="120" w:line="360" w:lineRule="auto"/>
        <w:ind w:left="567"/>
        <w:jc w:val="both"/>
        <w:rPr>
          <w:rFonts w:asciiTheme="minorHAnsi" w:hAnsiTheme="minorHAnsi" w:cstheme="minorHAnsi"/>
          <w:sz w:val="22"/>
          <w:szCs w:val="22"/>
        </w:rPr>
      </w:pPr>
    </w:p>
    <w:p w14:paraId="523E697F" w14:textId="51FF82EB" w:rsidR="00F016B1" w:rsidRDefault="00F016B1" w:rsidP="00F016B1">
      <w:pPr>
        <w:pStyle w:val="Heading2"/>
        <w:numPr>
          <w:ilvl w:val="1"/>
          <w:numId w:val="1"/>
        </w:numPr>
        <w:ind w:left="851" w:firstLine="0"/>
      </w:pPr>
      <w:bookmarkStart w:id="5" w:name="_Toc54287910"/>
      <w:r>
        <w:t>Būvniecības nozares attīstības riski</w:t>
      </w:r>
      <w:bookmarkEnd w:id="5"/>
    </w:p>
    <w:p w14:paraId="72E69C89" w14:textId="0D364014" w:rsidR="000B785B" w:rsidRPr="006C1231" w:rsidRDefault="000B785B" w:rsidP="00782411">
      <w:pPr>
        <w:pStyle w:val="Default"/>
        <w:numPr>
          <w:ilvl w:val="0"/>
          <w:numId w:val="18"/>
        </w:numPr>
        <w:spacing w:before="120" w:line="360" w:lineRule="auto"/>
        <w:ind w:left="567" w:firstLine="0"/>
        <w:jc w:val="both"/>
        <w:rPr>
          <w:rFonts w:asciiTheme="minorHAnsi" w:hAnsiTheme="minorHAnsi" w:cstheme="minorHAnsi"/>
          <w:b/>
          <w:bCs/>
        </w:rPr>
      </w:pPr>
      <w:r w:rsidRPr="006C1231">
        <w:rPr>
          <w:rFonts w:asciiTheme="minorHAnsi" w:hAnsiTheme="minorHAnsi" w:cstheme="minorHAnsi"/>
          <w:b/>
          <w:bCs/>
        </w:rPr>
        <w:t>No makroekonomikas viedokļa nozīmīgs riska faktors ir sagaidāmā naudas ieplūšana būvniecības nozarē, kas izraisīs strauju nozares apjomu kāpumu turpmākajos trīs gados. Ar būvniecību būs sai</w:t>
      </w:r>
      <w:r w:rsidR="007F16BD" w:rsidRPr="006C1231">
        <w:rPr>
          <w:rFonts w:asciiTheme="minorHAnsi" w:hAnsiTheme="minorHAnsi" w:cstheme="minorHAnsi"/>
          <w:b/>
          <w:bCs/>
        </w:rPr>
        <w:t>s</w:t>
      </w:r>
      <w:r w:rsidRPr="006C1231">
        <w:rPr>
          <w:rFonts w:asciiTheme="minorHAnsi" w:hAnsiTheme="minorHAnsi" w:cstheme="minorHAnsi"/>
          <w:b/>
          <w:bCs/>
        </w:rPr>
        <w:t>tīti vismaz 30-40% investīciju no tuvākajos gados pieejamā kopējā finansējuma:</w:t>
      </w:r>
    </w:p>
    <w:p w14:paraId="1410339A" w14:textId="43069B54" w:rsidR="000B785B" w:rsidRPr="006C1231" w:rsidRDefault="000B785B" w:rsidP="00782411">
      <w:pPr>
        <w:pStyle w:val="Default"/>
        <w:numPr>
          <w:ilvl w:val="0"/>
          <w:numId w:val="19"/>
        </w:numPr>
        <w:spacing w:before="120" w:line="360" w:lineRule="auto"/>
        <w:ind w:left="1134" w:firstLine="0"/>
        <w:jc w:val="both"/>
        <w:rPr>
          <w:rFonts w:asciiTheme="minorHAnsi" w:hAnsiTheme="minorHAnsi" w:cstheme="minorHAnsi"/>
        </w:rPr>
      </w:pPr>
      <w:r w:rsidRPr="006C1231">
        <w:rPr>
          <w:rFonts w:asciiTheme="minorHAnsi" w:hAnsiTheme="minorHAnsi" w:cstheme="minorHAnsi"/>
        </w:rPr>
        <w:lastRenderedPageBreak/>
        <w:t xml:space="preserve">Kohēzijas fondu 2014-2020 apguves turpināšanās (1698 projekti īstenošanā par 3,8 miljardiem EUR (+589 </w:t>
      </w:r>
      <w:proofErr w:type="spellStart"/>
      <w:r w:rsidRPr="006C1231">
        <w:rPr>
          <w:rFonts w:asciiTheme="minorHAnsi" w:hAnsiTheme="minorHAnsi" w:cstheme="minorHAnsi"/>
        </w:rPr>
        <w:t>milj.</w:t>
      </w:r>
      <w:r w:rsidR="00F016B1" w:rsidRPr="006C1231">
        <w:rPr>
          <w:rFonts w:asciiTheme="minorHAnsi" w:hAnsiTheme="minorHAnsi" w:cstheme="minorHAnsi"/>
        </w:rPr>
        <w:t>EUR</w:t>
      </w:r>
      <w:proofErr w:type="spellEnd"/>
      <w:r w:rsidRPr="006C1231">
        <w:rPr>
          <w:rFonts w:asciiTheme="minorHAnsi" w:hAnsiTheme="minorHAnsi" w:cstheme="minorHAnsi"/>
        </w:rPr>
        <w:t xml:space="preserve"> 2019.gadā) – 85,6 % no kopējām 4,4 miljardu EUR ES fondu investīcijām;</w:t>
      </w:r>
    </w:p>
    <w:p w14:paraId="4C9860DA" w14:textId="282AA47D" w:rsidR="000B785B" w:rsidRPr="006C1231" w:rsidRDefault="000B785B" w:rsidP="00782411">
      <w:pPr>
        <w:pStyle w:val="Default"/>
        <w:numPr>
          <w:ilvl w:val="0"/>
          <w:numId w:val="19"/>
        </w:numPr>
        <w:spacing w:before="120" w:line="360" w:lineRule="auto"/>
        <w:ind w:left="1134" w:firstLine="0"/>
        <w:jc w:val="both"/>
        <w:rPr>
          <w:rFonts w:asciiTheme="minorHAnsi" w:hAnsiTheme="minorHAnsi" w:cstheme="minorHAnsi"/>
        </w:rPr>
      </w:pPr>
      <w:r w:rsidRPr="006C1231">
        <w:rPr>
          <w:rFonts w:asciiTheme="minorHAnsi" w:hAnsiTheme="minorHAnsi" w:cstheme="minorHAnsi"/>
        </w:rPr>
        <w:t xml:space="preserve">2,062 miljardi EUR </w:t>
      </w:r>
      <w:r w:rsidR="00F016B1" w:rsidRPr="006C1231">
        <w:rPr>
          <w:rFonts w:asciiTheme="minorHAnsi" w:hAnsiTheme="minorHAnsi" w:cstheme="minorHAnsi"/>
        </w:rPr>
        <w:t xml:space="preserve">- </w:t>
      </w:r>
      <w:r w:rsidRPr="006C1231">
        <w:rPr>
          <w:rFonts w:asciiTheme="minorHAnsi" w:hAnsiTheme="minorHAnsi" w:cstheme="minorHAnsi"/>
        </w:rPr>
        <w:t>valsts atbalsts Covid-19 pandēmijas seku mazināšanai;</w:t>
      </w:r>
    </w:p>
    <w:p w14:paraId="0CC87718" w14:textId="008519B5" w:rsidR="000B785B" w:rsidRPr="006C1231" w:rsidRDefault="000B785B" w:rsidP="00782411">
      <w:pPr>
        <w:pStyle w:val="Default"/>
        <w:numPr>
          <w:ilvl w:val="0"/>
          <w:numId w:val="19"/>
        </w:numPr>
        <w:spacing w:before="120" w:line="360" w:lineRule="auto"/>
        <w:ind w:left="1134" w:firstLine="0"/>
        <w:jc w:val="both"/>
        <w:rPr>
          <w:rFonts w:asciiTheme="minorHAnsi" w:hAnsiTheme="minorHAnsi" w:cstheme="minorHAnsi"/>
        </w:rPr>
      </w:pPr>
      <w:r w:rsidRPr="006C1231">
        <w:rPr>
          <w:rFonts w:asciiTheme="minorHAnsi" w:hAnsiTheme="minorHAnsi" w:cstheme="minorHAnsi"/>
        </w:rPr>
        <w:t>2,2 miljardi EUR</w:t>
      </w:r>
      <w:r w:rsidR="00F016B1" w:rsidRPr="006C1231">
        <w:rPr>
          <w:rFonts w:asciiTheme="minorHAnsi" w:hAnsiTheme="minorHAnsi" w:cstheme="minorHAnsi"/>
        </w:rPr>
        <w:t xml:space="preserve"> - </w:t>
      </w:r>
      <w:r w:rsidRPr="006C1231">
        <w:rPr>
          <w:rFonts w:asciiTheme="minorHAnsi" w:hAnsiTheme="minorHAnsi" w:cstheme="minorHAnsi"/>
        </w:rPr>
        <w:t>valsts budžeta finansējums NAP ietvaros;</w:t>
      </w:r>
    </w:p>
    <w:p w14:paraId="018D9CC7" w14:textId="35CF05DB" w:rsidR="000B785B" w:rsidRPr="006C1231" w:rsidRDefault="000B785B" w:rsidP="00782411">
      <w:pPr>
        <w:pStyle w:val="Default"/>
        <w:numPr>
          <w:ilvl w:val="0"/>
          <w:numId w:val="19"/>
        </w:numPr>
        <w:spacing w:before="120" w:line="360" w:lineRule="auto"/>
        <w:ind w:left="1134" w:firstLine="0"/>
        <w:jc w:val="both"/>
        <w:rPr>
          <w:rFonts w:asciiTheme="minorHAnsi" w:hAnsiTheme="minorHAnsi" w:cstheme="minorHAnsi"/>
        </w:rPr>
      </w:pPr>
      <w:r w:rsidRPr="006C1231">
        <w:rPr>
          <w:rFonts w:asciiTheme="minorHAnsi" w:hAnsiTheme="minorHAnsi" w:cstheme="minorHAnsi"/>
        </w:rPr>
        <w:t xml:space="preserve">272 milj. EUR </w:t>
      </w:r>
      <w:r w:rsidR="00F016B1" w:rsidRPr="006C1231">
        <w:rPr>
          <w:rFonts w:asciiTheme="minorHAnsi" w:hAnsiTheme="minorHAnsi" w:cstheme="minorHAnsi"/>
        </w:rPr>
        <w:t xml:space="preserve">- </w:t>
      </w:r>
      <w:r w:rsidRPr="006C1231">
        <w:rPr>
          <w:rFonts w:asciiTheme="minorHAnsi" w:hAnsiTheme="minorHAnsi" w:cstheme="minorHAnsi"/>
        </w:rPr>
        <w:t>atveseļošanās palīdzība kohēzijai un Eiropas teritorijām – programma REACT-EU;</w:t>
      </w:r>
    </w:p>
    <w:p w14:paraId="30C43597" w14:textId="12FC5A82" w:rsidR="000B785B" w:rsidRPr="006C1231" w:rsidRDefault="000B785B" w:rsidP="00782411">
      <w:pPr>
        <w:pStyle w:val="Default"/>
        <w:numPr>
          <w:ilvl w:val="0"/>
          <w:numId w:val="19"/>
        </w:numPr>
        <w:spacing w:before="120" w:line="360" w:lineRule="auto"/>
        <w:ind w:left="1134" w:firstLine="0"/>
        <w:jc w:val="both"/>
        <w:rPr>
          <w:rFonts w:asciiTheme="minorHAnsi" w:hAnsiTheme="minorHAnsi" w:cstheme="minorHAnsi"/>
        </w:rPr>
      </w:pPr>
      <w:r w:rsidRPr="006C1231">
        <w:rPr>
          <w:rFonts w:asciiTheme="minorHAnsi" w:hAnsiTheme="minorHAnsi" w:cstheme="minorHAnsi"/>
        </w:rPr>
        <w:t>1,993 miljardi EUR</w:t>
      </w:r>
      <w:r w:rsidR="00F016B1" w:rsidRPr="006C1231">
        <w:rPr>
          <w:rFonts w:asciiTheme="minorHAnsi" w:hAnsiTheme="minorHAnsi" w:cstheme="minorHAnsi"/>
        </w:rPr>
        <w:t xml:space="preserve"> -</w:t>
      </w:r>
      <w:r w:rsidRPr="006C1231">
        <w:rPr>
          <w:rFonts w:asciiTheme="minorHAnsi" w:hAnsiTheme="minorHAnsi" w:cstheme="minorHAnsi"/>
        </w:rPr>
        <w:t xml:space="preserve"> Eiropas Atveseļošanas un noturības finansējums – RRF, ieguldījumi ilgtermiņa Covid-19 pandēmijas seku mazināšanai ekonomikā, pārejā uz zaļo un digitālo ekonomiku;</w:t>
      </w:r>
    </w:p>
    <w:p w14:paraId="7248BDA4" w14:textId="2904E603" w:rsidR="000B785B" w:rsidRPr="006C1231" w:rsidRDefault="000B785B" w:rsidP="00782411">
      <w:pPr>
        <w:pStyle w:val="Default"/>
        <w:numPr>
          <w:ilvl w:val="0"/>
          <w:numId w:val="19"/>
        </w:numPr>
        <w:spacing w:before="120" w:line="360" w:lineRule="auto"/>
        <w:ind w:left="1134" w:firstLine="0"/>
        <w:jc w:val="both"/>
        <w:rPr>
          <w:rFonts w:asciiTheme="minorHAnsi" w:hAnsiTheme="minorHAnsi" w:cstheme="minorHAnsi"/>
        </w:rPr>
      </w:pPr>
      <w:r w:rsidRPr="006C1231">
        <w:rPr>
          <w:rFonts w:asciiTheme="minorHAnsi" w:hAnsiTheme="minorHAnsi" w:cstheme="minorHAnsi"/>
        </w:rPr>
        <w:t>198 milj. EUR</w:t>
      </w:r>
      <w:r w:rsidR="00F016B1" w:rsidRPr="006C1231">
        <w:rPr>
          <w:rFonts w:asciiTheme="minorHAnsi" w:hAnsiTheme="minorHAnsi" w:cstheme="minorHAnsi"/>
        </w:rPr>
        <w:t xml:space="preserve"> - </w:t>
      </w:r>
      <w:r w:rsidRPr="006C1231">
        <w:rPr>
          <w:rFonts w:asciiTheme="minorHAnsi" w:hAnsiTheme="minorHAnsi" w:cstheme="minorHAnsi"/>
        </w:rPr>
        <w:t xml:space="preserve">Taisnīgas pārkārtošanas fonds – JTF, ieguldījumi klimata pārmaiņu vissmagāk skarto teritoriju ekonomiskai diversifikācijai; </w:t>
      </w:r>
    </w:p>
    <w:p w14:paraId="6BA03579" w14:textId="52250E77" w:rsidR="000B785B" w:rsidRPr="006C1231" w:rsidRDefault="000B785B" w:rsidP="00782411">
      <w:pPr>
        <w:pStyle w:val="Default"/>
        <w:numPr>
          <w:ilvl w:val="0"/>
          <w:numId w:val="19"/>
        </w:numPr>
        <w:spacing w:before="120" w:line="360" w:lineRule="auto"/>
        <w:ind w:left="1134" w:firstLine="0"/>
        <w:jc w:val="both"/>
        <w:rPr>
          <w:rFonts w:asciiTheme="minorHAnsi" w:hAnsiTheme="minorHAnsi" w:cstheme="minorHAnsi"/>
        </w:rPr>
      </w:pPr>
      <w:r w:rsidRPr="006C1231">
        <w:rPr>
          <w:rFonts w:asciiTheme="minorHAnsi" w:hAnsiTheme="minorHAnsi" w:cstheme="minorHAnsi"/>
        </w:rPr>
        <w:t>4,63 miljardi EUR</w:t>
      </w:r>
      <w:r w:rsidR="00F016B1" w:rsidRPr="006C1231">
        <w:rPr>
          <w:rFonts w:asciiTheme="minorHAnsi" w:hAnsiTheme="minorHAnsi" w:cstheme="minorHAnsi"/>
        </w:rPr>
        <w:t xml:space="preserve"> -</w:t>
      </w:r>
      <w:r w:rsidRPr="006C1231">
        <w:rPr>
          <w:rFonts w:asciiTheme="minorHAnsi" w:hAnsiTheme="minorHAnsi" w:cstheme="minorHAnsi"/>
        </w:rPr>
        <w:t xml:space="preserve"> Kohēzijas politikas instrumenti – ERAF, ESF+, KF Lielākais finansējuma apjoms visaptverošām investīcijām atbilstoši NAP 2021-2027 pasākumiem.</w:t>
      </w:r>
    </w:p>
    <w:p w14:paraId="7C3052F9" w14:textId="790405C2" w:rsidR="000B785B" w:rsidRPr="006C1231" w:rsidRDefault="00F016B1" w:rsidP="00782411">
      <w:pPr>
        <w:pStyle w:val="Default"/>
        <w:numPr>
          <w:ilvl w:val="0"/>
          <w:numId w:val="19"/>
        </w:numPr>
        <w:spacing w:before="120" w:line="360" w:lineRule="auto"/>
        <w:ind w:left="1134" w:firstLine="0"/>
        <w:jc w:val="both"/>
        <w:rPr>
          <w:rFonts w:asciiTheme="minorHAnsi" w:hAnsiTheme="minorHAnsi" w:cstheme="minorHAnsi"/>
        </w:rPr>
      </w:pPr>
      <w:r w:rsidRPr="006C1231">
        <w:rPr>
          <w:rFonts w:asciiTheme="minorHAnsi" w:hAnsiTheme="minorHAnsi" w:cstheme="minorHAnsi"/>
        </w:rPr>
        <w:t xml:space="preserve">2,962 miljardi EUR  - </w:t>
      </w:r>
      <w:r w:rsidR="000B785B" w:rsidRPr="006C1231">
        <w:rPr>
          <w:rFonts w:asciiTheme="minorHAnsi" w:hAnsiTheme="minorHAnsi" w:cstheme="minorHAnsi"/>
        </w:rPr>
        <w:t>Cits ārvalstu finansējums</w:t>
      </w:r>
      <w:r w:rsidRPr="006C1231">
        <w:rPr>
          <w:rFonts w:asciiTheme="minorHAnsi" w:hAnsiTheme="minorHAnsi" w:cstheme="minorHAnsi"/>
        </w:rPr>
        <w:t xml:space="preserve"> </w:t>
      </w:r>
      <w:r w:rsidR="000B785B" w:rsidRPr="006C1231">
        <w:rPr>
          <w:rFonts w:asciiTheme="minorHAnsi" w:hAnsiTheme="minorHAnsi" w:cstheme="minorHAnsi"/>
        </w:rPr>
        <w:t>–</w:t>
      </w:r>
      <w:r w:rsidRPr="006C1231">
        <w:rPr>
          <w:rFonts w:asciiTheme="minorHAnsi" w:hAnsiTheme="minorHAnsi" w:cstheme="minorHAnsi"/>
        </w:rPr>
        <w:t xml:space="preserve"> </w:t>
      </w:r>
      <w:r w:rsidR="000B785B" w:rsidRPr="006C1231">
        <w:rPr>
          <w:rFonts w:asciiTheme="minorHAnsi" w:hAnsiTheme="minorHAnsi" w:cstheme="minorHAnsi"/>
        </w:rPr>
        <w:t xml:space="preserve">pieprasītais finansējums transporta, klimata, enerģētikas, izglītības un digitālo risinājumu jomās, t. sk. </w:t>
      </w:r>
      <w:r w:rsidR="000B785B" w:rsidRPr="006C1231">
        <w:rPr>
          <w:rFonts w:asciiTheme="minorHAnsi" w:hAnsiTheme="minorHAnsi" w:cstheme="minorHAnsi"/>
          <w:i/>
          <w:iCs/>
        </w:rPr>
        <w:t xml:space="preserve">Rail </w:t>
      </w:r>
      <w:proofErr w:type="spellStart"/>
      <w:r w:rsidR="000B785B" w:rsidRPr="006C1231">
        <w:rPr>
          <w:rFonts w:asciiTheme="minorHAnsi" w:hAnsiTheme="minorHAnsi" w:cstheme="minorHAnsi"/>
          <w:i/>
          <w:iCs/>
        </w:rPr>
        <w:t>Baltica</w:t>
      </w:r>
      <w:proofErr w:type="spellEnd"/>
      <w:r w:rsidR="000B785B" w:rsidRPr="006C1231">
        <w:rPr>
          <w:rFonts w:asciiTheme="minorHAnsi" w:hAnsiTheme="minorHAnsi" w:cstheme="minorHAnsi"/>
        </w:rPr>
        <w:t xml:space="preserve"> būvniecība.</w:t>
      </w:r>
    </w:p>
    <w:p w14:paraId="2A65FF31" w14:textId="77777777" w:rsidR="007F16BD" w:rsidRPr="006C1231" w:rsidRDefault="007F16BD" w:rsidP="00C601EA">
      <w:pPr>
        <w:pStyle w:val="ListParagraph"/>
        <w:ind w:left="567" w:firstLine="567"/>
        <w:rPr>
          <w:rFonts w:cstheme="minorHAnsi"/>
          <w:sz w:val="24"/>
          <w:szCs w:val="24"/>
        </w:rPr>
      </w:pPr>
      <w:r w:rsidRPr="006C1231">
        <w:rPr>
          <w:rFonts w:cstheme="minorHAnsi"/>
          <w:sz w:val="24"/>
          <w:szCs w:val="24"/>
        </w:rPr>
        <w:t xml:space="preserve">Valsts plānotās investīcijas infrastruktūrā ir jāvērtē kopsakarā ar privāto investīciju plānoto sarukumu, kā arī 2020. gada sākumā atteikšanos no lielo investīciju projektu īstenošanas, kas ietekmēja valsts plānotās investīcijas vairāku gadu griezumā (piemēram dzelzceļa elektrifikācijas projekta atcelšana. </w:t>
      </w:r>
    </w:p>
    <w:p w14:paraId="35FCC752" w14:textId="12466CC9" w:rsidR="007B4BAB" w:rsidRPr="006C1231" w:rsidRDefault="007B4BAB" w:rsidP="00C601EA">
      <w:pPr>
        <w:pStyle w:val="ListParagraph"/>
        <w:ind w:left="567" w:firstLine="567"/>
        <w:rPr>
          <w:rFonts w:ascii="Times New Roman" w:hAnsi="Times New Roman" w:cs="Times New Roman"/>
          <w:sz w:val="24"/>
          <w:szCs w:val="24"/>
        </w:rPr>
      </w:pPr>
      <w:r w:rsidRPr="006C1231">
        <w:rPr>
          <w:rFonts w:cstheme="minorHAnsi"/>
          <w:sz w:val="24"/>
          <w:szCs w:val="24"/>
        </w:rPr>
        <w:t>Vienlaikus finansējuma pieejamīb</w:t>
      </w:r>
      <w:r w:rsidR="007F16BD" w:rsidRPr="006C1231">
        <w:rPr>
          <w:rFonts w:cstheme="minorHAnsi"/>
          <w:sz w:val="24"/>
          <w:szCs w:val="24"/>
        </w:rPr>
        <w:t xml:space="preserve">u var izmantot jēgpilni, lai </w:t>
      </w:r>
      <w:r w:rsidRPr="006C1231">
        <w:rPr>
          <w:rFonts w:cstheme="minorHAnsi"/>
          <w:sz w:val="24"/>
          <w:szCs w:val="24"/>
        </w:rPr>
        <w:t>samazinā</w:t>
      </w:r>
      <w:r w:rsidR="007F16BD" w:rsidRPr="006C1231">
        <w:rPr>
          <w:rFonts w:cstheme="minorHAnsi"/>
          <w:sz w:val="24"/>
          <w:szCs w:val="24"/>
        </w:rPr>
        <w:t>tu</w:t>
      </w:r>
      <w:r w:rsidRPr="006C1231">
        <w:rPr>
          <w:rFonts w:cstheme="minorHAnsi"/>
          <w:sz w:val="24"/>
          <w:szCs w:val="24"/>
        </w:rPr>
        <w:t xml:space="preserve"> būvniecības nozares attīstības cikliskumu, kas iepriekšējos gados radās nevienmērīga ES </w:t>
      </w:r>
      <w:r w:rsidR="006367F8">
        <w:rPr>
          <w:rFonts w:cstheme="minorHAnsi"/>
          <w:sz w:val="24"/>
          <w:szCs w:val="24"/>
        </w:rPr>
        <w:t>struktūr</w:t>
      </w:r>
      <w:r w:rsidRPr="006C1231">
        <w:rPr>
          <w:rFonts w:cstheme="minorHAnsi"/>
          <w:sz w:val="24"/>
          <w:szCs w:val="24"/>
        </w:rPr>
        <w:t xml:space="preserve">fondu apguves un </w:t>
      </w:r>
      <w:r w:rsidRPr="006C1231">
        <w:rPr>
          <w:rFonts w:ascii="Times New Roman" w:hAnsi="Times New Roman" w:cs="Times New Roman"/>
          <w:sz w:val="24"/>
          <w:szCs w:val="24"/>
        </w:rPr>
        <w:t>publisko iepirkumu apjoma kritum</w:t>
      </w:r>
      <w:r w:rsidR="00D45FCF" w:rsidRPr="006C1231">
        <w:rPr>
          <w:rFonts w:ascii="Times New Roman" w:hAnsi="Times New Roman" w:cs="Times New Roman"/>
          <w:sz w:val="24"/>
          <w:szCs w:val="24"/>
        </w:rPr>
        <w:t>a</w:t>
      </w:r>
      <w:r w:rsidRPr="006C1231">
        <w:rPr>
          <w:rFonts w:ascii="Times New Roman" w:hAnsi="Times New Roman" w:cs="Times New Roman"/>
          <w:sz w:val="24"/>
          <w:szCs w:val="24"/>
        </w:rPr>
        <w:t xml:space="preserve"> </w:t>
      </w:r>
      <w:r w:rsidRPr="006C1231">
        <w:rPr>
          <w:rFonts w:cstheme="minorHAnsi"/>
          <w:sz w:val="24"/>
          <w:szCs w:val="24"/>
        </w:rPr>
        <w:t xml:space="preserve">rezultātā un radīja nozarei zaudējumus. </w:t>
      </w:r>
      <w:r w:rsidR="00D45FCF" w:rsidRPr="006C1231">
        <w:rPr>
          <w:rFonts w:cstheme="minorHAnsi"/>
          <w:sz w:val="24"/>
          <w:szCs w:val="24"/>
        </w:rPr>
        <w:t>Informatīvajā ziņojumā</w:t>
      </w:r>
      <w:r w:rsidR="00D45FCF" w:rsidRPr="006C1231">
        <w:rPr>
          <w:rStyle w:val="FootnoteReference"/>
          <w:rFonts w:cstheme="minorHAnsi"/>
          <w:sz w:val="24"/>
          <w:szCs w:val="24"/>
        </w:rPr>
        <w:footnoteReference w:id="1"/>
      </w:r>
      <w:r w:rsidR="00D45FCF" w:rsidRPr="006C1231">
        <w:rPr>
          <w:rFonts w:cstheme="minorHAnsi"/>
          <w:sz w:val="24"/>
          <w:szCs w:val="24"/>
        </w:rPr>
        <w:t xml:space="preserve"> 2019.gadā tika </w:t>
      </w:r>
      <w:r w:rsidRPr="006C1231">
        <w:rPr>
          <w:rFonts w:ascii="Times New Roman" w:hAnsi="Times New Roman" w:cs="Times New Roman"/>
          <w:sz w:val="24"/>
          <w:szCs w:val="24"/>
        </w:rPr>
        <w:t>ieteikts publisko pasūtījumu izmantot kā instrumentu tirgus svārstību izlīdzināšanai</w:t>
      </w:r>
      <w:r w:rsidR="00D45FCF" w:rsidRPr="006C1231">
        <w:rPr>
          <w:rFonts w:ascii="Times New Roman" w:hAnsi="Times New Roman" w:cs="Times New Roman"/>
          <w:sz w:val="24"/>
          <w:szCs w:val="24"/>
        </w:rPr>
        <w:t>, jo samazinoties ES fondu finansējumam</w:t>
      </w:r>
      <w:r w:rsidR="00715774" w:rsidRPr="006C1231">
        <w:rPr>
          <w:rFonts w:ascii="Times New Roman" w:hAnsi="Times New Roman" w:cs="Times New Roman"/>
          <w:sz w:val="24"/>
          <w:szCs w:val="24"/>
        </w:rPr>
        <w:t xml:space="preserve"> </w:t>
      </w:r>
      <w:r w:rsidR="007B1587" w:rsidRPr="006C1231">
        <w:rPr>
          <w:rFonts w:ascii="Times New Roman" w:hAnsi="Times New Roman" w:cs="Times New Roman"/>
          <w:sz w:val="24"/>
          <w:szCs w:val="24"/>
        </w:rPr>
        <w:t xml:space="preserve">laika posmā no </w:t>
      </w:r>
      <w:r w:rsidR="00715774" w:rsidRPr="006C1231">
        <w:rPr>
          <w:rFonts w:ascii="Times New Roman" w:hAnsi="Times New Roman" w:cs="Times New Roman"/>
          <w:sz w:val="24"/>
          <w:szCs w:val="24"/>
        </w:rPr>
        <w:t>2020.-2022.gad</w:t>
      </w:r>
      <w:r w:rsidR="007B1587" w:rsidRPr="006C1231">
        <w:rPr>
          <w:rFonts w:ascii="Times New Roman" w:hAnsi="Times New Roman" w:cs="Times New Roman"/>
          <w:sz w:val="24"/>
          <w:szCs w:val="24"/>
        </w:rPr>
        <w:t>am</w:t>
      </w:r>
      <w:r w:rsidR="00D45FCF" w:rsidRPr="006C1231">
        <w:rPr>
          <w:rFonts w:ascii="Times New Roman" w:hAnsi="Times New Roman" w:cs="Times New Roman"/>
          <w:sz w:val="24"/>
          <w:szCs w:val="24"/>
        </w:rPr>
        <w:t>, pastāvēja risks, ka privātais pieprasījums uzreiz neaizvietos publiskā būvniecības apjomu samazinājumu.</w:t>
      </w:r>
      <w:r w:rsidR="007F16BD" w:rsidRPr="006C1231">
        <w:rPr>
          <w:rFonts w:ascii="Times New Roman" w:hAnsi="Times New Roman" w:cs="Times New Roman"/>
          <w:sz w:val="24"/>
          <w:szCs w:val="24"/>
        </w:rPr>
        <w:t xml:space="preserve"> Valstij </w:t>
      </w:r>
      <w:r w:rsidR="007F16BD" w:rsidRPr="006C1231">
        <w:rPr>
          <w:rFonts w:ascii="Times New Roman" w:hAnsi="Times New Roman" w:cs="Times New Roman"/>
          <w:sz w:val="24"/>
          <w:szCs w:val="24"/>
        </w:rPr>
        <w:lastRenderedPageBreak/>
        <w:t>būtu rūpīgi jāplāno investīciju iepludināšana, nodrošinot būvniecības nozares attīstības vienmērīgumu, nepieļaujot straujas nozares apjomu sv</w:t>
      </w:r>
      <w:r w:rsidR="00711352" w:rsidRPr="006C1231">
        <w:rPr>
          <w:rFonts w:ascii="Times New Roman" w:hAnsi="Times New Roman" w:cs="Times New Roman"/>
          <w:sz w:val="24"/>
          <w:szCs w:val="24"/>
        </w:rPr>
        <w:t>ā</w:t>
      </w:r>
      <w:r w:rsidR="007F16BD" w:rsidRPr="006C1231">
        <w:rPr>
          <w:rFonts w:ascii="Times New Roman" w:hAnsi="Times New Roman" w:cs="Times New Roman"/>
          <w:sz w:val="24"/>
          <w:szCs w:val="24"/>
        </w:rPr>
        <w:t>rstības.</w:t>
      </w:r>
    </w:p>
    <w:p w14:paraId="4E3834A1" w14:textId="77777777" w:rsidR="000B785B" w:rsidRPr="006C1231" w:rsidRDefault="000B785B" w:rsidP="00782411">
      <w:pPr>
        <w:pStyle w:val="Default"/>
        <w:numPr>
          <w:ilvl w:val="0"/>
          <w:numId w:val="18"/>
        </w:numPr>
        <w:spacing w:before="120" w:line="360" w:lineRule="auto"/>
        <w:ind w:left="567" w:firstLine="0"/>
        <w:jc w:val="both"/>
        <w:rPr>
          <w:rFonts w:asciiTheme="minorHAnsi" w:hAnsiTheme="minorHAnsi" w:cstheme="minorHAnsi"/>
          <w:b/>
          <w:bCs/>
        </w:rPr>
      </w:pPr>
      <w:r w:rsidRPr="006C1231">
        <w:rPr>
          <w:rFonts w:asciiTheme="minorHAnsi" w:hAnsiTheme="minorHAnsi" w:cstheme="minorHAnsi"/>
          <w:b/>
          <w:bCs/>
        </w:rPr>
        <w:t>Darbaspēka trūkums nozarē un darbaspēka izmaksu kāpums, kas radīs papildu spiedienu uz cenām.</w:t>
      </w:r>
    </w:p>
    <w:p w14:paraId="5D47D15D" w14:textId="77777777" w:rsidR="000B785B" w:rsidRPr="00692C3D" w:rsidRDefault="000B785B" w:rsidP="00782411">
      <w:pPr>
        <w:pStyle w:val="Default"/>
        <w:spacing w:before="120" w:line="360" w:lineRule="auto"/>
        <w:ind w:left="567" w:firstLine="567"/>
        <w:jc w:val="both"/>
        <w:rPr>
          <w:rFonts w:asciiTheme="minorHAnsi" w:hAnsiTheme="minorHAnsi" w:cstheme="minorHAnsi"/>
        </w:rPr>
      </w:pPr>
      <w:r w:rsidRPr="00692C3D">
        <w:rPr>
          <w:rFonts w:asciiTheme="minorHAnsi" w:hAnsiTheme="minorHAnsi" w:cstheme="minorHAnsi"/>
        </w:rPr>
        <w:t xml:space="preserve">Līdz 2019.gadam darba tirgus bija tuvu savam potenciālam – zemās bāzes efekts darba tirgū bija izzudis un darba tirgus pietuvojās savam piesātinājuma punktam, kas kopā ar darbspējīgo iedzīvotāju skaita samazinājumu ierobežoja nodarbinātības tālāku pieaugumu. Vienlaikus arvien jūtamāki darba tirgu ietekmē demogrāfijas procesi. Iedzīvotāju skaita samazinājums darbaspējas vecumā ietekmē potenciālo darbaspēka piedāvājumu, kā rezultātā mazinās brīvās darbaspēka rezerves. </w:t>
      </w:r>
    </w:p>
    <w:p w14:paraId="2737C490" w14:textId="77777777" w:rsidR="000B785B" w:rsidRPr="006C1231" w:rsidRDefault="000B785B" w:rsidP="00782411">
      <w:pPr>
        <w:pStyle w:val="Default"/>
        <w:spacing w:before="120" w:line="360" w:lineRule="auto"/>
        <w:ind w:left="567" w:firstLine="567"/>
        <w:jc w:val="both"/>
        <w:rPr>
          <w:rFonts w:asciiTheme="minorHAnsi" w:hAnsiTheme="minorHAnsi" w:cstheme="minorHAnsi"/>
        </w:rPr>
      </w:pPr>
      <w:r w:rsidRPr="00692C3D">
        <w:rPr>
          <w:rFonts w:asciiTheme="minorHAnsi" w:hAnsiTheme="minorHAnsi" w:cstheme="minorHAnsi"/>
        </w:rPr>
        <w:t>Pēdējos gados būvniecības nozarē bija vērojams straujš darbaspēka pieprasījums un viens no straujākajiem darba samaksas kāpumiem. Ņemot vērā pakāpenisku vietējo darbaspēka rezervju izsīkšanu un tam sekojošo straujo atalgojuma pieaugumu, turpina palielināties pieprasījums pēc ārvalstu darbaspēka, par ko daļēji liecina trešo valstu pilsoņiem izsniegto darba atļauju dinamika, no kurām 20% tiek izsniegtas nodarbinātajiem būvniecībā.</w:t>
      </w:r>
    </w:p>
    <w:p w14:paraId="217C91BF" w14:textId="4CB84698" w:rsidR="000B785B" w:rsidRPr="006C1231" w:rsidRDefault="000B785B" w:rsidP="00782411">
      <w:pPr>
        <w:pStyle w:val="Default"/>
        <w:spacing w:before="120" w:line="360" w:lineRule="auto"/>
        <w:ind w:left="567" w:firstLine="567"/>
        <w:jc w:val="both"/>
        <w:rPr>
          <w:rFonts w:asciiTheme="minorHAnsi" w:hAnsiTheme="minorHAnsi" w:cstheme="minorHAnsi"/>
        </w:rPr>
      </w:pPr>
      <w:r w:rsidRPr="006C1231">
        <w:rPr>
          <w:rFonts w:asciiTheme="minorHAnsi" w:hAnsiTheme="minorHAnsi" w:cstheme="minorHAnsi"/>
        </w:rPr>
        <w:t xml:space="preserve">Kā liecina 2020.gada dati, investīcijās būvniecības aktīvos saglabājās pozitīva dinamika. Straujāk nekā iepriekšējā gadā pieaug ieguldījumi inženierbūvēs, kas lielā mērā ir saistīts ar ekonomikas sildīšanas pasākumiem. </w:t>
      </w:r>
      <w:r w:rsidRPr="00692C3D">
        <w:rPr>
          <w:rFonts w:asciiTheme="minorHAnsi" w:hAnsiTheme="minorHAnsi" w:cstheme="minorHAnsi"/>
        </w:rPr>
        <w:t>Tomēr 2020.gadā Covid-19 ietekmē ir krasi mainījusies situācija darba tirgū – samazinoties aktivitātēm ekonomikā, pieauga bezdarba līmenis. Tas palielina iespēju būvniecības uzņēmumiem piesaistīt darbaspēku, nepalielinot tā izmaksas.</w:t>
      </w:r>
      <w:r w:rsidRPr="006C1231">
        <w:rPr>
          <w:rFonts w:asciiTheme="minorHAnsi" w:hAnsiTheme="minorHAnsi" w:cstheme="minorHAnsi"/>
        </w:rPr>
        <w:t xml:space="preserve"> Protams tas neattiecas uz augsti kvalificēta darbaspēka piesaisti, kur joprojām saglabāsies liels pieprasījums pie ierobežota piedāvājuma, kas var ietekmēt arī būvdarbu kvalitāti.  Savukārt, darbaspēka trūkuma un darbaspēka izmaksu pieauguma riski būvniecības nozarē varētu pieaugt vēlāk, kad pakāpeniski atjaunosies ekonomiskā aktivitāte nozarēs ar lielāku Covid-19 ietekme, kas savukārt atspoguļosies lielākā darbaspēka pieprasījumā.</w:t>
      </w:r>
    </w:p>
    <w:p w14:paraId="42F0002A" w14:textId="7DFAAB85" w:rsidR="002F65DC" w:rsidRDefault="002F65DC">
      <w:pPr>
        <w:spacing w:after="160" w:line="259" w:lineRule="auto"/>
        <w:ind w:firstLine="0"/>
        <w:jc w:val="left"/>
        <w:rPr>
          <w:rFonts w:ascii="Arial" w:hAnsi="Arial" w:cs="Arial"/>
          <w:color w:val="000000"/>
          <w:sz w:val="24"/>
          <w:szCs w:val="24"/>
        </w:rPr>
      </w:pPr>
      <w:r>
        <w:br w:type="page"/>
      </w:r>
    </w:p>
    <w:p w14:paraId="149306EE" w14:textId="77777777" w:rsidR="000B785B" w:rsidRDefault="000B785B" w:rsidP="000B785B">
      <w:pPr>
        <w:pStyle w:val="Default"/>
        <w:spacing w:before="120"/>
        <w:ind w:left="567"/>
        <w:jc w:val="both"/>
      </w:pPr>
    </w:p>
    <w:p w14:paraId="1086799C" w14:textId="2090150C" w:rsidR="00305422" w:rsidRPr="00025BCB" w:rsidRDefault="001206C4" w:rsidP="00E51849">
      <w:pPr>
        <w:pStyle w:val="Heading1"/>
        <w:numPr>
          <w:ilvl w:val="0"/>
          <w:numId w:val="1"/>
        </w:numPr>
        <w:spacing w:line="240" w:lineRule="auto"/>
        <w:jc w:val="both"/>
      </w:pPr>
      <w:bookmarkStart w:id="6" w:name="_Toc54287911"/>
      <w:r w:rsidRPr="001206C4">
        <w:t>Pētījums par prognozētām izmaiņām darbaspēka un būvmateriālu izmaksās būvniecības nozarē Latvijā</w:t>
      </w:r>
      <w:bookmarkEnd w:id="6"/>
    </w:p>
    <w:p w14:paraId="42E95D12" w14:textId="77777777" w:rsidR="00DE1949" w:rsidRDefault="00DE1949" w:rsidP="001206C4">
      <w:pPr>
        <w:pStyle w:val="Default"/>
        <w:ind w:firstLine="360"/>
        <w:jc w:val="both"/>
        <w:rPr>
          <w:rFonts w:ascii="Times New Roman" w:hAnsi="Times New Roman" w:cs="Times New Roman"/>
          <w:sz w:val="22"/>
          <w:szCs w:val="20"/>
        </w:rPr>
      </w:pPr>
    </w:p>
    <w:p w14:paraId="6FC3A1AC" w14:textId="45B8ECA0" w:rsidR="009A4DA9" w:rsidRPr="006C1231" w:rsidRDefault="009A4DA9" w:rsidP="008A2DDD">
      <w:pPr>
        <w:pStyle w:val="Default"/>
        <w:spacing w:line="360" w:lineRule="auto"/>
        <w:ind w:firstLine="567"/>
        <w:jc w:val="both"/>
        <w:rPr>
          <w:rFonts w:ascii="Times New Roman" w:hAnsi="Times New Roman" w:cs="Times New Roman"/>
        </w:rPr>
      </w:pPr>
      <w:r w:rsidRPr="006C1231">
        <w:rPr>
          <w:rFonts w:ascii="Times New Roman" w:hAnsi="Times New Roman" w:cs="Times New Roman"/>
        </w:rPr>
        <w:t>„Pētījums par prognozētām izmaiņām darbaspēka un būvmateriālu izmaksās būvniecības nozarē Latvijā” sagatavots atbilstoši 20</w:t>
      </w:r>
      <w:r w:rsidR="00A74511" w:rsidRPr="006C1231">
        <w:rPr>
          <w:rFonts w:ascii="Times New Roman" w:hAnsi="Times New Roman" w:cs="Times New Roman"/>
        </w:rPr>
        <w:t>20</w:t>
      </w:r>
      <w:r w:rsidRPr="006C1231">
        <w:rPr>
          <w:rFonts w:ascii="Times New Roman" w:hAnsi="Times New Roman" w:cs="Times New Roman"/>
        </w:rPr>
        <w:t xml:space="preserve">. gada </w:t>
      </w:r>
      <w:r w:rsidR="001F11E5" w:rsidRPr="006C1231">
        <w:rPr>
          <w:rFonts w:ascii="Times New Roman" w:hAnsi="Times New Roman" w:cs="Times New Roman"/>
        </w:rPr>
        <w:t>22.</w:t>
      </w:r>
      <w:r w:rsidR="00153C84" w:rsidRPr="006C1231">
        <w:rPr>
          <w:rFonts w:ascii="Times New Roman" w:hAnsi="Times New Roman" w:cs="Times New Roman"/>
        </w:rPr>
        <w:t xml:space="preserve"> </w:t>
      </w:r>
      <w:r w:rsidR="001F11E5" w:rsidRPr="006C1231">
        <w:rPr>
          <w:rFonts w:ascii="Times New Roman" w:hAnsi="Times New Roman" w:cs="Times New Roman"/>
        </w:rPr>
        <w:t>jūlijā</w:t>
      </w:r>
      <w:r w:rsidRPr="006C1231">
        <w:rPr>
          <w:rFonts w:ascii="Times New Roman" w:hAnsi="Times New Roman" w:cs="Times New Roman"/>
        </w:rPr>
        <w:t xml:space="preserve"> noslēgtajam līgumam starp Latvijas Republikas Ekonomikas Ministriju un</w:t>
      </w:r>
      <w:r w:rsidR="00AC47BD" w:rsidRPr="006C1231">
        <w:rPr>
          <w:rFonts w:ascii="Times New Roman" w:hAnsi="Times New Roman" w:cs="Times New Roman"/>
        </w:rPr>
        <w:t xml:space="preserve"> izpētes kompāniju</w:t>
      </w:r>
      <w:r w:rsidRPr="006C1231">
        <w:rPr>
          <w:rFonts w:ascii="Times New Roman" w:hAnsi="Times New Roman" w:cs="Times New Roman"/>
        </w:rPr>
        <w:t xml:space="preserve"> SIA “</w:t>
      </w:r>
      <w:proofErr w:type="spellStart"/>
      <w:r w:rsidR="00A74511" w:rsidRPr="006C1231">
        <w:rPr>
          <w:rFonts w:ascii="Times New Roman" w:hAnsi="Times New Roman" w:cs="Times New Roman"/>
        </w:rPr>
        <w:t>InnoMatrix</w:t>
      </w:r>
      <w:proofErr w:type="spellEnd"/>
      <w:r w:rsidRPr="006C1231">
        <w:rPr>
          <w:rFonts w:ascii="Times New Roman" w:hAnsi="Times New Roman" w:cs="Times New Roman"/>
        </w:rPr>
        <w:t>”</w:t>
      </w:r>
      <w:r w:rsidR="00AC47BD" w:rsidRPr="006C1231">
        <w:rPr>
          <w:rFonts w:ascii="Times New Roman" w:hAnsi="Times New Roman" w:cs="Times New Roman"/>
        </w:rPr>
        <w:t xml:space="preserve">, kas pētījumu veikusi sadarbojoties ar </w:t>
      </w:r>
      <w:r w:rsidR="00FF643E" w:rsidRPr="006C1231">
        <w:rPr>
          <w:rFonts w:ascii="Times New Roman" w:hAnsi="Times New Roman" w:cs="Times New Roman"/>
        </w:rPr>
        <w:t>“</w:t>
      </w:r>
      <w:r w:rsidR="00AC47BD" w:rsidRPr="006C1231">
        <w:rPr>
          <w:rFonts w:ascii="Times New Roman" w:hAnsi="Times New Roman" w:cs="Times New Roman"/>
        </w:rPr>
        <w:t>Latvijas Universitātes</w:t>
      </w:r>
      <w:r w:rsidR="00FF643E" w:rsidRPr="006C1231">
        <w:rPr>
          <w:rFonts w:ascii="Times New Roman" w:hAnsi="Times New Roman" w:cs="Times New Roman"/>
        </w:rPr>
        <w:t>”</w:t>
      </w:r>
      <w:r w:rsidR="00AC47BD" w:rsidRPr="006C1231">
        <w:rPr>
          <w:rFonts w:ascii="Times New Roman" w:hAnsi="Times New Roman" w:cs="Times New Roman"/>
        </w:rPr>
        <w:t xml:space="preserve"> </w:t>
      </w:r>
      <w:r w:rsidR="0034754A" w:rsidRPr="006C1231">
        <w:rPr>
          <w:rFonts w:ascii="Times New Roman" w:hAnsi="Times New Roman" w:cs="Times New Roman"/>
        </w:rPr>
        <w:t xml:space="preserve">ekonomikas </w:t>
      </w:r>
      <w:r w:rsidR="00872126" w:rsidRPr="006C1231">
        <w:rPr>
          <w:rFonts w:ascii="Times New Roman" w:hAnsi="Times New Roman" w:cs="Times New Roman"/>
        </w:rPr>
        <w:t>jomas</w:t>
      </w:r>
      <w:r w:rsidR="0034754A" w:rsidRPr="006C1231">
        <w:rPr>
          <w:rFonts w:ascii="Times New Roman" w:hAnsi="Times New Roman" w:cs="Times New Roman"/>
        </w:rPr>
        <w:t xml:space="preserve"> zinātniekiem</w:t>
      </w:r>
      <w:r w:rsidRPr="006C1231">
        <w:rPr>
          <w:rFonts w:ascii="Times New Roman" w:hAnsi="Times New Roman" w:cs="Times New Roman"/>
        </w:rPr>
        <w:t xml:space="preserve">. </w:t>
      </w:r>
    </w:p>
    <w:p w14:paraId="03D02E74" w14:textId="77BF56E1" w:rsidR="009A4DA9" w:rsidRPr="006C1231" w:rsidRDefault="001206C4" w:rsidP="009A4DA9">
      <w:pPr>
        <w:pStyle w:val="Default"/>
        <w:spacing w:line="360" w:lineRule="auto"/>
        <w:ind w:firstLine="360"/>
        <w:jc w:val="both"/>
        <w:rPr>
          <w:rFonts w:ascii="Times New Roman" w:hAnsi="Times New Roman" w:cs="Times New Roman"/>
        </w:rPr>
      </w:pPr>
      <w:r w:rsidRPr="006C1231">
        <w:rPr>
          <w:rFonts w:ascii="Times New Roman" w:hAnsi="Times New Roman" w:cs="Times New Roman"/>
        </w:rPr>
        <w:t>P</w:t>
      </w:r>
      <w:r w:rsidR="009A4DA9" w:rsidRPr="006C1231">
        <w:rPr>
          <w:rFonts w:ascii="Times New Roman" w:hAnsi="Times New Roman" w:cs="Times New Roman"/>
        </w:rPr>
        <w:t xml:space="preserve">ētījuma mērķis </w:t>
      </w:r>
      <w:r w:rsidRPr="006C1231">
        <w:rPr>
          <w:rFonts w:ascii="Times New Roman" w:hAnsi="Times New Roman" w:cs="Times New Roman"/>
        </w:rPr>
        <w:t>bija</w:t>
      </w:r>
      <w:r w:rsidR="009A4DA9" w:rsidRPr="006C1231">
        <w:rPr>
          <w:rFonts w:ascii="Times New Roman" w:hAnsi="Times New Roman" w:cs="Times New Roman"/>
        </w:rPr>
        <w:t xml:space="preserve"> prognozēt darbaspēka un  būvmateriālu izmaksu izmaiņas būvniecības nozarē Latvijā laika periodā no 20</w:t>
      </w:r>
      <w:r w:rsidR="00A74511" w:rsidRPr="006C1231">
        <w:rPr>
          <w:rFonts w:ascii="Times New Roman" w:hAnsi="Times New Roman" w:cs="Times New Roman"/>
        </w:rPr>
        <w:t>20</w:t>
      </w:r>
      <w:r w:rsidR="009A4DA9" w:rsidRPr="006C1231">
        <w:rPr>
          <w:rFonts w:ascii="Times New Roman" w:hAnsi="Times New Roman" w:cs="Times New Roman"/>
        </w:rPr>
        <w:t>.- 202</w:t>
      </w:r>
      <w:r w:rsidR="00A74511" w:rsidRPr="006C1231">
        <w:rPr>
          <w:rFonts w:ascii="Times New Roman" w:hAnsi="Times New Roman" w:cs="Times New Roman"/>
        </w:rPr>
        <w:t>4</w:t>
      </w:r>
      <w:r w:rsidR="009A4DA9" w:rsidRPr="006C1231">
        <w:rPr>
          <w:rFonts w:ascii="Times New Roman" w:hAnsi="Times New Roman" w:cs="Times New Roman"/>
        </w:rPr>
        <w:t>. gadam</w:t>
      </w:r>
      <w:r w:rsidR="00153C84" w:rsidRPr="006C1231">
        <w:rPr>
          <w:rFonts w:ascii="Times New Roman" w:hAnsi="Times New Roman" w:cs="Times New Roman"/>
        </w:rPr>
        <w:t>,</w:t>
      </w:r>
      <w:r w:rsidR="009A4DA9" w:rsidRPr="006C1231">
        <w:rPr>
          <w:rFonts w:ascii="Times New Roman" w:hAnsi="Times New Roman" w:cs="Times New Roman"/>
        </w:rPr>
        <w:t xml:space="preserve"> </w:t>
      </w:r>
      <w:r w:rsidR="00A74511" w:rsidRPr="006C1231">
        <w:rPr>
          <w:rFonts w:ascii="Times New Roman" w:hAnsi="Times New Roman" w:cs="Times New Roman"/>
        </w:rPr>
        <w:t>izmantojot</w:t>
      </w:r>
      <w:r w:rsidR="009A4DA9" w:rsidRPr="006C1231">
        <w:rPr>
          <w:rFonts w:ascii="Times New Roman" w:hAnsi="Times New Roman" w:cs="Times New Roman"/>
        </w:rPr>
        <w:t xml:space="preserve"> atkārtoti izmantojamu pētījuma veikšanas metodiku. </w:t>
      </w:r>
    </w:p>
    <w:p w14:paraId="6BF0FCB8" w14:textId="5C10B08F" w:rsidR="009A4DA9" w:rsidRPr="006C1231" w:rsidRDefault="009A4DA9" w:rsidP="009A4DA9">
      <w:pPr>
        <w:pStyle w:val="Default"/>
        <w:spacing w:line="360" w:lineRule="auto"/>
        <w:ind w:firstLine="720"/>
        <w:jc w:val="both"/>
        <w:rPr>
          <w:rFonts w:ascii="Times New Roman" w:hAnsi="Times New Roman" w:cs="Times New Roman"/>
        </w:rPr>
      </w:pPr>
      <w:r w:rsidRPr="006C1231">
        <w:rPr>
          <w:rFonts w:ascii="Times New Roman" w:hAnsi="Times New Roman" w:cs="Times New Roman"/>
        </w:rPr>
        <w:t xml:space="preserve">Pētījums sevī ietver detalizētu </w:t>
      </w:r>
      <w:proofErr w:type="spellStart"/>
      <w:r w:rsidRPr="006C1231">
        <w:rPr>
          <w:rFonts w:ascii="Times New Roman" w:hAnsi="Times New Roman" w:cs="Times New Roman"/>
        </w:rPr>
        <w:t>izvērtējumu</w:t>
      </w:r>
      <w:proofErr w:type="spellEnd"/>
      <w:r w:rsidRPr="006C1231">
        <w:rPr>
          <w:rFonts w:ascii="Times New Roman" w:hAnsi="Times New Roman" w:cs="Times New Roman"/>
        </w:rPr>
        <w:t xml:space="preserve"> un prognozes laika periodam no 20</w:t>
      </w:r>
      <w:r w:rsidR="00A74511" w:rsidRPr="006C1231">
        <w:rPr>
          <w:rFonts w:ascii="Times New Roman" w:hAnsi="Times New Roman" w:cs="Times New Roman"/>
        </w:rPr>
        <w:t>20</w:t>
      </w:r>
      <w:r w:rsidRPr="006C1231">
        <w:rPr>
          <w:rFonts w:ascii="Times New Roman" w:hAnsi="Times New Roman" w:cs="Times New Roman"/>
        </w:rPr>
        <w:t>. līdz 202</w:t>
      </w:r>
      <w:r w:rsidR="00A74511" w:rsidRPr="006C1231">
        <w:rPr>
          <w:rFonts w:ascii="Times New Roman" w:hAnsi="Times New Roman" w:cs="Times New Roman"/>
        </w:rPr>
        <w:t>4</w:t>
      </w:r>
      <w:r w:rsidRPr="006C1231">
        <w:rPr>
          <w:rFonts w:ascii="Times New Roman" w:hAnsi="Times New Roman" w:cs="Times New Roman"/>
        </w:rPr>
        <w:t xml:space="preserve">. gadam gan par kopējo būvniecības apjomu un izmaksām, gan par būvniecības nozares </w:t>
      </w:r>
      <w:proofErr w:type="spellStart"/>
      <w:r w:rsidRPr="006C1231">
        <w:rPr>
          <w:rFonts w:ascii="Times New Roman" w:hAnsi="Times New Roman" w:cs="Times New Roman"/>
        </w:rPr>
        <w:t>apakšnozarēm</w:t>
      </w:r>
      <w:proofErr w:type="spellEnd"/>
      <w:r w:rsidR="002908F6" w:rsidRPr="006C1231">
        <w:rPr>
          <w:rFonts w:ascii="Times New Roman" w:hAnsi="Times New Roman" w:cs="Times New Roman"/>
        </w:rPr>
        <w:t xml:space="preserve">. </w:t>
      </w:r>
    </w:p>
    <w:p w14:paraId="29B265A2" w14:textId="03A69492" w:rsidR="009A4DA9" w:rsidRPr="006C1231" w:rsidRDefault="009A4DA9" w:rsidP="009A4DA9">
      <w:pPr>
        <w:pStyle w:val="Default"/>
        <w:spacing w:line="360" w:lineRule="auto"/>
        <w:ind w:firstLine="720"/>
        <w:jc w:val="both"/>
        <w:rPr>
          <w:rFonts w:ascii="Times New Roman" w:hAnsi="Times New Roman" w:cs="Times New Roman"/>
        </w:rPr>
      </w:pPr>
      <w:r w:rsidRPr="006C1231">
        <w:rPr>
          <w:rFonts w:ascii="Times New Roman" w:hAnsi="Times New Roman" w:cs="Times New Roman"/>
        </w:rPr>
        <w:t xml:space="preserve">Pētījuma gaitā tika veikta darbaspēka un būvmateriālu izmaksas ietekmējošo faktoru novērtējums un analīze, tai skaitā novērtējot gan tieši, gan netieši ietekmējošo rādītāju īpatsvarus, </w:t>
      </w:r>
      <w:r w:rsidR="00D45CD6" w:rsidRPr="006C1231">
        <w:rPr>
          <w:rFonts w:ascii="Times New Roman" w:hAnsi="Times New Roman" w:cs="Times New Roman"/>
        </w:rPr>
        <w:t xml:space="preserve">tai skaitā </w:t>
      </w:r>
      <w:r w:rsidRPr="006C1231">
        <w:rPr>
          <w:rFonts w:ascii="Times New Roman" w:hAnsi="Times New Roman" w:cs="Times New Roman"/>
        </w:rPr>
        <w:t>ēnu ekonomikas apkarošanas pasākumus, kreditēšanu, finansējuma un darbaspēka pieejamību</w:t>
      </w:r>
      <w:r w:rsidR="002908F6" w:rsidRPr="006C1231">
        <w:rPr>
          <w:rFonts w:ascii="Times New Roman" w:hAnsi="Times New Roman" w:cs="Times New Roman"/>
        </w:rPr>
        <w:t>, kā arī COVID – 19</w:t>
      </w:r>
      <w:r w:rsidR="00C41FA4" w:rsidRPr="006C1231">
        <w:rPr>
          <w:rFonts w:ascii="Times New Roman" w:hAnsi="Times New Roman" w:cs="Times New Roman"/>
        </w:rPr>
        <w:t xml:space="preserve"> pandēmijas</w:t>
      </w:r>
      <w:r w:rsidR="002908F6" w:rsidRPr="006C1231">
        <w:rPr>
          <w:rFonts w:ascii="Times New Roman" w:hAnsi="Times New Roman" w:cs="Times New Roman"/>
        </w:rPr>
        <w:t xml:space="preserve"> ietekm</w:t>
      </w:r>
      <w:r w:rsidR="00D45CD6" w:rsidRPr="006C1231">
        <w:rPr>
          <w:rFonts w:ascii="Times New Roman" w:hAnsi="Times New Roman" w:cs="Times New Roman"/>
        </w:rPr>
        <w:t>i</w:t>
      </w:r>
      <w:r w:rsidRPr="006C1231">
        <w:rPr>
          <w:rFonts w:ascii="Times New Roman" w:hAnsi="Times New Roman" w:cs="Times New Roman"/>
        </w:rPr>
        <w:t>. Pētījuma izstrādē tika vērtēta arī ārējo faktoru ietekme</w:t>
      </w:r>
      <w:r w:rsidR="00C41FA4" w:rsidRPr="006C1231">
        <w:rPr>
          <w:rFonts w:ascii="Times New Roman" w:hAnsi="Times New Roman" w:cs="Times New Roman"/>
        </w:rPr>
        <w:t>,</w:t>
      </w:r>
      <w:r w:rsidRPr="006C1231">
        <w:rPr>
          <w:rFonts w:ascii="Times New Roman" w:hAnsi="Times New Roman" w:cs="Times New Roman"/>
        </w:rPr>
        <w:t xml:space="preserve"> kā ES kopējais tirgus un ES pieņemtie lēmumi.</w:t>
      </w:r>
    </w:p>
    <w:p w14:paraId="60BF4987" w14:textId="77777777" w:rsidR="001206C4" w:rsidRPr="006C1231" w:rsidRDefault="009A4DA9" w:rsidP="009A4DA9">
      <w:pPr>
        <w:rPr>
          <w:rFonts w:ascii="Times New Roman" w:hAnsi="Times New Roman" w:cs="Times New Roman"/>
          <w:sz w:val="24"/>
          <w:szCs w:val="24"/>
        </w:rPr>
      </w:pPr>
      <w:r w:rsidRPr="006C1231">
        <w:rPr>
          <w:rFonts w:ascii="Times New Roman" w:hAnsi="Times New Roman" w:cs="Times New Roman"/>
          <w:sz w:val="24"/>
          <w:szCs w:val="24"/>
        </w:rPr>
        <w:t>Pētījuma datu masīvu veido statistiskie dati</w:t>
      </w:r>
      <w:r w:rsidR="001206C4" w:rsidRPr="006C1231">
        <w:rPr>
          <w:rFonts w:ascii="Times New Roman" w:hAnsi="Times New Roman" w:cs="Times New Roman"/>
          <w:sz w:val="24"/>
          <w:szCs w:val="24"/>
        </w:rPr>
        <w:t xml:space="preserve"> un e</w:t>
      </w:r>
      <w:r w:rsidRPr="006C1231">
        <w:rPr>
          <w:rFonts w:ascii="Times New Roman" w:hAnsi="Times New Roman" w:cs="Times New Roman"/>
          <w:sz w:val="24"/>
          <w:szCs w:val="24"/>
        </w:rPr>
        <w:t>kspertu interviju ietvaros tika identificēti būvniecības izmaksu izmaiņas ietekmējošie faktori</w:t>
      </w:r>
      <w:r w:rsidR="001206C4" w:rsidRPr="006C1231">
        <w:rPr>
          <w:rFonts w:ascii="Times New Roman" w:hAnsi="Times New Roman" w:cs="Times New Roman"/>
          <w:sz w:val="24"/>
          <w:szCs w:val="24"/>
        </w:rPr>
        <w:t xml:space="preserve"> un  </w:t>
      </w:r>
      <w:r w:rsidRPr="006C1231">
        <w:rPr>
          <w:rFonts w:ascii="Times New Roman" w:hAnsi="Times New Roman" w:cs="Times New Roman"/>
          <w:sz w:val="24"/>
          <w:szCs w:val="24"/>
        </w:rPr>
        <w:t>ietekmes līmenis</w:t>
      </w:r>
      <w:r w:rsidR="001206C4" w:rsidRPr="006C1231">
        <w:rPr>
          <w:rFonts w:ascii="Times New Roman" w:hAnsi="Times New Roman" w:cs="Times New Roman"/>
          <w:sz w:val="24"/>
          <w:szCs w:val="24"/>
        </w:rPr>
        <w:t>.</w:t>
      </w:r>
    </w:p>
    <w:p w14:paraId="45C3D8C6" w14:textId="77777777" w:rsidR="000450FC" w:rsidRDefault="000450FC" w:rsidP="009A4DA9">
      <w:pPr>
        <w:pStyle w:val="Default"/>
        <w:spacing w:line="360" w:lineRule="auto"/>
        <w:rPr>
          <w:rFonts w:ascii="Times New Roman" w:hAnsi="Times New Roman" w:cs="Times New Roman"/>
          <w:sz w:val="22"/>
          <w:szCs w:val="22"/>
        </w:rPr>
      </w:pPr>
    </w:p>
    <w:p w14:paraId="20F6FAE1" w14:textId="677D8471" w:rsidR="00E51849" w:rsidRDefault="00E51849" w:rsidP="00E51849">
      <w:pPr>
        <w:pStyle w:val="Heading2"/>
        <w:numPr>
          <w:ilvl w:val="1"/>
          <w:numId w:val="1"/>
        </w:numPr>
      </w:pPr>
      <w:bookmarkStart w:id="7" w:name="_Toc54287912"/>
      <w:r>
        <w:t>Veiktā pētījuma galvenie</w:t>
      </w:r>
      <w:r w:rsidR="002F65DC">
        <w:t xml:space="preserve"> </w:t>
      </w:r>
      <w:r>
        <w:t>secinājumi.</w:t>
      </w:r>
      <w:bookmarkEnd w:id="7"/>
    </w:p>
    <w:p w14:paraId="0078AE3E" w14:textId="5D06C8D2" w:rsidR="009A4DA9" w:rsidRDefault="009A4DA9" w:rsidP="00E51849">
      <w:pPr>
        <w:pStyle w:val="Default"/>
        <w:shd w:val="clear" w:color="auto" w:fill="FFFFFF" w:themeFill="background1"/>
        <w:spacing w:line="360" w:lineRule="auto"/>
        <w:ind w:left="284"/>
        <w:rPr>
          <w:rFonts w:ascii="Times New Roman" w:hAnsi="Times New Roman" w:cs="Times New Roman"/>
          <w:b/>
          <w:sz w:val="22"/>
          <w:szCs w:val="22"/>
        </w:rPr>
      </w:pPr>
    </w:p>
    <w:p w14:paraId="0CB7047E" w14:textId="289E4A81" w:rsidR="00930A93" w:rsidRPr="00A57667" w:rsidRDefault="001D26CA" w:rsidP="00CD0762">
      <w:pPr>
        <w:pStyle w:val="Default"/>
        <w:numPr>
          <w:ilvl w:val="0"/>
          <w:numId w:val="6"/>
        </w:numPr>
        <w:shd w:val="clear" w:color="auto" w:fill="FFFFFF" w:themeFill="background1"/>
        <w:spacing w:after="131" w:line="360" w:lineRule="auto"/>
        <w:ind w:left="0" w:firstLine="567"/>
        <w:jc w:val="both"/>
        <w:rPr>
          <w:rFonts w:ascii="Times New Roman" w:hAnsi="Times New Roman" w:cs="Times New Roman"/>
        </w:rPr>
      </w:pPr>
      <w:r w:rsidRPr="00A57667">
        <w:rPr>
          <w:rFonts w:ascii="Times New Roman" w:hAnsi="Times New Roman" w:cs="Times New Roman"/>
          <w:b/>
          <w:bCs/>
        </w:rPr>
        <w:t>Eksperti paredz ļoti niecīgu būvniecības produkcijas apjoma pieaugumu 2020. gadā, bet jau sākot ar nākamo gadu nozares pamazām varētu atgūties</w:t>
      </w:r>
      <w:r w:rsidR="00153C84" w:rsidRPr="00A57667">
        <w:rPr>
          <w:rFonts w:ascii="Times New Roman" w:hAnsi="Times New Roman" w:cs="Times New Roman"/>
          <w:b/>
          <w:bCs/>
        </w:rPr>
        <w:t>,</w:t>
      </w:r>
      <w:r w:rsidRPr="00A57667">
        <w:rPr>
          <w:rFonts w:ascii="Times New Roman" w:hAnsi="Times New Roman" w:cs="Times New Roman"/>
          <w:b/>
          <w:bCs/>
        </w:rPr>
        <w:t xml:space="preserve"> </w:t>
      </w:r>
      <w:r w:rsidR="0046649E" w:rsidRPr="00A57667">
        <w:rPr>
          <w:rFonts w:ascii="Times New Roman" w:hAnsi="Times New Roman" w:cs="Times New Roman"/>
          <w:b/>
          <w:bCs/>
        </w:rPr>
        <w:t>katru gadu audzējot pieaugumu par dažiem procentpunktiem un sasniedzot 4,26% izaugsmi 2022. gadā un 6,05% izaugsmi 2024. gadā.</w:t>
      </w:r>
      <w:r w:rsidR="0046649E" w:rsidRPr="00A57667">
        <w:rPr>
          <w:rFonts w:ascii="Times New Roman" w:hAnsi="Times New Roman" w:cs="Times New Roman"/>
        </w:rPr>
        <w:t xml:space="preserve"> </w:t>
      </w:r>
      <w:r w:rsidR="00F51A8C" w:rsidRPr="00A57667">
        <w:rPr>
          <w:rFonts w:ascii="Times New Roman" w:hAnsi="Times New Roman" w:cs="Times New Roman"/>
        </w:rPr>
        <w:t xml:space="preserve">Būvniecības produkcijas apjoms straujāk varētu atgūties dzelzceļu, tiltu un tuneļu būvniecības </w:t>
      </w:r>
      <w:proofErr w:type="spellStart"/>
      <w:r w:rsidR="00F51A8C" w:rsidRPr="00A57667">
        <w:rPr>
          <w:rFonts w:ascii="Times New Roman" w:hAnsi="Times New Roman" w:cs="Times New Roman"/>
        </w:rPr>
        <w:t>apakšnozarēs</w:t>
      </w:r>
      <w:proofErr w:type="spellEnd"/>
      <w:r w:rsidR="00637E7D" w:rsidRPr="00A57667">
        <w:rPr>
          <w:rFonts w:ascii="Times New Roman" w:hAnsi="Times New Roman" w:cs="Times New Roman"/>
        </w:rPr>
        <w:t xml:space="preserve">. Turpretim dzīvojamo un nedzīvojamo ēku un pārējās </w:t>
      </w:r>
      <w:proofErr w:type="spellStart"/>
      <w:r w:rsidR="00637E7D" w:rsidRPr="00A57667">
        <w:rPr>
          <w:rFonts w:ascii="Times New Roman" w:hAnsi="Times New Roman" w:cs="Times New Roman"/>
        </w:rPr>
        <w:t>inženierbūvniecības</w:t>
      </w:r>
      <w:proofErr w:type="spellEnd"/>
      <w:r w:rsidR="00637E7D" w:rsidRPr="00A57667">
        <w:rPr>
          <w:rFonts w:ascii="Times New Roman" w:hAnsi="Times New Roman" w:cs="Times New Roman"/>
        </w:rPr>
        <w:t xml:space="preserve"> </w:t>
      </w:r>
      <w:proofErr w:type="spellStart"/>
      <w:r w:rsidR="00637E7D" w:rsidRPr="00A57667">
        <w:rPr>
          <w:rFonts w:ascii="Times New Roman" w:hAnsi="Times New Roman" w:cs="Times New Roman"/>
        </w:rPr>
        <w:t>apakšnozarēs</w:t>
      </w:r>
      <w:proofErr w:type="spellEnd"/>
      <w:r w:rsidR="00637E7D" w:rsidRPr="00A57667">
        <w:rPr>
          <w:rFonts w:ascii="Times New Roman" w:hAnsi="Times New Roman" w:cs="Times New Roman"/>
        </w:rPr>
        <w:t xml:space="preserve"> 2020. un 2021. gadā varētu turpināt</w:t>
      </w:r>
      <w:r w:rsidR="00153C84" w:rsidRPr="00A57667">
        <w:rPr>
          <w:rFonts w:ascii="Times New Roman" w:hAnsi="Times New Roman" w:cs="Times New Roman"/>
        </w:rPr>
        <w:t>ies</w:t>
      </w:r>
      <w:r w:rsidR="00637E7D" w:rsidRPr="00A57667">
        <w:rPr>
          <w:rFonts w:ascii="Times New Roman" w:hAnsi="Times New Roman" w:cs="Times New Roman"/>
        </w:rPr>
        <w:t xml:space="preserve"> lejupslīde</w:t>
      </w:r>
      <w:r w:rsidR="00C70934" w:rsidRPr="00A57667">
        <w:rPr>
          <w:rFonts w:ascii="Times New Roman" w:hAnsi="Times New Roman" w:cs="Times New Roman"/>
        </w:rPr>
        <w:t xml:space="preserve"> -</w:t>
      </w:r>
      <w:r w:rsidR="00637E7D" w:rsidRPr="00A57667">
        <w:rPr>
          <w:rFonts w:ascii="Times New Roman" w:hAnsi="Times New Roman" w:cs="Times New Roman"/>
        </w:rPr>
        <w:t xml:space="preserve"> </w:t>
      </w:r>
      <w:r w:rsidR="00C70934" w:rsidRPr="00A57667">
        <w:rPr>
          <w:rFonts w:ascii="Times New Roman" w:hAnsi="Times New Roman" w:cs="Times New Roman"/>
        </w:rPr>
        <w:t>ē</w:t>
      </w:r>
      <w:r w:rsidR="002064A3" w:rsidRPr="00A57667">
        <w:rPr>
          <w:rFonts w:ascii="Times New Roman" w:hAnsi="Times New Roman" w:cs="Times New Roman"/>
        </w:rPr>
        <w:t>ku būvniecībā dažu procentu robežās gadā</w:t>
      </w:r>
      <w:r w:rsidR="00C70934" w:rsidRPr="00A57667">
        <w:rPr>
          <w:rFonts w:ascii="Times New Roman" w:hAnsi="Times New Roman" w:cs="Times New Roman"/>
        </w:rPr>
        <w:t>,</w:t>
      </w:r>
      <w:r w:rsidR="002064A3" w:rsidRPr="00A57667">
        <w:rPr>
          <w:rFonts w:ascii="Times New Roman" w:hAnsi="Times New Roman" w:cs="Times New Roman"/>
        </w:rPr>
        <w:t xml:space="preserve"> bet pārējās </w:t>
      </w:r>
      <w:proofErr w:type="spellStart"/>
      <w:r w:rsidR="002064A3" w:rsidRPr="00A57667">
        <w:rPr>
          <w:rFonts w:ascii="Times New Roman" w:hAnsi="Times New Roman" w:cs="Times New Roman"/>
        </w:rPr>
        <w:t>inženierbūvniecības</w:t>
      </w:r>
      <w:proofErr w:type="spellEnd"/>
      <w:r w:rsidR="002064A3" w:rsidRPr="00A57667">
        <w:rPr>
          <w:rFonts w:ascii="Times New Roman" w:hAnsi="Times New Roman" w:cs="Times New Roman"/>
        </w:rPr>
        <w:t xml:space="preserve"> </w:t>
      </w:r>
      <w:proofErr w:type="spellStart"/>
      <w:r w:rsidR="002064A3" w:rsidRPr="00A57667">
        <w:rPr>
          <w:rFonts w:ascii="Times New Roman" w:hAnsi="Times New Roman" w:cs="Times New Roman"/>
        </w:rPr>
        <w:t>apakšnozar</w:t>
      </w:r>
      <w:r w:rsidR="00CF7A1A" w:rsidRPr="00A57667">
        <w:rPr>
          <w:rFonts w:ascii="Times New Roman" w:hAnsi="Times New Roman" w:cs="Times New Roman"/>
        </w:rPr>
        <w:t>ē</w:t>
      </w:r>
      <w:proofErr w:type="spellEnd"/>
      <w:r w:rsidR="002064A3" w:rsidRPr="00A57667">
        <w:rPr>
          <w:rFonts w:ascii="Times New Roman" w:hAnsi="Times New Roman" w:cs="Times New Roman"/>
        </w:rPr>
        <w:t xml:space="preserve"> arī par 11,10% 2020. gadā.</w:t>
      </w:r>
    </w:p>
    <w:p w14:paraId="6A400496" w14:textId="785CB152" w:rsidR="002064A3" w:rsidRPr="00A57667" w:rsidRDefault="00934279" w:rsidP="00CD0762">
      <w:pPr>
        <w:pStyle w:val="Default"/>
        <w:numPr>
          <w:ilvl w:val="0"/>
          <w:numId w:val="6"/>
        </w:numPr>
        <w:shd w:val="clear" w:color="auto" w:fill="FFFFFF" w:themeFill="background1"/>
        <w:spacing w:after="131" w:line="360" w:lineRule="auto"/>
        <w:ind w:left="0" w:firstLine="567"/>
        <w:jc w:val="both"/>
        <w:rPr>
          <w:rFonts w:ascii="Times New Roman" w:hAnsi="Times New Roman" w:cs="Times New Roman"/>
        </w:rPr>
      </w:pPr>
      <w:r w:rsidRPr="00A57667">
        <w:rPr>
          <w:rFonts w:ascii="Times New Roman" w:hAnsi="Times New Roman" w:cs="Times New Roman"/>
          <w:b/>
          <w:bCs/>
        </w:rPr>
        <w:lastRenderedPageBreak/>
        <w:t>Visā laika periodā no 2020. līdz 2024. gadam gan ekspertu, gan kombinētās prognozes kopā paredz būvniecības izmaksu tālāku pieaugumu</w:t>
      </w:r>
      <w:r w:rsidR="001E1BCC" w:rsidRPr="00A57667">
        <w:rPr>
          <w:rFonts w:ascii="Times New Roman" w:hAnsi="Times New Roman" w:cs="Times New Roman"/>
          <w:b/>
          <w:bCs/>
        </w:rPr>
        <w:t>.</w:t>
      </w:r>
      <w:r w:rsidR="001E1BCC" w:rsidRPr="00A57667">
        <w:rPr>
          <w:rFonts w:ascii="Times New Roman" w:hAnsi="Times New Roman" w:cs="Times New Roman"/>
        </w:rPr>
        <w:t xml:space="preserve"> Laika periodā no 2020. līdz 2022. gadam šis pieaugums būtu mērāms 1-5% apjomā gadā, bet 2024. gadā varētu sasniegt 6% līmeni.</w:t>
      </w:r>
    </w:p>
    <w:p w14:paraId="308F4959" w14:textId="03497E60" w:rsidR="00620EE9" w:rsidRPr="00A57667" w:rsidRDefault="00620EE9" w:rsidP="00CD0762">
      <w:pPr>
        <w:pStyle w:val="Default"/>
        <w:shd w:val="clear" w:color="auto" w:fill="FFFFFF" w:themeFill="background1"/>
        <w:spacing w:after="131" w:line="360" w:lineRule="auto"/>
        <w:ind w:firstLine="567"/>
        <w:jc w:val="both"/>
        <w:rPr>
          <w:rFonts w:ascii="Times New Roman" w:hAnsi="Times New Roman" w:cs="Times New Roman"/>
          <w:b/>
          <w:bCs/>
        </w:rPr>
      </w:pPr>
      <w:r w:rsidRPr="00A57667">
        <w:rPr>
          <w:rFonts w:ascii="Times New Roman" w:hAnsi="Times New Roman" w:cs="Times New Roman"/>
          <w:b/>
          <w:bCs/>
        </w:rPr>
        <w:t>Būtiskākais izmaksu pieaugums tiek prognozēts strādnieku samaksai</w:t>
      </w:r>
      <w:r w:rsidR="000E7A3D" w:rsidRPr="00A57667">
        <w:rPr>
          <w:rFonts w:ascii="Times New Roman" w:hAnsi="Times New Roman" w:cs="Times New Roman"/>
          <w:b/>
          <w:bCs/>
        </w:rPr>
        <w:t xml:space="preserve">, kur kombinētā prognoze no 2020. līdz 2024. gadam pieaug vispārīgi no 8% līdz 10% procentiem gadā. </w:t>
      </w:r>
    </w:p>
    <w:p w14:paraId="3581C98B" w14:textId="7F124465" w:rsidR="00774E56" w:rsidRPr="00A57667" w:rsidRDefault="00774E56" w:rsidP="00CD0762">
      <w:pPr>
        <w:pStyle w:val="Default"/>
        <w:shd w:val="clear" w:color="auto" w:fill="FFFFFF" w:themeFill="background1"/>
        <w:spacing w:after="131" w:line="360" w:lineRule="auto"/>
        <w:ind w:firstLine="567"/>
        <w:jc w:val="both"/>
        <w:rPr>
          <w:rFonts w:ascii="Times New Roman" w:hAnsi="Times New Roman" w:cs="Times New Roman"/>
          <w:b/>
          <w:bCs/>
        </w:rPr>
      </w:pPr>
      <w:proofErr w:type="spellStart"/>
      <w:r w:rsidRPr="00A57667">
        <w:rPr>
          <w:rFonts w:ascii="Times New Roman" w:hAnsi="Times New Roman" w:cs="Times New Roman"/>
        </w:rPr>
        <w:t>Apakšnozaru</w:t>
      </w:r>
      <w:proofErr w:type="spellEnd"/>
      <w:r w:rsidRPr="00A57667">
        <w:rPr>
          <w:rFonts w:ascii="Times New Roman" w:hAnsi="Times New Roman" w:cs="Times New Roman"/>
        </w:rPr>
        <w:t xml:space="preserve"> griezumā 2020. gadā būvniecības izmaksu samazinājums tiek prognozēts dzīvojamo un nedzīvojamo ēku būvniecībā</w:t>
      </w:r>
      <w:r w:rsidR="009321CA" w:rsidRPr="00A57667">
        <w:rPr>
          <w:rFonts w:ascii="Times New Roman" w:hAnsi="Times New Roman" w:cs="Times New Roman"/>
        </w:rPr>
        <w:t>,</w:t>
      </w:r>
      <w:r w:rsidRPr="00A57667">
        <w:rPr>
          <w:rFonts w:ascii="Times New Roman" w:hAnsi="Times New Roman" w:cs="Times New Roman"/>
        </w:rPr>
        <w:t xml:space="preserve"> kā arī ceļu un maģistrāļu būvniecībā. Savukārt straujākais pieaugums tiek prognozēts tiltu un tuneļu būvniecībā</w:t>
      </w:r>
      <w:r w:rsidRPr="00A57667">
        <w:rPr>
          <w:rFonts w:ascii="Times New Roman" w:hAnsi="Times New Roman" w:cs="Times New Roman"/>
          <w:b/>
          <w:bCs/>
        </w:rPr>
        <w:t xml:space="preserve">. </w:t>
      </w:r>
      <w:r w:rsidR="006516F2" w:rsidRPr="00A57667">
        <w:rPr>
          <w:rFonts w:ascii="Times New Roman" w:hAnsi="Times New Roman" w:cs="Times New Roman"/>
          <w:b/>
          <w:bCs/>
        </w:rPr>
        <w:t xml:space="preserve">Jau no 2022. gada tiek prognozēts izmaksu pieaugums visās </w:t>
      </w:r>
      <w:proofErr w:type="spellStart"/>
      <w:r w:rsidR="006516F2" w:rsidRPr="00A57667">
        <w:rPr>
          <w:rFonts w:ascii="Times New Roman" w:hAnsi="Times New Roman" w:cs="Times New Roman"/>
          <w:b/>
          <w:bCs/>
        </w:rPr>
        <w:t>apakšnozarēs</w:t>
      </w:r>
      <w:proofErr w:type="spellEnd"/>
      <w:r w:rsidR="009321CA" w:rsidRPr="00A57667">
        <w:rPr>
          <w:rFonts w:ascii="Times New Roman" w:hAnsi="Times New Roman" w:cs="Times New Roman"/>
          <w:b/>
          <w:bCs/>
        </w:rPr>
        <w:t>,</w:t>
      </w:r>
      <w:r w:rsidR="006516F2" w:rsidRPr="00A57667">
        <w:rPr>
          <w:rFonts w:ascii="Times New Roman" w:hAnsi="Times New Roman" w:cs="Times New Roman"/>
          <w:b/>
          <w:bCs/>
        </w:rPr>
        <w:t xml:space="preserve"> līderos izvirzoties </w:t>
      </w:r>
      <w:r w:rsidR="00697666" w:rsidRPr="00A57667">
        <w:rPr>
          <w:rFonts w:ascii="Times New Roman" w:hAnsi="Times New Roman" w:cs="Times New Roman"/>
          <w:b/>
          <w:bCs/>
        </w:rPr>
        <w:t>dzelzceļu</w:t>
      </w:r>
      <w:r w:rsidR="006516F2" w:rsidRPr="00A57667">
        <w:rPr>
          <w:rFonts w:ascii="Times New Roman" w:hAnsi="Times New Roman" w:cs="Times New Roman"/>
          <w:b/>
          <w:bCs/>
        </w:rPr>
        <w:t>, tiltu un tuneļu būvniecībai ar izmaksu pieaugumu 5-7% robežās gadā.</w:t>
      </w:r>
    </w:p>
    <w:p w14:paraId="5F488AC0" w14:textId="77777777" w:rsidR="003C1627" w:rsidRPr="00A57667" w:rsidRDefault="003C1627" w:rsidP="00CD0762">
      <w:pPr>
        <w:pStyle w:val="Default"/>
        <w:numPr>
          <w:ilvl w:val="0"/>
          <w:numId w:val="6"/>
        </w:numPr>
        <w:shd w:val="clear" w:color="auto" w:fill="FFFFFF" w:themeFill="background1"/>
        <w:spacing w:after="131" w:line="360" w:lineRule="auto"/>
        <w:ind w:left="0" w:firstLine="567"/>
        <w:jc w:val="both"/>
        <w:rPr>
          <w:rFonts w:ascii="Times New Roman" w:hAnsi="Times New Roman" w:cs="Times New Roman"/>
          <w:b/>
        </w:rPr>
      </w:pPr>
      <w:r w:rsidRPr="00A57667">
        <w:rPr>
          <w:rFonts w:ascii="Times New Roman" w:hAnsi="Times New Roman" w:cs="Times New Roman"/>
          <w:b/>
          <w:bCs/>
        </w:rPr>
        <w:t xml:space="preserve">Aplūkotajā periodā visu </w:t>
      </w:r>
      <w:proofErr w:type="spellStart"/>
      <w:r w:rsidRPr="00A57667">
        <w:rPr>
          <w:rFonts w:ascii="Times New Roman" w:hAnsi="Times New Roman" w:cs="Times New Roman"/>
          <w:b/>
          <w:bCs/>
        </w:rPr>
        <w:t>apakšnozaru</w:t>
      </w:r>
      <w:proofErr w:type="spellEnd"/>
      <w:r w:rsidRPr="00A57667">
        <w:rPr>
          <w:rFonts w:ascii="Times New Roman" w:hAnsi="Times New Roman" w:cs="Times New Roman"/>
          <w:b/>
          <w:bCs/>
        </w:rPr>
        <w:t xml:space="preserve"> vērtējumā, pie jebkāda būvniecības apjoma izmaiņu scenārija, uzņēmēji sagaida pozitīvu peļņas normu.</w:t>
      </w:r>
      <w:r w:rsidRPr="00A57667">
        <w:rPr>
          <w:rFonts w:ascii="Times New Roman" w:hAnsi="Times New Roman" w:cs="Times New Roman"/>
        </w:rPr>
        <w:t xml:space="preserve"> Tirgus lejupslīdes stadijā ar zemāko peļņas normu var samierināties pilsētas infrastruktūras objektu būvniecības </w:t>
      </w:r>
      <w:proofErr w:type="spellStart"/>
      <w:r w:rsidRPr="00A57667">
        <w:rPr>
          <w:rFonts w:ascii="Times New Roman" w:hAnsi="Times New Roman" w:cs="Times New Roman"/>
        </w:rPr>
        <w:t>apakšnozare</w:t>
      </w:r>
      <w:proofErr w:type="spellEnd"/>
      <w:r w:rsidRPr="00A57667">
        <w:rPr>
          <w:rFonts w:ascii="Times New Roman" w:hAnsi="Times New Roman" w:cs="Times New Roman"/>
        </w:rPr>
        <w:t xml:space="preserve">, savukārt, augšupejas stadijā zemāko peļņas normu novērtē transporta objektu būvniecības </w:t>
      </w:r>
      <w:proofErr w:type="spellStart"/>
      <w:r w:rsidRPr="00A57667">
        <w:rPr>
          <w:rFonts w:ascii="Times New Roman" w:hAnsi="Times New Roman" w:cs="Times New Roman"/>
        </w:rPr>
        <w:t>apakšnozarei</w:t>
      </w:r>
      <w:proofErr w:type="spellEnd"/>
      <w:r w:rsidRPr="00A57667">
        <w:rPr>
          <w:rFonts w:ascii="Times New Roman" w:hAnsi="Times New Roman" w:cs="Times New Roman"/>
        </w:rPr>
        <w:t xml:space="preserve">. Visos scenārijos ar augstāko vēlamo peļņas normu izceļas pārējās </w:t>
      </w:r>
      <w:proofErr w:type="spellStart"/>
      <w:r w:rsidRPr="00A57667">
        <w:rPr>
          <w:rFonts w:ascii="Times New Roman" w:hAnsi="Times New Roman" w:cs="Times New Roman"/>
        </w:rPr>
        <w:t>inženierbūvniecības</w:t>
      </w:r>
      <w:proofErr w:type="spellEnd"/>
      <w:r w:rsidRPr="00A57667">
        <w:rPr>
          <w:rFonts w:ascii="Times New Roman" w:hAnsi="Times New Roman" w:cs="Times New Roman"/>
        </w:rPr>
        <w:t xml:space="preserve"> </w:t>
      </w:r>
      <w:proofErr w:type="spellStart"/>
      <w:r w:rsidRPr="00A57667">
        <w:rPr>
          <w:rFonts w:ascii="Times New Roman" w:hAnsi="Times New Roman" w:cs="Times New Roman"/>
        </w:rPr>
        <w:t>apakšnozare</w:t>
      </w:r>
      <w:proofErr w:type="spellEnd"/>
      <w:r w:rsidRPr="00A57667">
        <w:rPr>
          <w:rFonts w:ascii="Times New Roman" w:hAnsi="Times New Roman" w:cs="Times New Roman"/>
        </w:rPr>
        <w:t xml:space="preserve">. </w:t>
      </w:r>
    </w:p>
    <w:p w14:paraId="7AD6E5BA" w14:textId="290DF253" w:rsidR="003C1627" w:rsidRPr="00A57667" w:rsidRDefault="003C1627" w:rsidP="00E51849">
      <w:pPr>
        <w:pStyle w:val="Default"/>
        <w:shd w:val="clear" w:color="auto" w:fill="FFFFFF" w:themeFill="background1"/>
        <w:spacing w:after="131" w:line="360" w:lineRule="auto"/>
        <w:ind w:left="720"/>
        <w:jc w:val="both"/>
        <w:rPr>
          <w:rFonts w:ascii="Times New Roman" w:hAnsi="Times New Roman" w:cs="Times New Roman"/>
          <w:b/>
          <w:bCs/>
          <w:color w:val="2E74B5" w:themeColor="accent5" w:themeShade="BF"/>
        </w:rPr>
      </w:pPr>
      <w:r w:rsidRPr="00A57667">
        <w:rPr>
          <w:rFonts w:ascii="Times New Roman" w:hAnsi="Times New Roman" w:cs="Times New Roman"/>
          <w:b/>
          <w:bCs/>
          <w:color w:val="2E74B5" w:themeColor="accent5" w:themeShade="BF"/>
        </w:rPr>
        <w:t xml:space="preserve">Valdības veikto pasākumu </w:t>
      </w:r>
      <w:r w:rsidR="00624DEB" w:rsidRPr="00A57667">
        <w:rPr>
          <w:rFonts w:ascii="Times New Roman" w:hAnsi="Times New Roman" w:cs="Times New Roman"/>
          <w:b/>
          <w:bCs/>
          <w:color w:val="2E74B5" w:themeColor="accent5" w:themeShade="BF"/>
        </w:rPr>
        <w:t xml:space="preserve"> un </w:t>
      </w:r>
      <w:r w:rsidR="00C67CB0" w:rsidRPr="00A57667">
        <w:rPr>
          <w:rFonts w:ascii="Times New Roman" w:hAnsi="Times New Roman" w:cs="Times New Roman"/>
          <w:b/>
          <w:bCs/>
          <w:color w:val="2E74B5" w:themeColor="accent5" w:themeShade="BF"/>
        </w:rPr>
        <w:t xml:space="preserve">COVID-19 </w:t>
      </w:r>
      <w:r w:rsidRPr="00A57667">
        <w:rPr>
          <w:rFonts w:ascii="Times New Roman" w:hAnsi="Times New Roman" w:cs="Times New Roman"/>
          <w:b/>
          <w:bCs/>
          <w:color w:val="2E74B5" w:themeColor="accent5" w:themeShade="BF"/>
        </w:rPr>
        <w:t>ietekmes vērtējum</w:t>
      </w:r>
    </w:p>
    <w:p w14:paraId="44132355" w14:textId="6505F849" w:rsidR="008D1BFF" w:rsidRPr="008D1BFF" w:rsidRDefault="006516F2" w:rsidP="00CD0762">
      <w:pPr>
        <w:pStyle w:val="Default"/>
        <w:numPr>
          <w:ilvl w:val="0"/>
          <w:numId w:val="6"/>
        </w:numPr>
        <w:shd w:val="clear" w:color="auto" w:fill="FFFFFF" w:themeFill="background1"/>
        <w:spacing w:after="131" w:line="360" w:lineRule="auto"/>
        <w:ind w:left="0" w:firstLine="567"/>
        <w:jc w:val="both"/>
        <w:rPr>
          <w:rFonts w:ascii="Times New Roman" w:hAnsi="Times New Roman" w:cs="Times New Roman"/>
        </w:rPr>
      </w:pPr>
      <w:r w:rsidRPr="00A57667">
        <w:rPr>
          <w:rFonts w:ascii="Times New Roman" w:hAnsi="Times New Roman" w:cs="Times New Roman"/>
          <w:b/>
          <w:bCs/>
        </w:rPr>
        <w:t xml:space="preserve">Uz </w:t>
      </w:r>
      <w:r w:rsidR="00697666" w:rsidRPr="00A57667">
        <w:rPr>
          <w:rFonts w:ascii="Times New Roman" w:hAnsi="Times New Roman" w:cs="Times New Roman"/>
          <w:b/>
          <w:bCs/>
        </w:rPr>
        <w:t>darbaspēka</w:t>
      </w:r>
      <w:r w:rsidRPr="00A57667">
        <w:rPr>
          <w:rFonts w:ascii="Times New Roman" w:hAnsi="Times New Roman" w:cs="Times New Roman"/>
          <w:b/>
          <w:bCs/>
        </w:rPr>
        <w:t xml:space="preserve"> izmaksām būvniecībā vislielāko ietekmi pēc ekspertu viedokļa atstās darbaspēka nodokļu likmes un būvniecības apjoms Latvijā.</w:t>
      </w:r>
      <w:r w:rsidRPr="00A57667">
        <w:rPr>
          <w:rFonts w:ascii="Times New Roman" w:hAnsi="Times New Roman" w:cs="Times New Roman"/>
        </w:rPr>
        <w:t xml:space="preserve"> Augsta nozīme tiek piešķ</w:t>
      </w:r>
      <w:r w:rsidR="00697666" w:rsidRPr="00A57667">
        <w:rPr>
          <w:rFonts w:ascii="Times New Roman" w:hAnsi="Times New Roman" w:cs="Times New Roman"/>
        </w:rPr>
        <w:t>i</w:t>
      </w:r>
      <w:r w:rsidRPr="00A57667">
        <w:rPr>
          <w:rFonts w:ascii="Times New Roman" w:hAnsi="Times New Roman" w:cs="Times New Roman"/>
        </w:rPr>
        <w:t xml:space="preserve">rta arī darbaspēka samaksas līmenim ES. </w:t>
      </w:r>
      <w:r w:rsidR="00B1617A" w:rsidRPr="00A57667">
        <w:rPr>
          <w:rFonts w:ascii="Times New Roman" w:hAnsi="Times New Roman" w:cs="Times New Roman"/>
        </w:rPr>
        <w:t xml:space="preserve">Uz būvmateriālu izmaksām lielāko ietekmi varētu atstāt būvniecības </w:t>
      </w:r>
      <w:r w:rsidR="00697666" w:rsidRPr="00A57667">
        <w:rPr>
          <w:rFonts w:ascii="Times New Roman" w:hAnsi="Times New Roman" w:cs="Times New Roman"/>
        </w:rPr>
        <w:t>apjoms</w:t>
      </w:r>
      <w:r w:rsidR="00B1617A" w:rsidRPr="00A57667">
        <w:rPr>
          <w:rFonts w:ascii="Times New Roman" w:hAnsi="Times New Roman" w:cs="Times New Roman"/>
        </w:rPr>
        <w:t xml:space="preserve"> Latvijā, ES kopējais būvniecības pieprasījums un degvielas cena Latvijā. </w:t>
      </w:r>
    </w:p>
    <w:p w14:paraId="5206381A" w14:textId="1D1AE5E8" w:rsidR="00B1617A" w:rsidRPr="00A57667" w:rsidRDefault="00B1617A" w:rsidP="00CD0762">
      <w:pPr>
        <w:pStyle w:val="Default"/>
        <w:numPr>
          <w:ilvl w:val="0"/>
          <w:numId w:val="6"/>
        </w:numPr>
        <w:shd w:val="clear" w:color="auto" w:fill="FFFFFF" w:themeFill="background1"/>
        <w:spacing w:after="131" w:line="360" w:lineRule="auto"/>
        <w:ind w:left="0" w:firstLine="567"/>
        <w:jc w:val="both"/>
        <w:rPr>
          <w:rFonts w:ascii="Times New Roman" w:hAnsi="Times New Roman" w:cs="Times New Roman"/>
        </w:rPr>
      </w:pPr>
      <w:r w:rsidRPr="00A57667">
        <w:rPr>
          <w:rFonts w:ascii="Times New Roman" w:hAnsi="Times New Roman" w:cs="Times New Roman"/>
          <w:b/>
          <w:bCs/>
        </w:rPr>
        <w:t>Kopumā eksperti nesaskata būtisku ēnu ekonomikas apkarošanas pasākumu ietekmi uz darbaspēka izmaksām, tomēr lielāka ietekme varētu būt elektroniskās darba laika uzskaites sistēma</w:t>
      </w:r>
      <w:r w:rsidR="002F371C" w:rsidRPr="00A57667">
        <w:rPr>
          <w:rFonts w:ascii="Times New Roman" w:hAnsi="Times New Roman" w:cs="Times New Roman"/>
          <w:b/>
          <w:bCs/>
        </w:rPr>
        <w:t xml:space="preserve">s ieviešanai un būvniecības </w:t>
      </w:r>
      <w:proofErr w:type="spellStart"/>
      <w:r w:rsidR="002F371C" w:rsidRPr="00A57667">
        <w:rPr>
          <w:rFonts w:ascii="Times New Roman" w:hAnsi="Times New Roman" w:cs="Times New Roman"/>
          <w:b/>
          <w:bCs/>
        </w:rPr>
        <w:t>ģenerālvienoš</w:t>
      </w:r>
      <w:r w:rsidR="00697666" w:rsidRPr="00A57667">
        <w:rPr>
          <w:rFonts w:ascii="Times New Roman" w:hAnsi="Times New Roman" w:cs="Times New Roman"/>
          <w:b/>
          <w:bCs/>
        </w:rPr>
        <w:t>a</w:t>
      </w:r>
      <w:r w:rsidR="002F371C" w:rsidRPr="00A57667">
        <w:rPr>
          <w:rFonts w:ascii="Times New Roman" w:hAnsi="Times New Roman" w:cs="Times New Roman"/>
          <w:b/>
          <w:bCs/>
        </w:rPr>
        <w:t>nās</w:t>
      </w:r>
      <w:proofErr w:type="spellEnd"/>
      <w:r w:rsidR="002F371C" w:rsidRPr="00A57667">
        <w:rPr>
          <w:rFonts w:ascii="Times New Roman" w:hAnsi="Times New Roman" w:cs="Times New Roman"/>
          <w:b/>
          <w:bCs/>
        </w:rPr>
        <w:t xml:space="preserve"> spēkā stāšanās faktam.</w:t>
      </w:r>
      <w:r w:rsidR="002F371C" w:rsidRPr="00A57667">
        <w:rPr>
          <w:rFonts w:ascii="Times New Roman" w:hAnsi="Times New Roman" w:cs="Times New Roman"/>
        </w:rPr>
        <w:t xml:space="preserve"> Ēnu ekonomikas apkarošanas pasākumi, pēc ekspertu viedokļa, atstāj niecīgu ietekmi uz būvmateriālu izmaksām. </w:t>
      </w:r>
    </w:p>
    <w:p w14:paraId="4B3A5DFD" w14:textId="7CFFBE10" w:rsidR="002F371C" w:rsidRPr="00A57667" w:rsidRDefault="00C9344B" w:rsidP="00CD0762">
      <w:pPr>
        <w:pStyle w:val="Default"/>
        <w:numPr>
          <w:ilvl w:val="0"/>
          <w:numId w:val="6"/>
        </w:numPr>
        <w:shd w:val="clear" w:color="auto" w:fill="FFFFFF" w:themeFill="background1"/>
        <w:spacing w:after="131" w:line="360" w:lineRule="auto"/>
        <w:ind w:left="0" w:firstLine="567"/>
        <w:jc w:val="both"/>
        <w:rPr>
          <w:rFonts w:ascii="Times New Roman" w:hAnsi="Times New Roman" w:cs="Times New Roman"/>
          <w:b/>
          <w:bCs/>
        </w:rPr>
      </w:pPr>
      <w:r w:rsidRPr="00A57667">
        <w:rPr>
          <w:rFonts w:ascii="Times New Roman" w:hAnsi="Times New Roman" w:cs="Times New Roman"/>
          <w:b/>
          <w:bCs/>
        </w:rPr>
        <w:t>Aptaujātie būvniecības jomas e</w:t>
      </w:r>
      <w:r w:rsidR="00A81808" w:rsidRPr="00A57667">
        <w:rPr>
          <w:rFonts w:ascii="Times New Roman" w:hAnsi="Times New Roman" w:cs="Times New Roman"/>
          <w:b/>
          <w:bCs/>
        </w:rPr>
        <w:t xml:space="preserve">ksperti kopumā zemu novērtē COVID-19 pandēmijas ietekmi uz būvniecības izmaksām. Tomēr nedaudz lielāka ietekme tiek </w:t>
      </w:r>
      <w:r w:rsidR="00A81808" w:rsidRPr="00A57667">
        <w:rPr>
          <w:rFonts w:ascii="Times New Roman" w:hAnsi="Times New Roman" w:cs="Times New Roman"/>
          <w:b/>
          <w:bCs/>
        </w:rPr>
        <w:lastRenderedPageBreak/>
        <w:t>piešķirta būvmateriālu izmaksām, kamēr darbaspēka samaksu</w:t>
      </w:r>
      <w:r w:rsidR="0061794C" w:rsidRPr="00A57667">
        <w:rPr>
          <w:rFonts w:ascii="Times New Roman" w:hAnsi="Times New Roman" w:cs="Times New Roman"/>
          <w:b/>
          <w:bCs/>
        </w:rPr>
        <w:t xml:space="preserve"> ekspertu vērtējumā</w:t>
      </w:r>
      <w:r w:rsidR="00A81808" w:rsidRPr="00A57667">
        <w:rPr>
          <w:rFonts w:ascii="Times New Roman" w:hAnsi="Times New Roman" w:cs="Times New Roman"/>
          <w:b/>
          <w:bCs/>
        </w:rPr>
        <w:t xml:space="preserve"> pandēmija ietekmēs niecīgi. </w:t>
      </w:r>
    </w:p>
    <w:p w14:paraId="7A2B759A" w14:textId="5A1666DE" w:rsidR="003C1627" w:rsidRPr="00A57667" w:rsidRDefault="003C1627" w:rsidP="00E51849">
      <w:pPr>
        <w:pStyle w:val="Default"/>
        <w:shd w:val="clear" w:color="auto" w:fill="FFFFFF" w:themeFill="background1"/>
        <w:spacing w:after="131" w:line="360" w:lineRule="auto"/>
        <w:ind w:left="720"/>
        <w:jc w:val="both"/>
        <w:rPr>
          <w:rFonts w:ascii="Times New Roman" w:hAnsi="Times New Roman" w:cs="Times New Roman"/>
          <w:b/>
          <w:bCs/>
          <w:color w:val="2E74B5" w:themeColor="accent5" w:themeShade="BF"/>
        </w:rPr>
      </w:pPr>
      <w:r w:rsidRPr="00A57667">
        <w:rPr>
          <w:rFonts w:ascii="Times New Roman" w:hAnsi="Times New Roman" w:cs="Times New Roman"/>
          <w:b/>
          <w:bCs/>
          <w:color w:val="2E74B5" w:themeColor="accent5" w:themeShade="BF"/>
        </w:rPr>
        <w:t>Iespējamie riski un ieteikumi</w:t>
      </w:r>
    </w:p>
    <w:p w14:paraId="46ED6210" w14:textId="645296C9" w:rsidR="00C856E6" w:rsidRPr="00A57667" w:rsidRDefault="00562372" w:rsidP="004C5F9B">
      <w:pPr>
        <w:pStyle w:val="Default"/>
        <w:shd w:val="clear" w:color="auto" w:fill="FFFFFF" w:themeFill="background1"/>
        <w:spacing w:line="360" w:lineRule="auto"/>
        <w:ind w:firstLine="567"/>
        <w:jc w:val="both"/>
        <w:rPr>
          <w:rFonts w:ascii="Times New Roman" w:hAnsi="Times New Roman" w:cs="Times New Roman"/>
          <w:bCs/>
        </w:rPr>
      </w:pPr>
      <w:r w:rsidRPr="00A57667">
        <w:rPr>
          <w:rFonts w:ascii="Times New Roman" w:hAnsi="Times New Roman" w:cs="Times New Roman"/>
          <w:bCs/>
        </w:rPr>
        <w:t>Pētījuma autori, v</w:t>
      </w:r>
      <w:r w:rsidR="00F22E77" w:rsidRPr="00A57667">
        <w:rPr>
          <w:rFonts w:ascii="Times New Roman" w:hAnsi="Times New Roman" w:cs="Times New Roman"/>
          <w:bCs/>
        </w:rPr>
        <w:t xml:space="preserve">adoties pēc </w:t>
      </w:r>
      <w:r w:rsidR="00C25736" w:rsidRPr="00A57667">
        <w:rPr>
          <w:rFonts w:ascii="Times New Roman" w:hAnsi="Times New Roman" w:cs="Times New Roman"/>
        </w:rPr>
        <w:t xml:space="preserve">būvniecības jomas </w:t>
      </w:r>
      <w:r w:rsidR="00F22E77" w:rsidRPr="00A57667">
        <w:rPr>
          <w:rFonts w:ascii="Times New Roman" w:hAnsi="Times New Roman" w:cs="Times New Roman"/>
          <w:bCs/>
        </w:rPr>
        <w:t>ekspertu vidējām prognozēm</w:t>
      </w:r>
      <w:r w:rsidR="00C25736" w:rsidRPr="00A57667">
        <w:rPr>
          <w:rFonts w:ascii="Times New Roman" w:hAnsi="Times New Roman" w:cs="Times New Roman"/>
          <w:bCs/>
        </w:rPr>
        <w:t>,</w:t>
      </w:r>
      <w:r w:rsidR="00F22E77" w:rsidRPr="00A57667">
        <w:rPr>
          <w:rFonts w:ascii="Times New Roman" w:hAnsi="Times New Roman" w:cs="Times New Roman"/>
          <w:bCs/>
        </w:rPr>
        <w:t xml:space="preserve"> jau 2020. un 2021.gadā būvniecības nozarē novēro </w:t>
      </w:r>
      <w:r w:rsidR="00673815" w:rsidRPr="00A57667">
        <w:rPr>
          <w:rFonts w:ascii="Times New Roman" w:hAnsi="Times New Roman" w:cs="Times New Roman"/>
          <w:bCs/>
        </w:rPr>
        <w:t>neraksturīg</w:t>
      </w:r>
      <w:r w:rsidRPr="00A57667">
        <w:rPr>
          <w:rFonts w:ascii="Times New Roman" w:hAnsi="Times New Roman" w:cs="Times New Roman"/>
          <w:bCs/>
        </w:rPr>
        <w:t>u</w:t>
      </w:r>
      <w:r w:rsidR="00673815" w:rsidRPr="00A57667">
        <w:rPr>
          <w:rFonts w:ascii="Times New Roman" w:hAnsi="Times New Roman" w:cs="Times New Roman"/>
          <w:bCs/>
        </w:rPr>
        <w:t xml:space="preserve"> izmaksu un produkcijas apjoma izmaiņu attiecīb</w:t>
      </w:r>
      <w:r w:rsidRPr="00A57667">
        <w:rPr>
          <w:rFonts w:ascii="Times New Roman" w:hAnsi="Times New Roman" w:cs="Times New Roman"/>
          <w:bCs/>
        </w:rPr>
        <w:t>u</w:t>
      </w:r>
      <w:r w:rsidR="00673815" w:rsidRPr="00A57667">
        <w:rPr>
          <w:rFonts w:ascii="Times New Roman" w:hAnsi="Times New Roman" w:cs="Times New Roman"/>
          <w:bCs/>
        </w:rPr>
        <w:t>, kur izmaksu pieaugums ir lielāks nekā produkcijas apjoms. Pētnieki to</w:t>
      </w:r>
      <w:r w:rsidRPr="00A57667">
        <w:rPr>
          <w:rFonts w:ascii="Times New Roman" w:hAnsi="Times New Roman" w:cs="Times New Roman"/>
          <w:bCs/>
        </w:rPr>
        <w:t xml:space="preserve">, līdzīgi kā makro ekonomikas analītiķi, </w:t>
      </w:r>
      <w:r w:rsidR="00673815" w:rsidRPr="00A57667">
        <w:rPr>
          <w:rFonts w:ascii="Times New Roman" w:hAnsi="Times New Roman" w:cs="Times New Roman"/>
          <w:bCs/>
        </w:rPr>
        <w:t xml:space="preserve">uzskata par signālu iespējamai tirgus </w:t>
      </w:r>
      <w:r w:rsidR="00D7665A" w:rsidRPr="00A57667">
        <w:rPr>
          <w:rFonts w:ascii="Times New Roman" w:hAnsi="Times New Roman" w:cs="Times New Roman"/>
          <w:bCs/>
        </w:rPr>
        <w:t>nestabilitātei</w:t>
      </w:r>
      <w:r w:rsidR="00673815" w:rsidRPr="00A57667">
        <w:rPr>
          <w:rFonts w:ascii="Times New Roman" w:hAnsi="Times New Roman" w:cs="Times New Roman"/>
          <w:bCs/>
        </w:rPr>
        <w:t xml:space="preserve">, ja ekspertu prognozes piepildīsies. </w:t>
      </w:r>
      <w:r w:rsidR="00D25D93" w:rsidRPr="00A57667">
        <w:rPr>
          <w:rFonts w:ascii="Times New Roman" w:hAnsi="Times New Roman" w:cs="Times New Roman"/>
          <w:bCs/>
        </w:rPr>
        <w:t xml:space="preserve">Periodā no 2022. līdz 2024.gadam pēc ekspertu vidējām prognozēm var novērtēt, ka šis risks samazinās. </w:t>
      </w:r>
      <w:r w:rsidR="00554373" w:rsidRPr="00A57667">
        <w:rPr>
          <w:rFonts w:ascii="Times New Roman" w:hAnsi="Times New Roman" w:cs="Times New Roman"/>
          <w:bCs/>
        </w:rPr>
        <w:t xml:space="preserve">Vadoties pēc kombinētām prognozēm risks </w:t>
      </w:r>
      <w:r w:rsidR="00D7665A" w:rsidRPr="00A57667">
        <w:rPr>
          <w:rFonts w:ascii="Times New Roman" w:hAnsi="Times New Roman" w:cs="Times New Roman"/>
          <w:bCs/>
        </w:rPr>
        <w:t xml:space="preserve">būvniecības cenu straujam pieaugumam </w:t>
      </w:r>
      <w:r w:rsidR="00554373" w:rsidRPr="00A57667">
        <w:rPr>
          <w:rFonts w:ascii="Times New Roman" w:hAnsi="Times New Roman" w:cs="Times New Roman"/>
          <w:bCs/>
        </w:rPr>
        <w:t>iespējams visā 2021.-2024.periodā ar pieaugošu tendenc</w:t>
      </w:r>
      <w:r w:rsidR="00A5496C" w:rsidRPr="00A57667">
        <w:rPr>
          <w:rFonts w:ascii="Times New Roman" w:hAnsi="Times New Roman" w:cs="Times New Roman"/>
          <w:bCs/>
        </w:rPr>
        <w:t>i</w:t>
      </w:r>
      <w:r w:rsidR="00554373" w:rsidRPr="00A57667">
        <w:rPr>
          <w:rFonts w:ascii="Times New Roman" w:hAnsi="Times New Roman" w:cs="Times New Roman"/>
          <w:bCs/>
        </w:rPr>
        <w:t xml:space="preserve"> </w:t>
      </w:r>
      <w:r w:rsidR="00E955F2" w:rsidRPr="00A57667">
        <w:rPr>
          <w:rFonts w:ascii="Times New Roman" w:hAnsi="Times New Roman" w:cs="Times New Roman"/>
          <w:bCs/>
        </w:rPr>
        <w:t xml:space="preserve">tuvāk 2024.gadam. </w:t>
      </w:r>
      <w:r w:rsidR="00E955F2" w:rsidRPr="00A57667">
        <w:rPr>
          <w:rFonts w:ascii="Times New Roman" w:hAnsi="Times New Roman" w:cs="Times New Roman"/>
          <w:b/>
        </w:rPr>
        <w:t xml:space="preserve">Pētnieki iesaka iespēju robežās neļaut būvniecības izmaksu izmaiņām pārsniegt būvniecības produkcijas apjomu vairāk </w:t>
      </w:r>
      <w:r w:rsidR="008D1BFF">
        <w:rPr>
          <w:rFonts w:ascii="Times New Roman" w:hAnsi="Times New Roman" w:cs="Times New Roman"/>
          <w:b/>
        </w:rPr>
        <w:t xml:space="preserve">kā </w:t>
      </w:r>
      <w:r w:rsidR="00E955F2" w:rsidRPr="00A57667">
        <w:rPr>
          <w:rFonts w:ascii="Times New Roman" w:hAnsi="Times New Roman" w:cs="Times New Roman"/>
          <w:b/>
        </w:rPr>
        <w:t>par 30%</w:t>
      </w:r>
      <w:r w:rsidR="00EE6462" w:rsidRPr="00A57667">
        <w:rPr>
          <w:rFonts w:ascii="Times New Roman" w:hAnsi="Times New Roman" w:cs="Times New Roman"/>
          <w:b/>
        </w:rPr>
        <w:t xml:space="preserve">. Būvniecības apjomam būtu vēlams augt ne straujāk kā </w:t>
      </w:r>
      <w:r w:rsidR="00F73737" w:rsidRPr="00A57667">
        <w:rPr>
          <w:rFonts w:ascii="Times New Roman" w:hAnsi="Times New Roman" w:cs="Times New Roman"/>
          <w:b/>
        </w:rPr>
        <w:t>0,1 miljards eiro faktiskajās cenās gadā</w:t>
      </w:r>
      <w:r w:rsidR="00F50DD8" w:rsidRPr="00A57667">
        <w:rPr>
          <w:rFonts w:ascii="Times New Roman" w:hAnsi="Times New Roman" w:cs="Times New Roman"/>
          <w:b/>
        </w:rPr>
        <w:t xml:space="preserve"> 2020.-2021.gadā</w:t>
      </w:r>
      <w:r w:rsidR="00F73737" w:rsidRPr="00A57667">
        <w:rPr>
          <w:rFonts w:ascii="Times New Roman" w:hAnsi="Times New Roman" w:cs="Times New Roman"/>
          <w:b/>
        </w:rPr>
        <w:t>,</w:t>
      </w:r>
      <w:r w:rsidR="00F73737" w:rsidRPr="00A57667">
        <w:rPr>
          <w:rFonts w:ascii="Times New Roman" w:hAnsi="Times New Roman" w:cs="Times New Roman"/>
          <w:bCs/>
        </w:rPr>
        <w:t xml:space="preserve"> kas atbilstu </w:t>
      </w:r>
      <w:r w:rsidR="00F50DD8" w:rsidRPr="00A57667">
        <w:rPr>
          <w:rFonts w:ascii="Times New Roman" w:hAnsi="Times New Roman" w:cs="Times New Roman"/>
          <w:bCs/>
        </w:rPr>
        <w:t xml:space="preserve">optimistiskajam būvniecības produkcijas izaugsmes scenārijam no trim </w:t>
      </w:r>
      <w:r w:rsidR="00C67CB0" w:rsidRPr="00A57667">
        <w:rPr>
          <w:rFonts w:ascii="Times New Roman" w:hAnsi="Times New Roman" w:cs="Times New Roman"/>
          <w:bCs/>
        </w:rPr>
        <w:t xml:space="preserve">pētījumā </w:t>
      </w:r>
      <w:r w:rsidR="00F50DD8" w:rsidRPr="00A57667">
        <w:rPr>
          <w:rFonts w:ascii="Times New Roman" w:hAnsi="Times New Roman" w:cs="Times New Roman"/>
          <w:bCs/>
        </w:rPr>
        <w:t>aplūkotajām prognozēm.</w:t>
      </w:r>
    </w:p>
    <w:p w14:paraId="4C463F3F" w14:textId="24889F8D" w:rsidR="002F65DC" w:rsidRDefault="002F65DC">
      <w:pPr>
        <w:spacing w:after="160" w:line="259" w:lineRule="auto"/>
        <w:ind w:firstLine="0"/>
        <w:jc w:val="left"/>
        <w:rPr>
          <w:rFonts w:ascii="Times New Roman" w:hAnsi="Times New Roman" w:cs="Times New Roman"/>
          <w:bCs/>
          <w:color w:val="000000"/>
        </w:rPr>
      </w:pPr>
      <w:r>
        <w:rPr>
          <w:rFonts w:ascii="Times New Roman" w:hAnsi="Times New Roman" w:cs="Times New Roman"/>
          <w:bCs/>
        </w:rPr>
        <w:br w:type="page"/>
      </w:r>
    </w:p>
    <w:p w14:paraId="285DA33E" w14:textId="77777777" w:rsidR="002F65DC" w:rsidRPr="00F22E77" w:rsidRDefault="002F65DC" w:rsidP="00562372">
      <w:pPr>
        <w:pStyle w:val="Default"/>
        <w:shd w:val="clear" w:color="auto" w:fill="FFFFFF" w:themeFill="background1"/>
        <w:spacing w:line="360" w:lineRule="auto"/>
        <w:ind w:left="567" w:firstLine="567"/>
        <w:jc w:val="both"/>
        <w:rPr>
          <w:rFonts w:ascii="Times New Roman" w:hAnsi="Times New Roman" w:cs="Times New Roman"/>
          <w:bCs/>
          <w:sz w:val="22"/>
          <w:szCs w:val="22"/>
        </w:rPr>
      </w:pPr>
    </w:p>
    <w:p w14:paraId="38F88E0F" w14:textId="4A2395A3" w:rsidR="0059518C" w:rsidRDefault="0059518C" w:rsidP="00F016B1">
      <w:pPr>
        <w:pStyle w:val="Heading2"/>
        <w:numPr>
          <w:ilvl w:val="1"/>
          <w:numId w:val="1"/>
        </w:numPr>
      </w:pPr>
      <w:bookmarkStart w:id="8" w:name="_Toc54287913"/>
      <w:r w:rsidRPr="001A72D7">
        <w:t xml:space="preserve">Vispārējās </w:t>
      </w:r>
      <w:r w:rsidR="00247FE2" w:rsidRPr="001A72D7">
        <w:t xml:space="preserve">un </w:t>
      </w:r>
      <w:proofErr w:type="spellStart"/>
      <w:r w:rsidR="00247FE2" w:rsidRPr="001A72D7">
        <w:t>apakšnozaru</w:t>
      </w:r>
      <w:proofErr w:type="spellEnd"/>
      <w:r w:rsidR="00247FE2" w:rsidRPr="001A72D7">
        <w:t xml:space="preserve"> </w:t>
      </w:r>
      <w:r w:rsidRPr="001A72D7">
        <w:t>ekspertu aptaujas struktūra un norise</w:t>
      </w:r>
      <w:bookmarkEnd w:id="8"/>
    </w:p>
    <w:p w14:paraId="62244D07" w14:textId="781688FD" w:rsidR="004310D5" w:rsidRPr="00A57667" w:rsidRDefault="00276A35" w:rsidP="00C41FA4">
      <w:pPr>
        <w:pStyle w:val="ListParagraph"/>
        <w:ind w:left="0" w:firstLine="567"/>
        <w:rPr>
          <w:sz w:val="24"/>
          <w:szCs w:val="24"/>
        </w:rPr>
      </w:pPr>
      <w:r w:rsidRPr="00A57667">
        <w:rPr>
          <w:sz w:val="24"/>
          <w:szCs w:val="24"/>
        </w:rPr>
        <w:t>Ekspertu viedokļu izpēte norisinājās 2020.gada jūlijā. Kā vispārēj</w:t>
      </w:r>
      <w:r w:rsidR="005D12B5" w:rsidRPr="00A57667">
        <w:rPr>
          <w:sz w:val="24"/>
          <w:szCs w:val="24"/>
        </w:rPr>
        <w:t>ie</w:t>
      </w:r>
      <w:r w:rsidRPr="00A57667">
        <w:rPr>
          <w:sz w:val="24"/>
          <w:szCs w:val="24"/>
        </w:rPr>
        <w:t xml:space="preserve"> ekspert</w:t>
      </w:r>
      <w:r w:rsidR="005D12B5" w:rsidRPr="00A57667">
        <w:rPr>
          <w:sz w:val="24"/>
          <w:szCs w:val="24"/>
        </w:rPr>
        <w:t>i</w:t>
      </w:r>
      <w:r w:rsidRPr="00A57667">
        <w:rPr>
          <w:sz w:val="24"/>
          <w:szCs w:val="24"/>
        </w:rPr>
        <w:t xml:space="preserve"> intervijā</w:t>
      </w:r>
      <w:r w:rsidR="005D12B5" w:rsidRPr="00A57667">
        <w:rPr>
          <w:sz w:val="24"/>
          <w:szCs w:val="24"/>
        </w:rPr>
        <w:t>s</w:t>
      </w:r>
      <w:r w:rsidRPr="00A57667">
        <w:rPr>
          <w:sz w:val="24"/>
          <w:szCs w:val="24"/>
        </w:rPr>
        <w:t xml:space="preserve"> novērtējumam tika piesaistīti makroekonomikas eksperti, kuru kompetences joma ietver būvniecības ietekmes </w:t>
      </w:r>
      <w:proofErr w:type="spellStart"/>
      <w:r w:rsidRPr="00A57667">
        <w:rPr>
          <w:sz w:val="24"/>
          <w:szCs w:val="24"/>
        </w:rPr>
        <w:t>izvērtējumu</w:t>
      </w:r>
      <w:proofErr w:type="spellEnd"/>
      <w:r w:rsidRPr="00A57667">
        <w:rPr>
          <w:sz w:val="24"/>
          <w:szCs w:val="24"/>
        </w:rPr>
        <w:t xml:space="preserve"> uz tautsaimniecību. Šīs grupas ekspertu uzdevums bija identificēt faktorus, kuriem ir būtiska ietekme uz Būvniecības izmaksu izmaiņām, kā arī veikt vispārēju būvniecības nozares un izmaksu izmaiņu attīstības tendenču novērtējumu.</w:t>
      </w:r>
      <w:r w:rsidR="005D12B5" w:rsidRPr="00A57667">
        <w:rPr>
          <w:sz w:val="24"/>
          <w:szCs w:val="24"/>
        </w:rPr>
        <w:t xml:space="preserve"> </w:t>
      </w:r>
      <w:r w:rsidR="004310D5" w:rsidRPr="00A57667">
        <w:rPr>
          <w:sz w:val="24"/>
          <w:szCs w:val="24"/>
        </w:rPr>
        <w:t xml:space="preserve">Pētījumā tika intervēti </w:t>
      </w:r>
      <w:r w:rsidR="005D12B5" w:rsidRPr="00A57667">
        <w:rPr>
          <w:sz w:val="24"/>
          <w:szCs w:val="24"/>
        </w:rPr>
        <w:t xml:space="preserve">vispārējie </w:t>
      </w:r>
      <w:r w:rsidR="004310D5" w:rsidRPr="00A57667">
        <w:rPr>
          <w:sz w:val="24"/>
          <w:szCs w:val="24"/>
        </w:rPr>
        <w:t xml:space="preserve">eksperti, kas pārstāv būvniecības nozari pārstāvošas profesionālās asociācijas un savienības, nevalstiskās organizācijas, </w:t>
      </w:r>
      <w:r w:rsidRPr="00A57667">
        <w:rPr>
          <w:sz w:val="24"/>
          <w:szCs w:val="24"/>
        </w:rPr>
        <w:t xml:space="preserve">valsts iestādes, </w:t>
      </w:r>
      <w:r w:rsidR="004310D5" w:rsidRPr="00A57667">
        <w:rPr>
          <w:sz w:val="24"/>
          <w:szCs w:val="24"/>
        </w:rPr>
        <w:t>akadēmiskas iestādes, bankas</w:t>
      </w:r>
      <w:r w:rsidR="00F902A7" w:rsidRPr="00A57667">
        <w:rPr>
          <w:sz w:val="24"/>
          <w:szCs w:val="24"/>
        </w:rPr>
        <w:t>.</w:t>
      </w:r>
    </w:p>
    <w:p w14:paraId="5314C5AE" w14:textId="4C2127FC" w:rsidR="004310D5" w:rsidRPr="00A57667" w:rsidRDefault="004310D5" w:rsidP="004310D5">
      <w:pPr>
        <w:rPr>
          <w:sz w:val="24"/>
          <w:szCs w:val="24"/>
        </w:rPr>
      </w:pPr>
      <w:proofErr w:type="spellStart"/>
      <w:r w:rsidRPr="00A57667">
        <w:rPr>
          <w:sz w:val="24"/>
          <w:szCs w:val="24"/>
        </w:rPr>
        <w:t>Apakšnozaru</w:t>
      </w:r>
      <w:proofErr w:type="spellEnd"/>
      <w:r w:rsidRPr="00A57667">
        <w:rPr>
          <w:sz w:val="24"/>
          <w:szCs w:val="24"/>
        </w:rPr>
        <w:t xml:space="preserve"> ekspertu aptaujas ietvaros tika izdalītas četras uzņēmumu grupas</w:t>
      </w:r>
      <w:r w:rsidR="009C6B94" w:rsidRPr="00A57667">
        <w:rPr>
          <w:sz w:val="24"/>
          <w:szCs w:val="24"/>
        </w:rPr>
        <w:t>,</w:t>
      </w:r>
      <w:r w:rsidR="00F902A7" w:rsidRPr="00A57667">
        <w:rPr>
          <w:sz w:val="24"/>
          <w:szCs w:val="24"/>
        </w:rPr>
        <w:t xml:space="preserve"> atbilstoš</w:t>
      </w:r>
      <w:r w:rsidR="009C6B94" w:rsidRPr="00A57667">
        <w:rPr>
          <w:sz w:val="24"/>
          <w:szCs w:val="24"/>
        </w:rPr>
        <w:t xml:space="preserve">as </w:t>
      </w:r>
      <w:r w:rsidR="00F902A7" w:rsidRPr="00A57667">
        <w:rPr>
          <w:sz w:val="24"/>
          <w:szCs w:val="24"/>
        </w:rPr>
        <w:t xml:space="preserve">NACE </w:t>
      </w:r>
      <w:r w:rsidR="009C6B94" w:rsidRPr="00A57667">
        <w:rPr>
          <w:sz w:val="24"/>
          <w:szCs w:val="24"/>
        </w:rPr>
        <w:t xml:space="preserve">Saimniecisko darbību statistiskās </w:t>
      </w:r>
      <w:r w:rsidR="00C67CB0" w:rsidRPr="00A57667">
        <w:rPr>
          <w:sz w:val="24"/>
          <w:szCs w:val="24"/>
        </w:rPr>
        <w:t>klasifikatoram</w:t>
      </w:r>
      <w:r w:rsidRPr="00A57667">
        <w:rPr>
          <w:sz w:val="24"/>
          <w:szCs w:val="24"/>
        </w:rPr>
        <w:t>, kurās katrā tika veikta ekspertu viedokļu novērtēšana:</w:t>
      </w:r>
      <w:r w:rsidR="00276A35" w:rsidRPr="00A57667">
        <w:rPr>
          <w:sz w:val="24"/>
          <w:szCs w:val="24"/>
        </w:rPr>
        <w:t xml:space="preserve"> </w:t>
      </w:r>
    </w:p>
    <w:p w14:paraId="5EF07DE6" w14:textId="717A3763" w:rsidR="004310D5" w:rsidRPr="00A57667" w:rsidRDefault="004310D5" w:rsidP="00AB3491">
      <w:pPr>
        <w:pStyle w:val="ListParagraph"/>
        <w:numPr>
          <w:ilvl w:val="0"/>
          <w:numId w:val="2"/>
        </w:numPr>
        <w:rPr>
          <w:sz w:val="24"/>
          <w:szCs w:val="24"/>
        </w:rPr>
      </w:pPr>
      <w:r w:rsidRPr="00A57667">
        <w:rPr>
          <w:b/>
          <w:bCs/>
          <w:sz w:val="24"/>
          <w:szCs w:val="24"/>
        </w:rPr>
        <w:t>dzīvojamo un nedzīvojamo ēku būvniecība</w:t>
      </w:r>
      <w:r w:rsidRPr="00A57667">
        <w:rPr>
          <w:sz w:val="24"/>
          <w:szCs w:val="24"/>
        </w:rPr>
        <w:t>;</w:t>
      </w:r>
    </w:p>
    <w:p w14:paraId="4B1ACAA7" w14:textId="430C2A9B" w:rsidR="004310D5" w:rsidRPr="00A57667" w:rsidRDefault="004310D5" w:rsidP="00AB3491">
      <w:pPr>
        <w:pStyle w:val="ListParagraph"/>
        <w:numPr>
          <w:ilvl w:val="0"/>
          <w:numId w:val="2"/>
        </w:numPr>
        <w:rPr>
          <w:sz w:val="24"/>
          <w:szCs w:val="24"/>
        </w:rPr>
      </w:pPr>
      <w:r w:rsidRPr="00A57667">
        <w:rPr>
          <w:b/>
          <w:bCs/>
          <w:sz w:val="24"/>
          <w:szCs w:val="24"/>
        </w:rPr>
        <w:t>transporta objektu būvniecība</w:t>
      </w:r>
      <w:r w:rsidR="00276A35" w:rsidRPr="00A57667">
        <w:rPr>
          <w:sz w:val="24"/>
          <w:szCs w:val="24"/>
        </w:rPr>
        <w:t xml:space="preserve"> (</w:t>
      </w:r>
      <w:r w:rsidR="00F902A7" w:rsidRPr="00A57667">
        <w:rPr>
          <w:sz w:val="24"/>
          <w:szCs w:val="24"/>
        </w:rPr>
        <w:t>ceļu un maģistrāļu, dzelzceļa, tiltu un tuneļu būvniecība)</w:t>
      </w:r>
    </w:p>
    <w:p w14:paraId="5DDD4A4C" w14:textId="080F4F70" w:rsidR="004310D5" w:rsidRPr="00A57667" w:rsidRDefault="004310D5" w:rsidP="00AB3491">
      <w:pPr>
        <w:pStyle w:val="ListParagraph"/>
        <w:numPr>
          <w:ilvl w:val="0"/>
          <w:numId w:val="2"/>
        </w:numPr>
        <w:rPr>
          <w:sz w:val="24"/>
          <w:szCs w:val="24"/>
        </w:rPr>
      </w:pPr>
      <w:r w:rsidRPr="00A57667">
        <w:rPr>
          <w:b/>
          <w:bCs/>
          <w:sz w:val="24"/>
          <w:szCs w:val="24"/>
        </w:rPr>
        <w:t>pilsētas infrastruktūras objektu būvniecība</w:t>
      </w:r>
      <w:r w:rsidR="00F902A7" w:rsidRPr="00A57667">
        <w:rPr>
          <w:sz w:val="24"/>
          <w:szCs w:val="24"/>
        </w:rPr>
        <w:t xml:space="preserve"> (ūdens apgādes, kanalizācijas, elektroapgādes un telekomunikāciju sistēmu būvniecība)</w:t>
      </w:r>
      <w:r w:rsidRPr="00A57667">
        <w:rPr>
          <w:sz w:val="24"/>
          <w:szCs w:val="24"/>
        </w:rPr>
        <w:t>;</w:t>
      </w:r>
    </w:p>
    <w:p w14:paraId="0D783974" w14:textId="4F388435" w:rsidR="004310D5" w:rsidRPr="00A57667" w:rsidRDefault="00F902A7" w:rsidP="00AB3491">
      <w:pPr>
        <w:pStyle w:val="ListParagraph"/>
        <w:numPr>
          <w:ilvl w:val="0"/>
          <w:numId w:val="2"/>
        </w:numPr>
        <w:rPr>
          <w:sz w:val="24"/>
          <w:szCs w:val="24"/>
        </w:rPr>
      </w:pPr>
      <w:r w:rsidRPr="00A57667">
        <w:rPr>
          <w:b/>
          <w:bCs/>
          <w:sz w:val="24"/>
          <w:szCs w:val="24"/>
        </w:rPr>
        <w:t xml:space="preserve">pārējā </w:t>
      </w:r>
      <w:proofErr w:type="spellStart"/>
      <w:r w:rsidRPr="00A57667">
        <w:rPr>
          <w:b/>
          <w:bCs/>
          <w:sz w:val="24"/>
          <w:szCs w:val="24"/>
        </w:rPr>
        <w:t>inženierbūvniecība</w:t>
      </w:r>
      <w:proofErr w:type="spellEnd"/>
      <w:r w:rsidR="009C6B94" w:rsidRPr="00A57667">
        <w:rPr>
          <w:b/>
          <w:bCs/>
          <w:sz w:val="24"/>
          <w:szCs w:val="24"/>
        </w:rPr>
        <w:t xml:space="preserve"> </w:t>
      </w:r>
      <w:r w:rsidR="009C6B94" w:rsidRPr="00A57667">
        <w:rPr>
          <w:sz w:val="24"/>
          <w:szCs w:val="24"/>
        </w:rPr>
        <w:t>(hidrotehnisko un citu neklasificēto  būvniecība).</w:t>
      </w:r>
      <w:r w:rsidRPr="00A57667">
        <w:rPr>
          <w:sz w:val="24"/>
          <w:szCs w:val="24"/>
        </w:rPr>
        <w:t xml:space="preserve"> </w:t>
      </w:r>
    </w:p>
    <w:p w14:paraId="61CF68BA" w14:textId="6E965D5D" w:rsidR="005D12B5" w:rsidRPr="00A57667" w:rsidRDefault="005D12B5" w:rsidP="005D12B5">
      <w:pPr>
        <w:ind w:firstLine="0"/>
        <w:rPr>
          <w:sz w:val="24"/>
          <w:szCs w:val="24"/>
        </w:rPr>
      </w:pPr>
      <w:r w:rsidRPr="00A57667">
        <w:rPr>
          <w:sz w:val="24"/>
          <w:szCs w:val="24"/>
        </w:rPr>
        <w:t>Intervijas tika rīkotas katrai grupai atsevišķi, jo tajās tika vērtēti konkrētās objektu grupas būvniecības izmaksu izmaiņas.</w:t>
      </w:r>
      <w:r w:rsidR="00C41FA4" w:rsidRPr="00A57667">
        <w:rPr>
          <w:sz w:val="24"/>
          <w:szCs w:val="24"/>
        </w:rPr>
        <w:t xml:space="preserve"> Gan vispārējie, gan </w:t>
      </w:r>
      <w:proofErr w:type="spellStart"/>
      <w:r w:rsidR="00C41FA4" w:rsidRPr="00A57667">
        <w:rPr>
          <w:sz w:val="24"/>
          <w:szCs w:val="24"/>
        </w:rPr>
        <w:t>apakšnozaru</w:t>
      </w:r>
      <w:proofErr w:type="spellEnd"/>
      <w:r w:rsidR="00C41FA4" w:rsidRPr="00A57667">
        <w:rPr>
          <w:sz w:val="24"/>
          <w:szCs w:val="24"/>
        </w:rPr>
        <w:t xml:space="preserve"> eksperti novērtēja dažādu faktoru ietekmi uz būvniecības nozares darbaspēka izmaksām gan Latvijas, gan ES līmenī</w:t>
      </w:r>
    </w:p>
    <w:p w14:paraId="21EFE019" w14:textId="77777777" w:rsidR="00C41FA4" w:rsidRPr="00A57667" w:rsidRDefault="00C41FA4" w:rsidP="005D12B5">
      <w:pPr>
        <w:ind w:firstLine="0"/>
        <w:rPr>
          <w:sz w:val="24"/>
          <w:szCs w:val="24"/>
        </w:rPr>
      </w:pPr>
    </w:p>
    <w:p w14:paraId="2445FCE7" w14:textId="46A1507B" w:rsidR="0030151E" w:rsidRDefault="0056681F" w:rsidP="00F016B1">
      <w:pPr>
        <w:pStyle w:val="Heading2"/>
        <w:numPr>
          <w:ilvl w:val="1"/>
          <w:numId w:val="1"/>
        </w:numPr>
      </w:pPr>
      <w:bookmarkStart w:id="9" w:name="_Toc54287914"/>
      <w:r w:rsidRPr="0056681F">
        <w:t>Darbaspēka</w:t>
      </w:r>
      <w:r w:rsidR="00647AA5">
        <w:t xml:space="preserve"> un būvmateriālu</w:t>
      </w:r>
      <w:r w:rsidRPr="0056681F">
        <w:t xml:space="preserve"> izmaksu izmaiņas ietekmējošie faktori</w:t>
      </w:r>
      <w:r w:rsidR="00603649">
        <w:t xml:space="preserve"> būvniecības nozarē kopumā</w:t>
      </w:r>
      <w:bookmarkEnd w:id="9"/>
    </w:p>
    <w:p w14:paraId="5FA81480" w14:textId="295491CA" w:rsidR="00270F10" w:rsidRPr="00A57667" w:rsidRDefault="00270F10" w:rsidP="00270F10">
      <w:pPr>
        <w:ind w:firstLine="0"/>
        <w:rPr>
          <w:sz w:val="24"/>
          <w:szCs w:val="24"/>
        </w:rPr>
      </w:pPr>
      <w:r w:rsidRPr="00A57667">
        <w:rPr>
          <w:sz w:val="24"/>
          <w:szCs w:val="24"/>
        </w:rPr>
        <w:t xml:space="preserve">Faktori tika vērtēti 10 </w:t>
      </w:r>
      <w:proofErr w:type="spellStart"/>
      <w:r w:rsidRPr="00A57667">
        <w:rPr>
          <w:sz w:val="24"/>
          <w:szCs w:val="24"/>
        </w:rPr>
        <w:t>ballu</w:t>
      </w:r>
      <w:proofErr w:type="spellEnd"/>
      <w:r w:rsidRPr="00A57667">
        <w:rPr>
          <w:sz w:val="24"/>
          <w:szCs w:val="24"/>
        </w:rPr>
        <w:t xml:space="preserve"> skalā, kur lielāka balle nozīmē, ka faktors ir nozīmīgāks darbaspēka un būvmateriālu izmaksu ietekmējošs faktors un mazāka  - maznozīmīgs faktors. </w:t>
      </w:r>
    </w:p>
    <w:p w14:paraId="177DB7FF" w14:textId="77777777" w:rsidR="00270F10" w:rsidRPr="00270F10" w:rsidRDefault="00270F10" w:rsidP="00C41FA4">
      <w:pPr>
        <w:ind w:left="284"/>
      </w:pPr>
    </w:p>
    <w:p w14:paraId="12E8C2BF" w14:textId="37411538" w:rsidR="000F0D08" w:rsidRDefault="00462162" w:rsidP="000F0D08">
      <w:pPr>
        <w:pStyle w:val="Heading3"/>
      </w:pPr>
      <w:r>
        <w:t xml:space="preserve">Darbaspēka izmaksu </w:t>
      </w:r>
      <w:r w:rsidR="000F0D08" w:rsidRPr="008E1069">
        <w:t>ietekmējošo faktoru novērtējums</w:t>
      </w:r>
    </w:p>
    <w:p w14:paraId="67D746A6" w14:textId="4663D395" w:rsidR="00EA010B" w:rsidRPr="00A57667" w:rsidRDefault="00EA010B" w:rsidP="00EA010B">
      <w:pPr>
        <w:pStyle w:val="Default"/>
        <w:spacing w:after="131" w:line="360" w:lineRule="auto"/>
        <w:jc w:val="both"/>
        <w:rPr>
          <w:rFonts w:ascii="Times New Roman" w:hAnsi="Times New Roman" w:cs="Times New Roman"/>
        </w:rPr>
      </w:pPr>
      <w:r w:rsidRPr="00A57667">
        <w:rPr>
          <w:rFonts w:ascii="Times New Roman" w:hAnsi="Times New Roman" w:cs="Times New Roman"/>
          <w:u w:val="single"/>
        </w:rPr>
        <w:t>Vispārējo ekspertu vērtējumā</w:t>
      </w:r>
      <w:r w:rsidRPr="00A57667">
        <w:rPr>
          <w:rFonts w:ascii="Times New Roman" w:hAnsi="Times New Roman" w:cs="Times New Roman"/>
        </w:rPr>
        <w:t xml:space="preserve"> būtiskākie faktori, kas ietekmēs darbaspēka izmaksas būvniecības nozarē 2020. – 2024. gadam Latvijā ir: </w:t>
      </w:r>
    </w:p>
    <w:p w14:paraId="12817586" w14:textId="7FE75B6E" w:rsidR="00EF4072" w:rsidRPr="00A57667" w:rsidRDefault="00EA010B" w:rsidP="00AB3491">
      <w:pPr>
        <w:pStyle w:val="ListParagraph"/>
        <w:numPr>
          <w:ilvl w:val="0"/>
          <w:numId w:val="4"/>
        </w:numPr>
        <w:rPr>
          <w:sz w:val="24"/>
          <w:szCs w:val="24"/>
        </w:rPr>
      </w:pPr>
      <w:r w:rsidRPr="00A57667">
        <w:rPr>
          <w:sz w:val="24"/>
          <w:szCs w:val="24"/>
        </w:rPr>
        <w:t>D</w:t>
      </w:r>
      <w:r w:rsidR="00533C93" w:rsidRPr="00A57667">
        <w:rPr>
          <w:sz w:val="24"/>
          <w:szCs w:val="24"/>
        </w:rPr>
        <w:t>arbaspēka nodokļu līmenis Latvijā</w:t>
      </w:r>
      <w:r w:rsidR="00774A69" w:rsidRPr="00A57667">
        <w:rPr>
          <w:sz w:val="24"/>
          <w:szCs w:val="24"/>
        </w:rPr>
        <w:t xml:space="preserve"> (8,</w:t>
      </w:r>
      <w:r w:rsidR="00533C93" w:rsidRPr="00A57667">
        <w:rPr>
          <w:sz w:val="24"/>
          <w:szCs w:val="24"/>
        </w:rPr>
        <w:t>13</w:t>
      </w:r>
      <w:r w:rsidR="00774A69" w:rsidRPr="00A57667">
        <w:rPr>
          <w:sz w:val="24"/>
          <w:szCs w:val="24"/>
        </w:rPr>
        <w:t>)</w:t>
      </w:r>
      <w:r w:rsidR="006D6C5A" w:rsidRPr="00A57667">
        <w:rPr>
          <w:sz w:val="24"/>
          <w:szCs w:val="24"/>
        </w:rPr>
        <w:t>;</w:t>
      </w:r>
    </w:p>
    <w:p w14:paraId="05DE8FFD" w14:textId="71D080FD" w:rsidR="00637B4C" w:rsidRPr="00A57667" w:rsidRDefault="00EA010B" w:rsidP="00AB3491">
      <w:pPr>
        <w:pStyle w:val="ListParagraph"/>
        <w:numPr>
          <w:ilvl w:val="0"/>
          <w:numId w:val="4"/>
        </w:numPr>
        <w:rPr>
          <w:sz w:val="24"/>
          <w:szCs w:val="24"/>
        </w:rPr>
      </w:pPr>
      <w:r w:rsidRPr="00A57667">
        <w:rPr>
          <w:sz w:val="24"/>
          <w:szCs w:val="24"/>
        </w:rPr>
        <w:t>B</w:t>
      </w:r>
      <w:r w:rsidR="00533C93" w:rsidRPr="00A57667">
        <w:rPr>
          <w:sz w:val="24"/>
          <w:szCs w:val="24"/>
        </w:rPr>
        <w:t xml:space="preserve">ūvniecības apjoms Latvijā </w:t>
      </w:r>
      <w:r w:rsidR="00637B4C" w:rsidRPr="00A57667">
        <w:rPr>
          <w:sz w:val="24"/>
          <w:szCs w:val="24"/>
        </w:rPr>
        <w:t>(8,00)</w:t>
      </w:r>
      <w:r w:rsidR="00284D51" w:rsidRPr="00A57667">
        <w:rPr>
          <w:sz w:val="24"/>
          <w:szCs w:val="24"/>
        </w:rPr>
        <w:t>;</w:t>
      </w:r>
    </w:p>
    <w:p w14:paraId="297CF1D0" w14:textId="55E29352" w:rsidR="00637B4C" w:rsidRPr="00A57667" w:rsidRDefault="00EA010B" w:rsidP="00AB3491">
      <w:pPr>
        <w:pStyle w:val="ListParagraph"/>
        <w:numPr>
          <w:ilvl w:val="0"/>
          <w:numId w:val="4"/>
        </w:numPr>
        <w:rPr>
          <w:sz w:val="24"/>
          <w:szCs w:val="24"/>
        </w:rPr>
      </w:pPr>
      <w:r w:rsidRPr="00A57667">
        <w:rPr>
          <w:sz w:val="24"/>
          <w:szCs w:val="24"/>
        </w:rPr>
        <w:lastRenderedPageBreak/>
        <w:t>P</w:t>
      </w:r>
      <w:r w:rsidR="00533C93" w:rsidRPr="00A57667">
        <w:rPr>
          <w:sz w:val="24"/>
          <w:szCs w:val="24"/>
        </w:rPr>
        <w:t xml:space="preserve">ar publiskiem līdzekļiem īstenoto būvniecības ieceru apjoms </w:t>
      </w:r>
      <w:r w:rsidR="00637B4C" w:rsidRPr="00A57667">
        <w:rPr>
          <w:sz w:val="24"/>
          <w:szCs w:val="24"/>
        </w:rPr>
        <w:t>(7,</w:t>
      </w:r>
      <w:r w:rsidR="00533C93" w:rsidRPr="00A57667">
        <w:rPr>
          <w:sz w:val="24"/>
          <w:szCs w:val="24"/>
        </w:rPr>
        <w:t>27</w:t>
      </w:r>
      <w:r w:rsidR="00637B4C" w:rsidRPr="00A57667">
        <w:rPr>
          <w:sz w:val="24"/>
          <w:szCs w:val="24"/>
        </w:rPr>
        <w:t>);</w:t>
      </w:r>
    </w:p>
    <w:p w14:paraId="11BD525F" w14:textId="104CBB05" w:rsidR="00EF4072" w:rsidRPr="00A57667" w:rsidRDefault="00EA010B" w:rsidP="00AB3491">
      <w:pPr>
        <w:pStyle w:val="ListParagraph"/>
        <w:numPr>
          <w:ilvl w:val="0"/>
          <w:numId w:val="4"/>
        </w:numPr>
        <w:rPr>
          <w:sz w:val="24"/>
          <w:szCs w:val="24"/>
        </w:rPr>
      </w:pPr>
      <w:r w:rsidRPr="00A57667">
        <w:rPr>
          <w:sz w:val="24"/>
          <w:szCs w:val="24"/>
        </w:rPr>
        <w:t>Ē</w:t>
      </w:r>
      <w:r w:rsidR="00533C93" w:rsidRPr="00A57667">
        <w:rPr>
          <w:sz w:val="24"/>
          <w:szCs w:val="24"/>
        </w:rPr>
        <w:t xml:space="preserve">nu ekonomikas apkarošanas pasākumu apjoms Latvijā </w:t>
      </w:r>
      <w:r w:rsidR="00774A69" w:rsidRPr="00A57667">
        <w:rPr>
          <w:sz w:val="24"/>
          <w:szCs w:val="24"/>
        </w:rPr>
        <w:t>(7,</w:t>
      </w:r>
      <w:r w:rsidR="00533C93" w:rsidRPr="00A57667">
        <w:rPr>
          <w:sz w:val="24"/>
          <w:szCs w:val="24"/>
        </w:rPr>
        <w:t>13</w:t>
      </w:r>
      <w:r w:rsidR="00774A69" w:rsidRPr="00A57667">
        <w:rPr>
          <w:sz w:val="24"/>
          <w:szCs w:val="24"/>
        </w:rPr>
        <w:t>)</w:t>
      </w:r>
      <w:r w:rsidR="00284D51" w:rsidRPr="00A57667">
        <w:rPr>
          <w:sz w:val="24"/>
          <w:szCs w:val="24"/>
        </w:rPr>
        <w:t>.</w:t>
      </w:r>
    </w:p>
    <w:p w14:paraId="3F41AAD9" w14:textId="2A533BA9" w:rsidR="0030151E" w:rsidRPr="00A57667" w:rsidRDefault="00C41FA4" w:rsidP="00462162">
      <w:pPr>
        <w:rPr>
          <w:sz w:val="24"/>
          <w:szCs w:val="24"/>
        </w:rPr>
      </w:pPr>
      <w:r w:rsidRPr="00A57667">
        <w:rPr>
          <w:sz w:val="24"/>
          <w:szCs w:val="24"/>
        </w:rPr>
        <w:t>V</w:t>
      </w:r>
      <w:r w:rsidR="00774A69" w:rsidRPr="00A57667">
        <w:rPr>
          <w:sz w:val="24"/>
          <w:szCs w:val="24"/>
        </w:rPr>
        <w:t>isvairāk ekspertu viedoklis variē</w:t>
      </w:r>
      <w:r w:rsidRPr="00A57667">
        <w:rPr>
          <w:sz w:val="24"/>
          <w:szCs w:val="24"/>
        </w:rPr>
        <w:t>ja</w:t>
      </w:r>
      <w:r w:rsidR="00774A69" w:rsidRPr="00A57667">
        <w:rPr>
          <w:sz w:val="24"/>
          <w:szCs w:val="24"/>
        </w:rPr>
        <w:t xml:space="preserve"> vērtējot </w:t>
      </w:r>
      <w:r w:rsidR="001223A6" w:rsidRPr="00A57667">
        <w:rPr>
          <w:sz w:val="24"/>
          <w:szCs w:val="24"/>
        </w:rPr>
        <w:t>bezdarba līmeni gan Latvijā kopā, gan citās nozarēs</w:t>
      </w:r>
      <w:r w:rsidR="00455B48" w:rsidRPr="00A57667">
        <w:rPr>
          <w:sz w:val="24"/>
          <w:szCs w:val="24"/>
        </w:rPr>
        <w:t>. S</w:t>
      </w:r>
      <w:r w:rsidR="00774A69" w:rsidRPr="00A57667">
        <w:rPr>
          <w:sz w:val="24"/>
          <w:szCs w:val="24"/>
        </w:rPr>
        <w:t>avukārt vislielākā ekspertu vienprātīb</w:t>
      </w:r>
      <w:r w:rsidR="00455B48" w:rsidRPr="00A57667">
        <w:rPr>
          <w:sz w:val="24"/>
          <w:szCs w:val="24"/>
        </w:rPr>
        <w:t xml:space="preserve">a, kas liecina, par to ka ietekme ir ticama, ir </w:t>
      </w:r>
      <w:r w:rsidR="00462162" w:rsidRPr="00A57667">
        <w:rPr>
          <w:sz w:val="24"/>
          <w:szCs w:val="24"/>
        </w:rPr>
        <w:t xml:space="preserve">par </w:t>
      </w:r>
      <w:r w:rsidR="005337BF" w:rsidRPr="00A57667">
        <w:rPr>
          <w:sz w:val="24"/>
          <w:szCs w:val="24"/>
        </w:rPr>
        <w:t>sekojošiem</w:t>
      </w:r>
      <w:r w:rsidR="00774A69" w:rsidRPr="00A57667">
        <w:rPr>
          <w:sz w:val="24"/>
          <w:szCs w:val="24"/>
        </w:rPr>
        <w:t xml:space="preserve"> faktoriem</w:t>
      </w:r>
      <w:r w:rsidR="00DC55D5" w:rsidRPr="00A57667">
        <w:rPr>
          <w:sz w:val="24"/>
          <w:szCs w:val="24"/>
        </w:rPr>
        <w:t>:</w:t>
      </w:r>
      <w:r w:rsidR="005337BF" w:rsidRPr="00A57667">
        <w:rPr>
          <w:sz w:val="24"/>
          <w:szCs w:val="24"/>
        </w:rPr>
        <w:t xml:space="preserve"> (1) </w:t>
      </w:r>
      <w:r w:rsidR="004139B6" w:rsidRPr="00A57667">
        <w:rPr>
          <w:sz w:val="24"/>
          <w:szCs w:val="24"/>
        </w:rPr>
        <w:t xml:space="preserve">par publiskiem līdzekļiem īstenoto būvniecības ieceru apjoms; </w:t>
      </w:r>
      <w:r w:rsidR="005337BF" w:rsidRPr="00A57667">
        <w:rPr>
          <w:sz w:val="24"/>
          <w:szCs w:val="24"/>
        </w:rPr>
        <w:t xml:space="preserve">(2) </w:t>
      </w:r>
      <w:r w:rsidR="00EF4170" w:rsidRPr="00A57667">
        <w:rPr>
          <w:sz w:val="24"/>
          <w:szCs w:val="24"/>
        </w:rPr>
        <w:t>ē</w:t>
      </w:r>
      <w:r w:rsidR="004139B6" w:rsidRPr="00A57667">
        <w:rPr>
          <w:sz w:val="24"/>
          <w:szCs w:val="24"/>
        </w:rPr>
        <w:t xml:space="preserve">nu ekonomikas apkarošanas pasākumu apjoms Latvijā; </w:t>
      </w:r>
      <w:r w:rsidR="005337BF" w:rsidRPr="00A57667">
        <w:rPr>
          <w:sz w:val="24"/>
          <w:szCs w:val="24"/>
        </w:rPr>
        <w:t xml:space="preserve">(3) </w:t>
      </w:r>
      <w:r w:rsidR="004139B6" w:rsidRPr="00A57667">
        <w:rPr>
          <w:sz w:val="24"/>
          <w:szCs w:val="24"/>
        </w:rPr>
        <w:t>ES darbaspēka pieprasījums būvniecības nozarē</w:t>
      </w:r>
      <w:r w:rsidR="00774A69" w:rsidRPr="00A57667">
        <w:rPr>
          <w:sz w:val="24"/>
          <w:szCs w:val="24"/>
        </w:rPr>
        <w:t xml:space="preserve">. </w:t>
      </w:r>
    </w:p>
    <w:p w14:paraId="36338402" w14:textId="763099A9" w:rsidR="00990480" w:rsidRPr="00A57667" w:rsidRDefault="00990480" w:rsidP="00990480">
      <w:pPr>
        <w:rPr>
          <w:sz w:val="24"/>
          <w:szCs w:val="24"/>
        </w:rPr>
      </w:pPr>
      <w:proofErr w:type="spellStart"/>
      <w:r w:rsidRPr="00A57667">
        <w:rPr>
          <w:sz w:val="24"/>
          <w:szCs w:val="24"/>
        </w:rPr>
        <w:t>Apakšnozaru</w:t>
      </w:r>
      <w:proofErr w:type="spellEnd"/>
      <w:r w:rsidRPr="00A57667">
        <w:rPr>
          <w:sz w:val="24"/>
          <w:szCs w:val="24"/>
        </w:rPr>
        <w:t xml:space="preserve"> ekspertu (uzņēmēju) vērtējumos arī dominējošais ietekmējošais faktors, kas visvairāk izraisa būvniecības darbaspēka izmaksu izmaiņas, ir </w:t>
      </w:r>
      <w:r w:rsidRPr="00A57667">
        <w:rPr>
          <w:sz w:val="24"/>
          <w:szCs w:val="24"/>
          <w:u w:val="single"/>
        </w:rPr>
        <w:t>darbaspēka nodokļu līmenis Latvijā</w:t>
      </w:r>
      <w:r w:rsidR="00207741" w:rsidRPr="00A57667">
        <w:rPr>
          <w:sz w:val="24"/>
          <w:szCs w:val="24"/>
          <w:u w:val="single"/>
        </w:rPr>
        <w:t xml:space="preserve"> (</w:t>
      </w:r>
      <w:r w:rsidRPr="00A57667">
        <w:rPr>
          <w:sz w:val="24"/>
          <w:szCs w:val="24"/>
        </w:rPr>
        <w:t>7,86</w:t>
      </w:r>
      <w:r w:rsidR="00207741" w:rsidRPr="00A57667">
        <w:rPr>
          <w:sz w:val="24"/>
          <w:szCs w:val="24"/>
        </w:rPr>
        <w:t xml:space="preserve">), </w:t>
      </w:r>
      <w:r w:rsidRPr="00A57667">
        <w:rPr>
          <w:sz w:val="24"/>
          <w:szCs w:val="24"/>
        </w:rPr>
        <w:t xml:space="preserve">būvniecības apjoms Latvijā (7,57) un darbaspēka samaksas līmenis ES valstīs būvniecības nozarē (7,20). </w:t>
      </w:r>
    </w:p>
    <w:p w14:paraId="75F2CE65" w14:textId="77777777" w:rsidR="00462162" w:rsidRPr="00A57667" w:rsidRDefault="00462162" w:rsidP="00EA010B">
      <w:pPr>
        <w:pStyle w:val="Default"/>
        <w:spacing w:after="131" w:line="360" w:lineRule="auto"/>
        <w:jc w:val="both"/>
        <w:rPr>
          <w:rFonts w:ascii="Times New Roman" w:hAnsi="Times New Roman" w:cs="Times New Roman"/>
          <w:u w:val="single"/>
        </w:rPr>
      </w:pPr>
    </w:p>
    <w:p w14:paraId="37C6B611" w14:textId="42427797" w:rsidR="00990480" w:rsidRDefault="00990480" w:rsidP="00990480">
      <w:pPr>
        <w:pStyle w:val="Heading3"/>
      </w:pPr>
      <w:proofErr w:type="spellStart"/>
      <w:r>
        <w:t>Buvmateriālu</w:t>
      </w:r>
      <w:proofErr w:type="spellEnd"/>
      <w:r>
        <w:t xml:space="preserve"> izmaksu </w:t>
      </w:r>
      <w:r w:rsidRPr="008E1069">
        <w:t>ietekmējošo faktoru novērtējums</w:t>
      </w:r>
    </w:p>
    <w:p w14:paraId="2E04B744" w14:textId="77777777" w:rsidR="00270F10" w:rsidRDefault="00270F10" w:rsidP="0093148A">
      <w:pPr>
        <w:rPr>
          <w:highlight w:val="yellow"/>
        </w:rPr>
      </w:pPr>
    </w:p>
    <w:p w14:paraId="21C1C54A" w14:textId="3BE8FB67" w:rsidR="00B04715" w:rsidRPr="00A57667" w:rsidRDefault="00B04715" w:rsidP="00B04715">
      <w:pPr>
        <w:rPr>
          <w:sz w:val="24"/>
          <w:szCs w:val="24"/>
        </w:rPr>
      </w:pPr>
      <w:bookmarkStart w:id="10" w:name="_Ref522227821"/>
      <w:r w:rsidRPr="00A57667">
        <w:rPr>
          <w:sz w:val="24"/>
          <w:szCs w:val="24"/>
        </w:rPr>
        <w:t>Apkopojot vispārējo ekspertu viedokļus, kā četri būtiskākie faktori, kas visvairāk ietekmē būvmateriālu izmaksas būvniecības nozarē, ir:</w:t>
      </w:r>
    </w:p>
    <w:p w14:paraId="21BA72F7" w14:textId="77777777" w:rsidR="00B04715" w:rsidRPr="00A57667" w:rsidRDefault="00B04715" w:rsidP="00AB3491">
      <w:pPr>
        <w:pStyle w:val="ListParagraph"/>
        <w:numPr>
          <w:ilvl w:val="0"/>
          <w:numId w:val="3"/>
        </w:numPr>
        <w:rPr>
          <w:sz w:val="24"/>
          <w:szCs w:val="24"/>
        </w:rPr>
      </w:pPr>
      <w:r w:rsidRPr="00A57667">
        <w:rPr>
          <w:sz w:val="24"/>
          <w:szCs w:val="24"/>
        </w:rPr>
        <w:t>būvniecības apjoms Latvijā (8,06);</w:t>
      </w:r>
    </w:p>
    <w:p w14:paraId="08D9215C" w14:textId="77777777" w:rsidR="00B04715" w:rsidRPr="00A57667" w:rsidRDefault="00B04715" w:rsidP="00AB3491">
      <w:pPr>
        <w:pStyle w:val="ListParagraph"/>
        <w:numPr>
          <w:ilvl w:val="0"/>
          <w:numId w:val="3"/>
        </w:numPr>
        <w:rPr>
          <w:sz w:val="24"/>
          <w:szCs w:val="24"/>
        </w:rPr>
      </w:pPr>
      <w:r w:rsidRPr="00A57667">
        <w:rPr>
          <w:sz w:val="24"/>
          <w:szCs w:val="24"/>
        </w:rPr>
        <w:t>par publiskiem līdzekļiem īstenoto būvniecības ieceru apjoms (6,87);</w:t>
      </w:r>
    </w:p>
    <w:p w14:paraId="0CE17FAC" w14:textId="77777777" w:rsidR="00B04715" w:rsidRPr="00A57667" w:rsidRDefault="00B04715" w:rsidP="00AB3491">
      <w:pPr>
        <w:pStyle w:val="ListParagraph"/>
        <w:numPr>
          <w:ilvl w:val="0"/>
          <w:numId w:val="3"/>
        </w:numPr>
        <w:rPr>
          <w:sz w:val="24"/>
          <w:szCs w:val="24"/>
        </w:rPr>
      </w:pPr>
      <w:r w:rsidRPr="00A57667">
        <w:rPr>
          <w:sz w:val="24"/>
          <w:szCs w:val="24"/>
        </w:rPr>
        <w:t>iekšzemes kopprodukta izmaiņas Latvijā (6,94);</w:t>
      </w:r>
    </w:p>
    <w:p w14:paraId="41EB9445" w14:textId="77777777" w:rsidR="00B04715" w:rsidRPr="00A57667" w:rsidRDefault="00B04715" w:rsidP="00AB3491">
      <w:pPr>
        <w:pStyle w:val="ListParagraph"/>
        <w:numPr>
          <w:ilvl w:val="0"/>
          <w:numId w:val="3"/>
        </w:numPr>
        <w:rPr>
          <w:sz w:val="24"/>
          <w:szCs w:val="24"/>
        </w:rPr>
      </w:pPr>
      <w:r w:rsidRPr="00A57667">
        <w:rPr>
          <w:sz w:val="24"/>
          <w:szCs w:val="24"/>
        </w:rPr>
        <w:t>nekustamā īpašuma kreditēšanas apjomi Latvijā (6,75).</w:t>
      </w:r>
    </w:p>
    <w:bookmarkEnd w:id="10"/>
    <w:p w14:paraId="6CF9054F" w14:textId="35F9D58F" w:rsidR="00F01260" w:rsidRPr="00A57667" w:rsidRDefault="00C41FA4" w:rsidP="00115A4A">
      <w:pPr>
        <w:rPr>
          <w:sz w:val="24"/>
          <w:szCs w:val="24"/>
        </w:rPr>
      </w:pPr>
      <w:r w:rsidRPr="00A57667">
        <w:rPr>
          <w:sz w:val="24"/>
          <w:szCs w:val="24"/>
        </w:rPr>
        <w:t>V</w:t>
      </w:r>
      <w:r w:rsidR="00115A4A" w:rsidRPr="00A57667">
        <w:rPr>
          <w:sz w:val="24"/>
          <w:szCs w:val="24"/>
        </w:rPr>
        <w:t>isvairāk ekspertu viedoklis variē</w:t>
      </w:r>
      <w:r w:rsidRPr="00A57667">
        <w:rPr>
          <w:sz w:val="24"/>
          <w:szCs w:val="24"/>
        </w:rPr>
        <w:t>ja</w:t>
      </w:r>
      <w:r w:rsidR="00115A4A" w:rsidRPr="00A57667">
        <w:rPr>
          <w:sz w:val="24"/>
          <w:szCs w:val="24"/>
        </w:rPr>
        <w:t xml:space="preserve"> vērtējot </w:t>
      </w:r>
      <w:r w:rsidR="00693ED7" w:rsidRPr="00A57667">
        <w:rPr>
          <w:sz w:val="24"/>
          <w:szCs w:val="24"/>
        </w:rPr>
        <w:t>būvniecības ieceru skaitu Latvijā</w:t>
      </w:r>
      <w:r w:rsidR="00516ADE" w:rsidRPr="00A57667">
        <w:rPr>
          <w:sz w:val="24"/>
          <w:szCs w:val="24"/>
        </w:rPr>
        <w:t xml:space="preserve">. </w:t>
      </w:r>
      <w:r w:rsidR="00115A4A" w:rsidRPr="00A57667">
        <w:rPr>
          <w:sz w:val="24"/>
          <w:szCs w:val="24"/>
        </w:rPr>
        <w:t>Savukārt</w:t>
      </w:r>
      <w:r w:rsidR="00E0478E" w:rsidRPr="00A57667">
        <w:rPr>
          <w:sz w:val="24"/>
          <w:szCs w:val="24"/>
        </w:rPr>
        <w:t>,</w:t>
      </w:r>
      <w:r w:rsidR="00115A4A" w:rsidRPr="00A57667">
        <w:rPr>
          <w:sz w:val="24"/>
          <w:szCs w:val="24"/>
        </w:rPr>
        <w:t xml:space="preserve"> vislielākā ekspertu vienprātīb</w:t>
      </w:r>
      <w:r w:rsidR="00326E0B" w:rsidRPr="00A57667">
        <w:rPr>
          <w:sz w:val="24"/>
          <w:szCs w:val="24"/>
        </w:rPr>
        <w:t>a</w:t>
      </w:r>
      <w:r w:rsidR="00115A4A" w:rsidRPr="00A57667">
        <w:rPr>
          <w:sz w:val="24"/>
          <w:szCs w:val="24"/>
        </w:rPr>
        <w:t xml:space="preserve"> </w:t>
      </w:r>
      <w:r w:rsidRPr="00A57667">
        <w:rPr>
          <w:sz w:val="24"/>
          <w:szCs w:val="24"/>
        </w:rPr>
        <w:t xml:space="preserve">bija </w:t>
      </w:r>
      <w:r w:rsidR="00115A4A" w:rsidRPr="00A57667">
        <w:rPr>
          <w:sz w:val="24"/>
          <w:szCs w:val="24"/>
        </w:rPr>
        <w:t>atrodama faktoriem</w:t>
      </w:r>
      <w:r w:rsidR="00AF6B0C" w:rsidRPr="00A57667">
        <w:rPr>
          <w:sz w:val="24"/>
          <w:szCs w:val="24"/>
        </w:rPr>
        <w:t>:</w:t>
      </w:r>
      <w:r w:rsidR="00115A4A" w:rsidRPr="00A57667">
        <w:rPr>
          <w:sz w:val="24"/>
          <w:szCs w:val="24"/>
        </w:rPr>
        <w:t xml:space="preserve"> </w:t>
      </w:r>
      <w:r w:rsidR="00E0478E" w:rsidRPr="00A57667">
        <w:rPr>
          <w:sz w:val="24"/>
          <w:szCs w:val="24"/>
        </w:rPr>
        <w:t xml:space="preserve">(1) </w:t>
      </w:r>
      <w:r w:rsidR="00140313" w:rsidRPr="00A57667">
        <w:rPr>
          <w:sz w:val="24"/>
          <w:szCs w:val="24"/>
        </w:rPr>
        <w:t xml:space="preserve">iekšzemes kopprodukta izmaiņas Latvijā; </w:t>
      </w:r>
      <w:r w:rsidR="00E0478E" w:rsidRPr="00A57667">
        <w:rPr>
          <w:sz w:val="24"/>
          <w:szCs w:val="24"/>
        </w:rPr>
        <w:t xml:space="preserve">(2) </w:t>
      </w:r>
      <w:r w:rsidR="008461D8" w:rsidRPr="00A57667">
        <w:rPr>
          <w:sz w:val="24"/>
          <w:szCs w:val="24"/>
        </w:rPr>
        <w:t>k</w:t>
      </w:r>
      <w:r w:rsidR="00140313" w:rsidRPr="00A57667">
        <w:rPr>
          <w:sz w:val="24"/>
          <w:szCs w:val="24"/>
        </w:rPr>
        <w:t xml:space="preserve">onkurences koncentrācijas rādītāji būvmateriālu tirgū Latvijā; </w:t>
      </w:r>
      <w:r w:rsidR="00E0478E" w:rsidRPr="00A57667">
        <w:rPr>
          <w:sz w:val="24"/>
          <w:szCs w:val="24"/>
        </w:rPr>
        <w:t xml:space="preserve">(3) </w:t>
      </w:r>
      <w:r w:rsidR="008461D8" w:rsidRPr="00A57667">
        <w:rPr>
          <w:sz w:val="24"/>
          <w:szCs w:val="24"/>
        </w:rPr>
        <w:t>ē</w:t>
      </w:r>
      <w:r w:rsidR="00140313" w:rsidRPr="00A57667">
        <w:rPr>
          <w:sz w:val="24"/>
          <w:szCs w:val="24"/>
        </w:rPr>
        <w:t>nu ekonomikas apkarošanas pasākumu apjoms Latvijā</w:t>
      </w:r>
      <w:r w:rsidR="00115A4A" w:rsidRPr="00A57667">
        <w:rPr>
          <w:sz w:val="24"/>
          <w:szCs w:val="24"/>
        </w:rPr>
        <w:t xml:space="preserve">. </w:t>
      </w:r>
      <w:r w:rsidR="008461D8" w:rsidRPr="00A57667">
        <w:rPr>
          <w:sz w:val="24"/>
          <w:szCs w:val="24"/>
          <w:u w:val="single"/>
        </w:rPr>
        <w:t xml:space="preserve">Starp šiem faktoriem kā </w:t>
      </w:r>
      <w:r w:rsidR="00115A4A" w:rsidRPr="00A57667">
        <w:rPr>
          <w:sz w:val="24"/>
          <w:szCs w:val="24"/>
          <w:u w:val="single"/>
        </w:rPr>
        <w:t>visbūtiskāk</w:t>
      </w:r>
      <w:r w:rsidR="008461D8" w:rsidRPr="00A57667">
        <w:rPr>
          <w:sz w:val="24"/>
          <w:szCs w:val="24"/>
          <w:u w:val="single"/>
        </w:rPr>
        <w:t xml:space="preserve">ais </w:t>
      </w:r>
      <w:r w:rsidR="00115A4A" w:rsidRPr="00A57667">
        <w:rPr>
          <w:sz w:val="24"/>
          <w:szCs w:val="24"/>
          <w:u w:val="single"/>
        </w:rPr>
        <w:t>darbaspēka izmaksas ietekmējoš</w:t>
      </w:r>
      <w:r w:rsidR="008461D8" w:rsidRPr="00A57667">
        <w:rPr>
          <w:sz w:val="24"/>
          <w:szCs w:val="24"/>
          <w:u w:val="single"/>
        </w:rPr>
        <w:t xml:space="preserve">s </w:t>
      </w:r>
      <w:r w:rsidR="00115A4A" w:rsidRPr="00A57667">
        <w:rPr>
          <w:sz w:val="24"/>
          <w:szCs w:val="24"/>
          <w:u w:val="single"/>
        </w:rPr>
        <w:t>faktor</w:t>
      </w:r>
      <w:r w:rsidR="008461D8" w:rsidRPr="00A57667">
        <w:rPr>
          <w:sz w:val="24"/>
          <w:szCs w:val="24"/>
          <w:u w:val="single"/>
        </w:rPr>
        <w:t>s figurē IKP izmaiņas</w:t>
      </w:r>
      <w:r w:rsidR="00115A4A" w:rsidRPr="00A57667">
        <w:rPr>
          <w:sz w:val="24"/>
          <w:szCs w:val="24"/>
          <w:u w:val="single"/>
        </w:rPr>
        <w:t xml:space="preserve">, tas liecina, ka </w:t>
      </w:r>
      <w:r w:rsidR="008461D8" w:rsidRPr="00A57667">
        <w:rPr>
          <w:sz w:val="24"/>
          <w:szCs w:val="24"/>
          <w:u w:val="single"/>
        </w:rPr>
        <w:t xml:space="preserve">šī </w:t>
      </w:r>
      <w:r w:rsidR="00115A4A" w:rsidRPr="00A57667">
        <w:rPr>
          <w:sz w:val="24"/>
          <w:szCs w:val="24"/>
          <w:u w:val="single"/>
        </w:rPr>
        <w:t>faktoru ietekme ir ticama, vairuma ekspertu atzīta.</w:t>
      </w:r>
      <w:r w:rsidR="008461D8" w:rsidRPr="00A57667">
        <w:rPr>
          <w:sz w:val="24"/>
          <w:szCs w:val="24"/>
        </w:rPr>
        <w:t xml:space="preserve"> Pārējie faktori ir ar vidēju ietekmes pakāpi.</w:t>
      </w:r>
    </w:p>
    <w:p w14:paraId="6207008C" w14:textId="27729136" w:rsidR="00870966" w:rsidRPr="00A57667" w:rsidRDefault="00870966" w:rsidP="00870966">
      <w:pPr>
        <w:rPr>
          <w:sz w:val="24"/>
          <w:szCs w:val="24"/>
        </w:rPr>
      </w:pPr>
      <w:r w:rsidRPr="00A57667">
        <w:rPr>
          <w:sz w:val="24"/>
          <w:szCs w:val="24"/>
        </w:rPr>
        <w:t xml:space="preserve">Attiecīgi </w:t>
      </w:r>
      <w:proofErr w:type="spellStart"/>
      <w:r w:rsidRPr="00A57667">
        <w:rPr>
          <w:sz w:val="24"/>
          <w:szCs w:val="24"/>
        </w:rPr>
        <w:t>apakšnozaru</w:t>
      </w:r>
      <w:proofErr w:type="spellEnd"/>
      <w:r w:rsidRPr="00A57667">
        <w:rPr>
          <w:sz w:val="24"/>
          <w:szCs w:val="24"/>
        </w:rPr>
        <w:t xml:space="preserve"> ekspert</w:t>
      </w:r>
      <w:r w:rsidR="00516ADE" w:rsidRPr="00A57667">
        <w:rPr>
          <w:sz w:val="24"/>
          <w:szCs w:val="24"/>
        </w:rPr>
        <w:t>i</w:t>
      </w:r>
      <w:r w:rsidRPr="00A57667">
        <w:rPr>
          <w:sz w:val="24"/>
          <w:szCs w:val="24"/>
        </w:rPr>
        <w:t xml:space="preserve">, vērtējot būtiskākos faktorus, kas ietekmē visas būvniecības nozares būvmateriālu izmaksu izmaiņas, kā būtiskāko atzina </w:t>
      </w:r>
      <w:r w:rsidRPr="00A57667">
        <w:rPr>
          <w:sz w:val="24"/>
          <w:szCs w:val="24"/>
          <w:u w:val="single"/>
        </w:rPr>
        <w:t>būvniecības apjomu valstī</w:t>
      </w:r>
      <w:r w:rsidRPr="00A57667">
        <w:rPr>
          <w:sz w:val="24"/>
          <w:szCs w:val="24"/>
        </w:rPr>
        <w:t xml:space="preserve"> </w:t>
      </w:r>
      <w:r w:rsidR="00516ADE" w:rsidRPr="00A57667">
        <w:rPr>
          <w:sz w:val="24"/>
          <w:szCs w:val="24"/>
        </w:rPr>
        <w:t xml:space="preserve">, </w:t>
      </w:r>
      <w:r w:rsidRPr="00A57667">
        <w:rPr>
          <w:sz w:val="24"/>
          <w:szCs w:val="24"/>
        </w:rPr>
        <w:t>kam sekoja ES kopējais būvniecības tirgus pieprasījums</w:t>
      </w:r>
      <w:r w:rsidR="00516ADE" w:rsidRPr="00A57667">
        <w:rPr>
          <w:sz w:val="24"/>
          <w:szCs w:val="24"/>
        </w:rPr>
        <w:t xml:space="preserve"> un </w:t>
      </w:r>
      <w:r w:rsidRPr="00A57667">
        <w:rPr>
          <w:sz w:val="24"/>
          <w:szCs w:val="24"/>
        </w:rPr>
        <w:t>vidējā degvielas cena Latvijā</w:t>
      </w:r>
      <w:r w:rsidR="00516ADE" w:rsidRPr="00A57667">
        <w:rPr>
          <w:sz w:val="24"/>
          <w:szCs w:val="24"/>
        </w:rPr>
        <w:t>.</w:t>
      </w:r>
    </w:p>
    <w:p w14:paraId="4D14BEF9" w14:textId="2FEF3804" w:rsidR="00C72565" w:rsidRDefault="00C72565" w:rsidP="00115A4A"/>
    <w:p w14:paraId="2E4DF07D" w14:textId="0D160B0C" w:rsidR="00603649" w:rsidRDefault="00603649" w:rsidP="00F016B1">
      <w:pPr>
        <w:pStyle w:val="Heading2"/>
        <w:numPr>
          <w:ilvl w:val="1"/>
          <w:numId w:val="1"/>
        </w:numPr>
      </w:pPr>
      <w:bookmarkStart w:id="11" w:name="_Toc54287915"/>
      <w:r w:rsidRPr="0056681F">
        <w:lastRenderedPageBreak/>
        <w:t>Darbaspēka</w:t>
      </w:r>
      <w:r>
        <w:t xml:space="preserve"> un būvmateriālu</w:t>
      </w:r>
      <w:r w:rsidRPr="0056681F">
        <w:t xml:space="preserve"> izmaksu izmaiņas ietekmējošie faktori</w:t>
      </w:r>
      <w:r>
        <w:t xml:space="preserve"> pa </w:t>
      </w:r>
      <w:proofErr w:type="spellStart"/>
      <w:r>
        <w:t>apakšnozarēm</w:t>
      </w:r>
      <w:bookmarkEnd w:id="11"/>
      <w:proofErr w:type="spellEnd"/>
    </w:p>
    <w:p w14:paraId="62CC18CA" w14:textId="27B61ADD" w:rsidR="006C0205" w:rsidRPr="00A57667" w:rsidRDefault="00007835" w:rsidP="00C67035">
      <w:pPr>
        <w:rPr>
          <w:sz w:val="24"/>
          <w:szCs w:val="24"/>
          <w:highlight w:val="yellow"/>
        </w:rPr>
      </w:pPr>
      <w:r w:rsidRPr="00A57667">
        <w:rPr>
          <w:sz w:val="24"/>
          <w:szCs w:val="24"/>
        </w:rPr>
        <w:t xml:space="preserve">Katrā no pētāmajām </w:t>
      </w:r>
      <w:proofErr w:type="spellStart"/>
      <w:r w:rsidRPr="00A57667">
        <w:rPr>
          <w:sz w:val="24"/>
          <w:szCs w:val="24"/>
        </w:rPr>
        <w:t>apakšnozarēm</w:t>
      </w:r>
      <w:proofErr w:type="spellEnd"/>
      <w:r w:rsidRPr="00A57667">
        <w:rPr>
          <w:sz w:val="24"/>
          <w:szCs w:val="24"/>
        </w:rPr>
        <w:t xml:space="preserve"> eksperti </w:t>
      </w:r>
      <w:r w:rsidR="00B7192C" w:rsidRPr="00A57667">
        <w:rPr>
          <w:sz w:val="24"/>
          <w:szCs w:val="24"/>
        </w:rPr>
        <w:t xml:space="preserve">novērtēja un identificēja </w:t>
      </w:r>
      <w:r w:rsidRPr="00A57667">
        <w:rPr>
          <w:sz w:val="24"/>
          <w:szCs w:val="24"/>
        </w:rPr>
        <w:t>arī atsevišķ</w:t>
      </w:r>
      <w:r w:rsidR="00837E25" w:rsidRPr="00A57667">
        <w:rPr>
          <w:sz w:val="24"/>
          <w:szCs w:val="24"/>
        </w:rPr>
        <w:t>us</w:t>
      </w:r>
      <w:r w:rsidRPr="00A57667">
        <w:rPr>
          <w:sz w:val="24"/>
          <w:szCs w:val="24"/>
        </w:rPr>
        <w:t xml:space="preserve"> faktorus, kas tieši ietekmē viņu pārstāvēto </w:t>
      </w:r>
      <w:proofErr w:type="spellStart"/>
      <w:r w:rsidRPr="00A57667">
        <w:rPr>
          <w:sz w:val="24"/>
          <w:szCs w:val="24"/>
        </w:rPr>
        <w:t>apakšnozari</w:t>
      </w:r>
      <w:proofErr w:type="spellEnd"/>
      <w:r w:rsidRPr="00A57667">
        <w:rPr>
          <w:sz w:val="24"/>
          <w:szCs w:val="24"/>
        </w:rPr>
        <w:t>, ne tikai kopējo būvniecības nozari.</w:t>
      </w:r>
      <w:r w:rsidRPr="00A57667">
        <w:rPr>
          <w:sz w:val="24"/>
          <w:szCs w:val="24"/>
          <w:highlight w:val="yellow"/>
        </w:rPr>
        <w:t xml:space="preserve"> </w:t>
      </w:r>
    </w:p>
    <w:p w14:paraId="40683E4A" w14:textId="71399696" w:rsidR="00BD148E" w:rsidRPr="00A57667" w:rsidRDefault="00497031" w:rsidP="00BD148E">
      <w:pPr>
        <w:rPr>
          <w:sz w:val="24"/>
          <w:szCs w:val="24"/>
        </w:rPr>
      </w:pPr>
      <w:r w:rsidRPr="00A57667">
        <w:rPr>
          <w:b/>
          <w:bCs/>
          <w:sz w:val="24"/>
          <w:szCs w:val="24"/>
          <w:u w:val="single"/>
        </w:rPr>
        <w:t xml:space="preserve">Dzīvojamo un nedzīvojamo ēku būvniecības </w:t>
      </w:r>
      <w:proofErr w:type="spellStart"/>
      <w:r w:rsidRPr="00A57667">
        <w:rPr>
          <w:b/>
          <w:bCs/>
          <w:sz w:val="24"/>
          <w:szCs w:val="24"/>
          <w:u w:val="single"/>
        </w:rPr>
        <w:t>apakšnozar</w:t>
      </w:r>
      <w:r w:rsidR="00A648ED" w:rsidRPr="00A57667">
        <w:rPr>
          <w:b/>
          <w:bCs/>
          <w:sz w:val="24"/>
          <w:szCs w:val="24"/>
          <w:u w:val="single"/>
        </w:rPr>
        <w:t>ē</w:t>
      </w:r>
      <w:proofErr w:type="spellEnd"/>
      <w:r w:rsidR="00A648ED" w:rsidRPr="00A57667">
        <w:rPr>
          <w:sz w:val="24"/>
          <w:szCs w:val="24"/>
          <w:u w:val="single"/>
        </w:rPr>
        <w:t xml:space="preserve"> b</w:t>
      </w:r>
      <w:r w:rsidR="00A648ED" w:rsidRPr="00A57667">
        <w:rPr>
          <w:sz w:val="24"/>
          <w:szCs w:val="24"/>
        </w:rPr>
        <w:t xml:space="preserve">ūtisks </w:t>
      </w:r>
      <w:r w:rsidRPr="00A57667">
        <w:rPr>
          <w:sz w:val="24"/>
          <w:szCs w:val="24"/>
        </w:rPr>
        <w:t xml:space="preserve">darbaspēka izmaksas ietekmējošos faktorus </w:t>
      </w:r>
      <w:r w:rsidR="00A648ED" w:rsidRPr="00A57667">
        <w:rPr>
          <w:sz w:val="24"/>
          <w:szCs w:val="24"/>
        </w:rPr>
        <w:t>ir</w:t>
      </w:r>
      <w:r w:rsidRPr="00A57667">
        <w:rPr>
          <w:sz w:val="24"/>
          <w:szCs w:val="24"/>
        </w:rPr>
        <w:t xml:space="preserve"> </w:t>
      </w:r>
      <w:r w:rsidRPr="00A57667">
        <w:rPr>
          <w:b/>
          <w:bCs/>
          <w:sz w:val="24"/>
          <w:szCs w:val="24"/>
        </w:rPr>
        <w:t>būvniecības apjoms</w:t>
      </w:r>
      <w:r w:rsidRPr="00A57667">
        <w:rPr>
          <w:sz w:val="24"/>
          <w:szCs w:val="24"/>
        </w:rPr>
        <w:t xml:space="preserve"> Latvijā ar vērtējumu 8,22 balles. </w:t>
      </w:r>
      <w:r w:rsidR="00BD148E" w:rsidRPr="00A57667">
        <w:rPr>
          <w:sz w:val="24"/>
          <w:szCs w:val="24"/>
        </w:rPr>
        <w:t xml:space="preserve">Kā cits faktors, kas atstās būtisku ietekmi uz darbaspēka izmaksām ekspertu vērtējumā būs ēnu ekonomikas apkarošanas pasākumu apjoms Latvijā. </w:t>
      </w:r>
    </w:p>
    <w:p w14:paraId="7649B079" w14:textId="54900B7A" w:rsidR="00497031" w:rsidRPr="00A57667" w:rsidRDefault="00497031" w:rsidP="00497031">
      <w:pPr>
        <w:rPr>
          <w:sz w:val="24"/>
          <w:szCs w:val="24"/>
        </w:rPr>
      </w:pPr>
      <w:r w:rsidRPr="00A57667">
        <w:rPr>
          <w:sz w:val="24"/>
          <w:szCs w:val="24"/>
        </w:rPr>
        <w:t xml:space="preserve">Vērtējot faktorus, kas ietekmē būvmateriālu izmaksas, </w:t>
      </w:r>
      <w:r w:rsidR="00BD148E" w:rsidRPr="00A57667">
        <w:rPr>
          <w:sz w:val="24"/>
          <w:szCs w:val="24"/>
        </w:rPr>
        <w:t>k</w:t>
      </w:r>
      <w:r w:rsidRPr="00A57667">
        <w:rPr>
          <w:sz w:val="24"/>
          <w:szCs w:val="24"/>
        </w:rPr>
        <w:t xml:space="preserve">ā būtiskākais ietekmējošais faktors arī tika novērtēts </w:t>
      </w:r>
      <w:r w:rsidRPr="00A57667">
        <w:rPr>
          <w:b/>
          <w:bCs/>
          <w:sz w:val="24"/>
          <w:szCs w:val="24"/>
        </w:rPr>
        <w:t xml:space="preserve">būvniecības apjoms </w:t>
      </w:r>
      <w:r w:rsidRPr="00A57667">
        <w:rPr>
          <w:sz w:val="24"/>
          <w:szCs w:val="24"/>
        </w:rPr>
        <w:t>valstī</w:t>
      </w:r>
      <w:r w:rsidR="005D0FA0" w:rsidRPr="00A57667">
        <w:rPr>
          <w:sz w:val="24"/>
          <w:szCs w:val="24"/>
        </w:rPr>
        <w:t xml:space="preserve"> (8,22)</w:t>
      </w:r>
      <w:r w:rsidRPr="00A57667">
        <w:rPr>
          <w:sz w:val="24"/>
          <w:szCs w:val="24"/>
        </w:rPr>
        <w:t xml:space="preserve">, kurš visvairāk ietekmē būvmateriālu izmaksas. </w:t>
      </w:r>
    </w:p>
    <w:p w14:paraId="7EC2228F" w14:textId="77777777" w:rsidR="0000450F" w:rsidRPr="00A57667" w:rsidRDefault="0000450F" w:rsidP="00C67035">
      <w:pPr>
        <w:rPr>
          <w:sz w:val="24"/>
          <w:szCs w:val="24"/>
        </w:rPr>
      </w:pPr>
    </w:p>
    <w:p w14:paraId="284F2F56" w14:textId="44CC4498" w:rsidR="00F156B6" w:rsidRPr="00A57667" w:rsidRDefault="00476A99" w:rsidP="00476A99">
      <w:pPr>
        <w:rPr>
          <w:sz w:val="24"/>
          <w:szCs w:val="24"/>
        </w:rPr>
      </w:pPr>
      <w:r w:rsidRPr="00A57667">
        <w:rPr>
          <w:b/>
          <w:bCs/>
          <w:sz w:val="24"/>
          <w:szCs w:val="24"/>
          <w:u w:val="single"/>
        </w:rPr>
        <w:t xml:space="preserve">Transporta objektu būvniecības </w:t>
      </w:r>
      <w:proofErr w:type="spellStart"/>
      <w:r w:rsidRPr="00A57667">
        <w:rPr>
          <w:b/>
          <w:bCs/>
          <w:sz w:val="24"/>
          <w:szCs w:val="24"/>
          <w:u w:val="single"/>
        </w:rPr>
        <w:t>apakšnozares</w:t>
      </w:r>
      <w:proofErr w:type="spellEnd"/>
      <w:r w:rsidRPr="00A57667">
        <w:rPr>
          <w:sz w:val="24"/>
          <w:szCs w:val="24"/>
        </w:rPr>
        <w:t xml:space="preserve"> darbaspēka izmaksas ietekmējošie faktori, </w:t>
      </w:r>
      <w:r w:rsidR="00DC076B" w:rsidRPr="00A57667">
        <w:rPr>
          <w:sz w:val="24"/>
          <w:szCs w:val="24"/>
        </w:rPr>
        <w:t>k</w:t>
      </w:r>
      <w:r w:rsidR="00B72883" w:rsidRPr="00A57667">
        <w:rPr>
          <w:sz w:val="24"/>
          <w:szCs w:val="24"/>
        </w:rPr>
        <w:t>u</w:t>
      </w:r>
      <w:r w:rsidR="00DC076B" w:rsidRPr="00A57667">
        <w:rPr>
          <w:sz w:val="24"/>
          <w:szCs w:val="24"/>
        </w:rPr>
        <w:t xml:space="preserve">rus vērtēja </w:t>
      </w:r>
      <w:r w:rsidR="00697666" w:rsidRPr="00A57667">
        <w:rPr>
          <w:sz w:val="24"/>
          <w:szCs w:val="24"/>
        </w:rPr>
        <w:t>eksperti</w:t>
      </w:r>
      <w:r w:rsidR="00DC076B" w:rsidRPr="00A57667">
        <w:rPr>
          <w:sz w:val="24"/>
          <w:szCs w:val="24"/>
        </w:rPr>
        <w:t xml:space="preserve">, bija saistīti tieši ar transporta objektu specifiku. </w:t>
      </w:r>
    </w:p>
    <w:p w14:paraId="6D217980" w14:textId="1DCAC8FA" w:rsidR="006F5077" w:rsidRDefault="00165802" w:rsidP="006F5077">
      <w:pPr>
        <w:pStyle w:val="Caption"/>
        <w:keepNext/>
        <w:spacing w:after="0"/>
        <w:jc w:val="right"/>
      </w:pPr>
      <w:r w:rsidRPr="00AB553A">
        <w:rPr>
          <w:color w:val="auto"/>
        </w:rPr>
        <w:t xml:space="preserve">Tabula </w:t>
      </w:r>
      <w:r w:rsidR="00AB553A" w:rsidRPr="00AB553A">
        <w:rPr>
          <w:color w:val="auto"/>
        </w:rPr>
        <w:t>1</w:t>
      </w:r>
      <w:r>
        <w:t xml:space="preserve">. </w:t>
      </w:r>
    </w:p>
    <w:p w14:paraId="49836055" w14:textId="383F1E62" w:rsidR="00165802" w:rsidRDefault="00165802" w:rsidP="006F5077">
      <w:pPr>
        <w:pStyle w:val="Caption"/>
        <w:keepNext/>
        <w:spacing w:after="0"/>
        <w:jc w:val="right"/>
      </w:pPr>
      <w:r>
        <w:t xml:space="preserve">Transporta objektu būvniecības </w:t>
      </w:r>
      <w:proofErr w:type="spellStart"/>
      <w:r>
        <w:t>apakšnozares</w:t>
      </w:r>
      <w:proofErr w:type="spellEnd"/>
      <w:r>
        <w:t xml:space="preserve"> ekspertu </w:t>
      </w:r>
      <w:r w:rsidR="00B70C5A">
        <w:t>vērtējumi par darbaspēka izmaksas ietekmējošiem faktoriem</w:t>
      </w:r>
      <w:r w:rsidR="006F5077">
        <w:t>.</w:t>
      </w:r>
    </w:p>
    <w:tbl>
      <w:tblPr>
        <w:tblStyle w:val="GridTable1Light"/>
        <w:tblW w:w="9130" w:type="dxa"/>
        <w:jc w:val="center"/>
        <w:tblLayout w:type="fixed"/>
        <w:tblLook w:val="06A0" w:firstRow="1" w:lastRow="0" w:firstColumn="1" w:lastColumn="0" w:noHBand="1" w:noVBand="1"/>
      </w:tblPr>
      <w:tblGrid>
        <w:gridCol w:w="7304"/>
        <w:gridCol w:w="913"/>
        <w:gridCol w:w="913"/>
      </w:tblGrid>
      <w:tr w:rsidR="001E1C0A" w:rsidRPr="00631B24" w14:paraId="288199F8" w14:textId="77777777" w:rsidTr="00401047">
        <w:trPr>
          <w:cnfStyle w:val="100000000000" w:firstRow="1" w:lastRow="0" w:firstColumn="0" w:lastColumn="0" w:oddVBand="0" w:evenVBand="0" w:oddHBand="0" w:evenHBand="0" w:firstRowFirstColumn="0" w:firstRowLastColumn="0" w:lastRowFirstColumn="0" w:lastRowLastColumn="0"/>
          <w:cantSplit/>
          <w:trHeight w:val="2041"/>
          <w:jc w:val="center"/>
        </w:trPr>
        <w:tc>
          <w:tcPr>
            <w:cnfStyle w:val="001000000000" w:firstRow="0" w:lastRow="0" w:firstColumn="1" w:lastColumn="0" w:oddVBand="0" w:evenVBand="0" w:oddHBand="0" w:evenHBand="0" w:firstRowFirstColumn="0" w:firstRowLastColumn="0" w:lastRowFirstColumn="0" w:lastRowLastColumn="0"/>
            <w:tcW w:w="7304" w:type="dxa"/>
            <w:noWrap/>
            <w:vAlign w:val="center"/>
            <w:hideMark/>
          </w:tcPr>
          <w:p w14:paraId="17D631A6" w14:textId="1E91A9EF" w:rsidR="001E1C0A" w:rsidRPr="00631B24" w:rsidRDefault="001E1C0A" w:rsidP="009B285B">
            <w:pPr>
              <w:spacing w:line="240" w:lineRule="auto"/>
              <w:ind w:firstLine="0"/>
              <w:jc w:val="center"/>
              <w:rPr>
                <w:rFonts w:eastAsia="Times New Roman" w:cstheme="minorHAnsi"/>
                <w:color w:val="000000"/>
                <w:lang w:eastAsia="lv-LV"/>
              </w:rPr>
            </w:pPr>
            <w:r w:rsidRPr="00835C58">
              <w:rPr>
                <w:rFonts w:eastAsia="Times New Roman" w:cstheme="minorHAnsi"/>
                <w:color w:val="000000"/>
                <w:lang w:eastAsia="lv-LV"/>
              </w:rPr>
              <w:t xml:space="preserve">Tieši transporta objektu būvniecības </w:t>
            </w:r>
            <w:proofErr w:type="spellStart"/>
            <w:r w:rsidRPr="00835C58">
              <w:rPr>
                <w:rFonts w:eastAsia="Times New Roman" w:cstheme="minorHAnsi"/>
                <w:color w:val="000000"/>
                <w:lang w:eastAsia="lv-LV"/>
              </w:rPr>
              <w:t>apakšnozari</w:t>
            </w:r>
            <w:proofErr w:type="spellEnd"/>
            <w:r w:rsidRPr="00835C58">
              <w:rPr>
                <w:rFonts w:eastAsia="Times New Roman" w:cstheme="minorHAnsi"/>
                <w:color w:val="000000"/>
                <w:lang w:eastAsia="lv-LV"/>
              </w:rPr>
              <w:t xml:space="preserve"> ietekmējošie faktori </w:t>
            </w:r>
          </w:p>
        </w:tc>
        <w:tc>
          <w:tcPr>
            <w:tcW w:w="913" w:type="dxa"/>
            <w:noWrap/>
            <w:textDirection w:val="btLr"/>
            <w:hideMark/>
          </w:tcPr>
          <w:p w14:paraId="0F3B667A" w14:textId="77777777" w:rsidR="001E1C0A" w:rsidRPr="00631B24" w:rsidRDefault="001E1C0A" w:rsidP="009B285B">
            <w:pPr>
              <w:spacing w:line="240"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631B24">
              <w:rPr>
                <w:rFonts w:eastAsia="Times New Roman" w:cstheme="minorHAnsi"/>
                <w:color w:val="000000"/>
                <w:lang w:eastAsia="lv-LV"/>
              </w:rPr>
              <w:t xml:space="preserve">Vidējais </w:t>
            </w:r>
            <w:proofErr w:type="spellStart"/>
            <w:r w:rsidRPr="00631B24">
              <w:rPr>
                <w:rFonts w:eastAsia="Times New Roman" w:cstheme="minorHAnsi"/>
                <w:color w:val="000000"/>
                <w:lang w:eastAsia="lv-LV"/>
              </w:rPr>
              <w:t>ekspertvērtējums</w:t>
            </w:r>
            <w:proofErr w:type="spellEnd"/>
          </w:p>
        </w:tc>
        <w:tc>
          <w:tcPr>
            <w:tcW w:w="913" w:type="dxa"/>
            <w:noWrap/>
            <w:textDirection w:val="btLr"/>
            <w:hideMark/>
          </w:tcPr>
          <w:p w14:paraId="25722EFE" w14:textId="77777777" w:rsidR="001E1C0A" w:rsidRPr="00631B24" w:rsidRDefault="001E1C0A" w:rsidP="009B285B">
            <w:pPr>
              <w:spacing w:line="240"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lv-LV"/>
              </w:rPr>
            </w:pPr>
            <w:proofErr w:type="spellStart"/>
            <w:r w:rsidRPr="00631B24">
              <w:rPr>
                <w:rFonts w:eastAsia="Times New Roman" w:cstheme="minorHAnsi"/>
                <w:color w:val="000000"/>
                <w:lang w:eastAsia="lv-LV"/>
              </w:rPr>
              <w:t>Ekspertvērtējumu</w:t>
            </w:r>
            <w:proofErr w:type="spellEnd"/>
            <w:r w:rsidRPr="00631B24">
              <w:rPr>
                <w:rFonts w:eastAsia="Times New Roman" w:cstheme="minorHAnsi"/>
                <w:color w:val="000000"/>
                <w:lang w:eastAsia="lv-LV"/>
              </w:rPr>
              <w:t xml:space="preserve"> standartnovirze</w:t>
            </w:r>
          </w:p>
        </w:tc>
      </w:tr>
      <w:tr w:rsidR="001E1C0A" w:rsidRPr="00631B24" w14:paraId="50FEAE69" w14:textId="77777777" w:rsidTr="00401047">
        <w:trPr>
          <w:trHeight w:val="300"/>
          <w:jc w:val="center"/>
        </w:trPr>
        <w:tc>
          <w:tcPr>
            <w:cnfStyle w:val="001000000000" w:firstRow="0" w:lastRow="0" w:firstColumn="1" w:lastColumn="0" w:oddVBand="0" w:evenVBand="0" w:oddHBand="0" w:evenHBand="0" w:firstRowFirstColumn="0" w:firstRowLastColumn="0" w:lastRowFirstColumn="0" w:lastRowLastColumn="0"/>
            <w:tcW w:w="7304" w:type="dxa"/>
            <w:noWrap/>
            <w:vAlign w:val="center"/>
            <w:hideMark/>
          </w:tcPr>
          <w:p w14:paraId="0EFC94D1" w14:textId="6570AF41" w:rsidR="001E1C0A" w:rsidRPr="00034514" w:rsidRDefault="001E1C0A" w:rsidP="001E1C0A">
            <w:pPr>
              <w:spacing w:line="240" w:lineRule="auto"/>
              <w:ind w:firstLine="0"/>
              <w:jc w:val="left"/>
              <w:rPr>
                <w:rFonts w:eastAsia="Times New Roman" w:cstheme="minorHAnsi"/>
                <w:b w:val="0"/>
                <w:bCs w:val="0"/>
                <w:color w:val="000000"/>
                <w:szCs w:val="20"/>
                <w:lang w:eastAsia="lv-LV"/>
              </w:rPr>
            </w:pPr>
            <w:r w:rsidRPr="00034514">
              <w:rPr>
                <w:b w:val="0"/>
                <w:bCs w:val="0"/>
                <w:szCs w:val="20"/>
              </w:rPr>
              <w:t>Neprognozējams finansējuma apjoms ilgtermiņā un vidējā termiņā (gan valsts autoceļu tīklā, gan pašvaldībā</w:t>
            </w:r>
          </w:p>
        </w:tc>
        <w:tc>
          <w:tcPr>
            <w:tcW w:w="913" w:type="dxa"/>
            <w:noWrap/>
            <w:vAlign w:val="center"/>
            <w:hideMark/>
          </w:tcPr>
          <w:p w14:paraId="0AE5C19D" w14:textId="078EFA74" w:rsidR="001E1C0A" w:rsidRPr="004C3684" w:rsidRDefault="00BA700F" w:rsidP="001E1C0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lv-LV"/>
              </w:rPr>
            </w:pPr>
            <w:r>
              <w:rPr>
                <w:rFonts w:cstheme="minorHAnsi"/>
                <w:color w:val="000000"/>
              </w:rPr>
              <w:t>8,36</w:t>
            </w:r>
          </w:p>
        </w:tc>
        <w:tc>
          <w:tcPr>
            <w:tcW w:w="913" w:type="dxa"/>
            <w:noWrap/>
            <w:vAlign w:val="center"/>
            <w:hideMark/>
          </w:tcPr>
          <w:p w14:paraId="0EE70D87" w14:textId="182ED096" w:rsidR="001E1C0A" w:rsidRPr="004C3684" w:rsidRDefault="00BA700F" w:rsidP="001E1C0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lv-LV"/>
              </w:rPr>
            </w:pPr>
            <w:r>
              <w:rPr>
                <w:rFonts w:cstheme="minorHAnsi"/>
                <w:color w:val="000000"/>
              </w:rPr>
              <w:t>1,67</w:t>
            </w:r>
          </w:p>
        </w:tc>
      </w:tr>
      <w:tr w:rsidR="001E1C0A" w:rsidRPr="00631B24" w14:paraId="3C5B8272" w14:textId="77777777" w:rsidTr="00401047">
        <w:trPr>
          <w:trHeight w:val="300"/>
          <w:jc w:val="center"/>
        </w:trPr>
        <w:tc>
          <w:tcPr>
            <w:cnfStyle w:val="001000000000" w:firstRow="0" w:lastRow="0" w:firstColumn="1" w:lastColumn="0" w:oddVBand="0" w:evenVBand="0" w:oddHBand="0" w:evenHBand="0" w:firstRowFirstColumn="0" w:firstRowLastColumn="0" w:lastRowFirstColumn="0" w:lastRowLastColumn="0"/>
            <w:tcW w:w="7304" w:type="dxa"/>
            <w:noWrap/>
            <w:vAlign w:val="center"/>
          </w:tcPr>
          <w:p w14:paraId="5575DF17" w14:textId="362701C5" w:rsidR="001E1C0A" w:rsidRPr="00034514" w:rsidRDefault="001E1C0A" w:rsidP="001E1C0A">
            <w:pPr>
              <w:spacing w:line="240" w:lineRule="auto"/>
              <w:ind w:firstLine="0"/>
              <w:jc w:val="left"/>
              <w:rPr>
                <w:rFonts w:cstheme="minorHAnsi"/>
                <w:b w:val="0"/>
                <w:bCs w:val="0"/>
                <w:color w:val="000000"/>
                <w:szCs w:val="20"/>
              </w:rPr>
            </w:pPr>
            <w:r w:rsidRPr="00034514">
              <w:rPr>
                <w:b w:val="0"/>
                <w:bCs w:val="0"/>
                <w:szCs w:val="20"/>
              </w:rPr>
              <w:t>Nevienmērīga ES līdzekļu piesaiste/plānošana/izmantošana būvniecības nozarē plānošanas perioda ietvaros</w:t>
            </w:r>
          </w:p>
        </w:tc>
        <w:tc>
          <w:tcPr>
            <w:tcW w:w="913" w:type="dxa"/>
            <w:noWrap/>
            <w:vAlign w:val="center"/>
          </w:tcPr>
          <w:p w14:paraId="25FC533E" w14:textId="0FC20F38" w:rsidR="001E1C0A" w:rsidRPr="004C3684" w:rsidRDefault="00442AF3" w:rsidP="001E1C0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8,64</w:t>
            </w:r>
          </w:p>
        </w:tc>
        <w:tc>
          <w:tcPr>
            <w:tcW w:w="913" w:type="dxa"/>
            <w:noWrap/>
            <w:vAlign w:val="center"/>
          </w:tcPr>
          <w:p w14:paraId="0248C288" w14:textId="6225D063" w:rsidR="001E1C0A" w:rsidRPr="004C3684" w:rsidRDefault="00442AF3" w:rsidP="001E1C0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1,15</w:t>
            </w:r>
          </w:p>
        </w:tc>
      </w:tr>
      <w:tr w:rsidR="001E1C0A" w:rsidRPr="00631B24" w14:paraId="6BB348F5" w14:textId="77777777" w:rsidTr="00401047">
        <w:trPr>
          <w:trHeight w:val="300"/>
          <w:jc w:val="center"/>
        </w:trPr>
        <w:tc>
          <w:tcPr>
            <w:cnfStyle w:val="001000000000" w:firstRow="0" w:lastRow="0" w:firstColumn="1" w:lastColumn="0" w:oddVBand="0" w:evenVBand="0" w:oddHBand="0" w:evenHBand="0" w:firstRowFirstColumn="0" w:firstRowLastColumn="0" w:lastRowFirstColumn="0" w:lastRowLastColumn="0"/>
            <w:tcW w:w="7304" w:type="dxa"/>
            <w:noWrap/>
            <w:vAlign w:val="center"/>
            <w:hideMark/>
          </w:tcPr>
          <w:p w14:paraId="1DA81B3F" w14:textId="3C6EDAE6" w:rsidR="001E1C0A" w:rsidRPr="00034514" w:rsidRDefault="00034514" w:rsidP="001E1C0A">
            <w:pPr>
              <w:spacing w:line="240" w:lineRule="auto"/>
              <w:ind w:firstLine="0"/>
              <w:jc w:val="left"/>
              <w:rPr>
                <w:rFonts w:eastAsia="Times New Roman" w:cstheme="minorHAnsi"/>
                <w:b w:val="0"/>
                <w:bCs w:val="0"/>
                <w:color w:val="000000"/>
                <w:szCs w:val="20"/>
                <w:lang w:eastAsia="lv-LV"/>
              </w:rPr>
            </w:pPr>
            <w:r>
              <w:rPr>
                <w:b w:val="0"/>
                <w:bCs w:val="0"/>
                <w:szCs w:val="20"/>
              </w:rPr>
              <w:t>“</w:t>
            </w:r>
            <w:r w:rsidR="001E1C0A" w:rsidRPr="00034514">
              <w:rPr>
                <w:b w:val="0"/>
                <w:bCs w:val="0"/>
                <w:szCs w:val="20"/>
              </w:rPr>
              <w:t xml:space="preserve">Rail </w:t>
            </w:r>
            <w:proofErr w:type="spellStart"/>
            <w:r w:rsidR="001E1C0A" w:rsidRPr="00034514">
              <w:rPr>
                <w:b w:val="0"/>
                <w:bCs w:val="0"/>
                <w:szCs w:val="20"/>
              </w:rPr>
              <w:t>Baltica</w:t>
            </w:r>
            <w:proofErr w:type="spellEnd"/>
            <w:r>
              <w:rPr>
                <w:b w:val="0"/>
                <w:bCs w:val="0"/>
                <w:szCs w:val="20"/>
              </w:rPr>
              <w:t>”</w:t>
            </w:r>
            <w:r w:rsidR="001E1C0A" w:rsidRPr="00034514">
              <w:rPr>
                <w:b w:val="0"/>
                <w:bCs w:val="0"/>
                <w:szCs w:val="20"/>
              </w:rPr>
              <w:t xml:space="preserve"> projekta virzība</w:t>
            </w:r>
          </w:p>
        </w:tc>
        <w:tc>
          <w:tcPr>
            <w:tcW w:w="913" w:type="dxa"/>
            <w:noWrap/>
            <w:vAlign w:val="center"/>
            <w:hideMark/>
          </w:tcPr>
          <w:p w14:paraId="552A0379" w14:textId="4773C244" w:rsidR="001E1C0A" w:rsidRPr="004C3684" w:rsidRDefault="00442AF3" w:rsidP="001E1C0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lv-LV"/>
              </w:rPr>
            </w:pPr>
            <w:r>
              <w:rPr>
                <w:rFonts w:cstheme="minorHAnsi"/>
                <w:color w:val="000000"/>
              </w:rPr>
              <w:t>7,91</w:t>
            </w:r>
          </w:p>
        </w:tc>
        <w:tc>
          <w:tcPr>
            <w:tcW w:w="913" w:type="dxa"/>
            <w:noWrap/>
            <w:vAlign w:val="center"/>
            <w:hideMark/>
          </w:tcPr>
          <w:p w14:paraId="7CDE0002" w14:textId="0F2EB97B" w:rsidR="001E1C0A" w:rsidRPr="004C3684" w:rsidRDefault="00442AF3" w:rsidP="001E1C0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lv-LV"/>
              </w:rPr>
            </w:pPr>
            <w:r>
              <w:rPr>
                <w:rFonts w:cstheme="minorHAnsi"/>
                <w:color w:val="000000"/>
              </w:rPr>
              <w:t>1,38</w:t>
            </w:r>
          </w:p>
        </w:tc>
      </w:tr>
    </w:tbl>
    <w:p w14:paraId="719BAFB4" w14:textId="77777777" w:rsidR="00F156B6" w:rsidRDefault="00F156B6" w:rsidP="00476A99"/>
    <w:p w14:paraId="5AF7CD80" w14:textId="418E57D6" w:rsidR="000515F0" w:rsidRPr="00A57667" w:rsidRDefault="00B70C5A" w:rsidP="00476A99">
      <w:pPr>
        <w:rPr>
          <w:sz w:val="24"/>
          <w:szCs w:val="24"/>
        </w:rPr>
      </w:pPr>
      <w:r w:rsidRPr="00A57667">
        <w:rPr>
          <w:sz w:val="24"/>
          <w:szCs w:val="24"/>
        </w:rPr>
        <w:t xml:space="preserve">Visi piedāvātie faktori tika novērtēti kā ļoti būtiski </w:t>
      </w:r>
      <w:r w:rsidR="00CD0762" w:rsidRPr="00F9706F">
        <w:rPr>
          <w:rFonts w:cstheme="minorHAnsi"/>
          <w:sz w:val="24"/>
          <w:szCs w:val="24"/>
        </w:rPr>
        <w:t>(</w:t>
      </w:r>
      <w:r w:rsidR="00CD0762" w:rsidRPr="00F9706F">
        <w:rPr>
          <w:rFonts w:cstheme="minorHAnsi"/>
          <w:sz w:val="24"/>
          <w:szCs w:val="24"/>
        </w:rPr>
        <w:fldChar w:fldCharType="begin"/>
      </w:r>
      <w:r w:rsidR="00CD0762" w:rsidRPr="00F9706F">
        <w:rPr>
          <w:rFonts w:cstheme="minorHAnsi"/>
          <w:sz w:val="24"/>
          <w:szCs w:val="24"/>
        </w:rPr>
        <w:instrText xml:space="preserve"> REF _Ref522273563 \h  \* MERGEFORMAT </w:instrText>
      </w:r>
      <w:r w:rsidR="00CD0762" w:rsidRPr="00F9706F">
        <w:rPr>
          <w:rFonts w:cstheme="minorHAnsi"/>
          <w:sz w:val="24"/>
          <w:szCs w:val="24"/>
        </w:rPr>
      </w:r>
      <w:r w:rsidR="00CD0762" w:rsidRPr="00F9706F">
        <w:rPr>
          <w:rFonts w:cstheme="minorHAnsi"/>
          <w:sz w:val="24"/>
          <w:szCs w:val="24"/>
        </w:rPr>
        <w:fldChar w:fldCharType="separate"/>
      </w:r>
      <w:r w:rsidR="00CD0762">
        <w:rPr>
          <w:rFonts w:cstheme="minorHAnsi"/>
          <w:sz w:val="24"/>
          <w:szCs w:val="24"/>
        </w:rPr>
        <w:t>Tab.</w:t>
      </w:r>
      <w:r w:rsidR="00CD0762" w:rsidRPr="00F9706F">
        <w:rPr>
          <w:rFonts w:cstheme="minorHAnsi"/>
          <w:sz w:val="24"/>
          <w:szCs w:val="24"/>
        </w:rPr>
        <w:t xml:space="preserve"> </w:t>
      </w:r>
      <w:r w:rsidR="00CD0762" w:rsidRPr="00F9706F">
        <w:rPr>
          <w:rFonts w:cstheme="minorHAnsi"/>
          <w:sz w:val="24"/>
          <w:szCs w:val="24"/>
        </w:rPr>
        <w:fldChar w:fldCharType="end"/>
      </w:r>
      <w:r w:rsidR="00CD0762">
        <w:rPr>
          <w:rFonts w:cstheme="minorHAnsi"/>
        </w:rPr>
        <w:t>1</w:t>
      </w:r>
      <w:r w:rsidR="00CD0762" w:rsidRPr="00F9706F">
        <w:rPr>
          <w:rFonts w:cstheme="minorHAnsi"/>
          <w:sz w:val="24"/>
          <w:szCs w:val="24"/>
        </w:rPr>
        <w:t>.)</w:t>
      </w:r>
      <w:r w:rsidR="00CD0762">
        <w:rPr>
          <w:rFonts w:cstheme="minorHAnsi"/>
          <w:sz w:val="24"/>
          <w:szCs w:val="24"/>
        </w:rPr>
        <w:t xml:space="preserve"> </w:t>
      </w:r>
      <w:r w:rsidRPr="00A57667">
        <w:rPr>
          <w:sz w:val="24"/>
          <w:szCs w:val="24"/>
        </w:rPr>
        <w:t>ietekmējoši, kas varētu atstāt iespaidu u</w:t>
      </w:r>
      <w:r w:rsidR="00214E46" w:rsidRPr="00A57667">
        <w:rPr>
          <w:sz w:val="24"/>
          <w:szCs w:val="24"/>
        </w:rPr>
        <w:t xml:space="preserve">z darbaspēka izmaksām. </w:t>
      </w:r>
      <w:r w:rsidR="002671C4" w:rsidRPr="00A57667">
        <w:rPr>
          <w:sz w:val="24"/>
          <w:szCs w:val="24"/>
        </w:rPr>
        <w:t>Ar v</w:t>
      </w:r>
      <w:r w:rsidR="00214E46" w:rsidRPr="00A57667">
        <w:rPr>
          <w:sz w:val="24"/>
          <w:szCs w:val="24"/>
        </w:rPr>
        <w:t>isaugstāk</w:t>
      </w:r>
      <w:r w:rsidR="002671C4" w:rsidRPr="00A57667">
        <w:rPr>
          <w:sz w:val="24"/>
          <w:szCs w:val="24"/>
        </w:rPr>
        <w:t>o ietekmi</w:t>
      </w:r>
      <w:r w:rsidR="00214E46" w:rsidRPr="00A57667">
        <w:rPr>
          <w:sz w:val="24"/>
          <w:szCs w:val="24"/>
        </w:rPr>
        <w:t xml:space="preserve"> tika </w:t>
      </w:r>
      <w:r w:rsidR="002671C4" w:rsidRPr="00A57667">
        <w:rPr>
          <w:sz w:val="24"/>
          <w:szCs w:val="24"/>
        </w:rPr>
        <w:t>novērtēta</w:t>
      </w:r>
      <w:r w:rsidR="00214E46" w:rsidRPr="00A57667">
        <w:rPr>
          <w:sz w:val="24"/>
          <w:szCs w:val="24"/>
        </w:rPr>
        <w:t xml:space="preserve"> </w:t>
      </w:r>
      <w:r w:rsidR="00214E46" w:rsidRPr="00A57667">
        <w:rPr>
          <w:b/>
          <w:bCs/>
          <w:sz w:val="24"/>
          <w:szCs w:val="24"/>
        </w:rPr>
        <w:t>nevienmēr</w:t>
      </w:r>
      <w:r w:rsidR="002671C4" w:rsidRPr="00A57667">
        <w:rPr>
          <w:b/>
          <w:bCs/>
          <w:sz w:val="24"/>
          <w:szCs w:val="24"/>
        </w:rPr>
        <w:t>īga</w:t>
      </w:r>
      <w:r w:rsidR="00214E46" w:rsidRPr="00A57667">
        <w:rPr>
          <w:b/>
          <w:bCs/>
          <w:sz w:val="24"/>
          <w:szCs w:val="24"/>
        </w:rPr>
        <w:t xml:space="preserve"> ES līdzekļu piesaiste, plānošana un izmantošana</w:t>
      </w:r>
      <w:r w:rsidR="00214E46" w:rsidRPr="00A57667">
        <w:rPr>
          <w:sz w:val="24"/>
          <w:szCs w:val="24"/>
        </w:rPr>
        <w:t xml:space="preserve">. </w:t>
      </w:r>
      <w:r w:rsidR="000515F0" w:rsidRPr="00A57667">
        <w:rPr>
          <w:sz w:val="24"/>
          <w:szCs w:val="24"/>
        </w:rPr>
        <w:t>Visu vērtējumu gadījumā ekspertu viedokļi bija samē</w:t>
      </w:r>
      <w:r w:rsidR="002671C4" w:rsidRPr="00A57667">
        <w:rPr>
          <w:sz w:val="24"/>
          <w:szCs w:val="24"/>
        </w:rPr>
        <w:t>rā</w:t>
      </w:r>
      <w:r w:rsidR="000515F0" w:rsidRPr="00A57667">
        <w:rPr>
          <w:sz w:val="24"/>
          <w:szCs w:val="24"/>
        </w:rPr>
        <w:t xml:space="preserve"> viendabīgi un nebija novērojamas būtiskas domstarpības</w:t>
      </w:r>
      <w:r w:rsidR="00BD148E" w:rsidRPr="00A57667">
        <w:rPr>
          <w:sz w:val="24"/>
          <w:szCs w:val="24"/>
        </w:rPr>
        <w:t>.</w:t>
      </w:r>
      <w:r w:rsidR="000515F0" w:rsidRPr="00A57667">
        <w:rPr>
          <w:sz w:val="24"/>
          <w:szCs w:val="24"/>
        </w:rPr>
        <w:t xml:space="preserve">  </w:t>
      </w:r>
    </w:p>
    <w:p w14:paraId="16963684" w14:textId="67561B6E" w:rsidR="00BD148E" w:rsidRPr="00A57667" w:rsidRDefault="00476A99" w:rsidP="00BD148E">
      <w:pPr>
        <w:rPr>
          <w:sz w:val="24"/>
          <w:szCs w:val="24"/>
        </w:rPr>
      </w:pPr>
      <w:r w:rsidRPr="00A57667">
        <w:rPr>
          <w:sz w:val="24"/>
          <w:szCs w:val="24"/>
        </w:rPr>
        <w:t xml:space="preserve">Transporta objektu būvniecības </w:t>
      </w:r>
      <w:proofErr w:type="spellStart"/>
      <w:r w:rsidRPr="00A57667">
        <w:rPr>
          <w:sz w:val="24"/>
          <w:szCs w:val="24"/>
        </w:rPr>
        <w:t>apakšnozares</w:t>
      </w:r>
      <w:proofErr w:type="spellEnd"/>
      <w:r w:rsidRPr="00A57667">
        <w:rPr>
          <w:sz w:val="24"/>
          <w:szCs w:val="24"/>
        </w:rPr>
        <w:t xml:space="preserve"> būvmateriālu izmaksas ietekmējošie faktori, ko </w:t>
      </w:r>
      <w:r w:rsidR="006D6C5A" w:rsidRPr="00A57667">
        <w:rPr>
          <w:sz w:val="24"/>
          <w:szCs w:val="24"/>
        </w:rPr>
        <w:t xml:space="preserve">pieminēja eksperti, bija </w:t>
      </w:r>
      <w:r w:rsidR="00C2282C" w:rsidRPr="00A57667">
        <w:rPr>
          <w:sz w:val="24"/>
          <w:szCs w:val="24"/>
        </w:rPr>
        <w:t>novērt</w:t>
      </w:r>
      <w:r w:rsidR="002671C4" w:rsidRPr="00A57667">
        <w:rPr>
          <w:sz w:val="24"/>
          <w:szCs w:val="24"/>
        </w:rPr>
        <w:t>ēt</w:t>
      </w:r>
      <w:r w:rsidR="00C2282C" w:rsidRPr="00A57667">
        <w:rPr>
          <w:sz w:val="24"/>
          <w:szCs w:val="24"/>
        </w:rPr>
        <w:t>i līdzīgā amplitūdā. Visi faktori tika novērtēti kā būtiski</w:t>
      </w:r>
      <w:r w:rsidR="009022F5" w:rsidRPr="00A57667">
        <w:rPr>
          <w:sz w:val="24"/>
          <w:szCs w:val="24"/>
        </w:rPr>
        <w:t>,</w:t>
      </w:r>
      <w:r w:rsidR="00C2282C" w:rsidRPr="00A57667">
        <w:rPr>
          <w:sz w:val="24"/>
          <w:szCs w:val="24"/>
        </w:rPr>
        <w:t xml:space="preserve"> izceļot kā </w:t>
      </w:r>
      <w:r w:rsidR="009022F5" w:rsidRPr="00A57667">
        <w:rPr>
          <w:sz w:val="24"/>
          <w:szCs w:val="24"/>
        </w:rPr>
        <w:t>nozīmīgāko</w:t>
      </w:r>
      <w:r w:rsidR="00C2282C" w:rsidRPr="00A57667">
        <w:rPr>
          <w:sz w:val="24"/>
          <w:szCs w:val="24"/>
        </w:rPr>
        <w:t xml:space="preserve"> </w:t>
      </w:r>
      <w:r w:rsidR="001555E9" w:rsidRPr="00A57667">
        <w:rPr>
          <w:sz w:val="24"/>
          <w:szCs w:val="24"/>
        </w:rPr>
        <w:t>nevienmērīgo apgūstamā finansējuma apj</w:t>
      </w:r>
      <w:r w:rsidR="009022F5" w:rsidRPr="00A57667">
        <w:rPr>
          <w:sz w:val="24"/>
          <w:szCs w:val="24"/>
        </w:rPr>
        <w:t>o</w:t>
      </w:r>
      <w:r w:rsidR="001555E9" w:rsidRPr="00A57667">
        <w:rPr>
          <w:sz w:val="24"/>
          <w:szCs w:val="24"/>
        </w:rPr>
        <w:t>m</w:t>
      </w:r>
      <w:r w:rsidR="009022F5" w:rsidRPr="00A57667">
        <w:rPr>
          <w:sz w:val="24"/>
          <w:szCs w:val="24"/>
        </w:rPr>
        <w:t>u</w:t>
      </w:r>
      <w:r w:rsidR="001555E9" w:rsidRPr="00A57667">
        <w:rPr>
          <w:sz w:val="24"/>
          <w:szCs w:val="24"/>
        </w:rPr>
        <w:t xml:space="preserve"> konkrētā laika periodā</w:t>
      </w:r>
      <w:r w:rsidR="00CD0762">
        <w:rPr>
          <w:sz w:val="24"/>
          <w:szCs w:val="24"/>
        </w:rPr>
        <w:t xml:space="preserve"> </w:t>
      </w:r>
      <w:r w:rsidR="00CD0762" w:rsidRPr="00F9706F">
        <w:rPr>
          <w:rFonts w:cstheme="minorHAnsi"/>
          <w:sz w:val="24"/>
          <w:szCs w:val="24"/>
        </w:rPr>
        <w:t>(</w:t>
      </w:r>
      <w:r w:rsidR="00CD0762" w:rsidRPr="00F9706F">
        <w:rPr>
          <w:rFonts w:cstheme="minorHAnsi"/>
          <w:sz w:val="24"/>
          <w:szCs w:val="24"/>
        </w:rPr>
        <w:fldChar w:fldCharType="begin"/>
      </w:r>
      <w:r w:rsidR="00CD0762" w:rsidRPr="00F9706F">
        <w:rPr>
          <w:rFonts w:cstheme="minorHAnsi"/>
          <w:sz w:val="24"/>
          <w:szCs w:val="24"/>
        </w:rPr>
        <w:instrText xml:space="preserve"> REF _Ref522273563 \h  \* MERGEFORMAT </w:instrText>
      </w:r>
      <w:r w:rsidR="00CD0762" w:rsidRPr="00F9706F">
        <w:rPr>
          <w:rFonts w:cstheme="minorHAnsi"/>
          <w:sz w:val="24"/>
          <w:szCs w:val="24"/>
        </w:rPr>
      </w:r>
      <w:r w:rsidR="00CD0762" w:rsidRPr="00F9706F">
        <w:rPr>
          <w:rFonts w:cstheme="minorHAnsi"/>
          <w:sz w:val="24"/>
          <w:szCs w:val="24"/>
        </w:rPr>
        <w:fldChar w:fldCharType="separate"/>
      </w:r>
      <w:r w:rsidR="00CD0762">
        <w:rPr>
          <w:rFonts w:cstheme="minorHAnsi"/>
          <w:sz w:val="24"/>
          <w:szCs w:val="24"/>
        </w:rPr>
        <w:t>Tab.</w:t>
      </w:r>
      <w:r w:rsidR="00CD0762" w:rsidRPr="00F9706F">
        <w:rPr>
          <w:rFonts w:cstheme="minorHAnsi"/>
          <w:sz w:val="24"/>
          <w:szCs w:val="24"/>
        </w:rPr>
        <w:t xml:space="preserve"> </w:t>
      </w:r>
      <w:r w:rsidR="00CD0762" w:rsidRPr="00F9706F">
        <w:rPr>
          <w:rFonts w:cstheme="minorHAnsi"/>
          <w:sz w:val="24"/>
          <w:szCs w:val="24"/>
        </w:rPr>
        <w:fldChar w:fldCharType="end"/>
      </w:r>
      <w:r w:rsidR="00CD0762">
        <w:rPr>
          <w:rFonts w:cstheme="minorHAnsi"/>
        </w:rPr>
        <w:t>2</w:t>
      </w:r>
      <w:r w:rsidR="00CD0762" w:rsidRPr="00F9706F">
        <w:rPr>
          <w:rFonts w:cstheme="minorHAnsi"/>
          <w:sz w:val="24"/>
          <w:szCs w:val="24"/>
        </w:rPr>
        <w:t>.)</w:t>
      </w:r>
      <w:r w:rsidR="001555E9" w:rsidRPr="00A57667">
        <w:rPr>
          <w:sz w:val="24"/>
          <w:szCs w:val="24"/>
        </w:rPr>
        <w:t>.</w:t>
      </w:r>
    </w:p>
    <w:p w14:paraId="39A2A217" w14:textId="0B219E97" w:rsidR="00BD148E" w:rsidRPr="00E8732B" w:rsidRDefault="001555E9" w:rsidP="00BD148E">
      <w:r>
        <w:t xml:space="preserve"> </w:t>
      </w:r>
    </w:p>
    <w:p w14:paraId="5FB9067B" w14:textId="2F31157D" w:rsidR="00476A99" w:rsidRDefault="00476A99" w:rsidP="00476A99"/>
    <w:p w14:paraId="0FDFF7D0" w14:textId="197681AB" w:rsidR="00971EBE" w:rsidRPr="00CD0762" w:rsidRDefault="001555E9" w:rsidP="00971EBE">
      <w:pPr>
        <w:pStyle w:val="Caption"/>
        <w:keepNext/>
        <w:spacing w:after="0"/>
        <w:jc w:val="right"/>
        <w:rPr>
          <w:color w:val="auto"/>
        </w:rPr>
      </w:pPr>
      <w:r w:rsidRPr="00CD0762">
        <w:rPr>
          <w:color w:val="auto"/>
        </w:rPr>
        <w:t xml:space="preserve">Tabula </w:t>
      </w:r>
      <w:r w:rsidR="00AB553A" w:rsidRPr="00CD0762">
        <w:rPr>
          <w:color w:val="auto"/>
        </w:rPr>
        <w:t>2</w:t>
      </w:r>
      <w:r w:rsidRPr="00CD0762">
        <w:rPr>
          <w:color w:val="auto"/>
        </w:rPr>
        <w:t xml:space="preserve">. </w:t>
      </w:r>
    </w:p>
    <w:p w14:paraId="5537518C" w14:textId="0F998715" w:rsidR="001555E9" w:rsidRDefault="001555E9" w:rsidP="00971EBE">
      <w:pPr>
        <w:pStyle w:val="Caption"/>
        <w:keepNext/>
        <w:spacing w:after="0"/>
        <w:jc w:val="right"/>
      </w:pPr>
      <w:r>
        <w:t xml:space="preserve">Transporta objektu būvniecības </w:t>
      </w:r>
      <w:proofErr w:type="spellStart"/>
      <w:r>
        <w:t>apakšnozares</w:t>
      </w:r>
      <w:proofErr w:type="spellEnd"/>
      <w:r>
        <w:t xml:space="preserve"> ekspertu </w:t>
      </w:r>
      <w:r w:rsidR="00EC7F89">
        <w:t>vērtējumi par būvmateriālu izmaksas ietekmējošiem faktoriem.</w:t>
      </w:r>
    </w:p>
    <w:tbl>
      <w:tblPr>
        <w:tblStyle w:val="GridTable1Light"/>
        <w:tblW w:w="9493" w:type="dxa"/>
        <w:tblLayout w:type="fixed"/>
        <w:tblLook w:val="06A0" w:firstRow="1" w:lastRow="0" w:firstColumn="1" w:lastColumn="0" w:noHBand="1" w:noVBand="1"/>
      </w:tblPr>
      <w:tblGrid>
        <w:gridCol w:w="7304"/>
        <w:gridCol w:w="913"/>
        <w:gridCol w:w="1276"/>
      </w:tblGrid>
      <w:tr w:rsidR="00975786" w:rsidRPr="00631B24" w14:paraId="6432ACB1" w14:textId="77777777" w:rsidTr="00AB553A">
        <w:trPr>
          <w:cnfStyle w:val="100000000000" w:firstRow="1" w:lastRow="0" w:firstColumn="0" w:lastColumn="0" w:oddVBand="0" w:evenVBand="0" w:oddHBand="0" w:evenHBand="0" w:firstRowFirstColumn="0" w:firstRowLastColumn="0" w:lastRowFirstColumn="0" w:lastRowLastColumn="0"/>
          <w:cantSplit/>
          <w:trHeight w:val="2041"/>
        </w:trPr>
        <w:tc>
          <w:tcPr>
            <w:cnfStyle w:val="001000000000" w:firstRow="0" w:lastRow="0" w:firstColumn="1" w:lastColumn="0" w:oddVBand="0" w:evenVBand="0" w:oddHBand="0" w:evenHBand="0" w:firstRowFirstColumn="0" w:firstRowLastColumn="0" w:lastRowFirstColumn="0" w:lastRowLastColumn="0"/>
            <w:tcW w:w="7304" w:type="dxa"/>
            <w:noWrap/>
            <w:vAlign w:val="center"/>
            <w:hideMark/>
          </w:tcPr>
          <w:p w14:paraId="0D6B0011" w14:textId="77777777" w:rsidR="00975786" w:rsidRPr="00631B24" w:rsidRDefault="00975786" w:rsidP="009B285B">
            <w:pPr>
              <w:spacing w:line="240" w:lineRule="auto"/>
              <w:ind w:firstLine="0"/>
              <w:jc w:val="center"/>
              <w:rPr>
                <w:rFonts w:eastAsia="Times New Roman" w:cstheme="minorHAnsi"/>
                <w:color w:val="000000"/>
                <w:lang w:eastAsia="lv-LV"/>
              </w:rPr>
            </w:pPr>
            <w:r w:rsidRPr="00835C58">
              <w:rPr>
                <w:rFonts w:eastAsia="Times New Roman" w:cstheme="minorHAnsi"/>
                <w:color w:val="000000"/>
                <w:lang w:eastAsia="lv-LV"/>
              </w:rPr>
              <w:t xml:space="preserve">Tieši transporta objektu būvniecības </w:t>
            </w:r>
            <w:proofErr w:type="spellStart"/>
            <w:r w:rsidRPr="00835C58">
              <w:rPr>
                <w:rFonts w:eastAsia="Times New Roman" w:cstheme="minorHAnsi"/>
                <w:color w:val="000000"/>
                <w:lang w:eastAsia="lv-LV"/>
              </w:rPr>
              <w:t>apakšnozari</w:t>
            </w:r>
            <w:proofErr w:type="spellEnd"/>
            <w:r w:rsidRPr="00835C58">
              <w:rPr>
                <w:rFonts w:eastAsia="Times New Roman" w:cstheme="minorHAnsi"/>
                <w:color w:val="000000"/>
                <w:lang w:eastAsia="lv-LV"/>
              </w:rPr>
              <w:t xml:space="preserve"> ietekmējošie faktori </w:t>
            </w:r>
          </w:p>
        </w:tc>
        <w:tc>
          <w:tcPr>
            <w:tcW w:w="913" w:type="dxa"/>
            <w:noWrap/>
            <w:textDirection w:val="btLr"/>
            <w:hideMark/>
          </w:tcPr>
          <w:p w14:paraId="5CEE53BB" w14:textId="77777777" w:rsidR="00975786" w:rsidRPr="00631B24" w:rsidRDefault="00975786" w:rsidP="009B285B">
            <w:pPr>
              <w:spacing w:line="240"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631B24">
              <w:rPr>
                <w:rFonts w:eastAsia="Times New Roman" w:cstheme="minorHAnsi"/>
                <w:color w:val="000000"/>
                <w:lang w:eastAsia="lv-LV"/>
              </w:rPr>
              <w:t xml:space="preserve">Vidējais </w:t>
            </w:r>
            <w:proofErr w:type="spellStart"/>
            <w:r w:rsidRPr="00631B24">
              <w:rPr>
                <w:rFonts w:eastAsia="Times New Roman" w:cstheme="minorHAnsi"/>
                <w:color w:val="000000"/>
                <w:lang w:eastAsia="lv-LV"/>
              </w:rPr>
              <w:t>ekspertvērtējums</w:t>
            </w:r>
            <w:proofErr w:type="spellEnd"/>
          </w:p>
        </w:tc>
        <w:tc>
          <w:tcPr>
            <w:tcW w:w="1276" w:type="dxa"/>
            <w:noWrap/>
            <w:textDirection w:val="btLr"/>
            <w:hideMark/>
          </w:tcPr>
          <w:p w14:paraId="3E0F18AE" w14:textId="77777777" w:rsidR="00975786" w:rsidRPr="00631B24" w:rsidRDefault="00975786" w:rsidP="009B285B">
            <w:pPr>
              <w:spacing w:line="240" w:lineRule="auto"/>
              <w:ind w:left="113" w:right="113" w:firstLine="0"/>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lv-LV"/>
              </w:rPr>
            </w:pPr>
            <w:proofErr w:type="spellStart"/>
            <w:r w:rsidRPr="00631B24">
              <w:rPr>
                <w:rFonts w:eastAsia="Times New Roman" w:cstheme="minorHAnsi"/>
                <w:color w:val="000000"/>
                <w:lang w:eastAsia="lv-LV"/>
              </w:rPr>
              <w:t>Ekspertvērtējumu</w:t>
            </w:r>
            <w:proofErr w:type="spellEnd"/>
            <w:r w:rsidRPr="00631B24">
              <w:rPr>
                <w:rFonts w:eastAsia="Times New Roman" w:cstheme="minorHAnsi"/>
                <w:color w:val="000000"/>
                <w:lang w:eastAsia="lv-LV"/>
              </w:rPr>
              <w:t xml:space="preserve"> standartnovirze</w:t>
            </w:r>
          </w:p>
        </w:tc>
      </w:tr>
      <w:tr w:rsidR="00D915DF" w:rsidRPr="00631B24" w14:paraId="524B18F3" w14:textId="77777777" w:rsidTr="00AB553A">
        <w:trPr>
          <w:trHeight w:val="300"/>
        </w:trPr>
        <w:tc>
          <w:tcPr>
            <w:cnfStyle w:val="001000000000" w:firstRow="0" w:lastRow="0" w:firstColumn="1" w:lastColumn="0" w:oddVBand="0" w:evenVBand="0" w:oddHBand="0" w:evenHBand="0" w:firstRowFirstColumn="0" w:firstRowLastColumn="0" w:lastRowFirstColumn="0" w:lastRowLastColumn="0"/>
            <w:tcW w:w="7304" w:type="dxa"/>
            <w:noWrap/>
            <w:vAlign w:val="center"/>
            <w:hideMark/>
          </w:tcPr>
          <w:p w14:paraId="0717E835" w14:textId="49169FEB" w:rsidR="00D915DF" w:rsidRPr="00D915DF" w:rsidRDefault="00D915DF" w:rsidP="00D915DF">
            <w:pPr>
              <w:spacing w:line="240" w:lineRule="auto"/>
              <w:ind w:firstLine="0"/>
              <w:jc w:val="left"/>
              <w:rPr>
                <w:rFonts w:eastAsia="Times New Roman" w:cstheme="minorHAnsi"/>
                <w:b w:val="0"/>
                <w:bCs w:val="0"/>
                <w:color w:val="000000"/>
                <w:lang w:eastAsia="lv-LV"/>
              </w:rPr>
            </w:pPr>
            <w:r w:rsidRPr="00D915DF">
              <w:rPr>
                <w:b w:val="0"/>
                <w:bCs w:val="0"/>
                <w:sz w:val="20"/>
                <w:szCs w:val="18"/>
              </w:rPr>
              <w:t>Nav saskaņots pieejamā finansējuma izlietojums, nevienmērīgs apgūstamā finansējuma apjoms konkrētā laika periodā</w:t>
            </w:r>
          </w:p>
        </w:tc>
        <w:tc>
          <w:tcPr>
            <w:tcW w:w="913" w:type="dxa"/>
            <w:noWrap/>
            <w:vAlign w:val="center"/>
            <w:hideMark/>
          </w:tcPr>
          <w:p w14:paraId="3B33EDEE" w14:textId="1E296047" w:rsidR="00D915DF" w:rsidRPr="004C3684" w:rsidRDefault="00C2282C" w:rsidP="00D915D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lv-LV"/>
              </w:rPr>
            </w:pPr>
            <w:r>
              <w:rPr>
                <w:rFonts w:cstheme="minorHAnsi"/>
                <w:color w:val="000000"/>
              </w:rPr>
              <w:t>8,55</w:t>
            </w:r>
          </w:p>
        </w:tc>
        <w:tc>
          <w:tcPr>
            <w:tcW w:w="1276" w:type="dxa"/>
            <w:noWrap/>
            <w:vAlign w:val="center"/>
            <w:hideMark/>
          </w:tcPr>
          <w:p w14:paraId="523B9189" w14:textId="1802F181" w:rsidR="00D915DF" w:rsidRPr="004C3684" w:rsidRDefault="000846BB" w:rsidP="00D915D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lv-LV"/>
              </w:rPr>
            </w:pPr>
            <w:r>
              <w:rPr>
                <w:rFonts w:cstheme="minorHAnsi"/>
                <w:color w:val="000000"/>
              </w:rPr>
              <w:t>0,78</w:t>
            </w:r>
          </w:p>
        </w:tc>
      </w:tr>
      <w:tr w:rsidR="00D915DF" w:rsidRPr="00631B24" w14:paraId="56B018FA" w14:textId="77777777" w:rsidTr="00AB553A">
        <w:trPr>
          <w:trHeight w:val="300"/>
        </w:trPr>
        <w:tc>
          <w:tcPr>
            <w:cnfStyle w:val="001000000000" w:firstRow="0" w:lastRow="0" w:firstColumn="1" w:lastColumn="0" w:oddVBand="0" w:evenVBand="0" w:oddHBand="0" w:evenHBand="0" w:firstRowFirstColumn="0" w:firstRowLastColumn="0" w:lastRowFirstColumn="0" w:lastRowLastColumn="0"/>
            <w:tcW w:w="7304" w:type="dxa"/>
            <w:noWrap/>
            <w:vAlign w:val="center"/>
          </w:tcPr>
          <w:p w14:paraId="2608F680" w14:textId="52E6C7EE" w:rsidR="00D915DF" w:rsidRPr="00D915DF" w:rsidRDefault="00D915DF" w:rsidP="00D915DF">
            <w:pPr>
              <w:spacing w:line="240" w:lineRule="auto"/>
              <w:ind w:firstLine="0"/>
              <w:jc w:val="left"/>
              <w:rPr>
                <w:rFonts w:cstheme="minorHAnsi"/>
                <w:b w:val="0"/>
                <w:bCs w:val="0"/>
                <w:color w:val="000000"/>
              </w:rPr>
            </w:pPr>
            <w:r w:rsidRPr="00D915DF">
              <w:rPr>
                <w:b w:val="0"/>
                <w:bCs w:val="0"/>
                <w:sz w:val="20"/>
                <w:szCs w:val="18"/>
              </w:rPr>
              <w:t>Par publiskiem līdzekļiem īstenoto būvniecības ieceru apjoms</w:t>
            </w:r>
          </w:p>
        </w:tc>
        <w:tc>
          <w:tcPr>
            <w:tcW w:w="913" w:type="dxa"/>
            <w:noWrap/>
            <w:vAlign w:val="center"/>
          </w:tcPr>
          <w:p w14:paraId="40E54645" w14:textId="66937D86" w:rsidR="00D915DF" w:rsidRPr="004C3684" w:rsidRDefault="000846BB" w:rsidP="00D915D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7,64</w:t>
            </w:r>
          </w:p>
        </w:tc>
        <w:tc>
          <w:tcPr>
            <w:tcW w:w="1276" w:type="dxa"/>
            <w:noWrap/>
            <w:vAlign w:val="center"/>
          </w:tcPr>
          <w:p w14:paraId="36C5A0A1" w14:textId="2D62A73D" w:rsidR="00D915DF" w:rsidRPr="004C3684" w:rsidRDefault="000846BB" w:rsidP="00D915D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1,07</w:t>
            </w:r>
          </w:p>
        </w:tc>
      </w:tr>
      <w:tr w:rsidR="00D915DF" w:rsidRPr="00631B24" w14:paraId="1DE274C9" w14:textId="77777777" w:rsidTr="00AB553A">
        <w:trPr>
          <w:trHeight w:val="300"/>
        </w:trPr>
        <w:tc>
          <w:tcPr>
            <w:cnfStyle w:val="001000000000" w:firstRow="0" w:lastRow="0" w:firstColumn="1" w:lastColumn="0" w:oddVBand="0" w:evenVBand="0" w:oddHBand="0" w:evenHBand="0" w:firstRowFirstColumn="0" w:firstRowLastColumn="0" w:lastRowFirstColumn="0" w:lastRowLastColumn="0"/>
            <w:tcW w:w="7304" w:type="dxa"/>
            <w:noWrap/>
            <w:vAlign w:val="center"/>
            <w:hideMark/>
          </w:tcPr>
          <w:p w14:paraId="3CBB1C84" w14:textId="211A06E3" w:rsidR="00D915DF" w:rsidRPr="00D915DF" w:rsidRDefault="00D915DF" w:rsidP="00D915DF">
            <w:pPr>
              <w:spacing w:line="240" w:lineRule="auto"/>
              <w:ind w:firstLine="0"/>
              <w:jc w:val="left"/>
              <w:rPr>
                <w:rFonts w:eastAsia="Times New Roman" w:cstheme="minorHAnsi"/>
                <w:b w:val="0"/>
                <w:bCs w:val="0"/>
                <w:color w:val="000000"/>
                <w:lang w:eastAsia="lv-LV"/>
              </w:rPr>
            </w:pPr>
            <w:r w:rsidRPr="00D915DF">
              <w:rPr>
                <w:b w:val="0"/>
                <w:bCs w:val="0"/>
                <w:sz w:val="20"/>
                <w:szCs w:val="18"/>
              </w:rPr>
              <w:t>Vidējā degvielas cena valstī un pasaules naftas produktu cenu izmaiņas</w:t>
            </w:r>
          </w:p>
        </w:tc>
        <w:tc>
          <w:tcPr>
            <w:tcW w:w="913" w:type="dxa"/>
            <w:noWrap/>
            <w:vAlign w:val="center"/>
            <w:hideMark/>
          </w:tcPr>
          <w:p w14:paraId="7141CACB" w14:textId="11BBB164" w:rsidR="00D915DF" w:rsidRPr="004C3684" w:rsidRDefault="000846BB" w:rsidP="00D915D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lv-LV"/>
              </w:rPr>
            </w:pPr>
            <w:r>
              <w:rPr>
                <w:rFonts w:cstheme="minorHAnsi"/>
                <w:color w:val="000000"/>
              </w:rPr>
              <w:t>7,18</w:t>
            </w:r>
          </w:p>
        </w:tc>
        <w:tc>
          <w:tcPr>
            <w:tcW w:w="1276" w:type="dxa"/>
            <w:noWrap/>
            <w:vAlign w:val="center"/>
            <w:hideMark/>
          </w:tcPr>
          <w:p w14:paraId="040DBB98" w14:textId="313CD66E" w:rsidR="00D915DF" w:rsidRPr="004C3684" w:rsidRDefault="000846BB" w:rsidP="00D915D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lv-LV"/>
              </w:rPr>
            </w:pPr>
            <w:r>
              <w:rPr>
                <w:rFonts w:cstheme="minorHAnsi"/>
                <w:color w:val="000000"/>
              </w:rPr>
              <w:t>1,53</w:t>
            </w:r>
          </w:p>
        </w:tc>
      </w:tr>
      <w:tr w:rsidR="00D915DF" w:rsidRPr="00631B24" w14:paraId="3995434D" w14:textId="77777777" w:rsidTr="00AB553A">
        <w:trPr>
          <w:trHeight w:val="300"/>
        </w:trPr>
        <w:tc>
          <w:tcPr>
            <w:cnfStyle w:val="001000000000" w:firstRow="0" w:lastRow="0" w:firstColumn="1" w:lastColumn="0" w:oddVBand="0" w:evenVBand="0" w:oddHBand="0" w:evenHBand="0" w:firstRowFirstColumn="0" w:firstRowLastColumn="0" w:lastRowFirstColumn="0" w:lastRowLastColumn="0"/>
            <w:tcW w:w="7304" w:type="dxa"/>
            <w:noWrap/>
            <w:vAlign w:val="center"/>
          </w:tcPr>
          <w:p w14:paraId="2F1C88CA" w14:textId="7E86FAEB" w:rsidR="00D915DF" w:rsidRPr="00D915DF" w:rsidRDefault="00D915DF" w:rsidP="00D915DF">
            <w:pPr>
              <w:spacing w:line="240" w:lineRule="auto"/>
              <w:ind w:firstLine="0"/>
              <w:jc w:val="left"/>
              <w:rPr>
                <w:b w:val="0"/>
                <w:bCs w:val="0"/>
                <w:sz w:val="20"/>
                <w:szCs w:val="18"/>
              </w:rPr>
            </w:pPr>
            <w:r w:rsidRPr="00D915DF">
              <w:rPr>
                <w:b w:val="0"/>
                <w:bCs w:val="0"/>
                <w:sz w:val="20"/>
                <w:szCs w:val="18"/>
              </w:rPr>
              <w:t>Būvniecības produkcijas apjoms valstī</w:t>
            </w:r>
          </w:p>
        </w:tc>
        <w:tc>
          <w:tcPr>
            <w:tcW w:w="913" w:type="dxa"/>
            <w:noWrap/>
            <w:vAlign w:val="center"/>
          </w:tcPr>
          <w:p w14:paraId="74B87191" w14:textId="58FE8264" w:rsidR="00D915DF" w:rsidRDefault="000846BB" w:rsidP="00D915D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7,55</w:t>
            </w:r>
          </w:p>
        </w:tc>
        <w:tc>
          <w:tcPr>
            <w:tcW w:w="1276" w:type="dxa"/>
            <w:noWrap/>
            <w:vAlign w:val="center"/>
          </w:tcPr>
          <w:p w14:paraId="62E9ACC1" w14:textId="72121515" w:rsidR="00D915DF" w:rsidRDefault="000846BB" w:rsidP="00D915D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0,99</w:t>
            </w:r>
          </w:p>
        </w:tc>
      </w:tr>
      <w:tr w:rsidR="00D915DF" w:rsidRPr="00631B24" w14:paraId="7E3BAB70" w14:textId="77777777" w:rsidTr="00AB553A">
        <w:trPr>
          <w:trHeight w:val="300"/>
        </w:trPr>
        <w:tc>
          <w:tcPr>
            <w:cnfStyle w:val="001000000000" w:firstRow="0" w:lastRow="0" w:firstColumn="1" w:lastColumn="0" w:oddVBand="0" w:evenVBand="0" w:oddHBand="0" w:evenHBand="0" w:firstRowFirstColumn="0" w:firstRowLastColumn="0" w:lastRowFirstColumn="0" w:lastRowLastColumn="0"/>
            <w:tcW w:w="7304" w:type="dxa"/>
            <w:noWrap/>
            <w:vAlign w:val="center"/>
          </w:tcPr>
          <w:p w14:paraId="408777B1" w14:textId="1B54FC04" w:rsidR="00D915DF" w:rsidRPr="00D915DF" w:rsidRDefault="00D915DF" w:rsidP="00D915DF">
            <w:pPr>
              <w:spacing w:line="240" w:lineRule="auto"/>
              <w:ind w:firstLine="0"/>
              <w:jc w:val="left"/>
              <w:rPr>
                <w:b w:val="0"/>
                <w:bCs w:val="0"/>
                <w:sz w:val="20"/>
                <w:szCs w:val="18"/>
              </w:rPr>
            </w:pPr>
            <w:r w:rsidRPr="00D915DF">
              <w:rPr>
                <w:b w:val="0"/>
                <w:bCs w:val="0"/>
                <w:sz w:val="20"/>
                <w:szCs w:val="18"/>
              </w:rPr>
              <w:t>Ģeogrāfiski būvmateriālu pieejamība būvobjektu tuvumā</w:t>
            </w:r>
          </w:p>
        </w:tc>
        <w:tc>
          <w:tcPr>
            <w:tcW w:w="913" w:type="dxa"/>
            <w:noWrap/>
            <w:vAlign w:val="center"/>
          </w:tcPr>
          <w:p w14:paraId="2807A7F4" w14:textId="6E57354A" w:rsidR="00D915DF" w:rsidRDefault="000846BB" w:rsidP="00D915D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7,27</w:t>
            </w:r>
          </w:p>
        </w:tc>
        <w:tc>
          <w:tcPr>
            <w:tcW w:w="1276" w:type="dxa"/>
            <w:noWrap/>
            <w:vAlign w:val="center"/>
          </w:tcPr>
          <w:p w14:paraId="48C30FA3" w14:textId="1B32FBD0" w:rsidR="00D915DF" w:rsidRDefault="000846BB" w:rsidP="00D915DF">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1,96</w:t>
            </w:r>
          </w:p>
        </w:tc>
      </w:tr>
    </w:tbl>
    <w:p w14:paraId="49E09BBA" w14:textId="77777777" w:rsidR="00BD148E" w:rsidRDefault="00BD148E" w:rsidP="003B6F00">
      <w:pPr>
        <w:ind w:firstLine="0"/>
        <w:rPr>
          <w:highlight w:val="yellow"/>
        </w:rPr>
      </w:pPr>
    </w:p>
    <w:p w14:paraId="665AB62D" w14:textId="0F1800B2" w:rsidR="0035523D" w:rsidRPr="00A57667" w:rsidRDefault="00BD148E" w:rsidP="005D0FA0">
      <w:pPr>
        <w:ind w:firstLine="0"/>
        <w:rPr>
          <w:sz w:val="24"/>
          <w:szCs w:val="24"/>
        </w:rPr>
      </w:pPr>
      <w:r w:rsidRPr="00A57667">
        <w:rPr>
          <w:sz w:val="24"/>
          <w:szCs w:val="24"/>
        </w:rPr>
        <w:t xml:space="preserve">Ekspertu, kā </w:t>
      </w:r>
      <w:r w:rsidR="00905AD2" w:rsidRPr="00A57667">
        <w:rPr>
          <w:sz w:val="24"/>
          <w:szCs w:val="24"/>
        </w:rPr>
        <w:t xml:space="preserve">būtiskos </w:t>
      </w:r>
      <w:r w:rsidRPr="00A57667">
        <w:rPr>
          <w:sz w:val="24"/>
          <w:szCs w:val="24"/>
        </w:rPr>
        <w:t>vis</w:t>
      </w:r>
      <w:r w:rsidR="00905AD2" w:rsidRPr="00A57667">
        <w:rPr>
          <w:sz w:val="24"/>
          <w:szCs w:val="24"/>
        </w:rPr>
        <w:t>u</w:t>
      </w:r>
      <w:r w:rsidRPr="00A57667">
        <w:rPr>
          <w:sz w:val="24"/>
          <w:szCs w:val="24"/>
        </w:rPr>
        <w:t xml:space="preserve"> </w:t>
      </w:r>
      <w:proofErr w:type="spellStart"/>
      <w:r w:rsidRPr="00A57667">
        <w:rPr>
          <w:sz w:val="24"/>
          <w:szCs w:val="24"/>
        </w:rPr>
        <w:t>apakšnozar</w:t>
      </w:r>
      <w:r w:rsidR="00905AD2" w:rsidRPr="00A57667">
        <w:rPr>
          <w:sz w:val="24"/>
          <w:szCs w:val="24"/>
        </w:rPr>
        <w:t>i</w:t>
      </w:r>
      <w:proofErr w:type="spellEnd"/>
      <w:r w:rsidR="00905AD2" w:rsidRPr="00A57667">
        <w:rPr>
          <w:sz w:val="24"/>
          <w:szCs w:val="24"/>
        </w:rPr>
        <w:t xml:space="preserve"> </w:t>
      </w:r>
      <w:r w:rsidR="00837E25" w:rsidRPr="00A57667">
        <w:rPr>
          <w:sz w:val="24"/>
          <w:szCs w:val="24"/>
        </w:rPr>
        <w:t xml:space="preserve">negatīvi </w:t>
      </w:r>
      <w:r w:rsidR="00905AD2" w:rsidRPr="00A57667">
        <w:rPr>
          <w:sz w:val="24"/>
          <w:szCs w:val="24"/>
        </w:rPr>
        <w:t>ietekmējošos, tajā skaitā arī</w:t>
      </w:r>
      <w:r w:rsidRPr="00A57667">
        <w:rPr>
          <w:sz w:val="24"/>
          <w:szCs w:val="24"/>
        </w:rPr>
        <w:t xml:space="preserve"> darbaspēka un būvmateriālu izmaksu ietekmējošiem faktor</w:t>
      </w:r>
      <w:r w:rsidR="00905AD2" w:rsidRPr="00A57667">
        <w:rPr>
          <w:sz w:val="24"/>
          <w:szCs w:val="24"/>
        </w:rPr>
        <w:t>us, min</w:t>
      </w:r>
      <w:r w:rsidR="005D0FA0" w:rsidRPr="00A57667">
        <w:rPr>
          <w:sz w:val="24"/>
          <w:szCs w:val="24"/>
        </w:rPr>
        <w:t xml:space="preserve"> v</w:t>
      </w:r>
      <w:r w:rsidRPr="00A57667">
        <w:rPr>
          <w:sz w:val="24"/>
          <w:szCs w:val="24"/>
        </w:rPr>
        <w:t>iena gada plānošanas period</w:t>
      </w:r>
      <w:r w:rsidR="005D0FA0" w:rsidRPr="00A57667">
        <w:rPr>
          <w:sz w:val="24"/>
          <w:szCs w:val="24"/>
        </w:rPr>
        <w:t>u</w:t>
      </w:r>
      <w:r w:rsidRPr="00A57667">
        <w:rPr>
          <w:sz w:val="24"/>
          <w:szCs w:val="24"/>
        </w:rPr>
        <w:t xml:space="preserve"> </w:t>
      </w:r>
      <w:r w:rsidR="00905AD2" w:rsidRPr="00A57667">
        <w:rPr>
          <w:sz w:val="24"/>
          <w:szCs w:val="24"/>
        </w:rPr>
        <w:t xml:space="preserve">valstī un </w:t>
      </w:r>
      <w:r w:rsidRPr="00A57667">
        <w:rPr>
          <w:sz w:val="24"/>
          <w:szCs w:val="24"/>
        </w:rPr>
        <w:t>pašvaldībās</w:t>
      </w:r>
      <w:r w:rsidR="00AE2ED2" w:rsidRPr="00A57667">
        <w:rPr>
          <w:sz w:val="24"/>
          <w:szCs w:val="24"/>
        </w:rPr>
        <w:t>.</w:t>
      </w:r>
    </w:p>
    <w:p w14:paraId="5C2FE864" w14:textId="77777777" w:rsidR="00905AD2" w:rsidRPr="00A57667" w:rsidRDefault="00905AD2" w:rsidP="00E224C1">
      <w:pPr>
        <w:rPr>
          <w:sz w:val="24"/>
          <w:szCs w:val="24"/>
          <w:highlight w:val="yellow"/>
          <w:u w:val="single"/>
        </w:rPr>
      </w:pPr>
    </w:p>
    <w:p w14:paraId="231EAAF6" w14:textId="26DF7040" w:rsidR="000938E3" w:rsidRPr="00A57667" w:rsidRDefault="00E224C1" w:rsidP="000938E3">
      <w:pPr>
        <w:rPr>
          <w:sz w:val="24"/>
          <w:szCs w:val="24"/>
          <w:highlight w:val="yellow"/>
        </w:rPr>
      </w:pPr>
      <w:r w:rsidRPr="00A57667">
        <w:rPr>
          <w:b/>
          <w:bCs/>
          <w:sz w:val="24"/>
          <w:szCs w:val="24"/>
          <w:u w:val="single"/>
        </w:rPr>
        <w:t xml:space="preserve">Pilsētu infrastruktūras objektu būvniecības </w:t>
      </w:r>
      <w:proofErr w:type="spellStart"/>
      <w:r w:rsidRPr="00A57667">
        <w:rPr>
          <w:b/>
          <w:bCs/>
          <w:sz w:val="24"/>
          <w:szCs w:val="24"/>
          <w:u w:val="single"/>
        </w:rPr>
        <w:t>apakšnozares</w:t>
      </w:r>
      <w:proofErr w:type="spellEnd"/>
      <w:r w:rsidRPr="00A57667">
        <w:rPr>
          <w:sz w:val="24"/>
          <w:szCs w:val="24"/>
        </w:rPr>
        <w:t xml:space="preserve"> darbaspēka izmaksas ietekmējošie faktori </w:t>
      </w:r>
      <w:r w:rsidR="00FE3666" w:rsidRPr="00A57667">
        <w:rPr>
          <w:sz w:val="24"/>
          <w:szCs w:val="24"/>
        </w:rPr>
        <w:t>tika vērtēti</w:t>
      </w:r>
      <w:r w:rsidR="00AB6E86" w:rsidRPr="00A57667">
        <w:rPr>
          <w:sz w:val="24"/>
          <w:szCs w:val="24"/>
        </w:rPr>
        <w:t>,</w:t>
      </w:r>
      <w:r w:rsidR="00FE3666" w:rsidRPr="00A57667">
        <w:rPr>
          <w:sz w:val="24"/>
          <w:szCs w:val="24"/>
        </w:rPr>
        <w:t xml:space="preserve"> analizējot četrus galvenos faktorus, kas </w:t>
      </w:r>
      <w:r w:rsidR="00AB6E86" w:rsidRPr="00A57667">
        <w:rPr>
          <w:sz w:val="24"/>
          <w:szCs w:val="24"/>
        </w:rPr>
        <w:t xml:space="preserve">tieši </w:t>
      </w:r>
      <w:r w:rsidR="00FE3666" w:rsidRPr="00A57667">
        <w:rPr>
          <w:sz w:val="24"/>
          <w:szCs w:val="24"/>
        </w:rPr>
        <w:t>ietekmē pilsētsaimniecības infrastruktūras jom</w:t>
      </w:r>
      <w:r w:rsidR="00AB6E86" w:rsidRPr="00A57667">
        <w:rPr>
          <w:sz w:val="24"/>
          <w:szCs w:val="24"/>
        </w:rPr>
        <w:t>u</w:t>
      </w:r>
      <w:r w:rsidR="00FE3666" w:rsidRPr="00A57667">
        <w:rPr>
          <w:sz w:val="24"/>
          <w:szCs w:val="24"/>
        </w:rPr>
        <w:t>.</w:t>
      </w:r>
      <w:r w:rsidR="000938E3" w:rsidRPr="00A57667">
        <w:rPr>
          <w:sz w:val="24"/>
          <w:szCs w:val="24"/>
        </w:rPr>
        <w:t xml:space="preserve"> Salīdzinot ar citu </w:t>
      </w:r>
      <w:proofErr w:type="spellStart"/>
      <w:r w:rsidR="000938E3" w:rsidRPr="00A57667">
        <w:rPr>
          <w:sz w:val="24"/>
          <w:szCs w:val="24"/>
        </w:rPr>
        <w:t>apakšnozaru</w:t>
      </w:r>
      <w:proofErr w:type="spellEnd"/>
      <w:r w:rsidR="000938E3" w:rsidRPr="00A57667">
        <w:rPr>
          <w:sz w:val="24"/>
          <w:szCs w:val="24"/>
        </w:rPr>
        <w:t xml:space="preserve"> pārstāvjiem, pilsētsaimniecības infrastruktūras objektu būvniecības </w:t>
      </w:r>
      <w:proofErr w:type="spellStart"/>
      <w:r w:rsidR="000938E3" w:rsidRPr="00A57667">
        <w:rPr>
          <w:sz w:val="24"/>
          <w:szCs w:val="24"/>
        </w:rPr>
        <w:t>apakšnozarē</w:t>
      </w:r>
      <w:proofErr w:type="spellEnd"/>
      <w:r w:rsidR="000938E3" w:rsidRPr="00A57667">
        <w:rPr>
          <w:sz w:val="24"/>
          <w:szCs w:val="24"/>
        </w:rPr>
        <w:t xml:space="preserve"> tika novēroti zemāki ekspertu vērtējumi. </w:t>
      </w:r>
    </w:p>
    <w:p w14:paraId="62752B25" w14:textId="4E4FFFEF" w:rsidR="000938E3" w:rsidRPr="00A57667" w:rsidRDefault="000938E3" w:rsidP="000938E3">
      <w:pPr>
        <w:rPr>
          <w:sz w:val="24"/>
          <w:szCs w:val="24"/>
        </w:rPr>
      </w:pPr>
      <w:r w:rsidRPr="00A57667">
        <w:rPr>
          <w:sz w:val="24"/>
          <w:szCs w:val="24"/>
        </w:rPr>
        <w:t xml:space="preserve">Kā būtiskākais faktors, kas ietekmē darbaspēka izmaksas, tiek novērtēts </w:t>
      </w:r>
      <w:r w:rsidRPr="00A57667">
        <w:rPr>
          <w:b/>
          <w:bCs/>
          <w:sz w:val="24"/>
          <w:szCs w:val="24"/>
        </w:rPr>
        <w:t>darbaspēka trūkums</w:t>
      </w:r>
      <w:r w:rsidRPr="00A57667">
        <w:rPr>
          <w:sz w:val="24"/>
          <w:szCs w:val="24"/>
        </w:rPr>
        <w:t xml:space="preserve"> ar 7,86 ballēm. Visi pārējie faktori, kā būvniecības produkcijas apjoms, darbaspēka samaksas līmenis ES valstīs,</w:t>
      </w:r>
      <w:r w:rsidRPr="00A57667">
        <w:rPr>
          <w:b/>
          <w:bCs/>
          <w:sz w:val="24"/>
          <w:szCs w:val="24"/>
        </w:rPr>
        <w:t xml:space="preserve">  </w:t>
      </w:r>
      <w:r w:rsidRPr="00A57667">
        <w:rPr>
          <w:sz w:val="24"/>
          <w:szCs w:val="24"/>
        </w:rPr>
        <w:t>tiek novērtēti kā vidēji būtiski.</w:t>
      </w:r>
    </w:p>
    <w:p w14:paraId="7A2486D7" w14:textId="77777777" w:rsidR="0054619D" w:rsidRPr="00A57667" w:rsidRDefault="0054619D" w:rsidP="0054619D">
      <w:pPr>
        <w:rPr>
          <w:sz w:val="24"/>
          <w:szCs w:val="24"/>
        </w:rPr>
      </w:pPr>
      <w:r w:rsidRPr="00A57667">
        <w:rPr>
          <w:sz w:val="24"/>
          <w:szCs w:val="24"/>
        </w:rPr>
        <w:t xml:space="preserve">Kā būtiskākie faktori, kas ietekmē būvmateriālu izmaksu izmaiņas tieši pilsētas infrastruktūras objektu būvniecības </w:t>
      </w:r>
      <w:proofErr w:type="spellStart"/>
      <w:r w:rsidRPr="00A57667">
        <w:rPr>
          <w:sz w:val="24"/>
          <w:szCs w:val="24"/>
        </w:rPr>
        <w:t>apakšnozarē</w:t>
      </w:r>
      <w:proofErr w:type="spellEnd"/>
      <w:r w:rsidRPr="00A57667">
        <w:rPr>
          <w:sz w:val="24"/>
          <w:szCs w:val="24"/>
        </w:rPr>
        <w:t xml:space="preserve">, novērtēti </w:t>
      </w:r>
      <w:r w:rsidRPr="00A57667">
        <w:rPr>
          <w:b/>
          <w:bCs/>
          <w:sz w:val="24"/>
          <w:szCs w:val="24"/>
        </w:rPr>
        <w:t>tērauda cauruļu un veidgabalu pieejamība un cenu līmenis ES tirgū</w:t>
      </w:r>
      <w:r w:rsidRPr="00A57667">
        <w:rPr>
          <w:sz w:val="24"/>
          <w:szCs w:val="24"/>
        </w:rPr>
        <w:t xml:space="preserve"> (7,43 balles) un </w:t>
      </w:r>
      <w:r w:rsidRPr="00A57667">
        <w:rPr>
          <w:b/>
          <w:bCs/>
          <w:sz w:val="24"/>
          <w:szCs w:val="24"/>
        </w:rPr>
        <w:t>tehnoloģisko iekārtu pieejamība ES tirgū</w:t>
      </w:r>
      <w:r w:rsidRPr="00A57667">
        <w:rPr>
          <w:sz w:val="24"/>
          <w:szCs w:val="24"/>
        </w:rPr>
        <w:t xml:space="preserve"> (7,29 balles). </w:t>
      </w:r>
    </w:p>
    <w:p w14:paraId="29A390D2" w14:textId="77777777" w:rsidR="00EF08A4" w:rsidRDefault="00EF08A4" w:rsidP="00EF08A4"/>
    <w:p w14:paraId="37CBAF94" w14:textId="43F5286C" w:rsidR="00DC4AB6" w:rsidRPr="00A57667" w:rsidRDefault="00EE52F2" w:rsidP="00A57667">
      <w:pPr>
        <w:rPr>
          <w:sz w:val="24"/>
          <w:szCs w:val="24"/>
        </w:rPr>
      </w:pPr>
      <w:r w:rsidRPr="00A57667">
        <w:rPr>
          <w:b/>
          <w:bCs/>
          <w:sz w:val="24"/>
          <w:szCs w:val="24"/>
          <w:u w:val="single"/>
        </w:rPr>
        <w:t xml:space="preserve">Pārējo inženierbūvju </w:t>
      </w:r>
      <w:proofErr w:type="spellStart"/>
      <w:r w:rsidRPr="00A57667">
        <w:rPr>
          <w:b/>
          <w:bCs/>
          <w:sz w:val="24"/>
          <w:szCs w:val="24"/>
          <w:u w:val="single"/>
        </w:rPr>
        <w:t>apakšnozares</w:t>
      </w:r>
      <w:proofErr w:type="spellEnd"/>
      <w:r w:rsidRPr="00A57667">
        <w:rPr>
          <w:sz w:val="24"/>
          <w:szCs w:val="24"/>
        </w:rPr>
        <w:t xml:space="preserve"> darbaspēka izmaksas ietekmējošie faktori</w:t>
      </w:r>
      <w:r w:rsidR="00FE3666" w:rsidRPr="00A57667">
        <w:rPr>
          <w:sz w:val="24"/>
          <w:szCs w:val="24"/>
        </w:rPr>
        <w:t xml:space="preserve"> aptvēra gan </w:t>
      </w:r>
      <w:r w:rsidR="00E02DDA" w:rsidRPr="00A57667">
        <w:rPr>
          <w:sz w:val="24"/>
          <w:szCs w:val="24"/>
        </w:rPr>
        <w:t>būvniecības apjomu, gan vairākus ar darbaspēku saistītus faktorus</w:t>
      </w:r>
      <w:r w:rsidR="00905AD2" w:rsidRPr="00A57667">
        <w:rPr>
          <w:sz w:val="24"/>
          <w:szCs w:val="24"/>
        </w:rPr>
        <w:t xml:space="preserve">: būvniecības produkcijas apjoms Latvijā, darbaspēka nodokļu līmenis Latvijā, kvalificēta darbaspēka īpatsvars ar izglītību/pieredzi pārējās </w:t>
      </w:r>
      <w:proofErr w:type="spellStart"/>
      <w:r w:rsidR="00905AD2" w:rsidRPr="00A57667">
        <w:rPr>
          <w:sz w:val="24"/>
          <w:szCs w:val="24"/>
        </w:rPr>
        <w:t>inženierbūvniecības</w:t>
      </w:r>
      <w:proofErr w:type="spellEnd"/>
      <w:r w:rsidR="00905AD2" w:rsidRPr="00A57667">
        <w:rPr>
          <w:sz w:val="24"/>
          <w:szCs w:val="24"/>
        </w:rPr>
        <w:t xml:space="preserve"> </w:t>
      </w:r>
      <w:proofErr w:type="spellStart"/>
      <w:r w:rsidR="00905AD2" w:rsidRPr="00A57667">
        <w:rPr>
          <w:sz w:val="24"/>
          <w:szCs w:val="24"/>
        </w:rPr>
        <w:t>apakšnozarē</w:t>
      </w:r>
      <w:proofErr w:type="spellEnd"/>
      <w:r w:rsidR="00905AD2" w:rsidRPr="00A57667">
        <w:rPr>
          <w:sz w:val="24"/>
          <w:szCs w:val="24"/>
        </w:rPr>
        <w:t>, darba devēju konkurences par kvalificēto darbaspēku palielināšanās darba tirgū</w:t>
      </w:r>
      <w:r w:rsidR="00255ED4" w:rsidRPr="00A57667">
        <w:rPr>
          <w:sz w:val="24"/>
          <w:szCs w:val="24"/>
        </w:rPr>
        <w:t>.</w:t>
      </w:r>
      <w:r w:rsidR="00AE2ED2" w:rsidRPr="00A57667">
        <w:rPr>
          <w:sz w:val="24"/>
          <w:szCs w:val="24"/>
        </w:rPr>
        <w:t xml:space="preserve"> </w:t>
      </w:r>
      <w:r w:rsidR="00535ACE" w:rsidRPr="00A57667">
        <w:rPr>
          <w:sz w:val="24"/>
          <w:szCs w:val="24"/>
        </w:rPr>
        <w:t>Š</w:t>
      </w:r>
      <w:r w:rsidR="004C59B6" w:rsidRPr="00A57667">
        <w:rPr>
          <w:sz w:val="24"/>
          <w:szCs w:val="24"/>
        </w:rPr>
        <w:t xml:space="preserve">ajā blokā bija visaugstākā </w:t>
      </w:r>
      <w:r w:rsidR="004C59B6" w:rsidRPr="00A57667">
        <w:rPr>
          <w:sz w:val="24"/>
          <w:szCs w:val="24"/>
        </w:rPr>
        <w:lastRenderedPageBreak/>
        <w:t xml:space="preserve">ekspertu viedokļu </w:t>
      </w:r>
      <w:proofErr w:type="spellStart"/>
      <w:r w:rsidR="004C59B6" w:rsidRPr="00A57667">
        <w:rPr>
          <w:sz w:val="24"/>
          <w:szCs w:val="24"/>
        </w:rPr>
        <w:t>neviendabība</w:t>
      </w:r>
      <w:proofErr w:type="spellEnd"/>
      <w:r w:rsidR="004C59B6" w:rsidRPr="00A57667">
        <w:rPr>
          <w:sz w:val="24"/>
          <w:szCs w:val="24"/>
        </w:rPr>
        <w:t xml:space="preserve"> ar </w:t>
      </w:r>
      <w:r w:rsidR="00885A02" w:rsidRPr="00A57667">
        <w:rPr>
          <w:sz w:val="24"/>
          <w:szCs w:val="24"/>
        </w:rPr>
        <w:t xml:space="preserve">augstām </w:t>
      </w:r>
      <w:proofErr w:type="spellStart"/>
      <w:r w:rsidR="00885A02" w:rsidRPr="00A57667">
        <w:rPr>
          <w:sz w:val="24"/>
          <w:szCs w:val="24"/>
        </w:rPr>
        <w:t>ekspertvērtējumu</w:t>
      </w:r>
      <w:proofErr w:type="spellEnd"/>
      <w:r w:rsidR="00885A02" w:rsidRPr="00A57667">
        <w:rPr>
          <w:sz w:val="24"/>
          <w:szCs w:val="24"/>
        </w:rPr>
        <w:t xml:space="preserve"> standartnovirzēm, kas liecina par lielu viedokļu izkliedi</w:t>
      </w:r>
      <w:r w:rsidR="000938E3" w:rsidRPr="00A57667">
        <w:rPr>
          <w:sz w:val="24"/>
          <w:szCs w:val="24"/>
        </w:rPr>
        <w:t>, l</w:t>
      </w:r>
      <w:r w:rsidR="00DA10BB" w:rsidRPr="00A57667">
        <w:rPr>
          <w:sz w:val="24"/>
          <w:szCs w:val="24"/>
        </w:rPr>
        <w:t>īdz ar to nevar uzskatīt, ka kāds faktors būtu nozīmīgāks par citiem</w:t>
      </w:r>
      <w:r w:rsidR="00535ACE" w:rsidRPr="00A57667">
        <w:rPr>
          <w:sz w:val="24"/>
          <w:szCs w:val="24"/>
        </w:rPr>
        <w:t>,</w:t>
      </w:r>
      <w:r w:rsidR="00DA10BB" w:rsidRPr="00A57667">
        <w:rPr>
          <w:sz w:val="24"/>
          <w:szCs w:val="24"/>
        </w:rPr>
        <w:t xml:space="preserve"> un to visu nozīme vērtējama k</w:t>
      </w:r>
      <w:r w:rsidR="00AE2ED2" w:rsidRPr="00A57667">
        <w:rPr>
          <w:sz w:val="24"/>
          <w:szCs w:val="24"/>
        </w:rPr>
        <w:t>ā</w:t>
      </w:r>
      <w:r w:rsidR="00DA10BB" w:rsidRPr="00A57667">
        <w:rPr>
          <w:sz w:val="24"/>
          <w:szCs w:val="24"/>
        </w:rPr>
        <w:t xml:space="preserve"> vidēji augsta. </w:t>
      </w:r>
    </w:p>
    <w:p w14:paraId="02592697" w14:textId="2F1C9738" w:rsidR="000F0D08" w:rsidRPr="00A57667" w:rsidRDefault="00DA10BB" w:rsidP="00A57667">
      <w:pPr>
        <w:ind w:firstLine="0"/>
        <w:rPr>
          <w:sz w:val="24"/>
          <w:szCs w:val="24"/>
        </w:rPr>
      </w:pPr>
      <w:r w:rsidRPr="00A57667">
        <w:rPr>
          <w:sz w:val="24"/>
          <w:szCs w:val="24"/>
        </w:rPr>
        <w:tab/>
      </w:r>
      <w:r w:rsidR="008D5648" w:rsidRPr="00A57667">
        <w:rPr>
          <w:sz w:val="24"/>
          <w:szCs w:val="24"/>
        </w:rPr>
        <w:t>V</w:t>
      </w:r>
      <w:r w:rsidRPr="00A57667">
        <w:rPr>
          <w:sz w:val="24"/>
          <w:szCs w:val="24"/>
        </w:rPr>
        <w:t>ērtējot faktorus, kas ietekmē būvmateriālu izmaksas,</w:t>
      </w:r>
      <w:r w:rsidR="008D5648" w:rsidRPr="00A57667">
        <w:rPr>
          <w:sz w:val="24"/>
          <w:szCs w:val="24"/>
        </w:rPr>
        <w:t xml:space="preserve"> e</w:t>
      </w:r>
      <w:r w:rsidRPr="00A57667">
        <w:rPr>
          <w:sz w:val="24"/>
          <w:szCs w:val="24"/>
        </w:rPr>
        <w:t xml:space="preserve">ksperti kā vienīgo faktoru ar augstu ietekmi novērtēja </w:t>
      </w:r>
      <w:r w:rsidRPr="00A57667">
        <w:rPr>
          <w:b/>
          <w:bCs/>
          <w:sz w:val="24"/>
          <w:szCs w:val="24"/>
        </w:rPr>
        <w:t>būvniecības produkcijas apjomu valstī</w:t>
      </w:r>
      <w:r w:rsidRPr="00A57667">
        <w:rPr>
          <w:sz w:val="24"/>
          <w:szCs w:val="24"/>
        </w:rPr>
        <w:t xml:space="preserve"> (8,13 balles). </w:t>
      </w:r>
    </w:p>
    <w:p w14:paraId="58A0B366" w14:textId="280F37FB" w:rsidR="008845B8" w:rsidRDefault="008845B8" w:rsidP="00DA10BB">
      <w:pPr>
        <w:ind w:firstLine="0"/>
      </w:pPr>
    </w:p>
    <w:p w14:paraId="5A25F708" w14:textId="513397E1" w:rsidR="00F0727D" w:rsidRDefault="00F0727D" w:rsidP="00F016B1">
      <w:pPr>
        <w:pStyle w:val="Heading2"/>
        <w:numPr>
          <w:ilvl w:val="1"/>
          <w:numId w:val="1"/>
        </w:numPr>
        <w:ind w:hanging="508"/>
      </w:pPr>
      <w:bookmarkStart w:id="12" w:name="_Toc54287916"/>
      <w:r>
        <w:t xml:space="preserve">Valdības </w:t>
      </w:r>
      <w:r w:rsidR="00D7196F">
        <w:t xml:space="preserve">ieviesto ēnu ekonomikas </w:t>
      </w:r>
      <w:r>
        <w:t xml:space="preserve">pasākumu </w:t>
      </w:r>
      <w:r w:rsidR="00D7196F">
        <w:t xml:space="preserve">un </w:t>
      </w:r>
      <w:proofErr w:type="spellStart"/>
      <w:r w:rsidR="00D7196F">
        <w:t>koronvīrusa</w:t>
      </w:r>
      <w:proofErr w:type="spellEnd"/>
      <w:r w:rsidR="00D7196F">
        <w:t xml:space="preserve"> COVID</w:t>
      </w:r>
      <w:r w:rsidR="00CD0762">
        <w:t xml:space="preserve"> </w:t>
      </w:r>
      <w:r w:rsidR="00D7196F">
        <w:t>-</w:t>
      </w:r>
      <w:r w:rsidR="00CD0762">
        <w:t xml:space="preserve"> 1</w:t>
      </w:r>
      <w:r w:rsidR="00D7196F">
        <w:t xml:space="preserve">9 izraisīto seku </w:t>
      </w:r>
      <w:r>
        <w:t>ietekme</w:t>
      </w:r>
      <w:bookmarkEnd w:id="12"/>
      <w:r>
        <w:t xml:space="preserve"> </w:t>
      </w:r>
    </w:p>
    <w:p w14:paraId="0F2E37C9" w14:textId="77777777" w:rsidR="00F0727D" w:rsidRDefault="00F0727D" w:rsidP="00F0727D">
      <w:pPr>
        <w:pStyle w:val="Heading3"/>
        <w:ind w:firstLine="567"/>
      </w:pPr>
      <w:r>
        <w:t>Ēnu ekonomikas apkarošanas pasākumu ietekme</w:t>
      </w:r>
    </w:p>
    <w:p w14:paraId="4D9127FD" w14:textId="0E5858A3" w:rsidR="00CF1365" w:rsidRPr="00A57667" w:rsidRDefault="00287701" w:rsidP="00A57667">
      <w:pPr>
        <w:ind w:firstLine="567"/>
        <w:rPr>
          <w:sz w:val="24"/>
          <w:szCs w:val="24"/>
        </w:rPr>
      </w:pPr>
      <w:r w:rsidRPr="00A57667">
        <w:rPr>
          <w:sz w:val="24"/>
          <w:szCs w:val="24"/>
        </w:rPr>
        <w:t xml:space="preserve">Pētījumā eksperti vērtēja </w:t>
      </w:r>
      <w:r w:rsidR="008220AF" w:rsidRPr="00A57667">
        <w:rPr>
          <w:sz w:val="24"/>
          <w:szCs w:val="24"/>
        </w:rPr>
        <w:t xml:space="preserve">ēnu ekonomikas pasākumu ietekmi uz darbaspēka </w:t>
      </w:r>
      <w:r w:rsidR="00C8462B" w:rsidRPr="00A57667">
        <w:rPr>
          <w:sz w:val="24"/>
          <w:szCs w:val="24"/>
        </w:rPr>
        <w:t xml:space="preserve">un būvmateriālu </w:t>
      </w:r>
      <w:r w:rsidR="008220AF" w:rsidRPr="00A57667">
        <w:rPr>
          <w:sz w:val="24"/>
          <w:szCs w:val="24"/>
        </w:rPr>
        <w:t>izmaksām</w:t>
      </w:r>
      <w:r w:rsidR="00C8462B" w:rsidRPr="00A57667">
        <w:rPr>
          <w:sz w:val="24"/>
          <w:szCs w:val="24"/>
        </w:rPr>
        <w:t>. V</w:t>
      </w:r>
      <w:r w:rsidR="008220AF" w:rsidRPr="00A57667">
        <w:rPr>
          <w:sz w:val="24"/>
          <w:szCs w:val="24"/>
        </w:rPr>
        <w:t xml:space="preserve">isu pasākumu vidējais novērtējums ir pozitīvs. Kā būtiskākos </w:t>
      </w:r>
      <w:r w:rsidR="00C8462B" w:rsidRPr="00A57667">
        <w:rPr>
          <w:sz w:val="24"/>
          <w:szCs w:val="24"/>
        </w:rPr>
        <w:t xml:space="preserve">darbaspēka izmaksas </w:t>
      </w:r>
      <w:r w:rsidR="000F6088" w:rsidRPr="00A57667">
        <w:rPr>
          <w:sz w:val="24"/>
          <w:szCs w:val="24"/>
        </w:rPr>
        <w:t xml:space="preserve">ietekmējošos </w:t>
      </w:r>
      <w:r w:rsidR="008220AF" w:rsidRPr="00A57667">
        <w:rPr>
          <w:sz w:val="24"/>
          <w:szCs w:val="24"/>
        </w:rPr>
        <w:t xml:space="preserve">faktorus eksperti novērtēja </w:t>
      </w:r>
      <w:r w:rsidR="00C54135" w:rsidRPr="00A57667">
        <w:rPr>
          <w:sz w:val="24"/>
          <w:szCs w:val="24"/>
        </w:rPr>
        <w:t>elektroniskās darba laika uzskaites sistēmas ieviešanu</w:t>
      </w:r>
      <w:r w:rsidR="002233C8" w:rsidRPr="00A57667">
        <w:rPr>
          <w:sz w:val="24"/>
          <w:szCs w:val="24"/>
        </w:rPr>
        <w:t>,</w:t>
      </w:r>
      <w:r w:rsidR="00C54135" w:rsidRPr="00A57667">
        <w:rPr>
          <w:sz w:val="24"/>
          <w:szCs w:val="24"/>
        </w:rPr>
        <w:t xml:space="preserve"> </w:t>
      </w:r>
      <w:r w:rsidR="002233C8" w:rsidRPr="00A57667">
        <w:rPr>
          <w:rFonts w:cstheme="minorHAnsi"/>
          <w:color w:val="000000"/>
          <w:sz w:val="24"/>
          <w:szCs w:val="24"/>
        </w:rPr>
        <w:t>t.sk. datu nodošana VEDLUDB</w:t>
      </w:r>
      <w:r w:rsidR="002233C8" w:rsidRPr="00A57667">
        <w:rPr>
          <w:sz w:val="24"/>
          <w:szCs w:val="24"/>
        </w:rPr>
        <w:t xml:space="preserve"> </w:t>
      </w:r>
      <w:r w:rsidR="00C54135" w:rsidRPr="00A57667">
        <w:rPr>
          <w:sz w:val="24"/>
          <w:szCs w:val="24"/>
        </w:rPr>
        <w:t xml:space="preserve">un būvniecības nozares </w:t>
      </w:r>
      <w:proofErr w:type="spellStart"/>
      <w:r w:rsidR="00C54135" w:rsidRPr="00A57667">
        <w:rPr>
          <w:sz w:val="24"/>
          <w:szCs w:val="24"/>
        </w:rPr>
        <w:t>ģenerālvienošanās</w:t>
      </w:r>
      <w:proofErr w:type="spellEnd"/>
      <w:r w:rsidR="00C54135" w:rsidRPr="00A57667">
        <w:rPr>
          <w:sz w:val="24"/>
          <w:szCs w:val="24"/>
        </w:rPr>
        <w:t xml:space="preserve"> spēkā stāšan</w:t>
      </w:r>
      <w:r w:rsidR="00AE2ED2" w:rsidRPr="00A57667">
        <w:rPr>
          <w:sz w:val="24"/>
          <w:szCs w:val="24"/>
        </w:rPr>
        <w:t>o</w:t>
      </w:r>
      <w:r w:rsidR="00C54135" w:rsidRPr="00A57667">
        <w:rPr>
          <w:sz w:val="24"/>
          <w:szCs w:val="24"/>
        </w:rPr>
        <w:t>s par minimālo darba samaksu būvniecības nozarē.</w:t>
      </w:r>
      <w:r w:rsidR="008220AF" w:rsidRPr="00A57667">
        <w:rPr>
          <w:sz w:val="24"/>
          <w:szCs w:val="24"/>
        </w:rPr>
        <w:t xml:space="preserve"> </w:t>
      </w:r>
      <w:r w:rsidR="00C8462B" w:rsidRPr="00A57667">
        <w:rPr>
          <w:sz w:val="24"/>
          <w:szCs w:val="24"/>
        </w:rPr>
        <w:t>Ēnu ekonomikas apkarošanas pasākumi nenozīmīgi palielinās būvmateriālu izmaksas. Kā būtisk</w:t>
      </w:r>
      <w:r w:rsidR="00AE2ED2" w:rsidRPr="00A57667">
        <w:rPr>
          <w:sz w:val="24"/>
          <w:szCs w:val="24"/>
        </w:rPr>
        <w:t>ākie</w:t>
      </w:r>
      <w:r w:rsidR="00C8462B" w:rsidRPr="00A57667">
        <w:rPr>
          <w:sz w:val="24"/>
          <w:szCs w:val="24"/>
        </w:rPr>
        <w:t xml:space="preserve"> faktori</w:t>
      </w:r>
      <w:r w:rsidR="00AE2ED2" w:rsidRPr="00A57667">
        <w:rPr>
          <w:sz w:val="24"/>
          <w:szCs w:val="24"/>
        </w:rPr>
        <w:t xml:space="preserve"> varētu būt </w:t>
      </w:r>
      <w:r w:rsidR="00C8462B" w:rsidRPr="00A57667">
        <w:rPr>
          <w:sz w:val="24"/>
          <w:szCs w:val="24"/>
        </w:rPr>
        <w:t>administratīvās atbildības ieviešanu būvniecībā no 2020.gada 1.jūlija, kā arī elektroniskās darba laika uzskaites sistēmas ieviešan</w:t>
      </w:r>
      <w:r w:rsidR="00AE2ED2" w:rsidRPr="00A57667">
        <w:rPr>
          <w:sz w:val="24"/>
          <w:szCs w:val="24"/>
        </w:rPr>
        <w:t>a</w:t>
      </w:r>
      <w:r w:rsidR="00C8462B" w:rsidRPr="00A57667">
        <w:rPr>
          <w:sz w:val="24"/>
          <w:szCs w:val="24"/>
        </w:rPr>
        <w:t>.</w:t>
      </w:r>
    </w:p>
    <w:p w14:paraId="63328167" w14:textId="7FFB46F4" w:rsidR="00E45355" w:rsidRDefault="00D25872" w:rsidP="00DC1F16">
      <w:pPr>
        <w:keepNext/>
        <w:ind w:firstLine="0"/>
        <w:jc w:val="center"/>
      </w:pPr>
      <w:r>
        <w:rPr>
          <w:noProof/>
          <w:lang w:val="en-US"/>
        </w:rPr>
        <w:drawing>
          <wp:inline distT="0" distB="0" distL="0" distR="0" wp14:anchorId="2A9DD564" wp14:editId="78EEF8BE">
            <wp:extent cx="4842733" cy="24892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l="8139" t="1581" r="1562" b="3073"/>
                    <a:stretch/>
                  </pic:blipFill>
                  <pic:spPr bwMode="auto">
                    <a:xfrm>
                      <a:off x="0" y="0"/>
                      <a:ext cx="4848375" cy="2492100"/>
                    </a:xfrm>
                    <a:prstGeom prst="rect">
                      <a:avLst/>
                    </a:prstGeom>
                    <a:noFill/>
                    <a:ln>
                      <a:noFill/>
                    </a:ln>
                    <a:extLst>
                      <a:ext uri="{53640926-AAD7-44D8-BBD7-CCE9431645EC}">
                        <a14:shadowObscured xmlns:a14="http://schemas.microsoft.com/office/drawing/2010/main"/>
                      </a:ext>
                    </a:extLst>
                  </pic:spPr>
                </pic:pic>
              </a:graphicData>
            </a:graphic>
          </wp:inline>
        </w:drawing>
      </w:r>
    </w:p>
    <w:p w14:paraId="13E99135" w14:textId="1289DE75" w:rsidR="00C011CD" w:rsidRDefault="00E45355" w:rsidP="00F418FF">
      <w:pPr>
        <w:pStyle w:val="Caption"/>
        <w:jc w:val="center"/>
      </w:pPr>
      <w:bookmarkStart w:id="13" w:name="_Ref522273563"/>
      <w:r>
        <w:t xml:space="preserve">Att. </w:t>
      </w:r>
      <w:bookmarkEnd w:id="13"/>
      <w:r w:rsidR="00AB553A">
        <w:rPr>
          <w:noProof/>
        </w:rPr>
        <w:t>8</w:t>
      </w:r>
      <w:r>
        <w:t xml:space="preserve">. Ēnu ekonomikas apkarošanas pasākumu vidējā ietekmes pakāpe uz darbaspēka un būvmateriālu izmaksām pēc vidējā </w:t>
      </w:r>
      <w:proofErr w:type="spellStart"/>
      <w:r>
        <w:t>ekspertvērtējuma</w:t>
      </w:r>
      <w:proofErr w:type="spellEnd"/>
      <w:r w:rsidR="00F418FF">
        <w:t>,</w:t>
      </w:r>
    </w:p>
    <w:p w14:paraId="3B4A9AF3" w14:textId="4011E4BE" w:rsidR="00455B48" w:rsidRPr="00AB553A" w:rsidRDefault="00A938E0" w:rsidP="00AB553A">
      <w:pPr>
        <w:rPr>
          <w:sz w:val="24"/>
          <w:szCs w:val="24"/>
        </w:rPr>
      </w:pPr>
      <w:bookmarkStart w:id="14" w:name="_Hlk522719530"/>
      <w:r w:rsidRPr="00A57667">
        <w:rPr>
          <w:sz w:val="24"/>
          <w:szCs w:val="24"/>
        </w:rPr>
        <w:t xml:space="preserve">Kopumā </w:t>
      </w:r>
      <w:r w:rsidR="00C8462B" w:rsidRPr="00A57667">
        <w:rPr>
          <w:sz w:val="24"/>
          <w:szCs w:val="24"/>
        </w:rPr>
        <w:t>valdības</w:t>
      </w:r>
      <w:r w:rsidR="009105D7" w:rsidRPr="00A57667">
        <w:rPr>
          <w:sz w:val="24"/>
          <w:szCs w:val="24"/>
        </w:rPr>
        <w:t xml:space="preserve"> plānotie un realizētie ēnu ekonomikas apkarošanas pasākumi </w:t>
      </w:r>
      <w:r w:rsidR="005919C3" w:rsidRPr="00A57667">
        <w:rPr>
          <w:sz w:val="24"/>
          <w:szCs w:val="24"/>
        </w:rPr>
        <w:t>daudz</w:t>
      </w:r>
      <w:r w:rsidR="009105D7" w:rsidRPr="00A57667">
        <w:rPr>
          <w:sz w:val="24"/>
          <w:szCs w:val="24"/>
        </w:rPr>
        <w:t xml:space="preserve"> būtiskāk ietekmē</w:t>
      </w:r>
      <w:r w:rsidR="005919C3" w:rsidRPr="00A57667">
        <w:rPr>
          <w:sz w:val="24"/>
          <w:szCs w:val="24"/>
        </w:rPr>
        <w:t>s</w:t>
      </w:r>
      <w:r w:rsidR="009105D7" w:rsidRPr="00A57667">
        <w:rPr>
          <w:sz w:val="24"/>
          <w:szCs w:val="24"/>
        </w:rPr>
        <w:t xml:space="preserve"> darbaspēka izmaksas</w:t>
      </w:r>
      <w:r w:rsidR="00773220" w:rsidRPr="00A57667">
        <w:rPr>
          <w:sz w:val="24"/>
          <w:szCs w:val="24"/>
        </w:rPr>
        <w:t>,</w:t>
      </w:r>
      <w:r w:rsidR="009105D7" w:rsidRPr="00A57667">
        <w:rPr>
          <w:sz w:val="24"/>
          <w:szCs w:val="24"/>
        </w:rPr>
        <w:t xml:space="preserve"> nekā būvmateriālu izmaksas</w:t>
      </w:r>
      <w:r w:rsidR="00242532" w:rsidRPr="00A57667">
        <w:rPr>
          <w:sz w:val="24"/>
          <w:szCs w:val="24"/>
        </w:rPr>
        <w:t xml:space="preserve"> (</w:t>
      </w:r>
      <w:r w:rsidR="00242532" w:rsidRPr="00A57667">
        <w:rPr>
          <w:sz w:val="24"/>
          <w:szCs w:val="24"/>
        </w:rPr>
        <w:fldChar w:fldCharType="begin"/>
      </w:r>
      <w:r w:rsidR="00242532" w:rsidRPr="00A57667">
        <w:rPr>
          <w:sz w:val="24"/>
          <w:szCs w:val="24"/>
        </w:rPr>
        <w:instrText xml:space="preserve"> REF _Ref522273563 \h </w:instrText>
      </w:r>
      <w:r w:rsidR="00932277" w:rsidRPr="00A57667">
        <w:rPr>
          <w:sz w:val="24"/>
          <w:szCs w:val="24"/>
        </w:rPr>
        <w:instrText xml:space="preserve"> \* MERGEFORMAT </w:instrText>
      </w:r>
      <w:r w:rsidR="00242532" w:rsidRPr="00A57667">
        <w:rPr>
          <w:sz w:val="24"/>
          <w:szCs w:val="24"/>
        </w:rPr>
      </w:r>
      <w:r w:rsidR="00242532" w:rsidRPr="00A57667">
        <w:rPr>
          <w:sz w:val="24"/>
          <w:szCs w:val="24"/>
        </w:rPr>
        <w:fldChar w:fldCharType="separate"/>
      </w:r>
      <w:r w:rsidR="00363B39" w:rsidRPr="00A57667">
        <w:rPr>
          <w:sz w:val="24"/>
          <w:szCs w:val="24"/>
        </w:rPr>
        <w:t xml:space="preserve">Att. </w:t>
      </w:r>
      <w:r w:rsidR="00242532" w:rsidRPr="00A57667">
        <w:rPr>
          <w:sz w:val="24"/>
          <w:szCs w:val="24"/>
        </w:rPr>
        <w:fldChar w:fldCharType="end"/>
      </w:r>
      <w:r w:rsidR="00AB553A">
        <w:rPr>
          <w:sz w:val="24"/>
          <w:szCs w:val="24"/>
        </w:rPr>
        <w:t>8</w:t>
      </w:r>
      <w:r w:rsidR="00D20DDC" w:rsidRPr="00A57667">
        <w:rPr>
          <w:sz w:val="24"/>
          <w:szCs w:val="24"/>
        </w:rPr>
        <w:t>.</w:t>
      </w:r>
      <w:r w:rsidR="00242532" w:rsidRPr="00A57667">
        <w:rPr>
          <w:sz w:val="24"/>
          <w:szCs w:val="24"/>
        </w:rPr>
        <w:t>)</w:t>
      </w:r>
      <w:r w:rsidR="009105D7" w:rsidRPr="00A57667">
        <w:rPr>
          <w:sz w:val="24"/>
          <w:szCs w:val="24"/>
        </w:rPr>
        <w:t xml:space="preserve">. </w:t>
      </w:r>
    </w:p>
    <w:p w14:paraId="7606648D" w14:textId="68DE82BE" w:rsidR="00D7196F" w:rsidRDefault="00D7196F" w:rsidP="00D7196F">
      <w:pPr>
        <w:pStyle w:val="Heading3"/>
        <w:ind w:firstLine="567"/>
      </w:pPr>
      <w:r>
        <w:t>COVID-19 ietekme uz būvniecības nozares izmaksām</w:t>
      </w:r>
    </w:p>
    <w:p w14:paraId="097F9CD7" w14:textId="270C5BF6" w:rsidR="00354D15" w:rsidRPr="00A57667" w:rsidRDefault="00D7196F" w:rsidP="00D7196F">
      <w:pPr>
        <w:ind w:firstLine="567"/>
        <w:rPr>
          <w:sz w:val="24"/>
          <w:szCs w:val="24"/>
        </w:rPr>
      </w:pPr>
      <w:bookmarkStart w:id="15" w:name="_Hlk522719730"/>
      <w:bookmarkEnd w:id="14"/>
      <w:r w:rsidRPr="00A57667">
        <w:rPr>
          <w:sz w:val="24"/>
          <w:szCs w:val="24"/>
        </w:rPr>
        <w:t>Laikā, kad tika veikts p</w:t>
      </w:r>
      <w:r w:rsidR="000543B9" w:rsidRPr="00A57667">
        <w:rPr>
          <w:sz w:val="24"/>
          <w:szCs w:val="24"/>
        </w:rPr>
        <w:t>ētījum</w:t>
      </w:r>
      <w:r w:rsidRPr="00A57667">
        <w:rPr>
          <w:sz w:val="24"/>
          <w:szCs w:val="24"/>
        </w:rPr>
        <w:t>s</w:t>
      </w:r>
      <w:r w:rsidR="000543B9" w:rsidRPr="00A57667">
        <w:rPr>
          <w:sz w:val="24"/>
          <w:szCs w:val="24"/>
        </w:rPr>
        <w:t xml:space="preserve"> gan Latvijā, gan visā pasaulē bija COVID-19 vīrusa pandēmija. Gan pašas slimības dēļ, gan tās </w:t>
      </w:r>
      <w:r w:rsidR="00EE79B7" w:rsidRPr="00A57667">
        <w:rPr>
          <w:sz w:val="24"/>
          <w:szCs w:val="24"/>
        </w:rPr>
        <w:t xml:space="preserve">apkarošanai ieviesto pasākumu dēļ būtiski </w:t>
      </w:r>
      <w:r w:rsidR="00061133" w:rsidRPr="00A57667">
        <w:rPr>
          <w:sz w:val="24"/>
          <w:szCs w:val="24"/>
        </w:rPr>
        <w:t>samazinājās</w:t>
      </w:r>
      <w:r w:rsidR="00EE79B7" w:rsidRPr="00A57667">
        <w:rPr>
          <w:sz w:val="24"/>
          <w:szCs w:val="24"/>
        </w:rPr>
        <w:t xml:space="preserve"> pasaules tautsaimniecība</w:t>
      </w:r>
      <w:r w:rsidR="00061133" w:rsidRPr="00A57667">
        <w:rPr>
          <w:sz w:val="24"/>
          <w:szCs w:val="24"/>
        </w:rPr>
        <w:t>s attīstības tempi</w:t>
      </w:r>
      <w:r w:rsidR="00EE79B7" w:rsidRPr="00A57667">
        <w:rPr>
          <w:sz w:val="24"/>
          <w:szCs w:val="24"/>
        </w:rPr>
        <w:t xml:space="preserve"> un daudzās valstīs uzsākās recesija. </w:t>
      </w:r>
      <w:r w:rsidR="00EE79B7" w:rsidRPr="00A57667">
        <w:rPr>
          <w:sz w:val="24"/>
          <w:szCs w:val="24"/>
        </w:rPr>
        <w:lastRenderedPageBreak/>
        <w:t xml:space="preserve">Arī Latvijā </w:t>
      </w:r>
      <w:r w:rsidR="000E6C7D" w:rsidRPr="00A57667">
        <w:rPr>
          <w:sz w:val="24"/>
          <w:szCs w:val="24"/>
        </w:rPr>
        <w:t>vairums tautsaimniecības sektoru nonāca krituma fāzē</w:t>
      </w:r>
      <w:r w:rsidR="00A551D3" w:rsidRPr="00A57667">
        <w:rPr>
          <w:sz w:val="24"/>
          <w:szCs w:val="24"/>
        </w:rPr>
        <w:t>,</w:t>
      </w:r>
      <w:r w:rsidR="000E6C7D" w:rsidRPr="00A57667">
        <w:rPr>
          <w:sz w:val="24"/>
          <w:szCs w:val="24"/>
        </w:rPr>
        <w:t xml:space="preserve"> </w:t>
      </w:r>
      <w:r w:rsidR="00A551D3" w:rsidRPr="00A57667">
        <w:rPr>
          <w:sz w:val="24"/>
          <w:szCs w:val="24"/>
        </w:rPr>
        <w:t>lai gan</w:t>
      </w:r>
      <w:r w:rsidR="000E6C7D" w:rsidRPr="00A57667">
        <w:rPr>
          <w:sz w:val="24"/>
          <w:szCs w:val="24"/>
        </w:rPr>
        <w:t xml:space="preserve"> būvniecības nozare bija viena no tām, kura cieta vismazāk. </w:t>
      </w:r>
      <w:r w:rsidR="00A551D3" w:rsidRPr="00A57667">
        <w:rPr>
          <w:sz w:val="24"/>
          <w:szCs w:val="24"/>
        </w:rPr>
        <w:t>Pētījuma ietvaros</w:t>
      </w:r>
      <w:r w:rsidR="000E6C7D" w:rsidRPr="00A57667">
        <w:rPr>
          <w:sz w:val="24"/>
          <w:szCs w:val="24"/>
        </w:rPr>
        <w:t xml:space="preserve"> </w:t>
      </w:r>
      <w:r w:rsidR="005919C3" w:rsidRPr="00A57667">
        <w:rPr>
          <w:sz w:val="24"/>
          <w:szCs w:val="24"/>
        </w:rPr>
        <w:t xml:space="preserve">tika </w:t>
      </w:r>
      <w:r w:rsidRPr="00A57667">
        <w:rPr>
          <w:sz w:val="24"/>
          <w:szCs w:val="24"/>
        </w:rPr>
        <w:t xml:space="preserve">eksperti </w:t>
      </w:r>
      <w:r w:rsidR="000E6C7D" w:rsidRPr="00A57667">
        <w:rPr>
          <w:sz w:val="24"/>
          <w:szCs w:val="24"/>
        </w:rPr>
        <w:t>vērtē</w:t>
      </w:r>
      <w:r w:rsidRPr="00A57667">
        <w:rPr>
          <w:sz w:val="24"/>
          <w:szCs w:val="24"/>
        </w:rPr>
        <w:t>ja</w:t>
      </w:r>
      <w:r w:rsidR="000E6C7D" w:rsidRPr="00A57667">
        <w:rPr>
          <w:sz w:val="24"/>
          <w:szCs w:val="24"/>
        </w:rPr>
        <w:t>, kādas</w:t>
      </w:r>
      <w:r w:rsidRPr="00A57667">
        <w:rPr>
          <w:sz w:val="24"/>
          <w:szCs w:val="24"/>
        </w:rPr>
        <w:t xml:space="preserve"> varētu</w:t>
      </w:r>
      <w:r w:rsidR="000E6C7D" w:rsidRPr="00A57667">
        <w:rPr>
          <w:sz w:val="24"/>
          <w:szCs w:val="24"/>
        </w:rPr>
        <w:t xml:space="preserve"> </w:t>
      </w:r>
      <w:r w:rsidR="009E5AE2" w:rsidRPr="00A57667">
        <w:rPr>
          <w:sz w:val="24"/>
          <w:szCs w:val="24"/>
        </w:rPr>
        <w:t>bū</w:t>
      </w:r>
      <w:r w:rsidRPr="00A57667">
        <w:rPr>
          <w:sz w:val="24"/>
          <w:szCs w:val="24"/>
        </w:rPr>
        <w:t>t</w:t>
      </w:r>
      <w:r w:rsidR="009E5AE2" w:rsidRPr="00A57667">
        <w:rPr>
          <w:sz w:val="24"/>
          <w:szCs w:val="24"/>
        </w:rPr>
        <w:t xml:space="preserve"> COVID-19 pandēmijas </w:t>
      </w:r>
      <w:r w:rsidR="00A551D3" w:rsidRPr="00A57667">
        <w:rPr>
          <w:sz w:val="24"/>
          <w:szCs w:val="24"/>
        </w:rPr>
        <w:t xml:space="preserve">sekas </w:t>
      </w:r>
      <w:r w:rsidR="009E5AE2" w:rsidRPr="00A57667">
        <w:rPr>
          <w:sz w:val="24"/>
          <w:szCs w:val="24"/>
        </w:rPr>
        <w:t>un ietek</w:t>
      </w:r>
      <w:r w:rsidR="00A551D3" w:rsidRPr="00A57667">
        <w:rPr>
          <w:sz w:val="24"/>
          <w:szCs w:val="24"/>
        </w:rPr>
        <w:t>m</w:t>
      </w:r>
      <w:r w:rsidR="009E5AE2" w:rsidRPr="00A57667">
        <w:rPr>
          <w:sz w:val="24"/>
          <w:szCs w:val="24"/>
        </w:rPr>
        <w:t>e uz visas būvniecības nozares izmaksām.</w:t>
      </w:r>
    </w:p>
    <w:p w14:paraId="72CE26C8" w14:textId="70E47125" w:rsidR="009E5AE2" w:rsidRDefault="009E5AE2" w:rsidP="008A4196">
      <w:pPr>
        <w:keepNext/>
        <w:ind w:firstLine="0"/>
        <w:jc w:val="center"/>
      </w:pPr>
      <w:r>
        <w:rPr>
          <w:noProof/>
          <w:lang w:val="en-US"/>
        </w:rPr>
        <w:drawing>
          <wp:inline distT="0" distB="0" distL="0" distR="0" wp14:anchorId="18C8ABB3" wp14:editId="4526B544">
            <wp:extent cx="4768849" cy="240286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a:extLst>
                        <a:ext uri="{28A0092B-C50C-407E-A947-70E740481C1C}">
                          <a14:useLocalDpi xmlns:a14="http://schemas.microsoft.com/office/drawing/2010/main" val="0"/>
                        </a:ext>
                      </a:extLst>
                    </a:blip>
                    <a:srcRect l="1008" t="2433" r="1199" b="2433"/>
                    <a:stretch/>
                  </pic:blipFill>
                  <pic:spPr bwMode="auto">
                    <a:xfrm>
                      <a:off x="0" y="0"/>
                      <a:ext cx="4774459" cy="2405688"/>
                    </a:xfrm>
                    <a:prstGeom prst="rect">
                      <a:avLst/>
                    </a:prstGeom>
                    <a:noFill/>
                    <a:ln>
                      <a:noFill/>
                    </a:ln>
                    <a:extLst>
                      <a:ext uri="{53640926-AAD7-44D8-BBD7-CCE9431645EC}">
                        <a14:shadowObscured xmlns:a14="http://schemas.microsoft.com/office/drawing/2010/main"/>
                      </a:ext>
                    </a:extLst>
                  </pic:spPr>
                </pic:pic>
              </a:graphicData>
            </a:graphic>
          </wp:inline>
        </w:drawing>
      </w:r>
    </w:p>
    <w:p w14:paraId="69B2BC97" w14:textId="382D5B72" w:rsidR="009E5AE2" w:rsidRDefault="009E5AE2" w:rsidP="00A551D3">
      <w:pPr>
        <w:pStyle w:val="Caption"/>
        <w:jc w:val="center"/>
      </w:pPr>
      <w:r>
        <w:t xml:space="preserve">Att. </w:t>
      </w:r>
      <w:r w:rsidR="00AB553A">
        <w:rPr>
          <w:noProof/>
        </w:rPr>
        <w:t>9</w:t>
      </w:r>
      <w:r>
        <w:t xml:space="preserve">. COVID-19 pandēmijas kopumā vidējā ietekmes pakāpe uz darbaspēka un būvmateriālu izmaksām pēc vidējā </w:t>
      </w:r>
      <w:proofErr w:type="spellStart"/>
      <w:r>
        <w:t>ekspertvērtējuma</w:t>
      </w:r>
      <w:proofErr w:type="spellEnd"/>
      <w:r>
        <w:t xml:space="preserve"> laika periodā līdz 20204.gadam</w:t>
      </w:r>
      <w:r w:rsidR="00D20DDC">
        <w:t>.</w:t>
      </w:r>
    </w:p>
    <w:p w14:paraId="7B01BDFA" w14:textId="202E9450" w:rsidR="00031776" w:rsidRPr="00A57667" w:rsidRDefault="009E5AE2" w:rsidP="00E452F9">
      <w:pPr>
        <w:rPr>
          <w:sz w:val="24"/>
          <w:szCs w:val="24"/>
        </w:rPr>
      </w:pPr>
      <w:r w:rsidRPr="00A57667">
        <w:rPr>
          <w:sz w:val="24"/>
          <w:szCs w:val="24"/>
        </w:rPr>
        <w:t xml:space="preserve">Kopumā </w:t>
      </w:r>
      <w:r w:rsidR="00CF06AE" w:rsidRPr="00A57667">
        <w:rPr>
          <w:sz w:val="24"/>
          <w:szCs w:val="24"/>
        </w:rPr>
        <w:t xml:space="preserve">pētījuma </w:t>
      </w:r>
      <w:r w:rsidRPr="00A57667">
        <w:rPr>
          <w:sz w:val="24"/>
          <w:szCs w:val="24"/>
        </w:rPr>
        <w:t>rezultāti liecina, ka apsekotie eksperti nesaskata būtisku ietekmi uz būvniecības izmaksām</w:t>
      </w:r>
      <w:r w:rsidR="005919C3" w:rsidRPr="00A57667">
        <w:rPr>
          <w:sz w:val="24"/>
          <w:szCs w:val="24"/>
        </w:rPr>
        <w:t xml:space="preserve"> un </w:t>
      </w:r>
      <w:r w:rsidR="00EB3330" w:rsidRPr="00A57667">
        <w:rPr>
          <w:sz w:val="24"/>
          <w:szCs w:val="24"/>
        </w:rPr>
        <w:t>COVID-19 atstās mēreni palielinošu ietekmi</w:t>
      </w:r>
      <w:r w:rsidR="00CF06AE" w:rsidRPr="00A57667">
        <w:rPr>
          <w:sz w:val="24"/>
          <w:szCs w:val="24"/>
        </w:rPr>
        <w:t>.</w:t>
      </w:r>
      <w:r w:rsidR="00E452F9" w:rsidRPr="00A57667">
        <w:rPr>
          <w:sz w:val="24"/>
          <w:szCs w:val="24"/>
        </w:rPr>
        <w:t xml:space="preserve"> </w:t>
      </w:r>
      <w:r w:rsidR="00E452F9" w:rsidRPr="00A57667">
        <w:rPr>
          <w:sz w:val="24"/>
          <w:szCs w:val="24"/>
          <w:u w:val="single"/>
        </w:rPr>
        <w:t>L</w:t>
      </w:r>
      <w:r w:rsidR="00EB3330" w:rsidRPr="00A57667">
        <w:rPr>
          <w:sz w:val="24"/>
          <w:szCs w:val="24"/>
          <w:u w:val="single"/>
        </w:rPr>
        <w:t xml:space="preserve">ielāka </w:t>
      </w:r>
      <w:r w:rsidR="00A551D3" w:rsidRPr="00A57667">
        <w:rPr>
          <w:sz w:val="24"/>
          <w:szCs w:val="24"/>
          <w:u w:val="single"/>
        </w:rPr>
        <w:t xml:space="preserve">pandēmijas </w:t>
      </w:r>
      <w:r w:rsidR="00EB3330" w:rsidRPr="00A57667">
        <w:rPr>
          <w:sz w:val="24"/>
          <w:szCs w:val="24"/>
          <w:u w:val="single"/>
        </w:rPr>
        <w:t>ietekme tiek prognozēta uz būvmateriālu izmaksām.</w:t>
      </w:r>
      <w:r w:rsidR="00EB3330" w:rsidRPr="00A57667">
        <w:rPr>
          <w:sz w:val="24"/>
          <w:szCs w:val="24"/>
        </w:rPr>
        <w:t xml:space="preserve"> </w:t>
      </w:r>
    </w:p>
    <w:p w14:paraId="5A59B7BD" w14:textId="57515AB9" w:rsidR="00EB3330" w:rsidRDefault="004A798D" w:rsidP="00354D15">
      <w:r>
        <w:t xml:space="preserve"> </w:t>
      </w:r>
    </w:p>
    <w:p w14:paraId="7FB089DE" w14:textId="4BC1DB53" w:rsidR="00354D15" w:rsidRPr="001A72D7" w:rsidRDefault="00354D15" w:rsidP="00F016B1">
      <w:pPr>
        <w:pStyle w:val="Heading2"/>
        <w:numPr>
          <w:ilvl w:val="1"/>
          <w:numId w:val="1"/>
        </w:numPr>
      </w:pPr>
      <w:bookmarkStart w:id="16" w:name="_Toc54287917"/>
      <w:r w:rsidRPr="001A72D7">
        <w:t>Būvniecības produkcijas apjoma un izmaksu izmaiņu prognoze</w:t>
      </w:r>
      <w:r w:rsidR="0045613C">
        <w:t xml:space="preserve"> būvniecības nozarē kopumā</w:t>
      </w:r>
      <w:bookmarkEnd w:id="16"/>
    </w:p>
    <w:p w14:paraId="5B512446" w14:textId="77777777" w:rsidR="00354D15" w:rsidRPr="001A72D7" w:rsidRDefault="00354D15" w:rsidP="00354D15"/>
    <w:p w14:paraId="38C79838" w14:textId="07ADAC65" w:rsidR="0036225E" w:rsidRPr="00A57667" w:rsidRDefault="0036225E" w:rsidP="008A4196">
      <w:pPr>
        <w:rPr>
          <w:sz w:val="24"/>
          <w:szCs w:val="24"/>
        </w:rPr>
      </w:pPr>
      <w:r w:rsidRPr="00A57667">
        <w:rPr>
          <w:sz w:val="24"/>
          <w:szCs w:val="24"/>
        </w:rPr>
        <w:t xml:space="preserve">Prognozējot būvniecības produkcijas apjoma izmaiņas, vidējais ekspertu vērtējums liecina par </w:t>
      </w:r>
      <w:r w:rsidR="005F1E93" w:rsidRPr="00A57667">
        <w:rPr>
          <w:sz w:val="24"/>
          <w:szCs w:val="24"/>
        </w:rPr>
        <w:t>mērenu</w:t>
      </w:r>
      <w:r w:rsidRPr="00A57667">
        <w:rPr>
          <w:sz w:val="24"/>
          <w:szCs w:val="24"/>
        </w:rPr>
        <w:t xml:space="preserve"> būvniecības produkcijas apjoma pieaugumu 20</w:t>
      </w:r>
      <w:r w:rsidR="005F1E93" w:rsidRPr="00A57667">
        <w:rPr>
          <w:sz w:val="24"/>
          <w:szCs w:val="24"/>
        </w:rPr>
        <w:t>20</w:t>
      </w:r>
      <w:r w:rsidRPr="00A57667">
        <w:rPr>
          <w:sz w:val="24"/>
          <w:szCs w:val="24"/>
        </w:rPr>
        <w:t xml:space="preserve">.gadā, pēc kura visus tālākos gadus tiek vidēji prognozēts </w:t>
      </w:r>
      <w:r w:rsidR="008C34EA" w:rsidRPr="00A57667">
        <w:rPr>
          <w:sz w:val="24"/>
          <w:szCs w:val="24"/>
        </w:rPr>
        <w:t xml:space="preserve">arvien augstāks ikgadējais </w:t>
      </w:r>
      <w:r w:rsidRPr="00A57667">
        <w:rPr>
          <w:sz w:val="24"/>
          <w:szCs w:val="24"/>
        </w:rPr>
        <w:t>pieaugum</w:t>
      </w:r>
      <w:r w:rsidR="005F1E93" w:rsidRPr="00A57667">
        <w:rPr>
          <w:sz w:val="24"/>
          <w:szCs w:val="24"/>
        </w:rPr>
        <w:t>s</w:t>
      </w:r>
      <w:r w:rsidRPr="00A57667">
        <w:rPr>
          <w:sz w:val="24"/>
          <w:szCs w:val="24"/>
        </w:rPr>
        <w:t xml:space="preserve">, sasniedzot </w:t>
      </w:r>
      <w:r w:rsidR="00D20DDC" w:rsidRPr="00A57667">
        <w:rPr>
          <w:sz w:val="24"/>
          <w:szCs w:val="24"/>
        </w:rPr>
        <w:t>augstāko</w:t>
      </w:r>
      <w:r w:rsidRPr="00A57667">
        <w:rPr>
          <w:sz w:val="24"/>
          <w:szCs w:val="24"/>
        </w:rPr>
        <w:t xml:space="preserve"> līmeni </w:t>
      </w:r>
      <w:r w:rsidR="008C34EA" w:rsidRPr="00A57667">
        <w:rPr>
          <w:sz w:val="24"/>
          <w:szCs w:val="24"/>
        </w:rPr>
        <w:t>2024</w:t>
      </w:r>
      <w:r w:rsidRPr="00A57667">
        <w:rPr>
          <w:sz w:val="24"/>
          <w:szCs w:val="24"/>
        </w:rPr>
        <w:t>.gadā.</w:t>
      </w:r>
      <w:bookmarkEnd w:id="15"/>
    </w:p>
    <w:p w14:paraId="7DFB3434" w14:textId="77777777" w:rsidR="008A4196" w:rsidRDefault="008A4196" w:rsidP="008A4196"/>
    <w:p w14:paraId="6E1DB0F4" w14:textId="1FBF8BF0" w:rsidR="00E45355" w:rsidRDefault="00910C79" w:rsidP="004B68EC">
      <w:pPr>
        <w:keepNext/>
        <w:ind w:firstLine="0"/>
        <w:jc w:val="center"/>
      </w:pPr>
      <w:r>
        <w:rPr>
          <w:noProof/>
          <w:lang w:val="en-US"/>
        </w:rPr>
        <w:lastRenderedPageBreak/>
        <w:drawing>
          <wp:inline distT="0" distB="0" distL="0" distR="0" wp14:anchorId="4920C2A7" wp14:editId="63C2FE30">
            <wp:extent cx="4451459" cy="2225716"/>
            <wp:effectExtent l="0" t="0" r="635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13" t="2744" r="2798" b="705"/>
                    <a:stretch/>
                  </pic:blipFill>
                  <pic:spPr bwMode="auto">
                    <a:xfrm>
                      <a:off x="0" y="0"/>
                      <a:ext cx="4462444" cy="2231209"/>
                    </a:xfrm>
                    <a:prstGeom prst="rect">
                      <a:avLst/>
                    </a:prstGeom>
                    <a:noFill/>
                    <a:ln>
                      <a:noFill/>
                    </a:ln>
                    <a:extLst>
                      <a:ext uri="{53640926-AAD7-44D8-BBD7-CCE9431645EC}">
                        <a14:shadowObscured xmlns:a14="http://schemas.microsoft.com/office/drawing/2010/main"/>
                      </a:ext>
                    </a:extLst>
                  </pic:spPr>
                </pic:pic>
              </a:graphicData>
            </a:graphic>
          </wp:inline>
        </w:drawing>
      </w:r>
    </w:p>
    <w:p w14:paraId="2103E1A6" w14:textId="744823FD" w:rsidR="00526E59" w:rsidRDefault="00E45355" w:rsidP="004B68EC">
      <w:pPr>
        <w:pStyle w:val="Caption"/>
        <w:jc w:val="center"/>
      </w:pPr>
      <w:bookmarkStart w:id="17" w:name="_Ref522228353"/>
      <w:r>
        <w:t xml:space="preserve">Att. </w:t>
      </w:r>
      <w:bookmarkEnd w:id="17"/>
      <w:r w:rsidR="00AB553A">
        <w:rPr>
          <w:noProof/>
        </w:rPr>
        <w:t>10</w:t>
      </w:r>
      <w:r>
        <w:t>. Būvniecības produkcijas apjoma izmaiņu ekspertu prognozes 20</w:t>
      </w:r>
      <w:r w:rsidR="00630126">
        <w:t>20</w:t>
      </w:r>
      <w:r>
        <w:t>.-202</w:t>
      </w:r>
      <w:r w:rsidR="00630126">
        <w:t>4</w:t>
      </w:r>
      <w:r>
        <w:t>.gadam</w:t>
      </w:r>
      <w:r w:rsidR="008A4196">
        <w:t>.</w:t>
      </w:r>
    </w:p>
    <w:p w14:paraId="1A44BBE0" w14:textId="7E128DEA" w:rsidR="0049157E" w:rsidRPr="00A57667" w:rsidRDefault="005919C3" w:rsidP="00774A69">
      <w:pPr>
        <w:rPr>
          <w:sz w:val="24"/>
          <w:szCs w:val="24"/>
        </w:rPr>
      </w:pPr>
      <w:bookmarkStart w:id="18" w:name="_Hlk522719780"/>
      <w:r w:rsidRPr="00A57667">
        <w:rPr>
          <w:sz w:val="24"/>
          <w:szCs w:val="24"/>
        </w:rPr>
        <w:t>Neraugoties uz samērā nevienlīdzīgu skatījumu par nākotnes attīstību būvniecības nozarē, vairums ekspertu uzskatīja, ka būs gaidāma mērena izaugsme, p</w:t>
      </w:r>
      <w:r w:rsidR="00BB5A2F" w:rsidRPr="00A57667">
        <w:rPr>
          <w:sz w:val="24"/>
          <w:szCs w:val="24"/>
        </w:rPr>
        <w:t xml:space="preserve">rognozējot būvniecības produkcijas apjoma </w:t>
      </w:r>
      <w:r w:rsidRPr="00A57667">
        <w:rPr>
          <w:sz w:val="24"/>
          <w:szCs w:val="24"/>
        </w:rPr>
        <w:t>pakāpenisku pieaugumu (</w:t>
      </w:r>
      <w:r w:rsidRPr="00A57667">
        <w:rPr>
          <w:sz w:val="24"/>
          <w:szCs w:val="24"/>
        </w:rPr>
        <w:fldChar w:fldCharType="begin"/>
      </w:r>
      <w:r w:rsidRPr="00A57667">
        <w:rPr>
          <w:sz w:val="24"/>
          <w:szCs w:val="24"/>
        </w:rPr>
        <w:instrText xml:space="preserve"> REF _Ref522228353 \h  \* MERGEFORMAT </w:instrText>
      </w:r>
      <w:r w:rsidRPr="00A57667">
        <w:rPr>
          <w:sz w:val="24"/>
          <w:szCs w:val="24"/>
        </w:rPr>
      </w:r>
      <w:r w:rsidRPr="00A57667">
        <w:rPr>
          <w:sz w:val="24"/>
          <w:szCs w:val="24"/>
        </w:rPr>
        <w:fldChar w:fldCharType="separate"/>
      </w:r>
      <w:r w:rsidRPr="00A57667">
        <w:rPr>
          <w:sz w:val="24"/>
          <w:szCs w:val="24"/>
        </w:rPr>
        <w:t xml:space="preserve">Att. </w:t>
      </w:r>
      <w:r w:rsidRPr="00A57667">
        <w:rPr>
          <w:sz w:val="24"/>
          <w:szCs w:val="24"/>
        </w:rPr>
        <w:fldChar w:fldCharType="end"/>
      </w:r>
      <w:r w:rsidR="004C5F9B">
        <w:rPr>
          <w:sz w:val="24"/>
          <w:szCs w:val="24"/>
        </w:rPr>
        <w:t>10</w:t>
      </w:r>
      <w:r w:rsidRPr="00A57667">
        <w:rPr>
          <w:sz w:val="24"/>
          <w:szCs w:val="24"/>
        </w:rPr>
        <w:t>.)</w:t>
      </w:r>
      <w:r w:rsidR="00BB5A2F" w:rsidRPr="00A57667">
        <w:rPr>
          <w:sz w:val="24"/>
          <w:szCs w:val="24"/>
        </w:rPr>
        <w:t xml:space="preserve"> visā laika periodā no 20</w:t>
      </w:r>
      <w:r w:rsidR="001267AE" w:rsidRPr="00A57667">
        <w:rPr>
          <w:sz w:val="24"/>
          <w:szCs w:val="24"/>
        </w:rPr>
        <w:t>20</w:t>
      </w:r>
      <w:r w:rsidR="00BB5A2F" w:rsidRPr="00A57667">
        <w:rPr>
          <w:sz w:val="24"/>
          <w:szCs w:val="24"/>
        </w:rPr>
        <w:t>. līdz 202</w:t>
      </w:r>
      <w:r w:rsidR="001267AE" w:rsidRPr="00A57667">
        <w:rPr>
          <w:sz w:val="24"/>
          <w:szCs w:val="24"/>
        </w:rPr>
        <w:t>4</w:t>
      </w:r>
      <w:r w:rsidR="00BB5A2F" w:rsidRPr="00A57667">
        <w:rPr>
          <w:sz w:val="24"/>
          <w:szCs w:val="24"/>
        </w:rPr>
        <w:t>.</w:t>
      </w:r>
      <w:r w:rsidR="00C706F5" w:rsidRPr="00A57667">
        <w:rPr>
          <w:sz w:val="24"/>
          <w:szCs w:val="24"/>
        </w:rPr>
        <w:t xml:space="preserve"> </w:t>
      </w:r>
      <w:r w:rsidR="00BB5A2F" w:rsidRPr="00A57667">
        <w:rPr>
          <w:sz w:val="24"/>
          <w:szCs w:val="24"/>
        </w:rPr>
        <w:t xml:space="preserve">gadam </w:t>
      </w:r>
    </w:p>
    <w:p w14:paraId="6D0D381B" w14:textId="20F12A5E" w:rsidR="00526E59" w:rsidRPr="00A57667" w:rsidRDefault="007108A9" w:rsidP="00774A69">
      <w:pPr>
        <w:rPr>
          <w:sz w:val="24"/>
          <w:szCs w:val="24"/>
        </w:rPr>
      </w:pPr>
      <w:r w:rsidRPr="00A57667">
        <w:rPr>
          <w:sz w:val="24"/>
          <w:szCs w:val="24"/>
        </w:rPr>
        <w:t>Pētnieki norāda, ka k</w:t>
      </w:r>
      <w:r w:rsidR="00C6478E" w:rsidRPr="00A57667">
        <w:rPr>
          <w:sz w:val="24"/>
          <w:szCs w:val="24"/>
        </w:rPr>
        <w:t>ombinētā (ekspertu-statistiskā) prognoze būtiski atšķiras no ekspertu vērtējuma</w:t>
      </w:r>
      <w:r w:rsidRPr="00A57667">
        <w:rPr>
          <w:sz w:val="24"/>
          <w:szCs w:val="24"/>
        </w:rPr>
        <w:t xml:space="preserve">, jo tā </w:t>
      </w:r>
      <w:r w:rsidR="00C6478E" w:rsidRPr="00A57667">
        <w:rPr>
          <w:sz w:val="24"/>
          <w:szCs w:val="24"/>
        </w:rPr>
        <w:t xml:space="preserve">saistīta ar līdzšinējo gadu tendencēm. </w:t>
      </w:r>
      <w:r w:rsidR="0049157E" w:rsidRPr="00A57667">
        <w:rPr>
          <w:sz w:val="24"/>
          <w:szCs w:val="24"/>
        </w:rPr>
        <w:t xml:space="preserve">Tām bija raksturīgas cikliskas svārstības ar negatīvu un pozitīvu izaugsmi. </w:t>
      </w:r>
      <w:r w:rsidR="000324E8" w:rsidRPr="00A57667">
        <w:rPr>
          <w:sz w:val="24"/>
          <w:szCs w:val="24"/>
        </w:rPr>
        <w:t xml:space="preserve">COVID-19 pandēmijas izraisītās globālās un nacionālās recesijas dēļ </w:t>
      </w:r>
      <w:r w:rsidR="0048080E" w:rsidRPr="00A57667">
        <w:rPr>
          <w:sz w:val="24"/>
          <w:szCs w:val="24"/>
        </w:rPr>
        <w:t>2020.</w:t>
      </w:r>
      <w:r w:rsidR="008F0662" w:rsidRPr="00A57667">
        <w:rPr>
          <w:sz w:val="24"/>
          <w:szCs w:val="24"/>
        </w:rPr>
        <w:t xml:space="preserve"> </w:t>
      </w:r>
      <w:r w:rsidR="0048080E" w:rsidRPr="00A57667">
        <w:rPr>
          <w:sz w:val="24"/>
          <w:szCs w:val="24"/>
        </w:rPr>
        <w:t>gadā būvniecības produkcijas apjom</w:t>
      </w:r>
      <w:r w:rsidR="008056B1" w:rsidRPr="00A57667">
        <w:rPr>
          <w:sz w:val="24"/>
          <w:szCs w:val="24"/>
        </w:rPr>
        <w:t>ā</w:t>
      </w:r>
      <w:r w:rsidR="0048080E" w:rsidRPr="00A57667">
        <w:rPr>
          <w:sz w:val="24"/>
          <w:szCs w:val="24"/>
        </w:rPr>
        <w:t xml:space="preserve"> pieaugums sagaidāms minimāls. Š</w:t>
      </w:r>
      <w:r w:rsidR="00257C70" w:rsidRPr="00A57667">
        <w:rPr>
          <w:sz w:val="24"/>
          <w:szCs w:val="24"/>
        </w:rPr>
        <w:t>ī</w:t>
      </w:r>
      <w:r w:rsidR="0048080E" w:rsidRPr="00A57667">
        <w:rPr>
          <w:sz w:val="24"/>
          <w:szCs w:val="24"/>
        </w:rPr>
        <w:t xml:space="preserve"> </w:t>
      </w:r>
      <w:r w:rsidR="00257C70" w:rsidRPr="00A57667">
        <w:rPr>
          <w:sz w:val="24"/>
          <w:szCs w:val="24"/>
        </w:rPr>
        <w:t xml:space="preserve">ir </w:t>
      </w:r>
      <w:r w:rsidR="006D4DCA" w:rsidRPr="00A57667">
        <w:rPr>
          <w:sz w:val="24"/>
          <w:szCs w:val="24"/>
        </w:rPr>
        <w:t>ārkārtīgi ret</w:t>
      </w:r>
      <w:r w:rsidR="00257C70" w:rsidRPr="00A57667">
        <w:rPr>
          <w:sz w:val="24"/>
          <w:szCs w:val="24"/>
        </w:rPr>
        <w:t>a</w:t>
      </w:r>
      <w:r w:rsidR="006D4DCA" w:rsidRPr="00A57667">
        <w:rPr>
          <w:sz w:val="24"/>
          <w:szCs w:val="24"/>
        </w:rPr>
        <w:t xml:space="preserve"> </w:t>
      </w:r>
      <w:r w:rsidRPr="00A57667">
        <w:rPr>
          <w:sz w:val="24"/>
          <w:szCs w:val="24"/>
        </w:rPr>
        <w:t xml:space="preserve">un </w:t>
      </w:r>
      <w:r w:rsidR="006D4DCA" w:rsidRPr="00A57667">
        <w:rPr>
          <w:sz w:val="24"/>
          <w:szCs w:val="24"/>
        </w:rPr>
        <w:t xml:space="preserve"> grūti statistiski modelējam</w:t>
      </w:r>
      <w:r w:rsidR="00257C70" w:rsidRPr="00A57667">
        <w:rPr>
          <w:sz w:val="24"/>
          <w:szCs w:val="24"/>
        </w:rPr>
        <w:t xml:space="preserve">a situācija, </w:t>
      </w:r>
      <w:r w:rsidR="0049157E" w:rsidRPr="00A57667">
        <w:rPr>
          <w:sz w:val="24"/>
          <w:szCs w:val="24"/>
        </w:rPr>
        <w:t>t</w:t>
      </w:r>
      <w:r w:rsidR="006D4DCA" w:rsidRPr="00A57667">
        <w:rPr>
          <w:sz w:val="24"/>
          <w:szCs w:val="24"/>
        </w:rPr>
        <w:t xml:space="preserve">ādēļ vidējās ekspertu prognozes būtu uzskatāmas par ticamākām, jo eksperti vērtējumos </w:t>
      </w:r>
      <w:r w:rsidR="00257C70" w:rsidRPr="00A57667">
        <w:rPr>
          <w:sz w:val="24"/>
          <w:szCs w:val="24"/>
        </w:rPr>
        <w:t xml:space="preserve">ir </w:t>
      </w:r>
      <w:r w:rsidR="006D4DCA" w:rsidRPr="00A57667">
        <w:rPr>
          <w:sz w:val="24"/>
          <w:szCs w:val="24"/>
        </w:rPr>
        <w:t>ņēm</w:t>
      </w:r>
      <w:r w:rsidR="00257C70" w:rsidRPr="00A57667">
        <w:rPr>
          <w:sz w:val="24"/>
          <w:szCs w:val="24"/>
        </w:rPr>
        <w:t>uši</w:t>
      </w:r>
      <w:r w:rsidR="006D4DCA" w:rsidRPr="00A57667">
        <w:rPr>
          <w:sz w:val="24"/>
          <w:szCs w:val="24"/>
        </w:rPr>
        <w:t xml:space="preserve"> vērā pandēmijas </w:t>
      </w:r>
      <w:r w:rsidR="00257C70" w:rsidRPr="00A57667">
        <w:rPr>
          <w:sz w:val="24"/>
          <w:szCs w:val="24"/>
        </w:rPr>
        <w:t>ietekmi</w:t>
      </w:r>
      <w:r w:rsidR="006D4DCA" w:rsidRPr="00A57667">
        <w:rPr>
          <w:sz w:val="24"/>
          <w:szCs w:val="24"/>
        </w:rPr>
        <w:t>.</w:t>
      </w:r>
      <w:r w:rsidR="00BB5A2F" w:rsidRPr="00A57667">
        <w:rPr>
          <w:sz w:val="24"/>
          <w:szCs w:val="24"/>
        </w:rPr>
        <w:t xml:space="preserve"> </w:t>
      </w:r>
    </w:p>
    <w:p w14:paraId="51DD146B" w14:textId="0CFEF753" w:rsidR="008F0662" w:rsidRPr="00A57667" w:rsidRDefault="008F0662" w:rsidP="00774A69">
      <w:pPr>
        <w:rPr>
          <w:sz w:val="24"/>
          <w:szCs w:val="24"/>
        </w:rPr>
      </w:pPr>
      <w:r w:rsidRPr="00A57667">
        <w:rPr>
          <w:sz w:val="24"/>
          <w:szCs w:val="24"/>
        </w:rPr>
        <w:t>Prognozējot būvniecības izmaksu izmaiņas, eksperti paredz mērenu izmaksu pieaugumu 2020.-2021.gadā, kam sekotu straujāks lēciens 2022.-2024.gados (</w:t>
      </w:r>
      <w:r w:rsidRPr="00A57667">
        <w:rPr>
          <w:sz w:val="24"/>
          <w:szCs w:val="24"/>
        </w:rPr>
        <w:fldChar w:fldCharType="begin"/>
      </w:r>
      <w:r w:rsidRPr="00A57667">
        <w:rPr>
          <w:sz w:val="24"/>
          <w:szCs w:val="24"/>
        </w:rPr>
        <w:instrText xml:space="preserve"> REF _Ref522228369 \h </w:instrText>
      </w:r>
      <w:r w:rsidR="00643E5D" w:rsidRPr="00A57667">
        <w:rPr>
          <w:sz w:val="24"/>
          <w:szCs w:val="24"/>
        </w:rPr>
        <w:instrText xml:space="preserve"> \* MERGEFORMAT </w:instrText>
      </w:r>
      <w:r w:rsidRPr="00A57667">
        <w:rPr>
          <w:sz w:val="24"/>
          <w:szCs w:val="24"/>
        </w:rPr>
      </w:r>
      <w:r w:rsidRPr="00A57667">
        <w:rPr>
          <w:sz w:val="24"/>
          <w:szCs w:val="24"/>
        </w:rPr>
        <w:fldChar w:fldCharType="separate"/>
      </w:r>
      <w:r w:rsidR="00AB553A" w:rsidRPr="00AB553A">
        <w:rPr>
          <w:sz w:val="24"/>
          <w:szCs w:val="24"/>
        </w:rPr>
        <w:t xml:space="preserve">Att. </w:t>
      </w:r>
      <w:r w:rsidRPr="00A57667">
        <w:rPr>
          <w:sz w:val="24"/>
          <w:szCs w:val="24"/>
        </w:rPr>
        <w:fldChar w:fldCharType="end"/>
      </w:r>
      <w:r w:rsidR="00AB553A">
        <w:rPr>
          <w:sz w:val="24"/>
          <w:szCs w:val="24"/>
        </w:rPr>
        <w:t>11</w:t>
      </w:r>
      <w:r w:rsidR="00C706F5" w:rsidRPr="00A57667">
        <w:rPr>
          <w:sz w:val="24"/>
          <w:szCs w:val="24"/>
        </w:rPr>
        <w:t>.</w:t>
      </w:r>
      <w:r w:rsidRPr="00A57667">
        <w:rPr>
          <w:sz w:val="24"/>
          <w:szCs w:val="24"/>
        </w:rPr>
        <w:t>).</w:t>
      </w:r>
    </w:p>
    <w:p w14:paraId="1AD5E4C7" w14:textId="1AB662FD" w:rsidR="000324E8" w:rsidRPr="00A57667" w:rsidRDefault="000324E8" w:rsidP="00774A69">
      <w:pPr>
        <w:rPr>
          <w:sz w:val="24"/>
          <w:szCs w:val="24"/>
        </w:rPr>
      </w:pPr>
      <w:r w:rsidRPr="00A57667">
        <w:rPr>
          <w:sz w:val="24"/>
          <w:szCs w:val="24"/>
        </w:rPr>
        <w:t>Atšķirībā no būvniecības produkcijas apjoma izmaiņām, būvniecības izmaksu izmaiņu prognozes ir konsekventākas – gan ekspertu vidējās prognozes, gan kombinētā (ekspertu-statistiskā) prognoze būtiski neatšķiras laika periodam 2022.-2024. gads.</w:t>
      </w:r>
    </w:p>
    <w:p w14:paraId="3200457B" w14:textId="77777777" w:rsidR="008F0662" w:rsidRDefault="008F0662" w:rsidP="00774A69"/>
    <w:bookmarkEnd w:id="18"/>
    <w:p w14:paraId="08186BF9" w14:textId="69AD6C6A" w:rsidR="00E45355" w:rsidRDefault="006E09BF" w:rsidP="008F0662">
      <w:pPr>
        <w:keepNext/>
        <w:ind w:firstLine="0"/>
        <w:jc w:val="center"/>
      </w:pPr>
      <w:r>
        <w:rPr>
          <w:noProof/>
          <w:lang w:val="en-US"/>
        </w:rPr>
        <w:lastRenderedPageBreak/>
        <w:drawing>
          <wp:inline distT="0" distB="0" distL="0" distR="0" wp14:anchorId="0723AB4C" wp14:editId="5E4C6898">
            <wp:extent cx="4423558" cy="2214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13" t="1921" r="2111" b="705"/>
                    <a:stretch/>
                  </pic:blipFill>
                  <pic:spPr bwMode="auto">
                    <a:xfrm>
                      <a:off x="0" y="0"/>
                      <a:ext cx="4423558" cy="2214890"/>
                    </a:xfrm>
                    <a:prstGeom prst="rect">
                      <a:avLst/>
                    </a:prstGeom>
                    <a:noFill/>
                    <a:ln>
                      <a:noFill/>
                    </a:ln>
                    <a:extLst>
                      <a:ext uri="{53640926-AAD7-44D8-BBD7-CCE9431645EC}">
                        <a14:shadowObscured xmlns:a14="http://schemas.microsoft.com/office/drawing/2010/main"/>
                      </a:ext>
                    </a:extLst>
                  </pic:spPr>
                </pic:pic>
              </a:graphicData>
            </a:graphic>
          </wp:inline>
        </w:drawing>
      </w:r>
    </w:p>
    <w:p w14:paraId="1B295517" w14:textId="1656C5A9" w:rsidR="008C5710" w:rsidRDefault="00E45355" w:rsidP="008F0662">
      <w:pPr>
        <w:pStyle w:val="Caption"/>
        <w:jc w:val="center"/>
      </w:pPr>
      <w:bookmarkStart w:id="19" w:name="_Ref522228369"/>
      <w:r>
        <w:t xml:space="preserve">Att. </w:t>
      </w:r>
      <w:bookmarkEnd w:id="19"/>
      <w:r w:rsidR="00AB553A">
        <w:rPr>
          <w:noProof/>
        </w:rPr>
        <w:t>11</w:t>
      </w:r>
      <w:r>
        <w:t>. Būvniecības izmaksu izmaiņu ekspertu prognozes 20</w:t>
      </w:r>
      <w:r w:rsidR="00703EDA">
        <w:t>20</w:t>
      </w:r>
      <w:r>
        <w:t>.-202</w:t>
      </w:r>
      <w:r w:rsidR="00703EDA">
        <w:t>4</w:t>
      </w:r>
      <w:r>
        <w:t>.gadam</w:t>
      </w:r>
      <w:r w:rsidR="008A4196">
        <w:t>.</w:t>
      </w:r>
    </w:p>
    <w:p w14:paraId="1739270A" w14:textId="1C7AA772" w:rsidR="00562EC7" w:rsidRPr="00F9706F" w:rsidRDefault="00AB765C" w:rsidP="00461B39">
      <w:pPr>
        <w:rPr>
          <w:sz w:val="24"/>
          <w:szCs w:val="24"/>
        </w:rPr>
      </w:pPr>
      <w:r w:rsidRPr="00F9706F">
        <w:rPr>
          <w:sz w:val="24"/>
          <w:szCs w:val="24"/>
        </w:rPr>
        <w:t>Ir novērojamas atšķirības 2020.-2021.</w:t>
      </w:r>
      <w:r w:rsidR="00C706F5" w:rsidRPr="00F9706F">
        <w:rPr>
          <w:sz w:val="24"/>
          <w:szCs w:val="24"/>
        </w:rPr>
        <w:t xml:space="preserve"> </w:t>
      </w:r>
      <w:r w:rsidRPr="00F9706F">
        <w:rPr>
          <w:sz w:val="24"/>
          <w:szCs w:val="24"/>
        </w:rPr>
        <w:t xml:space="preserve">gadu prognozēs, kur ekspertu prognozes ir piezemētākas. </w:t>
      </w:r>
    </w:p>
    <w:p w14:paraId="28768F64" w14:textId="6336D89B" w:rsidR="00FB2306" w:rsidRDefault="00FB2306" w:rsidP="00461B39">
      <w:r>
        <w:rPr>
          <w:noProof/>
          <w:lang w:val="en-US"/>
        </w:rPr>
        <w:drawing>
          <wp:inline distT="0" distB="0" distL="0" distR="0" wp14:anchorId="4A2092BE" wp14:editId="5EAA5418">
            <wp:extent cx="4457502" cy="2264766"/>
            <wp:effectExtent l="0" t="0" r="635"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850" t="1099" r="2534" b="3857"/>
                    <a:stretch/>
                  </pic:blipFill>
                  <pic:spPr bwMode="auto">
                    <a:xfrm>
                      <a:off x="0" y="0"/>
                      <a:ext cx="4465033" cy="2268593"/>
                    </a:xfrm>
                    <a:prstGeom prst="rect">
                      <a:avLst/>
                    </a:prstGeom>
                    <a:noFill/>
                    <a:ln>
                      <a:noFill/>
                    </a:ln>
                    <a:extLst>
                      <a:ext uri="{53640926-AAD7-44D8-BBD7-CCE9431645EC}">
                        <a14:shadowObscured xmlns:a14="http://schemas.microsoft.com/office/drawing/2010/main"/>
                      </a:ext>
                    </a:extLst>
                  </pic:spPr>
                </pic:pic>
              </a:graphicData>
            </a:graphic>
          </wp:inline>
        </w:drawing>
      </w:r>
    </w:p>
    <w:p w14:paraId="41BFA58D" w14:textId="7DD2AC28" w:rsidR="00FB2306" w:rsidRDefault="00FB2306" w:rsidP="00FB2306">
      <w:pPr>
        <w:pStyle w:val="Caption"/>
        <w:jc w:val="center"/>
      </w:pPr>
      <w:r>
        <w:t xml:space="preserve">Att. </w:t>
      </w:r>
      <w:r w:rsidR="00AB553A">
        <w:t>12</w:t>
      </w:r>
      <w:r>
        <w:t>. Būvniecības produkcijas apjoma faktiskajās cenās balstoties uz ekspertu un kombinētām prognozēm 2020.-2024.gadam.</w:t>
      </w:r>
    </w:p>
    <w:p w14:paraId="1072ACC4" w14:textId="50D7AC00" w:rsidR="00FB2306" w:rsidRPr="00F9706F" w:rsidRDefault="00FB2306" w:rsidP="00461B39">
      <w:pPr>
        <w:rPr>
          <w:sz w:val="24"/>
          <w:szCs w:val="24"/>
        </w:rPr>
      </w:pPr>
      <w:r w:rsidRPr="00F9706F">
        <w:rPr>
          <w:sz w:val="24"/>
          <w:szCs w:val="24"/>
        </w:rPr>
        <w:t>Balstoties uz prognozētajām būvniecības apjomu un cenu izmaiņām</w:t>
      </w:r>
      <w:r w:rsidR="003B0107" w:rsidRPr="00F9706F">
        <w:rPr>
          <w:sz w:val="24"/>
          <w:szCs w:val="24"/>
        </w:rPr>
        <w:t>, Pētnieki ir modelējuši būvniecības apjoma prognozes faktiskajās cenās (</w:t>
      </w:r>
      <w:r w:rsidR="003B0107" w:rsidRPr="00F9706F">
        <w:rPr>
          <w:sz w:val="24"/>
          <w:szCs w:val="24"/>
        </w:rPr>
        <w:fldChar w:fldCharType="begin"/>
      </w:r>
      <w:r w:rsidR="003B0107" w:rsidRPr="00F9706F">
        <w:rPr>
          <w:sz w:val="24"/>
          <w:szCs w:val="24"/>
        </w:rPr>
        <w:instrText xml:space="preserve"> REF _Ref522228369 \h  \* MERGEFORMAT </w:instrText>
      </w:r>
      <w:r w:rsidR="003B0107" w:rsidRPr="00F9706F">
        <w:rPr>
          <w:sz w:val="24"/>
          <w:szCs w:val="24"/>
        </w:rPr>
      </w:r>
      <w:r w:rsidR="003B0107" w:rsidRPr="00F9706F">
        <w:rPr>
          <w:sz w:val="24"/>
          <w:szCs w:val="24"/>
        </w:rPr>
        <w:fldChar w:fldCharType="separate"/>
      </w:r>
      <w:r w:rsidR="003B0107" w:rsidRPr="00F9706F">
        <w:rPr>
          <w:sz w:val="24"/>
          <w:szCs w:val="24"/>
        </w:rPr>
        <w:t xml:space="preserve">Att. </w:t>
      </w:r>
      <w:r w:rsidR="003B0107" w:rsidRPr="00F9706F">
        <w:rPr>
          <w:sz w:val="24"/>
          <w:szCs w:val="24"/>
        </w:rPr>
        <w:fldChar w:fldCharType="end"/>
      </w:r>
      <w:r w:rsidR="00AB553A">
        <w:rPr>
          <w:sz w:val="24"/>
          <w:szCs w:val="24"/>
        </w:rPr>
        <w:t>12</w:t>
      </w:r>
      <w:r w:rsidR="003B0107" w:rsidRPr="00F9706F">
        <w:rPr>
          <w:sz w:val="24"/>
          <w:szCs w:val="24"/>
        </w:rPr>
        <w:t>.) .</w:t>
      </w:r>
    </w:p>
    <w:p w14:paraId="20BE6843" w14:textId="77777777" w:rsidR="00FB2306" w:rsidRDefault="00FB2306" w:rsidP="00461B39"/>
    <w:p w14:paraId="7A9E724B" w14:textId="7D8E7847" w:rsidR="001B78B1" w:rsidRPr="001A72D7" w:rsidRDefault="001B78B1" w:rsidP="00F016B1">
      <w:pPr>
        <w:pStyle w:val="Heading2"/>
        <w:numPr>
          <w:ilvl w:val="1"/>
          <w:numId w:val="1"/>
        </w:numPr>
      </w:pPr>
      <w:bookmarkStart w:id="20" w:name="_Toc54287918"/>
      <w:r w:rsidRPr="001A72D7">
        <w:t>Būvniecības produkcijas apjoma un izmaksu izmaiņu prognoze</w:t>
      </w:r>
      <w:r>
        <w:t xml:space="preserve"> pa resursu veidiem</w:t>
      </w:r>
      <w:bookmarkEnd w:id="20"/>
    </w:p>
    <w:p w14:paraId="7A94A378" w14:textId="14C7F01E" w:rsidR="00D114C8" w:rsidRPr="00F9706F" w:rsidRDefault="003034CC" w:rsidP="00D114C8">
      <w:pPr>
        <w:rPr>
          <w:sz w:val="24"/>
          <w:szCs w:val="24"/>
        </w:rPr>
      </w:pPr>
      <w:r w:rsidRPr="00F9706F">
        <w:rPr>
          <w:sz w:val="24"/>
          <w:szCs w:val="24"/>
        </w:rPr>
        <w:t>Prognozējot k</w:t>
      </w:r>
      <w:r w:rsidR="00D114C8" w:rsidRPr="00F9706F">
        <w:rPr>
          <w:sz w:val="24"/>
          <w:szCs w:val="24"/>
        </w:rPr>
        <w:t xml:space="preserve">opējās būvniecības nozares izmaksu izmaiņām, </w:t>
      </w:r>
      <w:r w:rsidR="00FC4D22" w:rsidRPr="00F9706F">
        <w:rPr>
          <w:sz w:val="24"/>
          <w:szCs w:val="24"/>
        </w:rPr>
        <w:t xml:space="preserve">vispārējie </w:t>
      </w:r>
      <w:r w:rsidR="00D114C8" w:rsidRPr="00F9706F">
        <w:rPr>
          <w:sz w:val="24"/>
          <w:szCs w:val="24"/>
        </w:rPr>
        <w:t>eksperti vērtēja izmaksu izmaiņas pa resursu veidiem. Tika izdalīti četri resursu veidi:</w:t>
      </w:r>
    </w:p>
    <w:p w14:paraId="62360702" w14:textId="6B4E6382" w:rsidR="00D114C8" w:rsidRPr="00F9706F" w:rsidRDefault="00D114C8" w:rsidP="00AB3491">
      <w:pPr>
        <w:pStyle w:val="ListParagraph"/>
        <w:numPr>
          <w:ilvl w:val="0"/>
          <w:numId w:val="5"/>
        </w:numPr>
        <w:rPr>
          <w:sz w:val="24"/>
          <w:szCs w:val="24"/>
        </w:rPr>
      </w:pPr>
      <w:r w:rsidRPr="00F9706F">
        <w:rPr>
          <w:sz w:val="24"/>
          <w:szCs w:val="24"/>
        </w:rPr>
        <w:t>Būvmateriālu izmaksu izmaiņas</w:t>
      </w:r>
      <w:r w:rsidR="006D6C5A" w:rsidRPr="00F9706F">
        <w:rPr>
          <w:sz w:val="24"/>
          <w:szCs w:val="24"/>
        </w:rPr>
        <w:t>;</w:t>
      </w:r>
    </w:p>
    <w:p w14:paraId="76558419" w14:textId="394C6458" w:rsidR="00D114C8" w:rsidRPr="00F9706F" w:rsidRDefault="00D114C8" w:rsidP="00AB3491">
      <w:pPr>
        <w:pStyle w:val="ListParagraph"/>
        <w:numPr>
          <w:ilvl w:val="0"/>
          <w:numId w:val="5"/>
        </w:numPr>
        <w:rPr>
          <w:sz w:val="24"/>
          <w:szCs w:val="24"/>
        </w:rPr>
      </w:pPr>
      <w:r w:rsidRPr="00F9706F">
        <w:rPr>
          <w:sz w:val="24"/>
          <w:szCs w:val="24"/>
        </w:rPr>
        <w:t>Strādnieku darba samaksas izmaksu izmaiņas</w:t>
      </w:r>
      <w:r w:rsidR="006D6C5A" w:rsidRPr="00F9706F">
        <w:rPr>
          <w:sz w:val="24"/>
          <w:szCs w:val="24"/>
        </w:rPr>
        <w:t>;</w:t>
      </w:r>
    </w:p>
    <w:p w14:paraId="01342547" w14:textId="42B25005" w:rsidR="00D114C8" w:rsidRPr="00F9706F" w:rsidRDefault="00D114C8" w:rsidP="00AB3491">
      <w:pPr>
        <w:pStyle w:val="ListParagraph"/>
        <w:numPr>
          <w:ilvl w:val="0"/>
          <w:numId w:val="5"/>
        </w:numPr>
        <w:rPr>
          <w:sz w:val="24"/>
          <w:szCs w:val="24"/>
        </w:rPr>
      </w:pPr>
      <w:r w:rsidRPr="00F9706F">
        <w:rPr>
          <w:sz w:val="24"/>
          <w:szCs w:val="24"/>
        </w:rPr>
        <w:t>Mašīnu un mehānismu uzturēšanas un ekspluatācijas izmaksu izmaiņas</w:t>
      </w:r>
      <w:r w:rsidR="006D6C5A" w:rsidRPr="00F9706F">
        <w:rPr>
          <w:sz w:val="24"/>
          <w:szCs w:val="24"/>
        </w:rPr>
        <w:t>;</w:t>
      </w:r>
    </w:p>
    <w:p w14:paraId="75460E7C" w14:textId="28F6EB85" w:rsidR="00D114C8" w:rsidRPr="00F9706F" w:rsidRDefault="00D114C8" w:rsidP="00AB3491">
      <w:pPr>
        <w:pStyle w:val="ListParagraph"/>
        <w:numPr>
          <w:ilvl w:val="0"/>
          <w:numId w:val="5"/>
        </w:numPr>
        <w:rPr>
          <w:sz w:val="24"/>
          <w:szCs w:val="24"/>
        </w:rPr>
      </w:pPr>
      <w:r w:rsidRPr="00F9706F">
        <w:rPr>
          <w:sz w:val="24"/>
          <w:szCs w:val="24"/>
        </w:rPr>
        <w:t>Arhitektūras un inženiertehnisko pakalpojumu; tehniskās pārbaudes un analīzes izmaksu izmaiņas.</w:t>
      </w:r>
    </w:p>
    <w:p w14:paraId="5568A139" w14:textId="139CFFC3" w:rsidR="00D114C8" w:rsidRPr="00F9706F" w:rsidRDefault="00D114C8" w:rsidP="00FB49EF">
      <w:pPr>
        <w:rPr>
          <w:sz w:val="24"/>
          <w:szCs w:val="24"/>
        </w:rPr>
      </w:pPr>
      <w:bookmarkStart w:id="21" w:name="_Hlk522720005"/>
      <w:r w:rsidRPr="00F9706F">
        <w:rPr>
          <w:sz w:val="24"/>
          <w:szCs w:val="24"/>
        </w:rPr>
        <w:lastRenderedPageBreak/>
        <w:t>Pr</w:t>
      </w:r>
      <w:r w:rsidR="00D42060" w:rsidRPr="00F9706F">
        <w:rPr>
          <w:sz w:val="24"/>
          <w:szCs w:val="24"/>
        </w:rPr>
        <w:t xml:space="preserve">ognozējot </w:t>
      </w:r>
      <w:r w:rsidR="00D42060" w:rsidRPr="00F9706F">
        <w:rPr>
          <w:sz w:val="24"/>
          <w:szCs w:val="24"/>
          <w:u w:val="single"/>
        </w:rPr>
        <w:t>būvmateriālu</w:t>
      </w:r>
      <w:r w:rsidR="000E3E96" w:rsidRPr="00F9706F">
        <w:rPr>
          <w:sz w:val="24"/>
          <w:szCs w:val="24"/>
          <w:u w:val="single"/>
        </w:rPr>
        <w:t xml:space="preserve"> izmaksu</w:t>
      </w:r>
      <w:r w:rsidR="00D42060" w:rsidRPr="00F9706F">
        <w:rPr>
          <w:sz w:val="24"/>
          <w:szCs w:val="24"/>
          <w:u w:val="single"/>
        </w:rPr>
        <w:t xml:space="preserve"> izmaiņas</w:t>
      </w:r>
      <w:r w:rsidR="00D42060" w:rsidRPr="00F9706F">
        <w:rPr>
          <w:sz w:val="24"/>
          <w:szCs w:val="24"/>
        </w:rPr>
        <w:t>, paredz izmaksu pieaugumu 20</w:t>
      </w:r>
      <w:r w:rsidR="00FC4D22" w:rsidRPr="00F9706F">
        <w:rPr>
          <w:sz w:val="24"/>
          <w:szCs w:val="24"/>
        </w:rPr>
        <w:t>20</w:t>
      </w:r>
      <w:r w:rsidR="00D42060" w:rsidRPr="00F9706F">
        <w:rPr>
          <w:sz w:val="24"/>
          <w:szCs w:val="24"/>
        </w:rPr>
        <w:t xml:space="preserve">.gadā par </w:t>
      </w:r>
      <w:r w:rsidR="00145292" w:rsidRPr="00F9706F">
        <w:rPr>
          <w:sz w:val="24"/>
          <w:szCs w:val="24"/>
        </w:rPr>
        <w:t>1,51</w:t>
      </w:r>
      <w:r w:rsidR="00D42060" w:rsidRPr="00F9706F">
        <w:rPr>
          <w:sz w:val="24"/>
          <w:szCs w:val="24"/>
        </w:rPr>
        <w:t xml:space="preserve">% pret iepriekšējo gadu. Nākamajos gados eksperti paredz </w:t>
      </w:r>
      <w:r w:rsidR="00CF2612" w:rsidRPr="00F9706F">
        <w:rPr>
          <w:sz w:val="24"/>
          <w:szCs w:val="24"/>
        </w:rPr>
        <w:t xml:space="preserve">izmaksu pieauguma </w:t>
      </w:r>
      <w:r w:rsidR="00061133" w:rsidRPr="00F9706F">
        <w:rPr>
          <w:sz w:val="24"/>
          <w:szCs w:val="24"/>
        </w:rPr>
        <w:t>paātrinājumu</w:t>
      </w:r>
      <w:r w:rsidR="00CF2612" w:rsidRPr="00F9706F">
        <w:rPr>
          <w:sz w:val="24"/>
          <w:szCs w:val="24"/>
        </w:rPr>
        <w:t xml:space="preserve">, kas </w:t>
      </w:r>
      <w:r w:rsidR="00145292" w:rsidRPr="00F9706F">
        <w:rPr>
          <w:sz w:val="24"/>
          <w:szCs w:val="24"/>
        </w:rPr>
        <w:t xml:space="preserve">sasniegs </w:t>
      </w:r>
      <w:r w:rsidR="00CF2612" w:rsidRPr="00F9706F">
        <w:rPr>
          <w:sz w:val="24"/>
          <w:szCs w:val="24"/>
        </w:rPr>
        <w:t xml:space="preserve">līdz par </w:t>
      </w:r>
      <w:r w:rsidR="00145292" w:rsidRPr="00F9706F">
        <w:rPr>
          <w:sz w:val="24"/>
          <w:szCs w:val="24"/>
        </w:rPr>
        <w:t>3,96</w:t>
      </w:r>
      <w:r w:rsidR="00CF2612" w:rsidRPr="00F9706F">
        <w:rPr>
          <w:sz w:val="24"/>
          <w:szCs w:val="24"/>
        </w:rPr>
        <w:t>% 202</w:t>
      </w:r>
      <w:r w:rsidR="00145292" w:rsidRPr="00F9706F">
        <w:rPr>
          <w:sz w:val="24"/>
          <w:szCs w:val="24"/>
        </w:rPr>
        <w:t>4</w:t>
      </w:r>
      <w:r w:rsidR="00CF2612" w:rsidRPr="00F9706F">
        <w:rPr>
          <w:sz w:val="24"/>
          <w:szCs w:val="24"/>
        </w:rPr>
        <w:t>.gadā.</w:t>
      </w:r>
    </w:p>
    <w:p w14:paraId="5462BFE3" w14:textId="6EDC3713" w:rsidR="00200009" w:rsidRPr="00F9706F" w:rsidRDefault="00CF2612" w:rsidP="00F0175E">
      <w:pPr>
        <w:rPr>
          <w:sz w:val="24"/>
          <w:szCs w:val="24"/>
        </w:rPr>
      </w:pPr>
      <w:bookmarkStart w:id="22" w:name="_Hlk522720116"/>
      <w:bookmarkEnd w:id="21"/>
      <w:r w:rsidRPr="00F9706F">
        <w:rPr>
          <w:sz w:val="24"/>
          <w:szCs w:val="24"/>
          <w:u w:val="single"/>
        </w:rPr>
        <w:t>Strādnieku darba samaksas izmaiņas</w:t>
      </w:r>
      <w:r w:rsidRPr="00F9706F">
        <w:rPr>
          <w:sz w:val="24"/>
          <w:szCs w:val="24"/>
        </w:rPr>
        <w:t xml:space="preserve"> ir pozīcija, kurā no visiem četriem resursu veidiem eksperti paredz visstraujāko izmaksu pieaugumu. 20</w:t>
      </w:r>
      <w:r w:rsidR="00FD6718" w:rsidRPr="00F9706F">
        <w:rPr>
          <w:sz w:val="24"/>
          <w:szCs w:val="24"/>
        </w:rPr>
        <w:t>20</w:t>
      </w:r>
      <w:r w:rsidRPr="00F9706F">
        <w:rPr>
          <w:sz w:val="24"/>
          <w:szCs w:val="24"/>
        </w:rPr>
        <w:t xml:space="preserve">.gadā tiek prognozēts izmaksu pieaugums </w:t>
      </w:r>
      <w:r w:rsidR="00CA3746" w:rsidRPr="00F9706F">
        <w:rPr>
          <w:sz w:val="24"/>
          <w:szCs w:val="24"/>
        </w:rPr>
        <w:t>5,16</w:t>
      </w:r>
      <w:r w:rsidRPr="00F9706F">
        <w:rPr>
          <w:sz w:val="24"/>
          <w:szCs w:val="24"/>
        </w:rPr>
        <w:t>% apmērā</w:t>
      </w:r>
      <w:r w:rsidR="00CA3746" w:rsidRPr="00F9706F">
        <w:rPr>
          <w:sz w:val="24"/>
          <w:szCs w:val="24"/>
        </w:rPr>
        <w:t xml:space="preserve">. Visos pārējos gados aplūkotajā laika periodā ekspertu prognozes svārstās </w:t>
      </w:r>
      <w:r w:rsidR="00121EA6" w:rsidRPr="00F9706F">
        <w:rPr>
          <w:sz w:val="24"/>
          <w:szCs w:val="24"/>
        </w:rPr>
        <w:t>4-5% robežās ar zemāko prognozi 4,97% pieaugums 2022.gadā un augstāko prognozi 5,59% 2024.gadā</w:t>
      </w:r>
      <w:r w:rsidRPr="00F9706F">
        <w:rPr>
          <w:sz w:val="24"/>
          <w:szCs w:val="24"/>
        </w:rPr>
        <w:t>.</w:t>
      </w:r>
    </w:p>
    <w:p w14:paraId="6D22CE77" w14:textId="44597F2D" w:rsidR="00D114C8" w:rsidRPr="00F9706F" w:rsidRDefault="00FF599A" w:rsidP="00D114C8">
      <w:pPr>
        <w:rPr>
          <w:sz w:val="24"/>
          <w:szCs w:val="24"/>
        </w:rPr>
      </w:pPr>
      <w:r w:rsidRPr="00F9706F">
        <w:rPr>
          <w:sz w:val="24"/>
          <w:szCs w:val="24"/>
          <w:u w:val="single"/>
        </w:rPr>
        <w:t>Mašīnu un mehānismu uzturēšanas un ekspluatācijas izmaks</w:t>
      </w:r>
      <w:r w:rsidR="003034CC" w:rsidRPr="00F9706F">
        <w:rPr>
          <w:sz w:val="24"/>
          <w:szCs w:val="24"/>
          <w:u w:val="single"/>
        </w:rPr>
        <w:t>ām</w:t>
      </w:r>
      <w:r w:rsidRPr="00F9706F">
        <w:rPr>
          <w:sz w:val="24"/>
          <w:szCs w:val="24"/>
        </w:rPr>
        <w:t xml:space="preserve">, </w:t>
      </w:r>
      <w:bookmarkStart w:id="23" w:name="_Hlk522720252"/>
      <w:bookmarkEnd w:id="22"/>
      <w:r w:rsidR="00CF2612" w:rsidRPr="00F9706F">
        <w:rPr>
          <w:sz w:val="24"/>
          <w:szCs w:val="24"/>
        </w:rPr>
        <w:t>eksperti prognozē stabilu izmaiņu raksturu no 20</w:t>
      </w:r>
      <w:r w:rsidR="00613F48" w:rsidRPr="00F9706F">
        <w:rPr>
          <w:sz w:val="24"/>
          <w:szCs w:val="24"/>
        </w:rPr>
        <w:t>20</w:t>
      </w:r>
      <w:r w:rsidR="00CF2612" w:rsidRPr="00F9706F">
        <w:rPr>
          <w:sz w:val="24"/>
          <w:szCs w:val="24"/>
        </w:rPr>
        <w:t>. līdz 20</w:t>
      </w:r>
      <w:r w:rsidR="00613F48" w:rsidRPr="00F9706F">
        <w:rPr>
          <w:sz w:val="24"/>
          <w:szCs w:val="24"/>
        </w:rPr>
        <w:t>24</w:t>
      </w:r>
      <w:r w:rsidR="00CF2612" w:rsidRPr="00F9706F">
        <w:rPr>
          <w:sz w:val="24"/>
          <w:szCs w:val="24"/>
        </w:rPr>
        <w:t xml:space="preserve">. gadam, izmaksu izmaiņām </w:t>
      </w:r>
      <w:r w:rsidR="00613F48" w:rsidRPr="00F9706F">
        <w:rPr>
          <w:sz w:val="24"/>
          <w:szCs w:val="24"/>
        </w:rPr>
        <w:t>pieaugot tikai nedaudz virs 2%</w:t>
      </w:r>
      <w:r w:rsidR="00CF2612" w:rsidRPr="00F9706F">
        <w:rPr>
          <w:sz w:val="24"/>
          <w:szCs w:val="24"/>
        </w:rPr>
        <w:t xml:space="preserve">. </w:t>
      </w:r>
    </w:p>
    <w:p w14:paraId="3E3541AA" w14:textId="75733D74" w:rsidR="00FB49EF" w:rsidRPr="00F9706F" w:rsidRDefault="00CF2612" w:rsidP="0018196A">
      <w:pPr>
        <w:rPr>
          <w:sz w:val="24"/>
          <w:szCs w:val="24"/>
        </w:rPr>
      </w:pPr>
      <w:bookmarkStart w:id="24" w:name="_Hlk522720390"/>
      <w:bookmarkEnd w:id="23"/>
      <w:r w:rsidRPr="00F9706F">
        <w:rPr>
          <w:sz w:val="24"/>
          <w:szCs w:val="24"/>
        </w:rPr>
        <w:t xml:space="preserve">Prognozējot </w:t>
      </w:r>
      <w:r w:rsidRPr="00F9706F">
        <w:rPr>
          <w:sz w:val="24"/>
          <w:szCs w:val="24"/>
          <w:u w:val="single"/>
        </w:rPr>
        <w:t>arhitektūras un inženiertehnisko pakalpojumu; tehniskās pārbaudes un analīzes izmaksu izmaiņas,</w:t>
      </w:r>
      <w:r w:rsidRPr="00F9706F">
        <w:rPr>
          <w:sz w:val="24"/>
          <w:szCs w:val="24"/>
        </w:rPr>
        <w:t xml:space="preserve"> ekspertu vidējā prognoze 20</w:t>
      </w:r>
      <w:r w:rsidR="00B717AF" w:rsidRPr="00F9706F">
        <w:rPr>
          <w:sz w:val="24"/>
          <w:szCs w:val="24"/>
        </w:rPr>
        <w:t>20</w:t>
      </w:r>
      <w:r w:rsidRPr="00F9706F">
        <w:rPr>
          <w:sz w:val="24"/>
          <w:szCs w:val="24"/>
        </w:rPr>
        <w:t>.gadā sasniedz</w:t>
      </w:r>
      <w:r w:rsidR="00A03B6A" w:rsidRPr="00F9706F">
        <w:rPr>
          <w:sz w:val="24"/>
          <w:szCs w:val="24"/>
        </w:rPr>
        <w:t>a</w:t>
      </w:r>
      <w:r w:rsidRPr="00F9706F">
        <w:rPr>
          <w:sz w:val="24"/>
          <w:szCs w:val="24"/>
        </w:rPr>
        <w:t xml:space="preserve"> </w:t>
      </w:r>
      <w:r w:rsidR="00A77F97" w:rsidRPr="00F9706F">
        <w:rPr>
          <w:sz w:val="24"/>
          <w:szCs w:val="24"/>
        </w:rPr>
        <w:t>4,21</w:t>
      </w:r>
      <w:r w:rsidRPr="00F9706F">
        <w:rPr>
          <w:sz w:val="24"/>
          <w:szCs w:val="24"/>
        </w:rPr>
        <w:t xml:space="preserve">%, turpmākajos gados pamazām </w:t>
      </w:r>
      <w:r w:rsidR="00A77F97" w:rsidRPr="00F9706F">
        <w:rPr>
          <w:sz w:val="24"/>
          <w:szCs w:val="24"/>
        </w:rPr>
        <w:t>pieaugot</w:t>
      </w:r>
      <w:r w:rsidR="00A03B6A" w:rsidRPr="00F9706F">
        <w:rPr>
          <w:sz w:val="24"/>
          <w:szCs w:val="24"/>
        </w:rPr>
        <w:t xml:space="preserve"> -</w:t>
      </w:r>
      <w:r w:rsidR="00A77F97" w:rsidRPr="00F9706F">
        <w:rPr>
          <w:sz w:val="24"/>
          <w:szCs w:val="24"/>
        </w:rPr>
        <w:t xml:space="preserve"> </w:t>
      </w:r>
      <w:r w:rsidRPr="00F9706F">
        <w:rPr>
          <w:sz w:val="24"/>
          <w:szCs w:val="24"/>
        </w:rPr>
        <w:t>202</w:t>
      </w:r>
      <w:r w:rsidR="00A77F97" w:rsidRPr="00F9706F">
        <w:rPr>
          <w:sz w:val="24"/>
          <w:szCs w:val="24"/>
        </w:rPr>
        <w:t>4</w:t>
      </w:r>
      <w:r w:rsidRPr="00F9706F">
        <w:rPr>
          <w:sz w:val="24"/>
          <w:szCs w:val="24"/>
        </w:rPr>
        <w:t xml:space="preserve">.gadā sasniedzot </w:t>
      </w:r>
      <w:r w:rsidR="00A77F97" w:rsidRPr="00F9706F">
        <w:rPr>
          <w:sz w:val="24"/>
          <w:szCs w:val="24"/>
        </w:rPr>
        <w:t>4,98</w:t>
      </w:r>
      <w:r w:rsidRPr="00F9706F">
        <w:rPr>
          <w:sz w:val="24"/>
          <w:szCs w:val="24"/>
        </w:rPr>
        <w:t>% pieaugumu gadā</w:t>
      </w:r>
      <w:bookmarkEnd w:id="24"/>
      <w:r w:rsidRPr="00F9706F">
        <w:rPr>
          <w:sz w:val="24"/>
          <w:szCs w:val="24"/>
        </w:rPr>
        <w:t xml:space="preserve">. </w:t>
      </w:r>
    </w:p>
    <w:p w14:paraId="51D4F501" w14:textId="38818723" w:rsidR="0018196A" w:rsidRPr="00A01DCA" w:rsidRDefault="005E00E6" w:rsidP="0018196A">
      <w:pPr>
        <w:pStyle w:val="Caption"/>
        <w:keepNext/>
        <w:spacing w:after="0"/>
        <w:jc w:val="right"/>
        <w:rPr>
          <w:color w:val="auto"/>
        </w:rPr>
      </w:pPr>
      <w:bookmarkStart w:id="25" w:name="_Ref522228437"/>
      <w:r w:rsidRPr="00A01DCA">
        <w:rPr>
          <w:color w:val="auto"/>
        </w:rPr>
        <w:t xml:space="preserve">Tabula </w:t>
      </w:r>
      <w:bookmarkEnd w:id="25"/>
      <w:r w:rsidR="00584BE1">
        <w:rPr>
          <w:noProof/>
          <w:color w:val="auto"/>
        </w:rPr>
        <w:t>3</w:t>
      </w:r>
      <w:r w:rsidRPr="00A01DCA">
        <w:rPr>
          <w:color w:val="auto"/>
        </w:rPr>
        <w:t xml:space="preserve">. </w:t>
      </w:r>
    </w:p>
    <w:p w14:paraId="1045E163" w14:textId="53753090" w:rsidR="005E00E6" w:rsidRPr="00A01DCA" w:rsidRDefault="005E00E6" w:rsidP="0018196A">
      <w:pPr>
        <w:pStyle w:val="Caption"/>
        <w:keepNext/>
        <w:spacing w:after="0"/>
        <w:jc w:val="right"/>
        <w:rPr>
          <w:color w:val="auto"/>
        </w:rPr>
      </w:pPr>
      <w:r w:rsidRPr="00A01DCA">
        <w:rPr>
          <w:color w:val="auto"/>
        </w:rPr>
        <w:t>Būvniecības izmaksu izmaiņas līdz 201</w:t>
      </w:r>
      <w:r w:rsidR="00461B39" w:rsidRPr="00A01DCA">
        <w:rPr>
          <w:color w:val="auto"/>
        </w:rPr>
        <w:t>9</w:t>
      </w:r>
      <w:r w:rsidRPr="00A01DCA">
        <w:rPr>
          <w:color w:val="auto"/>
        </w:rPr>
        <w:t>.gadam un vidējās ekspertu prognozes no 20</w:t>
      </w:r>
      <w:r w:rsidR="00461B39" w:rsidRPr="00A01DCA">
        <w:rPr>
          <w:color w:val="auto"/>
        </w:rPr>
        <w:t>20</w:t>
      </w:r>
      <w:r w:rsidRPr="00A01DCA">
        <w:rPr>
          <w:color w:val="auto"/>
        </w:rPr>
        <w:t>. līdz 202</w:t>
      </w:r>
      <w:r w:rsidR="00461B39" w:rsidRPr="00A01DCA">
        <w:rPr>
          <w:color w:val="auto"/>
        </w:rPr>
        <w:t>4</w:t>
      </w:r>
      <w:r w:rsidRPr="00A01DCA">
        <w:rPr>
          <w:color w:val="auto"/>
        </w:rPr>
        <w:t>.gadam pa resursu veidiem.</w:t>
      </w:r>
    </w:p>
    <w:tbl>
      <w:tblPr>
        <w:tblStyle w:val="GridTable1Light"/>
        <w:tblW w:w="9209" w:type="dxa"/>
        <w:jc w:val="center"/>
        <w:tblLayout w:type="fixed"/>
        <w:tblLook w:val="0620" w:firstRow="1" w:lastRow="0" w:firstColumn="0" w:lastColumn="0" w:noHBand="1" w:noVBand="1"/>
      </w:tblPr>
      <w:tblGrid>
        <w:gridCol w:w="892"/>
        <w:gridCol w:w="893"/>
        <w:gridCol w:w="892"/>
        <w:gridCol w:w="893"/>
        <w:gridCol w:w="893"/>
        <w:gridCol w:w="892"/>
        <w:gridCol w:w="893"/>
        <w:gridCol w:w="892"/>
        <w:gridCol w:w="893"/>
        <w:gridCol w:w="1176"/>
      </w:tblGrid>
      <w:tr w:rsidR="00A01DCA" w:rsidRPr="006C1231" w14:paraId="4ACED91C" w14:textId="77777777" w:rsidTr="004C5F9B">
        <w:trPr>
          <w:cnfStyle w:val="100000000000" w:firstRow="1" w:lastRow="0" w:firstColumn="0" w:lastColumn="0" w:oddVBand="0" w:evenVBand="0" w:oddHBand="0" w:evenHBand="0" w:firstRowFirstColumn="0" w:firstRowLastColumn="0" w:lastRowFirstColumn="0" w:lastRowLastColumn="0"/>
          <w:trHeight w:val="227"/>
          <w:jc w:val="center"/>
        </w:trPr>
        <w:tc>
          <w:tcPr>
            <w:tcW w:w="892" w:type="dxa"/>
            <w:vAlign w:val="center"/>
          </w:tcPr>
          <w:p w14:paraId="63CB4F25" w14:textId="2EF111ED" w:rsidR="00FB49EF" w:rsidRPr="00A01DCA" w:rsidRDefault="00FB49EF" w:rsidP="009A44D2">
            <w:pPr>
              <w:ind w:firstLine="0"/>
              <w:jc w:val="center"/>
              <w:rPr>
                <w:sz w:val="20"/>
              </w:rPr>
            </w:pPr>
            <w:r w:rsidRPr="00A01DCA">
              <w:rPr>
                <w:sz w:val="20"/>
              </w:rPr>
              <w:t>201</w:t>
            </w:r>
            <w:r w:rsidR="00D76B07" w:rsidRPr="00A01DCA">
              <w:rPr>
                <w:sz w:val="20"/>
              </w:rPr>
              <w:t>5</w:t>
            </w:r>
            <w:r w:rsidRPr="00A01DCA">
              <w:rPr>
                <w:sz w:val="20"/>
              </w:rPr>
              <w:t>.</w:t>
            </w:r>
          </w:p>
        </w:tc>
        <w:tc>
          <w:tcPr>
            <w:tcW w:w="893" w:type="dxa"/>
            <w:vAlign w:val="center"/>
          </w:tcPr>
          <w:p w14:paraId="09A81D87" w14:textId="2A16D0E2" w:rsidR="00FB49EF" w:rsidRPr="00A01DCA" w:rsidRDefault="00FB49EF" w:rsidP="009A44D2">
            <w:pPr>
              <w:ind w:firstLine="0"/>
              <w:jc w:val="center"/>
              <w:rPr>
                <w:sz w:val="20"/>
              </w:rPr>
            </w:pPr>
            <w:r w:rsidRPr="00A01DCA">
              <w:rPr>
                <w:sz w:val="20"/>
              </w:rPr>
              <w:t>201</w:t>
            </w:r>
            <w:r w:rsidR="00D76B07" w:rsidRPr="00A01DCA">
              <w:rPr>
                <w:sz w:val="20"/>
              </w:rPr>
              <w:t>6</w:t>
            </w:r>
            <w:r w:rsidRPr="00A01DCA">
              <w:rPr>
                <w:sz w:val="20"/>
              </w:rPr>
              <w:t>.</w:t>
            </w:r>
          </w:p>
        </w:tc>
        <w:tc>
          <w:tcPr>
            <w:tcW w:w="892" w:type="dxa"/>
            <w:vAlign w:val="center"/>
          </w:tcPr>
          <w:p w14:paraId="11818AC7" w14:textId="7B5456AC" w:rsidR="00FB49EF" w:rsidRPr="00A01DCA" w:rsidRDefault="00FB49EF" w:rsidP="009A44D2">
            <w:pPr>
              <w:ind w:firstLine="0"/>
              <w:jc w:val="center"/>
              <w:rPr>
                <w:sz w:val="20"/>
              </w:rPr>
            </w:pPr>
            <w:r w:rsidRPr="00A01DCA">
              <w:rPr>
                <w:sz w:val="20"/>
              </w:rPr>
              <w:t>201</w:t>
            </w:r>
            <w:r w:rsidR="00D76B07" w:rsidRPr="00A01DCA">
              <w:rPr>
                <w:sz w:val="20"/>
              </w:rPr>
              <w:t>7</w:t>
            </w:r>
            <w:r w:rsidRPr="00A01DCA">
              <w:rPr>
                <w:sz w:val="20"/>
              </w:rPr>
              <w:t>.</w:t>
            </w:r>
          </w:p>
        </w:tc>
        <w:tc>
          <w:tcPr>
            <w:tcW w:w="893" w:type="dxa"/>
            <w:vAlign w:val="center"/>
          </w:tcPr>
          <w:p w14:paraId="31B5B9C1" w14:textId="7A28FEC5" w:rsidR="00FB49EF" w:rsidRPr="00A01DCA" w:rsidRDefault="00FB49EF" w:rsidP="009A44D2">
            <w:pPr>
              <w:ind w:firstLine="0"/>
              <w:jc w:val="center"/>
              <w:rPr>
                <w:sz w:val="20"/>
              </w:rPr>
            </w:pPr>
            <w:r w:rsidRPr="00A01DCA">
              <w:rPr>
                <w:sz w:val="20"/>
              </w:rPr>
              <w:t>201</w:t>
            </w:r>
            <w:r w:rsidR="00D76B07" w:rsidRPr="00A01DCA">
              <w:rPr>
                <w:sz w:val="20"/>
              </w:rPr>
              <w:t>8</w:t>
            </w:r>
            <w:r w:rsidRPr="00A01DCA">
              <w:rPr>
                <w:sz w:val="20"/>
              </w:rPr>
              <w:t>.</w:t>
            </w:r>
          </w:p>
        </w:tc>
        <w:tc>
          <w:tcPr>
            <w:tcW w:w="893" w:type="dxa"/>
            <w:tcBorders>
              <w:right w:val="double" w:sz="4" w:space="0" w:color="auto"/>
            </w:tcBorders>
            <w:vAlign w:val="center"/>
          </w:tcPr>
          <w:p w14:paraId="23A3E334" w14:textId="79215589" w:rsidR="00FB49EF" w:rsidRPr="00A01DCA" w:rsidRDefault="00FB49EF" w:rsidP="009A44D2">
            <w:pPr>
              <w:ind w:firstLine="0"/>
              <w:jc w:val="center"/>
              <w:rPr>
                <w:sz w:val="20"/>
              </w:rPr>
            </w:pPr>
            <w:r w:rsidRPr="00A01DCA">
              <w:rPr>
                <w:sz w:val="20"/>
              </w:rPr>
              <w:t>201</w:t>
            </w:r>
            <w:r w:rsidR="00D76B07" w:rsidRPr="00A01DCA">
              <w:rPr>
                <w:sz w:val="20"/>
              </w:rPr>
              <w:t>9</w:t>
            </w:r>
            <w:r w:rsidRPr="00A01DCA">
              <w:rPr>
                <w:sz w:val="20"/>
              </w:rPr>
              <w:t>.</w:t>
            </w:r>
          </w:p>
        </w:tc>
        <w:tc>
          <w:tcPr>
            <w:tcW w:w="892" w:type="dxa"/>
            <w:tcBorders>
              <w:left w:val="double" w:sz="4" w:space="0" w:color="auto"/>
            </w:tcBorders>
            <w:vAlign w:val="center"/>
          </w:tcPr>
          <w:p w14:paraId="614FFD4F" w14:textId="7E8A49F1" w:rsidR="00FB49EF" w:rsidRPr="00A01DCA" w:rsidRDefault="00FB49EF" w:rsidP="009A44D2">
            <w:pPr>
              <w:ind w:firstLine="0"/>
              <w:jc w:val="center"/>
              <w:rPr>
                <w:sz w:val="20"/>
              </w:rPr>
            </w:pPr>
            <w:r w:rsidRPr="00A01DCA">
              <w:rPr>
                <w:sz w:val="20"/>
              </w:rPr>
              <w:t>20</w:t>
            </w:r>
            <w:r w:rsidR="00D76B07" w:rsidRPr="00A01DCA">
              <w:rPr>
                <w:sz w:val="20"/>
              </w:rPr>
              <w:t>20</w:t>
            </w:r>
            <w:r w:rsidRPr="00A01DCA">
              <w:rPr>
                <w:sz w:val="20"/>
              </w:rPr>
              <w:t>.</w:t>
            </w:r>
          </w:p>
        </w:tc>
        <w:tc>
          <w:tcPr>
            <w:tcW w:w="893" w:type="dxa"/>
            <w:vAlign w:val="center"/>
          </w:tcPr>
          <w:p w14:paraId="54B59B1C" w14:textId="18C25D22" w:rsidR="00FB49EF" w:rsidRPr="00A01DCA" w:rsidRDefault="00FB49EF" w:rsidP="009A44D2">
            <w:pPr>
              <w:ind w:firstLine="0"/>
              <w:jc w:val="center"/>
              <w:rPr>
                <w:sz w:val="20"/>
              </w:rPr>
            </w:pPr>
            <w:r w:rsidRPr="00A01DCA">
              <w:rPr>
                <w:sz w:val="20"/>
              </w:rPr>
              <w:t>20</w:t>
            </w:r>
            <w:r w:rsidR="00D76B07" w:rsidRPr="00A01DCA">
              <w:rPr>
                <w:sz w:val="20"/>
              </w:rPr>
              <w:t>21</w:t>
            </w:r>
            <w:r w:rsidRPr="00A01DCA">
              <w:rPr>
                <w:sz w:val="20"/>
              </w:rPr>
              <w:t>.</w:t>
            </w:r>
          </w:p>
        </w:tc>
        <w:tc>
          <w:tcPr>
            <w:tcW w:w="892" w:type="dxa"/>
            <w:vAlign w:val="center"/>
          </w:tcPr>
          <w:p w14:paraId="560C7216" w14:textId="683FCCB8" w:rsidR="00FB49EF" w:rsidRPr="00A01DCA" w:rsidRDefault="00FB49EF" w:rsidP="009A44D2">
            <w:pPr>
              <w:ind w:firstLine="0"/>
              <w:jc w:val="center"/>
              <w:rPr>
                <w:sz w:val="20"/>
              </w:rPr>
            </w:pPr>
            <w:r w:rsidRPr="00A01DCA">
              <w:rPr>
                <w:sz w:val="20"/>
              </w:rPr>
              <w:t>202</w:t>
            </w:r>
            <w:r w:rsidR="00D76B07" w:rsidRPr="00A01DCA">
              <w:rPr>
                <w:sz w:val="20"/>
              </w:rPr>
              <w:t>2</w:t>
            </w:r>
            <w:r w:rsidRPr="00A01DCA">
              <w:rPr>
                <w:sz w:val="20"/>
              </w:rPr>
              <w:t>.</w:t>
            </w:r>
          </w:p>
        </w:tc>
        <w:tc>
          <w:tcPr>
            <w:tcW w:w="893" w:type="dxa"/>
            <w:vAlign w:val="center"/>
          </w:tcPr>
          <w:p w14:paraId="3681ABEE" w14:textId="22D05962" w:rsidR="00FB49EF" w:rsidRPr="00A01DCA" w:rsidRDefault="00FB49EF" w:rsidP="009A44D2">
            <w:pPr>
              <w:ind w:firstLine="0"/>
              <w:jc w:val="center"/>
              <w:rPr>
                <w:sz w:val="20"/>
              </w:rPr>
            </w:pPr>
            <w:r w:rsidRPr="00A01DCA">
              <w:rPr>
                <w:sz w:val="20"/>
              </w:rPr>
              <w:t>202</w:t>
            </w:r>
            <w:r w:rsidR="00D76B07" w:rsidRPr="00A01DCA">
              <w:rPr>
                <w:sz w:val="20"/>
              </w:rPr>
              <w:t>3</w:t>
            </w:r>
            <w:r w:rsidRPr="00A01DCA">
              <w:rPr>
                <w:sz w:val="20"/>
              </w:rPr>
              <w:t>.</w:t>
            </w:r>
          </w:p>
        </w:tc>
        <w:tc>
          <w:tcPr>
            <w:tcW w:w="1176" w:type="dxa"/>
            <w:vAlign w:val="center"/>
          </w:tcPr>
          <w:p w14:paraId="27AD9F8E" w14:textId="15EB0751" w:rsidR="00FB49EF" w:rsidRPr="00A01DCA" w:rsidRDefault="00FB49EF" w:rsidP="009A44D2">
            <w:pPr>
              <w:ind w:firstLine="0"/>
              <w:jc w:val="center"/>
              <w:rPr>
                <w:sz w:val="20"/>
              </w:rPr>
            </w:pPr>
            <w:r w:rsidRPr="00A01DCA">
              <w:rPr>
                <w:sz w:val="20"/>
              </w:rPr>
              <w:t>202</w:t>
            </w:r>
            <w:r w:rsidR="00D76B07" w:rsidRPr="00A01DCA">
              <w:rPr>
                <w:sz w:val="20"/>
              </w:rPr>
              <w:t>4</w:t>
            </w:r>
            <w:r w:rsidRPr="00A01DCA">
              <w:rPr>
                <w:sz w:val="20"/>
              </w:rPr>
              <w:t>.</w:t>
            </w:r>
          </w:p>
        </w:tc>
      </w:tr>
      <w:tr w:rsidR="004C5F9B" w:rsidRPr="00A01DCA" w14:paraId="53B4E9F7" w14:textId="77777777" w:rsidTr="004C5F9B">
        <w:trPr>
          <w:trHeight w:val="340"/>
          <w:jc w:val="center"/>
        </w:trPr>
        <w:tc>
          <w:tcPr>
            <w:tcW w:w="9209" w:type="dxa"/>
            <w:gridSpan w:val="10"/>
            <w:vAlign w:val="center"/>
          </w:tcPr>
          <w:p w14:paraId="7C6BEECB" w14:textId="77777777" w:rsidR="00FB49EF" w:rsidRPr="00A01DCA" w:rsidRDefault="00FB49EF" w:rsidP="005920E7">
            <w:pPr>
              <w:spacing w:line="240" w:lineRule="auto"/>
              <w:ind w:firstLine="0"/>
              <w:jc w:val="left"/>
              <w:rPr>
                <w:b/>
                <w:bCs/>
                <w:sz w:val="20"/>
              </w:rPr>
            </w:pPr>
            <w:r w:rsidRPr="00A01DCA">
              <w:rPr>
                <w:b/>
                <w:bCs/>
                <w:sz w:val="20"/>
              </w:rPr>
              <w:t>Būvmateriālu izmaksu izmaiņas</w:t>
            </w:r>
          </w:p>
        </w:tc>
      </w:tr>
      <w:tr w:rsidR="004C5F9B" w:rsidRPr="00A01DCA" w14:paraId="4162AEEC" w14:textId="77777777" w:rsidTr="004C5F9B">
        <w:trPr>
          <w:trHeight w:val="340"/>
          <w:jc w:val="center"/>
        </w:trPr>
        <w:tc>
          <w:tcPr>
            <w:tcW w:w="892" w:type="dxa"/>
            <w:vMerge w:val="restart"/>
            <w:vAlign w:val="center"/>
          </w:tcPr>
          <w:p w14:paraId="15487AD1" w14:textId="61D2CED7" w:rsidR="00D76B07" w:rsidRPr="00A01DCA" w:rsidRDefault="00AF5DFC" w:rsidP="005920E7">
            <w:pPr>
              <w:ind w:firstLine="0"/>
              <w:jc w:val="center"/>
              <w:rPr>
                <w:sz w:val="20"/>
              </w:rPr>
            </w:pPr>
            <w:r w:rsidRPr="00A01DCA">
              <w:rPr>
                <w:sz w:val="20"/>
              </w:rPr>
              <w:t>-1,8%</w:t>
            </w:r>
          </w:p>
        </w:tc>
        <w:tc>
          <w:tcPr>
            <w:tcW w:w="893" w:type="dxa"/>
            <w:vMerge w:val="restart"/>
            <w:vAlign w:val="center"/>
          </w:tcPr>
          <w:p w14:paraId="189C553B" w14:textId="2452760B" w:rsidR="00D76B07" w:rsidRPr="00A01DCA" w:rsidRDefault="00AF5DFC" w:rsidP="005920E7">
            <w:pPr>
              <w:ind w:firstLine="0"/>
              <w:jc w:val="center"/>
              <w:rPr>
                <w:sz w:val="20"/>
              </w:rPr>
            </w:pPr>
            <w:r w:rsidRPr="00A01DCA">
              <w:rPr>
                <w:sz w:val="20"/>
              </w:rPr>
              <w:t>-3,2%</w:t>
            </w:r>
          </w:p>
        </w:tc>
        <w:tc>
          <w:tcPr>
            <w:tcW w:w="892" w:type="dxa"/>
            <w:vMerge w:val="restart"/>
            <w:vAlign w:val="center"/>
          </w:tcPr>
          <w:p w14:paraId="407E7FD7" w14:textId="22909495" w:rsidR="00D76B07" w:rsidRPr="00A01DCA" w:rsidRDefault="00AF5DFC" w:rsidP="005920E7">
            <w:pPr>
              <w:ind w:firstLine="0"/>
              <w:jc w:val="center"/>
              <w:rPr>
                <w:sz w:val="20"/>
              </w:rPr>
            </w:pPr>
            <w:r w:rsidRPr="00A01DCA">
              <w:rPr>
                <w:sz w:val="20"/>
              </w:rPr>
              <w:t>+1,4%</w:t>
            </w:r>
          </w:p>
        </w:tc>
        <w:tc>
          <w:tcPr>
            <w:tcW w:w="893" w:type="dxa"/>
            <w:vMerge w:val="restart"/>
            <w:vAlign w:val="center"/>
          </w:tcPr>
          <w:p w14:paraId="4FFB38EA" w14:textId="00EF6B68" w:rsidR="00D76B07" w:rsidRPr="00A01DCA" w:rsidRDefault="00AF5DFC" w:rsidP="005920E7">
            <w:pPr>
              <w:ind w:firstLine="0"/>
              <w:jc w:val="center"/>
              <w:rPr>
                <w:sz w:val="20"/>
              </w:rPr>
            </w:pPr>
            <w:r w:rsidRPr="00A01DCA">
              <w:rPr>
                <w:sz w:val="20"/>
              </w:rPr>
              <w:t>+3,7%</w:t>
            </w:r>
          </w:p>
        </w:tc>
        <w:tc>
          <w:tcPr>
            <w:tcW w:w="893" w:type="dxa"/>
            <w:vMerge w:val="restart"/>
            <w:tcBorders>
              <w:right w:val="double" w:sz="4" w:space="0" w:color="auto"/>
            </w:tcBorders>
            <w:vAlign w:val="center"/>
          </w:tcPr>
          <w:p w14:paraId="73C352BB" w14:textId="5B8E14D1" w:rsidR="00D76B07" w:rsidRPr="00A01DCA" w:rsidRDefault="00AF5DFC" w:rsidP="005920E7">
            <w:pPr>
              <w:ind w:firstLine="0"/>
              <w:jc w:val="center"/>
              <w:rPr>
                <w:sz w:val="20"/>
              </w:rPr>
            </w:pPr>
            <w:r w:rsidRPr="00A01DCA">
              <w:rPr>
                <w:sz w:val="20"/>
              </w:rPr>
              <w:t>+3,4%</w:t>
            </w:r>
          </w:p>
        </w:tc>
        <w:tc>
          <w:tcPr>
            <w:tcW w:w="4746" w:type="dxa"/>
            <w:gridSpan w:val="5"/>
            <w:tcBorders>
              <w:left w:val="double" w:sz="4" w:space="0" w:color="auto"/>
            </w:tcBorders>
            <w:vAlign w:val="center"/>
          </w:tcPr>
          <w:p w14:paraId="71FE3C78" w14:textId="2A4436A6" w:rsidR="00D76B07" w:rsidRPr="00A01DCA" w:rsidRDefault="00D76B07" w:rsidP="005920E7">
            <w:pPr>
              <w:spacing w:line="240" w:lineRule="auto"/>
              <w:ind w:firstLine="0"/>
              <w:jc w:val="center"/>
              <w:rPr>
                <w:sz w:val="20"/>
              </w:rPr>
            </w:pPr>
            <w:r w:rsidRPr="00A01DCA">
              <w:rPr>
                <w:sz w:val="20"/>
              </w:rPr>
              <w:t>Vidējā ekspertu prognoze</w:t>
            </w:r>
          </w:p>
        </w:tc>
      </w:tr>
      <w:tr w:rsidR="004C5F9B" w:rsidRPr="00A01DCA" w14:paraId="4340A34D" w14:textId="77777777" w:rsidTr="004C5F9B">
        <w:trPr>
          <w:trHeight w:val="454"/>
          <w:jc w:val="center"/>
        </w:trPr>
        <w:tc>
          <w:tcPr>
            <w:tcW w:w="892" w:type="dxa"/>
            <w:vMerge/>
            <w:vAlign w:val="center"/>
          </w:tcPr>
          <w:p w14:paraId="5E808B42" w14:textId="57E3822C" w:rsidR="00D76B07" w:rsidRPr="00A01DCA" w:rsidRDefault="00D76B07" w:rsidP="009A44D2">
            <w:pPr>
              <w:ind w:firstLine="0"/>
              <w:jc w:val="center"/>
              <w:rPr>
                <w:sz w:val="20"/>
              </w:rPr>
            </w:pPr>
          </w:p>
        </w:tc>
        <w:tc>
          <w:tcPr>
            <w:tcW w:w="893" w:type="dxa"/>
            <w:vMerge/>
            <w:vAlign w:val="center"/>
          </w:tcPr>
          <w:p w14:paraId="046B5DB7" w14:textId="718FBB4D" w:rsidR="00D76B07" w:rsidRPr="00A01DCA" w:rsidRDefault="00D76B07" w:rsidP="009A44D2">
            <w:pPr>
              <w:ind w:firstLine="0"/>
              <w:jc w:val="center"/>
              <w:rPr>
                <w:sz w:val="20"/>
              </w:rPr>
            </w:pPr>
          </w:p>
        </w:tc>
        <w:tc>
          <w:tcPr>
            <w:tcW w:w="892" w:type="dxa"/>
            <w:vMerge/>
            <w:vAlign w:val="center"/>
          </w:tcPr>
          <w:p w14:paraId="25F6D6D3" w14:textId="14DC47A9" w:rsidR="00D76B07" w:rsidRPr="00A01DCA" w:rsidRDefault="00D76B07" w:rsidP="009A44D2">
            <w:pPr>
              <w:ind w:firstLine="0"/>
              <w:jc w:val="center"/>
              <w:rPr>
                <w:sz w:val="20"/>
              </w:rPr>
            </w:pPr>
          </w:p>
        </w:tc>
        <w:tc>
          <w:tcPr>
            <w:tcW w:w="893" w:type="dxa"/>
            <w:vMerge/>
            <w:vAlign w:val="center"/>
          </w:tcPr>
          <w:p w14:paraId="099C2FFA" w14:textId="3F2D3740" w:rsidR="00D76B07" w:rsidRPr="00A01DCA" w:rsidRDefault="00D76B07" w:rsidP="009A44D2">
            <w:pPr>
              <w:ind w:firstLine="0"/>
              <w:jc w:val="center"/>
              <w:rPr>
                <w:sz w:val="20"/>
              </w:rPr>
            </w:pPr>
          </w:p>
        </w:tc>
        <w:tc>
          <w:tcPr>
            <w:tcW w:w="893" w:type="dxa"/>
            <w:vMerge/>
            <w:tcBorders>
              <w:right w:val="double" w:sz="4" w:space="0" w:color="auto"/>
            </w:tcBorders>
            <w:vAlign w:val="center"/>
          </w:tcPr>
          <w:p w14:paraId="47E93CB2" w14:textId="3235A4C2" w:rsidR="00D76B07" w:rsidRPr="00A01DCA" w:rsidRDefault="00D76B07" w:rsidP="009A44D2">
            <w:pPr>
              <w:ind w:firstLine="0"/>
              <w:jc w:val="center"/>
              <w:rPr>
                <w:sz w:val="20"/>
              </w:rPr>
            </w:pPr>
          </w:p>
        </w:tc>
        <w:tc>
          <w:tcPr>
            <w:tcW w:w="892" w:type="dxa"/>
            <w:tcBorders>
              <w:left w:val="double" w:sz="4" w:space="0" w:color="auto"/>
            </w:tcBorders>
            <w:vAlign w:val="center"/>
          </w:tcPr>
          <w:p w14:paraId="59CA5F51" w14:textId="425E2D32" w:rsidR="00D76B07" w:rsidRPr="00A01DCA" w:rsidRDefault="00B7025A" w:rsidP="005920E7">
            <w:pPr>
              <w:spacing w:line="240" w:lineRule="auto"/>
              <w:ind w:firstLine="0"/>
              <w:jc w:val="center"/>
              <w:rPr>
                <w:sz w:val="20"/>
              </w:rPr>
            </w:pPr>
            <w:r w:rsidRPr="00A01DCA">
              <w:rPr>
                <w:sz w:val="20"/>
              </w:rPr>
              <w:t>+1,51%</w:t>
            </w:r>
          </w:p>
        </w:tc>
        <w:tc>
          <w:tcPr>
            <w:tcW w:w="893" w:type="dxa"/>
            <w:vAlign w:val="center"/>
          </w:tcPr>
          <w:p w14:paraId="43B77A6C" w14:textId="715E849D" w:rsidR="00D76B07" w:rsidRPr="00A01DCA" w:rsidRDefault="00B7025A" w:rsidP="005920E7">
            <w:pPr>
              <w:spacing w:line="240" w:lineRule="auto"/>
              <w:ind w:firstLine="0"/>
              <w:jc w:val="center"/>
              <w:rPr>
                <w:sz w:val="20"/>
              </w:rPr>
            </w:pPr>
            <w:r w:rsidRPr="00A01DCA">
              <w:rPr>
                <w:sz w:val="20"/>
              </w:rPr>
              <w:t>+2,74%</w:t>
            </w:r>
          </w:p>
        </w:tc>
        <w:tc>
          <w:tcPr>
            <w:tcW w:w="892" w:type="dxa"/>
            <w:vAlign w:val="center"/>
          </w:tcPr>
          <w:p w14:paraId="70E04C76" w14:textId="74652A50" w:rsidR="00D76B07" w:rsidRPr="00A01DCA" w:rsidRDefault="00B7025A" w:rsidP="005920E7">
            <w:pPr>
              <w:spacing w:line="240" w:lineRule="auto"/>
              <w:ind w:firstLine="0"/>
              <w:jc w:val="center"/>
              <w:rPr>
                <w:sz w:val="20"/>
              </w:rPr>
            </w:pPr>
            <w:r w:rsidRPr="00A01DCA">
              <w:rPr>
                <w:sz w:val="20"/>
              </w:rPr>
              <w:t>+3,14%</w:t>
            </w:r>
          </w:p>
        </w:tc>
        <w:tc>
          <w:tcPr>
            <w:tcW w:w="893" w:type="dxa"/>
            <w:vAlign w:val="center"/>
          </w:tcPr>
          <w:p w14:paraId="67E232CA" w14:textId="6EA20495" w:rsidR="00D76B07" w:rsidRPr="00A01DCA" w:rsidRDefault="00B7025A" w:rsidP="005920E7">
            <w:pPr>
              <w:spacing w:line="240" w:lineRule="auto"/>
              <w:ind w:firstLine="0"/>
              <w:jc w:val="center"/>
              <w:rPr>
                <w:sz w:val="20"/>
              </w:rPr>
            </w:pPr>
            <w:r w:rsidRPr="00A01DCA">
              <w:rPr>
                <w:sz w:val="20"/>
              </w:rPr>
              <w:t>+3,54%</w:t>
            </w:r>
          </w:p>
        </w:tc>
        <w:tc>
          <w:tcPr>
            <w:tcW w:w="1176" w:type="dxa"/>
            <w:vAlign w:val="center"/>
          </w:tcPr>
          <w:p w14:paraId="6BC36D2F" w14:textId="77D2EF3B" w:rsidR="00D76B07" w:rsidRPr="00A01DCA" w:rsidRDefault="00B7025A" w:rsidP="005920E7">
            <w:pPr>
              <w:spacing w:line="240" w:lineRule="auto"/>
              <w:ind w:firstLine="0"/>
              <w:jc w:val="center"/>
              <w:rPr>
                <w:sz w:val="20"/>
              </w:rPr>
            </w:pPr>
            <w:r w:rsidRPr="00A01DCA">
              <w:rPr>
                <w:sz w:val="20"/>
              </w:rPr>
              <w:t>+3,96%</w:t>
            </w:r>
          </w:p>
        </w:tc>
      </w:tr>
      <w:tr w:rsidR="004C5F9B" w:rsidRPr="00A01DCA" w14:paraId="06149D21" w14:textId="77777777" w:rsidTr="004C5F9B">
        <w:trPr>
          <w:trHeight w:val="340"/>
          <w:jc w:val="center"/>
        </w:trPr>
        <w:tc>
          <w:tcPr>
            <w:tcW w:w="892" w:type="dxa"/>
            <w:vMerge/>
            <w:vAlign w:val="center"/>
          </w:tcPr>
          <w:p w14:paraId="0A985AE8" w14:textId="77777777" w:rsidR="00D76B07" w:rsidRPr="00A01DCA" w:rsidRDefault="00D76B07" w:rsidP="009A44D2">
            <w:pPr>
              <w:ind w:firstLine="0"/>
              <w:jc w:val="center"/>
              <w:rPr>
                <w:sz w:val="20"/>
              </w:rPr>
            </w:pPr>
          </w:p>
        </w:tc>
        <w:tc>
          <w:tcPr>
            <w:tcW w:w="893" w:type="dxa"/>
            <w:vMerge/>
            <w:vAlign w:val="center"/>
          </w:tcPr>
          <w:p w14:paraId="11E41AC6" w14:textId="77777777" w:rsidR="00D76B07" w:rsidRPr="00A01DCA" w:rsidRDefault="00D76B07" w:rsidP="009A44D2">
            <w:pPr>
              <w:ind w:firstLine="0"/>
              <w:jc w:val="center"/>
              <w:rPr>
                <w:sz w:val="20"/>
              </w:rPr>
            </w:pPr>
          </w:p>
        </w:tc>
        <w:tc>
          <w:tcPr>
            <w:tcW w:w="892" w:type="dxa"/>
            <w:vMerge/>
            <w:vAlign w:val="center"/>
          </w:tcPr>
          <w:p w14:paraId="76E3E303" w14:textId="77777777" w:rsidR="00D76B07" w:rsidRPr="00A01DCA" w:rsidRDefault="00D76B07" w:rsidP="009A44D2">
            <w:pPr>
              <w:ind w:firstLine="0"/>
              <w:jc w:val="center"/>
              <w:rPr>
                <w:sz w:val="20"/>
              </w:rPr>
            </w:pPr>
          </w:p>
        </w:tc>
        <w:tc>
          <w:tcPr>
            <w:tcW w:w="893" w:type="dxa"/>
            <w:vMerge/>
            <w:vAlign w:val="center"/>
          </w:tcPr>
          <w:p w14:paraId="1F88D610" w14:textId="77777777" w:rsidR="00D76B07" w:rsidRPr="00A01DCA" w:rsidRDefault="00D76B07" w:rsidP="009A44D2">
            <w:pPr>
              <w:ind w:firstLine="0"/>
              <w:jc w:val="center"/>
              <w:rPr>
                <w:sz w:val="20"/>
              </w:rPr>
            </w:pPr>
          </w:p>
        </w:tc>
        <w:tc>
          <w:tcPr>
            <w:tcW w:w="893" w:type="dxa"/>
            <w:vMerge/>
            <w:tcBorders>
              <w:right w:val="double" w:sz="4" w:space="0" w:color="auto"/>
            </w:tcBorders>
            <w:vAlign w:val="center"/>
          </w:tcPr>
          <w:p w14:paraId="5F88F3E9" w14:textId="77777777" w:rsidR="00D76B07" w:rsidRPr="00A01DCA" w:rsidRDefault="00D76B07" w:rsidP="009A44D2">
            <w:pPr>
              <w:ind w:firstLine="0"/>
              <w:jc w:val="center"/>
              <w:rPr>
                <w:sz w:val="20"/>
              </w:rPr>
            </w:pPr>
          </w:p>
        </w:tc>
        <w:tc>
          <w:tcPr>
            <w:tcW w:w="4746" w:type="dxa"/>
            <w:gridSpan w:val="5"/>
            <w:tcBorders>
              <w:left w:val="double" w:sz="4" w:space="0" w:color="auto"/>
            </w:tcBorders>
            <w:vAlign w:val="center"/>
          </w:tcPr>
          <w:p w14:paraId="740F3296" w14:textId="426443E7" w:rsidR="00D76B07" w:rsidRPr="00A01DCA" w:rsidRDefault="00D76B07" w:rsidP="005920E7">
            <w:pPr>
              <w:spacing w:line="240" w:lineRule="auto"/>
              <w:ind w:firstLine="0"/>
              <w:jc w:val="center"/>
              <w:rPr>
                <w:sz w:val="20"/>
              </w:rPr>
            </w:pPr>
            <w:r w:rsidRPr="00A01DCA">
              <w:rPr>
                <w:sz w:val="20"/>
              </w:rPr>
              <w:t>Kombinētā (ekspertu-statistiskā) prognoze</w:t>
            </w:r>
          </w:p>
        </w:tc>
      </w:tr>
      <w:tr w:rsidR="004C5F9B" w:rsidRPr="00A01DCA" w14:paraId="2FFBCB21" w14:textId="77777777" w:rsidTr="004C5F9B">
        <w:trPr>
          <w:trHeight w:val="454"/>
          <w:jc w:val="center"/>
        </w:trPr>
        <w:tc>
          <w:tcPr>
            <w:tcW w:w="892" w:type="dxa"/>
            <w:vMerge/>
            <w:vAlign w:val="center"/>
          </w:tcPr>
          <w:p w14:paraId="2D0967BE" w14:textId="77777777" w:rsidR="00D76B07" w:rsidRPr="00A01DCA" w:rsidRDefault="00D76B07" w:rsidP="009A44D2">
            <w:pPr>
              <w:ind w:firstLine="0"/>
              <w:jc w:val="center"/>
              <w:rPr>
                <w:sz w:val="20"/>
              </w:rPr>
            </w:pPr>
          </w:p>
        </w:tc>
        <w:tc>
          <w:tcPr>
            <w:tcW w:w="893" w:type="dxa"/>
            <w:vMerge/>
            <w:vAlign w:val="center"/>
          </w:tcPr>
          <w:p w14:paraId="5CDDA9EE" w14:textId="77777777" w:rsidR="00D76B07" w:rsidRPr="00A01DCA" w:rsidRDefault="00D76B07" w:rsidP="009A44D2">
            <w:pPr>
              <w:ind w:firstLine="0"/>
              <w:jc w:val="center"/>
              <w:rPr>
                <w:sz w:val="20"/>
              </w:rPr>
            </w:pPr>
          </w:p>
        </w:tc>
        <w:tc>
          <w:tcPr>
            <w:tcW w:w="892" w:type="dxa"/>
            <w:vMerge/>
            <w:vAlign w:val="center"/>
          </w:tcPr>
          <w:p w14:paraId="3ECCFB5C" w14:textId="77777777" w:rsidR="00D76B07" w:rsidRPr="00A01DCA" w:rsidRDefault="00D76B07" w:rsidP="009A44D2">
            <w:pPr>
              <w:ind w:firstLine="0"/>
              <w:jc w:val="center"/>
              <w:rPr>
                <w:sz w:val="20"/>
              </w:rPr>
            </w:pPr>
          </w:p>
        </w:tc>
        <w:tc>
          <w:tcPr>
            <w:tcW w:w="893" w:type="dxa"/>
            <w:vMerge/>
            <w:vAlign w:val="center"/>
          </w:tcPr>
          <w:p w14:paraId="58D3C17A" w14:textId="77777777" w:rsidR="00D76B07" w:rsidRPr="00A01DCA" w:rsidRDefault="00D76B07" w:rsidP="009A44D2">
            <w:pPr>
              <w:ind w:firstLine="0"/>
              <w:jc w:val="center"/>
              <w:rPr>
                <w:sz w:val="20"/>
              </w:rPr>
            </w:pPr>
          </w:p>
        </w:tc>
        <w:tc>
          <w:tcPr>
            <w:tcW w:w="893" w:type="dxa"/>
            <w:vMerge/>
            <w:tcBorders>
              <w:right w:val="double" w:sz="4" w:space="0" w:color="auto"/>
            </w:tcBorders>
            <w:vAlign w:val="center"/>
          </w:tcPr>
          <w:p w14:paraId="4EB242FB" w14:textId="77777777" w:rsidR="00D76B07" w:rsidRPr="00A01DCA" w:rsidRDefault="00D76B07" w:rsidP="009A44D2">
            <w:pPr>
              <w:ind w:firstLine="0"/>
              <w:jc w:val="center"/>
              <w:rPr>
                <w:sz w:val="20"/>
              </w:rPr>
            </w:pPr>
          </w:p>
        </w:tc>
        <w:tc>
          <w:tcPr>
            <w:tcW w:w="892" w:type="dxa"/>
            <w:tcBorders>
              <w:left w:val="double" w:sz="4" w:space="0" w:color="auto"/>
            </w:tcBorders>
            <w:vAlign w:val="center"/>
          </w:tcPr>
          <w:p w14:paraId="27C072F9" w14:textId="47A5D233" w:rsidR="00D76B07" w:rsidRPr="00A01DCA" w:rsidRDefault="00B7025A" w:rsidP="005920E7">
            <w:pPr>
              <w:spacing w:line="240" w:lineRule="auto"/>
              <w:ind w:firstLine="0"/>
              <w:jc w:val="center"/>
              <w:rPr>
                <w:sz w:val="20"/>
              </w:rPr>
            </w:pPr>
            <w:r w:rsidRPr="00A01DCA">
              <w:rPr>
                <w:sz w:val="20"/>
              </w:rPr>
              <w:t>+2,09%</w:t>
            </w:r>
          </w:p>
        </w:tc>
        <w:tc>
          <w:tcPr>
            <w:tcW w:w="893" w:type="dxa"/>
            <w:vAlign w:val="center"/>
          </w:tcPr>
          <w:p w14:paraId="1D07817E" w14:textId="41DD07C5" w:rsidR="00D76B07" w:rsidRPr="00A01DCA" w:rsidRDefault="00B7025A" w:rsidP="005920E7">
            <w:pPr>
              <w:spacing w:line="240" w:lineRule="auto"/>
              <w:ind w:firstLine="0"/>
              <w:jc w:val="center"/>
              <w:rPr>
                <w:sz w:val="20"/>
              </w:rPr>
            </w:pPr>
            <w:r w:rsidRPr="00A01DCA">
              <w:rPr>
                <w:sz w:val="20"/>
              </w:rPr>
              <w:t>+2,87%</w:t>
            </w:r>
          </w:p>
        </w:tc>
        <w:tc>
          <w:tcPr>
            <w:tcW w:w="892" w:type="dxa"/>
            <w:vAlign w:val="center"/>
          </w:tcPr>
          <w:p w14:paraId="43FF79BE" w14:textId="68BF2E3E" w:rsidR="00D76B07" w:rsidRPr="00A01DCA" w:rsidRDefault="00B7025A" w:rsidP="005920E7">
            <w:pPr>
              <w:spacing w:line="240" w:lineRule="auto"/>
              <w:ind w:firstLine="0"/>
              <w:jc w:val="center"/>
              <w:rPr>
                <w:sz w:val="20"/>
              </w:rPr>
            </w:pPr>
            <w:r w:rsidRPr="00A01DCA">
              <w:rPr>
                <w:sz w:val="20"/>
              </w:rPr>
              <w:t>+3,22%</w:t>
            </w:r>
          </w:p>
        </w:tc>
        <w:tc>
          <w:tcPr>
            <w:tcW w:w="893" w:type="dxa"/>
            <w:vAlign w:val="center"/>
          </w:tcPr>
          <w:p w14:paraId="3AEE45FD" w14:textId="4D6E51B6" w:rsidR="00D76B07" w:rsidRPr="00A01DCA" w:rsidRDefault="00B7025A" w:rsidP="005920E7">
            <w:pPr>
              <w:spacing w:line="240" w:lineRule="auto"/>
              <w:ind w:firstLine="0"/>
              <w:jc w:val="center"/>
              <w:rPr>
                <w:sz w:val="20"/>
              </w:rPr>
            </w:pPr>
            <w:r w:rsidRPr="00A01DCA">
              <w:rPr>
                <w:sz w:val="20"/>
              </w:rPr>
              <w:t>+3,55%</w:t>
            </w:r>
          </w:p>
        </w:tc>
        <w:tc>
          <w:tcPr>
            <w:tcW w:w="1176" w:type="dxa"/>
            <w:vAlign w:val="center"/>
          </w:tcPr>
          <w:p w14:paraId="61FFDE30" w14:textId="01881D27" w:rsidR="00D76B07" w:rsidRPr="00A01DCA" w:rsidRDefault="00B7025A" w:rsidP="005920E7">
            <w:pPr>
              <w:spacing w:line="240" w:lineRule="auto"/>
              <w:ind w:firstLine="0"/>
              <w:jc w:val="center"/>
              <w:rPr>
                <w:sz w:val="20"/>
              </w:rPr>
            </w:pPr>
            <w:r w:rsidRPr="00A01DCA">
              <w:rPr>
                <w:sz w:val="20"/>
              </w:rPr>
              <w:t>+3,88%</w:t>
            </w:r>
          </w:p>
        </w:tc>
      </w:tr>
      <w:tr w:rsidR="004C5F9B" w:rsidRPr="00A01DCA" w14:paraId="374952C9" w14:textId="77777777" w:rsidTr="004C5F9B">
        <w:trPr>
          <w:trHeight w:val="340"/>
          <w:jc w:val="center"/>
        </w:trPr>
        <w:tc>
          <w:tcPr>
            <w:tcW w:w="9209" w:type="dxa"/>
            <w:gridSpan w:val="10"/>
            <w:vAlign w:val="center"/>
          </w:tcPr>
          <w:p w14:paraId="21C5AB4C" w14:textId="0F35C2A5" w:rsidR="00FB49EF" w:rsidRPr="00A01DCA" w:rsidRDefault="00FB49EF" w:rsidP="005920E7">
            <w:pPr>
              <w:spacing w:line="240" w:lineRule="auto"/>
              <w:ind w:firstLine="0"/>
              <w:jc w:val="left"/>
              <w:rPr>
                <w:b/>
                <w:bCs/>
                <w:sz w:val="20"/>
              </w:rPr>
            </w:pPr>
            <w:bookmarkStart w:id="26" w:name="_Hlk52987092"/>
            <w:r w:rsidRPr="00A01DCA">
              <w:rPr>
                <w:b/>
                <w:bCs/>
                <w:sz w:val="20"/>
              </w:rPr>
              <w:t>Strādnieku darba samaksas izmaksu izmaiņas</w:t>
            </w:r>
            <w:bookmarkEnd w:id="26"/>
          </w:p>
        </w:tc>
      </w:tr>
      <w:tr w:rsidR="004C5F9B" w:rsidRPr="00A01DCA" w14:paraId="7A9362D6" w14:textId="77777777" w:rsidTr="004C5F9B">
        <w:trPr>
          <w:trHeight w:val="340"/>
          <w:jc w:val="center"/>
        </w:trPr>
        <w:tc>
          <w:tcPr>
            <w:tcW w:w="892" w:type="dxa"/>
            <w:vMerge w:val="restart"/>
            <w:vAlign w:val="center"/>
          </w:tcPr>
          <w:p w14:paraId="5E4C60FA" w14:textId="2709A8D4" w:rsidR="00B7025A" w:rsidRPr="00A01DCA" w:rsidRDefault="00B7025A" w:rsidP="005920E7">
            <w:pPr>
              <w:ind w:firstLine="0"/>
              <w:jc w:val="center"/>
              <w:rPr>
                <w:sz w:val="20"/>
              </w:rPr>
            </w:pPr>
            <w:r w:rsidRPr="00A01DCA">
              <w:rPr>
                <w:sz w:val="20"/>
              </w:rPr>
              <w:t>+6,7%</w:t>
            </w:r>
          </w:p>
        </w:tc>
        <w:tc>
          <w:tcPr>
            <w:tcW w:w="893" w:type="dxa"/>
            <w:vMerge w:val="restart"/>
            <w:vAlign w:val="center"/>
          </w:tcPr>
          <w:p w14:paraId="33312F50" w14:textId="1731E299" w:rsidR="00B7025A" w:rsidRPr="00A01DCA" w:rsidRDefault="00B7025A" w:rsidP="005920E7">
            <w:pPr>
              <w:ind w:firstLine="0"/>
              <w:jc w:val="center"/>
              <w:rPr>
                <w:sz w:val="20"/>
              </w:rPr>
            </w:pPr>
            <w:r w:rsidRPr="00A01DCA">
              <w:rPr>
                <w:sz w:val="20"/>
              </w:rPr>
              <w:t>+4,8%</w:t>
            </w:r>
          </w:p>
        </w:tc>
        <w:tc>
          <w:tcPr>
            <w:tcW w:w="892" w:type="dxa"/>
            <w:vMerge w:val="restart"/>
            <w:vAlign w:val="center"/>
          </w:tcPr>
          <w:p w14:paraId="00F0D766" w14:textId="0A1E27E4" w:rsidR="00B7025A" w:rsidRPr="00A01DCA" w:rsidRDefault="00B7025A" w:rsidP="005920E7">
            <w:pPr>
              <w:ind w:firstLine="0"/>
              <w:jc w:val="center"/>
              <w:rPr>
                <w:sz w:val="20"/>
              </w:rPr>
            </w:pPr>
            <w:r w:rsidRPr="00A01DCA">
              <w:rPr>
                <w:sz w:val="20"/>
              </w:rPr>
              <w:t>+4,5%</w:t>
            </w:r>
          </w:p>
        </w:tc>
        <w:tc>
          <w:tcPr>
            <w:tcW w:w="893" w:type="dxa"/>
            <w:vMerge w:val="restart"/>
            <w:vAlign w:val="center"/>
          </w:tcPr>
          <w:p w14:paraId="32841489" w14:textId="2C5F4577" w:rsidR="00B7025A" w:rsidRPr="00A01DCA" w:rsidRDefault="00B7025A" w:rsidP="005920E7">
            <w:pPr>
              <w:ind w:firstLine="0"/>
              <w:jc w:val="center"/>
              <w:rPr>
                <w:sz w:val="20"/>
              </w:rPr>
            </w:pPr>
            <w:r w:rsidRPr="00A01DCA">
              <w:rPr>
                <w:sz w:val="20"/>
              </w:rPr>
              <w:t>+8,3%</w:t>
            </w:r>
          </w:p>
        </w:tc>
        <w:tc>
          <w:tcPr>
            <w:tcW w:w="893" w:type="dxa"/>
            <w:vMerge w:val="restart"/>
            <w:tcBorders>
              <w:right w:val="double" w:sz="4" w:space="0" w:color="auto"/>
            </w:tcBorders>
            <w:vAlign w:val="center"/>
          </w:tcPr>
          <w:p w14:paraId="10149341" w14:textId="2D4F8744" w:rsidR="00B7025A" w:rsidRPr="00A01DCA" w:rsidRDefault="00B7025A" w:rsidP="005920E7">
            <w:pPr>
              <w:ind w:firstLine="0"/>
              <w:jc w:val="center"/>
              <w:rPr>
                <w:sz w:val="20"/>
              </w:rPr>
            </w:pPr>
            <w:r w:rsidRPr="00A01DCA">
              <w:rPr>
                <w:sz w:val="20"/>
              </w:rPr>
              <w:t>+7,6%</w:t>
            </w:r>
          </w:p>
        </w:tc>
        <w:tc>
          <w:tcPr>
            <w:tcW w:w="4746" w:type="dxa"/>
            <w:gridSpan w:val="5"/>
            <w:tcBorders>
              <w:left w:val="double" w:sz="4" w:space="0" w:color="auto"/>
            </w:tcBorders>
            <w:vAlign w:val="center"/>
          </w:tcPr>
          <w:p w14:paraId="47D968B9" w14:textId="067001F1" w:rsidR="00B7025A" w:rsidRPr="00A01DCA" w:rsidRDefault="00B7025A" w:rsidP="005920E7">
            <w:pPr>
              <w:spacing w:line="240" w:lineRule="auto"/>
              <w:ind w:firstLine="0"/>
              <w:jc w:val="center"/>
              <w:rPr>
                <w:sz w:val="20"/>
              </w:rPr>
            </w:pPr>
            <w:r w:rsidRPr="00A01DCA">
              <w:rPr>
                <w:sz w:val="20"/>
              </w:rPr>
              <w:t>Vidējā ekspertu prognoze</w:t>
            </w:r>
          </w:p>
        </w:tc>
      </w:tr>
      <w:tr w:rsidR="004C5F9B" w:rsidRPr="00A01DCA" w14:paraId="201BD5E5" w14:textId="77777777" w:rsidTr="004C5F9B">
        <w:trPr>
          <w:trHeight w:val="454"/>
          <w:jc w:val="center"/>
        </w:trPr>
        <w:tc>
          <w:tcPr>
            <w:tcW w:w="892" w:type="dxa"/>
            <w:vMerge/>
            <w:vAlign w:val="center"/>
          </w:tcPr>
          <w:p w14:paraId="12F9AA23" w14:textId="2A636F05" w:rsidR="00B7025A" w:rsidRPr="00A01DCA" w:rsidRDefault="00B7025A" w:rsidP="009A44D2">
            <w:pPr>
              <w:ind w:firstLine="0"/>
              <w:jc w:val="center"/>
              <w:rPr>
                <w:sz w:val="20"/>
              </w:rPr>
            </w:pPr>
          </w:p>
        </w:tc>
        <w:tc>
          <w:tcPr>
            <w:tcW w:w="893" w:type="dxa"/>
            <w:vMerge/>
            <w:vAlign w:val="center"/>
          </w:tcPr>
          <w:p w14:paraId="0F00AE46" w14:textId="77A3901C" w:rsidR="00B7025A" w:rsidRPr="00A01DCA" w:rsidRDefault="00B7025A" w:rsidP="009A44D2">
            <w:pPr>
              <w:ind w:firstLine="0"/>
              <w:jc w:val="center"/>
              <w:rPr>
                <w:sz w:val="20"/>
              </w:rPr>
            </w:pPr>
          </w:p>
        </w:tc>
        <w:tc>
          <w:tcPr>
            <w:tcW w:w="892" w:type="dxa"/>
            <w:vMerge/>
            <w:vAlign w:val="center"/>
          </w:tcPr>
          <w:p w14:paraId="282A77B1" w14:textId="007F4ECC" w:rsidR="00B7025A" w:rsidRPr="00A01DCA" w:rsidRDefault="00B7025A" w:rsidP="009A44D2">
            <w:pPr>
              <w:ind w:firstLine="0"/>
              <w:jc w:val="center"/>
              <w:rPr>
                <w:sz w:val="20"/>
              </w:rPr>
            </w:pPr>
          </w:p>
        </w:tc>
        <w:tc>
          <w:tcPr>
            <w:tcW w:w="893" w:type="dxa"/>
            <w:vMerge/>
            <w:vAlign w:val="center"/>
          </w:tcPr>
          <w:p w14:paraId="003E86FD" w14:textId="7321426A" w:rsidR="00B7025A" w:rsidRPr="00A01DCA" w:rsidRDefault="00B7025A" w:rsidP="009A44D2">
            <w:pPr>
              <w:ind w:firstLine="0"/>
              <w:jc w:val="center"/>
              <w:rPr>
                <w:sz w:val="20"/>
              </w:rPr>
            </w:pPr>
          </w:p>
        </w:tc>
        <w:tc>
          <w:tcPr>
            <w:tcW w:w="893" w:type="dxa"/>
            <w:vMerge/>
            <w:tcBorders>
              <w:right w:val="double" w:sz="4" w:space="0" w:color="auto"/>
            </w:tcBorders>
            <w:vAlign w:val="center"/>
          </w:tcPr>
          <w:p w14:paraId="79CD4889" w14:textId="0790C06B" w:rsidR="00B7025A" w:rsidRPr="00A01DCA" w:rsidRDefault="00B7025A" w:rsidP="009A44D2">
            <w:pPr>
              <w:ind w:firstLine="0"/>
              <w:jc w:val="center"/>
              <w:rPr>
                <w:sz w:val="20"/>
              </w:rPr>
            </w:pPr>
          </w:p>
        </w:tc>
        <w:tc>
          <w:tcPr>
            <w:tcW w:w="892" w:type="dxa"/>
            <w:tcBorders>
              <w:left w:val="double" w:sz="4" w:space="0" w:color="auto"/>
            </w:tcBorders>
            <w:vAlign w:val="center"/>
          </w:tcPr>
          <w:p w14:paraId="5364AB8D" w14:textId="3E8914E2" w:rsidR="00B7025A" w:rsidRPr="00A01DCA" w:rsidRDefault="00B7025A" w:rsidP="005920E7">
            <w:pPr>
              <w:spacing w:line="240" w:lineRule="auto"/>
              <w:ind w:firstLine="0"/>
              <w:jc w:val="center"/>
              <w:rPr>
                <w:sz w:val="20"/>
              </w:rPr>
            </w:pPr>
            <w:r w:rsidRPr="00A01DCA">
              <w:rPr>
                <w:sz w:val="20"/>
              </w:rPr>
              <w:t>+5,16%</w:t>
            </w:r>
          </w:p>
        </w:tc>
        <w:tc>
          <w:tcPr>
            <w:tcW w:w="893" w:type="dxa"/>
            <w:vAlign w:val="center"/>
          </w:tcPr>
          <w:p w14:paraId="58162B25" w14:textId="2BE56BFC" w:rsidR="00B7025A" w:rsidRPr="00A01DCA" w:rsidRDefault="00B7025A" w:rsidP="005920E7">
            <w:pPr>
              <w:spacing w:line="240" w:lineRule="auto"/>
              <w:ind w:firstLine="0"/>
              <w:jc w:val="center"/>
              <w:rPr>
                <w:sz w:val="20"/>
              </w:rPr>
            </w:pPr>
            <w:r w:rsidRPr="00A01DCA">
              <w:rPr>
                <w:sz w:val="20"/>
              </w:rPr>
              <w:t>+5,45%</w:t>
            </w:r>
          </w:p>
        </w:tc>
        <w:tc>
          <w:tcPr>
            <w:tcW w:w="892" w:type="dxa"/>
            <w:vAlign w:val="center"/>
          </w:tcPr>
          <w:p w14:paraId="65820BFF" w14:textId="6E59228B" w:rsidR="00B7025A" w:rsidRPr="00A01DCA" w:rsidRDefault="00B7025A" w:rsidP="005920E7">
            <w:pPr>
              <w:spacing w:line="240" w:lineRule="auto"/>
              <w:ind w:firstLine="0"/>
              <w:jc w:val="center"/>
              <w:rPr>
                <w:sz w:val="20"/>
              </w:rPr>
            </w:pPr>
            <w:r w:rsidRPr="00A01DCA">
              <w:rPr>
                <w:sz w:val="20"/>
              </w:rPr>
              <w:t>+4,97%</w:t>
            </w:r>
          </w:p>
        </w:tc>
        <w:tc>
          <w:tcPr>
            <w:tcW w:w="893" w:type="dxa"/>
            <w:vAlign w:val="center"/>
          </w:tcPr>
          <w:p w14:paraId="49132282" w14:textId="78B4B1A4" w:rsidR="00B7025A" w:rsidRPr="00A01DCA" w:rsidRDefault="00B7025A" w:rsidP="005920E7">
            <w:pPr>
              <w:spacing w:line="240" w:lineRule="auto"/>
              <w:ind w:firstLine="0"/>
              <w:jc w:val="center"/>
              <w:rPr>
                <w:sz w:val="20"/>
              </w:rPr>
            </w:pPr>
            <w:r w:rsidRPr="00A01DCA">
              <w:rPr>
                <w:sz w:val="20"/>
              </w:rPr>
              <w:t>+5,30%</w:t>
            </w:r>
          </w:p>
        </w:tc>
        <w:tc>
          <w:tcPr>
            <w:tcW w:w="1176" w:type="dxa"/>
            <w:vAlign w:val="center"/>
          </w:tcPr>
          <w:p w14:paraId="7E1FAC24" w14:textId="42A9EB4F" w:rsidR="00B7025A" w:rsidRPr="00A01DCA" w:rsidRDefault="00B7025A" w:rsidP="005920E7">
            <w:pPr>
              <w:spacing w:line="240" w:lineRule="auto"/>
              <w:ind w:firstLine="0"/>
              <w:jc w:val="center"/>
              <w:rPr>
                <w:sz w:val="20"/>
              </w:rPr>
            </w:pPr>
            <w:r w:rsidRPr="00A01DCA">
              <w:rPr>
                <w:sz w:val="20"/>
              </w:rPr>
              <w:t>+5,59%</w:t>
            </w:r>
          </w:p>
        </w:tc>
      </w:tr>
      <w:tr w:rsidR="004C5F9B" w:rsidRPr="00A01DCA" w14:paraId="28DB8959" w14:textId="77777777" w:rsidTr="004C5F9B">
        <w:trPr>
          <w:trHeight w:val="340"/>
          <w:jc w:val="center"/>
        </w:trPr>
        <w:tc>
          <w:tcPr>
            <w:tcW w:w="892" w:type="dxa"/>
            <w:vMerge/>
            <w:vAlign w:val="center"/>
          </w:tcPr>
          <w:p w14:paraId="19F8D02A" w14:textId="77777777" w:rsidR="00B7025A" w:rsidRPr="00A01DCA" w:rsidRDefault="00B7025A" w:rsidP="009A44D2">
            <w:pPr>
              <w:ind w:firstLine="0"/>
              <w:jc w:val="center"/>
              <w:rPr>
                <w:sz w:val="20"/>
              </w:rPr>
            </w:pPr>
          </w:p>
        </w:tc>
        <w:tc>
          <w:tcPr>
            <w:tcW w:w="893" w:type="dxa"/>
            <w:vMerge/>
            <w:vAlign w:val="center"/>
          </w:tcPr>
          <w:p w14:paraId="7956A5BC" w14:textId="77777777" w:rsidR="00B7025A" w:rsidRPr="00A01DCA" w:rsidRDefault="00B7025A" w:rsidP="009A44D2">
            <w:pPr>
              <w:ind w:firstLine="0"/>
              <w:jc w:val="center"/>
              <w:rPr>
                <w:sz w:val="20"/>
              </w:rPr>
            </w:pPr>
          </w:p>
        </w:tc>
        <w:tc>
          <w:tcPr>
            <w:tcW w:w="892" w:type="dxa"/>
            <w:vMerge/>
            <w:vAlign w:val="center"/>
          </w:tcPr>
          <w:p w14:paraId="0C210C45" w14:textId="77777777" w:rsidR="00B7025A" w:rsidRPr="00A01DCA" w:rsidRDefault="00B7025A" w:rsidP="009A44D2">
            <w:pPr>
              <w:ind w:firstLine="0"/>
              <w:jc w:val="center"/>
              <w:rPr>
                <w:sz w:val="20"/>
              </w:rPr>
            </w:pPr>
          </w:p>
        </w:tc>
        <w:tc>
          <w:tcPr>
            <w:tcW w:w="893" w:type="dxa"/>
            <w:vMerge/>
            <w:vAlign w:val="center"/>
          </w:tcPr>
          <w:p w14:paraId="6AE066FD" w14:textId="77777777" w:rsidR="00B7025A" w:rsidRPr="00A01DCA" w:rsidRDefault="00B7025A" w:rsidP="009A44D2">
            <w:pPr>
              <w:ind w:firstLine="0"/>
              <w:jc w:val="center"/>
              <w:rPr>
                <w:sz w:val="20"/>
              </w:rPr>
            </w:pPr>
          </w:p>
        </w:tc>
        <w:tc>
          <w:tcPr>
            <w:tcW w:w="893" w:type="dxa"/>
            <w:vMerge/>
            <w:tcBorders>
              <w:right w:val="double" w:sz="4" w:space="0" w:color="auto"/>
            </w:tcBorders>
            <w:vAlign w:val="center"/>
          </w:tcPr>
          <w:p w14:paraId="3DDBF364" w14:textId="77777777" w:rsidR="00B7025A" w:rsidRPr="00A01DCA" w:rsidRDefault="00B7025A" w:rsidP="009A44D2">
            <w:pPr>
              <w:ind w:firstLine="0"/>
              <w:jc w:val="center"/>
              <w:rPr>
                <w:sz w:val="20"/>
              </w:rPr>
            </w:pPr>
          </w:p>
        </w:tc>
        <w:tc>
          <w:tcPr>
            <w:tcW w:w="4746" w:type="dxa"/>
            <w:gridSpan w:val="5"/>
            <w:tcBorders>
              <w:left w:val="double" w:sz="4" w:space="0" w:color="auto"/>
            </w:tcBorders>
            <w:vAlign w:val="center"/>
          </w:tcPr>
          <w:p w14:paraId="5BC17CBF" w14:textId="63706F5A" w:rsidR="00B7025A" w:rsidRPr="00A01DCA" w:rsidRDefault="00B7025A" w:rsidP="005920E7">
            <w:pPr>
              <w:spacing w:line="240" w:lineRule="auto"/>
              <w:ind w:firstLine="0"/>
              <w:jc w:val="center"/>
              <w:rPr>
                <w:sz w:val="20"/>
              </w:rPr>
            </w:pPr>
            <w:r w:rsidRPr="00A01DCA">
              <w:rPr>
                <w:sz w:val="20"/>
              </w:rPr>
              <w:t>Kombinētā (ekspertu-statistiskā) prognoze</w:t>
            </w:r>
          </w:p>
        </w:tc>
      </w:tr>
      <w:tr w:rsidR="004C5F9B" w:rsidRPr="00A01DCA" w14:paraId="64F5EDF9" w14:textId="77777777" w:rsidTr="004C5F9B">
        <w:trPr>
          <w:trHeight w:val="454"/>
          <w:jc w:val="center"/>
        </w:trPr>
        <w:tc>
          <w:tcPr>
            <w:tcW w:w="892" w:type="dxa"/>
            <w:vMerge/>
            <w:vAlign w:val="center"/>
          </w:tcPr>
          <w:p w14:paraId="625FA7FB" w14:textId="77777777" w:rsidR="00B7025A" w:rsidRPr="00A01DCA" w:rsidRDefault="00B7025A" w:rsidP="009A44D2">
            <w:pPr>
              <w:ind w:firstLine="0"/>
              <w:jc w:val="center"/>
              <w:rPr>
                <w:sz w:val="20"/>
              </w:rPr>
            </w:pPr>
            <w:bookmarkStart w:id="27" w:name="_Hlk52987108"/>
          </w:p>
        </w:tc>
        <w:tc>
          <w:tcPr>
            <w:tcW w:w="893" w:type="dxa"/>
            <w:vMerge/>
            <w:vAlign w:val="center"/>
          </w:tcPr>
          <w:p w14:paraId="0ABC20E7" w14:textId="77777777" w:rsidR="00B7025A" w:rsidRPr="00A01DCA" w:rsidRDefault="00B7025A" w:rsidP="009A44D2">
            <w:pPr>
              <w:ind w:firstLine="0"/>
              <w:jc w:val="center"/>
              <w:rPr>
                <w:sz w:val="20"/>
              </w:rPr>
            </w:pPr>
          </w:p>
        </w:tc>
        <w:tc>
          <w:tcPr>
            <w:tcW w:w="892" w:type="dxa"/>
            <w:vMerge/>
            <w:vAlign w:val="center"/>
          </w:tcPr>
          <w:p w14:paraId="6E46FF41" w14:textId="77777777" w:rsidR="00B7025A" w:rsidRPr="00A01DCA" w:rsidRDefault="00B7025A" w:rsidP="009A44D2">
            <w:pPr>
              <w:ind w:firstLine="0"/>
              <w:jc w:val="center"/>
              <w:rPr>
                <w:sz w:val="20"/>
              </w:rPr>
            </w:pPr>
          </w:p>
        </w:tc>
        <w:tc>
          <w:tcPr>
            <w:tcW w:w="893" w:type="dxa"/>
            <w:vMerge/>
            <w:vAlign w:val="center"/>
          </w:tcPr>
          <w:p w14:paraId="34BB4970" w14:textId="77777777" w:rsidR="00B7025A" w:rsidRPr="00A01DCA" w:rsidRDefault="00B7025A" w:rsidP="009A44D2">
            <w:pPr>
              <w:ind w:firstLine="0"/>
              <w:jc w:val="center"/>
              <w:rPr>
                <w:sz w:val="20"/>
              </w:rPr>
            </w:pPr>
          </w:p>
        </w:tc>
        <w:tc>
          <w:tcPr>
            <w:tcW w:w="893" w:type="dxa"/>
            <w:vMerge/>
            <w:tcBorders>
              <w:right w:val="double" w:sz="4" w:space="0" w:color="auto"/>
            </w:tcBorders>
            <w:vAlign w:val="center"/>
          </w:tcPr>
          <w:p w14:paraId="0FFD2C07" w14:textId="77777777" w:rsidR="00B7025A" w:rsidRPr="00A01DCA" w:rsidRDefault="00B7025A" w:rsidP="009A44D2">
            <w:pPr>
              <w:ind w:firstLine="0"/>
              <w:jc w:val="center"/>
              <w:rPr>
                <w:sz w:val="20"/>
              </w:rPr>
            </w:pPr>
          </w:p>
        </w:tc>
        <w:tc>
          <w:tcPr>
            <w:tcW w:w="892" w:type="dxa"/>
            <w:tcBorders>
              <w:left w:val="double" w:sz="4" w:space="0" w:color="auto"/>
            </w:tcBorders>
            <w:vAlign w:val="center"/>
          </w:tcPr>
          <w:p w14:paraId="7E8EAFF4" w14:textId="4AAC9DBE" w:rsidR="00B7025A" w:rsidRPr="00A01DCA" w:rsidRDefault="00B7025A" w:rsidP="005920E7">
            <w:pPr>
              <w:spacing w:line="240" w:lineRule="auto"/>
              <w:ind w:firstLine="0"/>
              <w:jc w:val="center"/>
              <w:rPr>
                <w:sz w:val="20"/>
              </w:rPr>
            </w:pPr>
            <w:r w:rsidRPr="00A01DCA">
              <w:rPr>
                <w:sz w:val="20"/>
              </w:rPr>
              <w:t>+8,37%</w:t>
            </w:r>
          </w:p>
        </w:tc>
        <w:tc>
          <w:tcPr>
            <w:tcW w:w="893" w:type="dxa"/>
            <w:vAlign w:val="center"/>
          </w:tcPr>
          <w:p w14:paraId="4301124F" w14:textId="273055E2" w:rsidR="00B7025A" w:rsidRPr="00A01DCA" w:rsidRDefault="00B7025A" w:rsidP="005920E7">
            <w:pPr>
              <w:spacing w:line="240" w:lineRule="auto"/>
              <w:ind w:firstLine="0"/>
              <w:jc w:val="center"/>
              <w:rPr>
                <w:sz w:val="20"/>
              </w:rPr>
            </w:pPr>
            <w:r w:rsidRPr="00A01DCA">
              <w:rPr>
                <w:sz w:val="20"/>
              </w:rPr>
              <w:t>+8,94%</w:t>
            </w:r>
          </w:p>
        </w:tc>
        <w:tc>
          <w:tcPr>
            <w:tcW w:w="892" w:type="dxa"/>
            <w:vAlign w:val="center"/>
          </w:tcPr>
          <w:p w14:paraId="1B28457B" w14:textId="6AF08580" w:rsidR="00B7025A" w:rsidRPr="00A01DCA" w:rsidRDefault="00B7025A" w:rsidP="005920E7">
            <w:pPr>
              <w:spacing w:line="240" w:lineRule="auto"/>
              <w:ind w:firstLine="0"/>
              <w:jc w:val="center"/>
              <w:rPr>
                <w:sz w:val="20"/>
              </w:rPr>
            </w:pPr>
            <w:r w:rsidRPr="00A01DCA">
              <w:rPr>
                <w:sz w:val="20"/>
              </w:rPr>
              <w:t>+9,08%</w:t>
            </w:r>
          </w:p>
        </w:tc>
        <w:tc>
          <w:tcPr>
            <w:tcW w:w="893" w:type="dxa"/>
            <w:vAlign w:val="center"/>
          </w:tcPr>
          <w:p w14:paraId="72FE3EEC" w14:textId="36D141A3" w:rsidR="00B7025A" w:rsidRPr="00A01DCA" w:rsidRDefault="00B7025A" w:rsidP="005920E7">
            <w:pPr>
              <w:spacing w:line="240" w:lineRule="auto"/>
              <w:ind w:firstLine="0"/>
              <w:jc w:val="center"/>
              <w:rPr>
                <w:sz w:val="20"/>
              </w:rPr>
            </w:pPr>
            <w:r w:rsidRPr="00A01DCA">
              <w:rPr>
                <w:sz w:val="20"/>
              </w:rPr>
              <w:t>+9,60%</w:t>
            </w:r>
          </w:p>
        </w:tc>
        <w:tc>
          <w:tcPr>
            <w:tcW w:w="1176" w:type="dxa"/>
            <w:vAlign w:val="center"/>
          </w:tcPr>
          <w:p w14:paraId="1EC0C944" w14:textId="586DCCB6" w:rsidR="00B7025A" w:rsidRPr="00A01DCA" w:rsidRDefault="00B7025A" w:rsidP="005920E7">
            <w:pPr>
              <w:spacing w:line="240" w:lineRule="auto"/>
              <w:ind w:firstLine="0"/>
              <w:jc w:val="center"/>
              <w:rPr>
                <w:sz w:val="20"/>
              </w:rPr>
            </w:pPr>
            <w:r w:rsidRPr="00A01DCA">
              <w:rPr>
                <w:sz w:val="20"/>
              </w:rPr>
              <w:t>+10,08%</w:t>
            </w:r>
          </w:p>
        </w:tc>
      </w:tr>
      <w:bookmarkEnd w:id="27"/>
      <w:tr w:rsidR="004C5F9B" w:rsidRPr="00A01DCA" w14:paraId="23F696E6" w14:textId="77777777" w:rsidTr="004C5F9B">
        <w:trPr>
          <w:trHeight w:val="340"/>
          <w:jc w:val="center"/>
        </w:trPr>
        <w:tc>
          <w:tcPr>
            <w:tcW w:w="9209" w:type="dxa"/>
            <w:gridSpan w:val="10"/>
            <w:vAlign w:val="center"/>
          </w:tcPr>
          <w:p w14:paraId="66E96C8F" w14:textId="77777777" w:rsidR="00FB49EF" w:rsidRPr="00A01DCA" w:rsidRDefault="00FB49EF" w:rsidP="00150E77">
            <w:pPr>
              <w:spacing w:line="240" w:lineRule="auto"/>
              <w:ind w:firstLine="0"/>
              <w:jc w:val="left"/>
              <w:rPr>
                <w:b/>
                <w:bCs/>
                <w:sz w:val="20"/>
              </w:rPr>
            </w:pPr>
            <w:r w:rsidRPr="00A01DCA">
              <w:rPr>
                <w:b/>
                <w:bCs/>
                <w:sz w:val="20"/>
              </w:rPr>
              <w:t>Mašīnu un mehānismu uzturēšanas un ekspluatācijas izmaksu izmaiņas</w:t>
            </w:r>
          </w:p>
        </w:tc>
      </w:tr>
      <w:tr w:rsidR="004C5F9B" w:rsidRPr="00A01DCA" w14:paraId="0605D2D2" w14:textId="77777777" w:rsidTr="004C5F9B">
        <w:trPr>
          <w:trHeight w:val="340"/>
          <w:jc w:val="center"/>
        </w:trPr>
        <w:tc>
          <w:tcPr>
            <w:tcW w:w="892" w:type="dxa"/>
            <w:vMerge w:val="restart"/>
            <w:vAlign w:val="center"/>
          </w:tcPr>
          <w:p w14:paraId="2621654E" w14:textId="5FA447C4" w:rsidR="00150E77" w:rsidRPr="00A01DCA" w:rsidRDefault="00F125CB" w:rsidP="00150E77">
            <w:pPr>
              <w:spacing w:line="240" w:lineRule="auto"/>
              <w:ind w:firstLine="0"/>
              <w:rPr>
                <w:sz w:val="20"/>
              </w:rPr>
            </w:pPr>
            <w:r w:rsidRPr="00A01DCA">
              <w:rPr>
                <w:sz w:val="20"/>
              </w:rPr>
              <w:t>+0,0%</w:t>
            </w:r>
          </w:p>
        </w:tc>
        <w:tc>
          <w:tcPr>
            <w:tcW w:w="893" w:type="dxa"/>
            <w:vMerge w:val="restart"/>
            <w:vAlign w:val="center"/>
          </w:tcPr>
          <w:p w14:paraId="6A383747" w14:textId="70A0C0CA" w:rsidR="00150E77" w:rsidRPr="00A01DCA" w:rsidRDefault="00F125CB" w:rsidP="00150E77">
            <w:pPr>
              <w:spacing w:line="240" w:lineRule="auto"/>
              <w:ind w:firstLine="0"/>
              <w:rPr>
                <w:sz w:val="20"/>
              </w:rPr>
            </w:pPr>
            <w:r w:rsidRPr="00A01DCA">
              <w:rPr>
                <w:sz w:val="20"/>
              </w:rPr>
              <w:t>+1,1%</w:t>
            </w:r>
          </w:p>
        </w:tc>
        <w:tc>
          <w:tcPr>
            <w:tcW w:w="892" w:type="dxa"/>
            <w:vMerge w:val="restart"/>
            <w:vAlign w:val="center"/>
          </w:tcPr>
          <w:p w14:paraId="09AD85C0" w14:textId="2CA6207A" w:rsidR="00150E77" w:rsidRPr="00A01DCA" w:rsidRDefault="00F125CB" w:rsidP="00150E77">
            <w:pPr>
              <w:spacing w:line="240" w:lineRule="auto"/>
              <w:ind w:firstLine="0"/>
              <w:rPr>
                <w:sz w:val="20"/>
              </w:rPr>
            </w:pPr>
            <w:r w:rsidRPr="00A01DCA">
              <w:rPr>
                <w:sz w:val="20"/>
              </w:rPr>
              <w:t>+1,0%</w:t>
            </w:r>
          </w:p>
        </w:tc>
        <w:tc>
          <w:tcPr>
            <w:tcW w:w="893" w:type="dxa"/>
            <w:vMerge w:val="restart"/>
            <w:vAlign w:val="center"/>
          </w:tcPr>
          <w:p w14:paraId="60F0B9E4" w14:textId="43A31952" w:rsidR="00150E77" w:rsidRPr="00A01DCA" w:rsidRDefault="00F125CB" w:rsidP="00150E77">
            <w:pPr>
              <w:spacing w:line="240" w:lineRule="auto"/>
              <w:ind w:firstLine="0"/>
              <w:rPr>
                <w:sz w:val="20"/>
              </w:rPr>
            </w:pPr>
            <w:r w:rsidRPr="00A01DCA">
              <w:rPr>
                <w:sz w:val="20"/>
              </w:rPr>
              <w:t>+2,8%</w:t>
            </w:r>
          </w:p>
        </w:tc>
        <w:tc>
          <w:tcPr>
            <w:tcW w:w="893" w:type="dxa"/>
            <w:vMerge w:val="restart"/>
            <w:tcBorders>
              <w:right w:val="double" w:sz="4" w:space="0" w:color="auto"/>
            </w:tcBorders>
            <w:vAlign w:val="center"/>
          </w:tcPr>
          <w:p w14:paraId="0E1840F0" w14:textId="4C1D241A" w:rsidR="00150E77" w:rsidRPr="00A01DCA" w:rsidRDefault="00F125CB" w:rsidP="00150E77">
            <w:pPr>
              <w:spacing w:line="240" w:lineRule="auto"/>
              <w:ind w:firstLine="0"/>
              <w:rPr>
                <w:sz w:val="20"/>
              </w:rPr>
            </w:pPr>
            <w:r w:rsidRPr="00A01DCA">
              <w:rPr>
                <w:sz w:val="20"/>
              </w:rPr>
              <w:t>+2,7%</w:t>
            </w:r>
          </w:p>
        </w:tc>
        <w:tc>
          <w:tcPr>
            <w:tcW w:w="4746" w:type="dxa"/>
            <w:gridSpan w:val="5"/>
            <w:tcBorders>
              <w:left w:val="double" w:sz="4" w:space="0" w:color="auto"/>
            </w:tcBorders>
            <w:vAlign w:val="center"/>
          </w:tcPr>
          <w:p w14:paraId="401F261C" w14:textId="18705124" w:rsidR="00150E77" w:rsidRPr="00A01DCA" w:rsidRDefault="00150E77" w:rsidP="00150E77">
            <w:pPr>
              <w:spacing w:line="240" w:lineRule="auto"/>
              <w:ind w:firstLine="0"/>
              <w:jc w:val="center"/>
              <w:rPr>
                <w:sz w:val="20"/>
              </w:rPr>
            </w:pPr>
            <w:r w:rsidRPr="00A01DCA">
              <w:rPr>
                <w:sz w:val="20"/>
              </w:rPr>
              <w:t>Vidējā ekspertu prognoze</w:t>
            </w:r>
          </w:p>
        </w:tc>
      </w:tr>
      <w:tr w:rsidR="004C5F9B" w:rsidRPr="00A01DCA" w14:paraId="66FCE6A4" w14:textId="77777777" w:rsidTr="004C5F9B">
        <w:trPr>
          <w:trHeight w:val="454"/>
          <w:jc w:val="center"/>
        </w:trPr>
        <w:tc>
          <w:tcPr>
            <w:tcW w:w="892" w:type="dxa"/>
            <w:vMerge/>
            <w:vAlign w:val="center"/>
          </w:tcPr>
          <w:p w14:paraId="4607AD14" w14:textId="2A3D7771" w:rsidR="00150E77" w:rsidRPr="00A01DCA" w:rsidRDefault="00150E77" w:rsidP="00150E77">
            <w:pPr>
              <w:spacing w:line="240" w:lineRule="auto"/>
              <w:ind w:firstLine="0"/>
              <w:jc w:val="center"/>
              <w:rPr>
                <w:sz w:val="20"/>
              </w:rPr>
            </w:pPr>
          </w:p>
        </w:tc>
        <w:tc>
          <w:tcPr>
            <w:tcW w:w="893" w:type="dxa"/>
            <w:vMerge/>
            <w:vAlign w:val="center"/>
          </w:tcPr>
          <w:p w14:paraId="2F87A299" w14:textId="0704AD9F" w:rsidR="00150E77" w:rsidRPr="00A01DCA" w:rsidRDefault="00150E77" w:rsidP="00150E77">
            <w:pPr>
              <w:spacing w:line="240" w:lineRule="auto"/>
              <w:ind w:firstLine="0"/>
              <w:jc w:val="center"/>
              <w:rPr>
                <w:sz w:val="20"/>
              </w:rPr>
            </w:pPr>
          </w:p>
        </w:tc>
        <w:tc>
          <w:tcPr>
            <w:tcW w:w="892" w:type="dxa"/>
            <w:vMerge/>
            <w:vAlign w:val="center"/>
          </w:tcPr>
          <w:p w14:paraId="01758241" w14:textId="7145419E" w:rsidR="00150E77" w:rsidRPr="00A01DCA" w:rsidRDefault="00150E77" w:rsidP="00150E77">
            <w:pPr>
              <w:spacing w:line="240" w:lineRule="auto"/>
              <w:ind w:firstLine="0"/>
              <w:jc w:val="center"/>
              <w:rPr>
                <w:sz w:val="20"/>
              </w:rPr>
            </w:pPr>
          </w:p>
        </w:tc>
        <w:tc>
          <w:tcPr>
            <w:tcW w:w="893" w:type="dxa"/>
            <w:vMerge/>
            <w:vAlign w:val="center"/>
          </w:tcPr>
          <w:p w14:paraId="1412B3B5" w14:textId="7D33D7C5" w:rsidR="00150E77" w:rsidRPr="00A01DCA" w:rsidRDefault="00150E77" w:rsidP="00150E77">
            <w:pPr>
              <w:spacing w:line="240" w:lineRule="auto"/>
              <w:ind w:firstLine="0"/>
              <w:jc w:val="center"/>
              <w:rPr>
                <w:sz w:val="20"/>
              </w:rPr>
            </w:pPr>
          </w:p>
        </w:tc>
        <w:tc>
          <w:tcPr>
            <w:tcW w:w="893" w:type="dxa"/>
            <w:vMerge/>
            <w:tcBorders>
              <w:right w:val="double" w:sz="4" w:space="0" w:color="auto"/>
            </w:tcBorders>
            <w:vAlign w:val="center"/>
          </w:tcPr>
          <w:p w14:paraId="2C84F428" w14:textId="0498B4E3" w:rsidR="00150E77" w:rsidRPr="00A01DCA" w:rsidRDefault="00150E77" w:rsidP="00150E77">
            <w:pPr>
              <w:spacing w:line="240" w:lineRule="auto"/>
              <w:ind w:firstLine="0"/>
              <w:jc w:val="center"/>
              <w:rPr>
                <w:sz w:val="20"/>
              </w:rPr>
            </w:pPr>
          </w:p>
        </w:tc>
        <w:tc>
          <w:tcPr>
            <w:tcW w:w="892" w:type="dxa"/>
            <w:tcBorders>
              <w:left w:val="double" w:sz="4" w:space="0" w:color="auto"/>
            </w:tcBorders>
            <w:vAlign w:val="center"/>
          </w:tcPr>
          <w:p w14:paraId="039779DD" w14:textId="5CA7F94A" w:rsidR="00150E77" w:rsidRPr="00A01DCA" w:rsidRDefault="00F125CB" w:rsidP="00150E77">
            <w:pPr>
              <w:spacing w:line="240" w:lineRule="auto"/>
              <w:ind w:firstLine="0"/>
              <w:jc w:val="center"/>
              <w:rPr>
                <w:sz w:val="20"/>
              </w:rPr>
            </w:pPr>
            <w:r w:rsidRPr="00A01DCA">
              <w:rPr>
                <w:sz w:val="20"/>
              </w:rPr>
              <w:t>+1,09%</w:t>
            </w:r>
          </w:p>
        </w:tc>
        <w:tc>
          <w:tcPr>
            <w:tcW w:w="893" w:type="dxa"/>
            <w:vAlign w:val="center"/>
          </w:tcPr>
          <w:p w14:paraId="652ACE84" w14:textId="2375E905" w:rsidR="00150E77" w:rsidRPr="00A01DCA" w:rsidRDefault="00F125CB" w:rsidP="00150E77">
            <w:pPr>
              <w:spacing w:line="240" w:lineRule="auto"/>
              <w:ind w:firstLine="0"/>
              <w:jc w:val="center"/>
              <w:rPr>
                <w:sz w:val="20"/>
              </w:rPr>
            </w:pPr>
            <w:r w:rsidRPr="00A01DCA">
              <w:rPr>
                <w:sz w:val="20"/>
              </w:rPr>
              <w:t>+1,86%</w:t>
            </w:r>
          </w:p>
        </w:tc>
        <w:tc>
          <w:tcPr>
            <w:tcW w:w="892" w:type="dxa"/>
            <w:vAlign w:val="center"/>
          </w:tcPr>
          <w:p w14:paraId="36417B21" w14:textId="492AFE8A" w:rsidR="00150E77" w:rsidRPr="00A01DCA" w:rsidRDefault="00F125CB" w:rsidP="00150E77">
            <w:pPr>
              <w:spacing w:line="240" w:lineRule="auto"/>
              <w:ind w:firstLine="0"/>
              <w:jc w:val="center"/>
              <w:rPr>
                <w:sz w:val="20"/>
              </w:rPr>
            </w:pPr>
            <w:r w:rsidRPr="00A01DCA">
              <w:rPr>
                <w:sz w:val="20"/>
              </w:rPr>
              <w:t>+1,97%</w:t>
            </w:r>
          </w:p>
        </w:tc>
        <w:tc>
          <w:tcPr>
            <w:tcW w:w="893" w:type="dxa"/>
            <w:vAlign w:val="center"/>
          </w:tcPr>
          <w:p w14:paraId="091D62A1" w14:textId="420F2376" w:rsidR="00150E77" w:rsidRPr="00A01DCA" w:rsidRDefault="00F125CB" w:rsidP="00150E77">
            <w:pPr>
              <w:spacing w:line="240" w:lineRule="auto"/>
              <w:ind w:firstLine="0"/>
              <w:jc w:val="center"/>
              <w:rPr>
                <w:sz w:val="20"/>
              </w:rPr>
            </w:pPr>
            <w:r w:rsidRPr="00A01DCA">
              <w:rPr>
                <w:sz w:val="20"/>
              </w:rPr>
              <w:t>+2,03%</w:t>
            </w:r>
          </w:p>
        </w:tc>
        <w:tc>
          <w:tcPr>
            <w:tcW w:w="1176" w:type="dxa"/>
            <w:vAlign w:val="center"/>
          </w:tcPr>
          <w:p w14:paraId="475D7276" w14:textId="3DBFA69A" w:rsidR="00150E77" w:rsidRPr="00A01DCA" w:rsidRDefault="00F125CB" w:rsidP="00150E77">
            <w:pPr>
              <w:spacing w:line="240" w:lineRule="auto"/>
              <w:ind w:firstLine="0"/>
              <w:jc w:val="center"/>
              <w:rPr>
                <w:sz w:val="20"/>
              </w:rPr>
            </w:pPr>
            <w:r w:rsidRPr="00A01DCA">
              <w:rPr>
                <w:sz w:val="20"/>
              </w:rPr>
              <w:t>+2,11%</w:t>
            </w:r>
          </w:p>
        </w:tc>
      </w:tr>
      <w:tr w:rsidR="004C5F9B" w:rsidRPr="00A01DCA" w14:paraId="68FC635D" w14:textId="77777777" w:rsidTr="004C5F9B">
        <w:trPr>
          <w:trHeight w:val="340"/>
          <w:jc w:val="center"/>
        </w:trPr>
        <w:tc>
          <w:tcPr>
            <w:tcW w:w="892" w:type="dxa"/>
            <w:vMerge/>
            <w:vAlign w:val="center"/>
          </w:tcPr>
          <w:p w14:paraId="341E6293" w14:textId="77777777" w:rsidR="00150E77" w:rsidRPr="00A01DCA" w:rsidRDefault="00150E77" w:rsidP="00150E77">
            <w:pPr>
              <w:spacing w:line="240" w:lineRule="auto"/>
              <w:ind w:firstLine="0"/>
              <w:jc w:val="center"/>
              <w:rPr>
                <w:sz w:val="20"/>
              </w:rPr>
            </w:pPr>
          </w:p>
        </w:tc>
        <w:tc>
          <w:tcPr>
            <w:tcW w:w="893" w:type="dxa"/>
            <w:vMerge/>
            <w:vAlign w:val="center"/>
          </w:tcPr>
          <w:p w14:paraId="0CB86F08" w14:textId="77777777" w:rsidR="00150E77" w:rsidRPr="00A01DCA" w:rsidRDefault="00150E77" w:rsidP="00150E77">
            <w:pPr>
              <w:spacing w:line="240" w:lineRule="auto"/>
              <w:ind w:firstLine="0"/>
              <w:jc w:val="center"/>
              <w:rPr>
                <w:sz w:val="20"/>
              </w:rPr>
            </w:pPr>
          </w:p>
        </w:tc>
        <w:tc>
          <w:tcPr>
            <w:tcW w:w="892" w:type="dxa"/>
            <w:vMerge/>
            <w:vAlign w:val="center"/>
          </w:tcPr>
          <w:p w14:paraId="1A884047" w14:textId="77777777" w:rsidR="00150E77" w:rsidRPr="00A01DCA" w:rsidRDefault="00150E77" w:rsidP="00150E77">
            <w:pPr>
              <w:spacing w:line="240" w:lineRule="auto"/>
              <w:ind w:firstLine="0"/>
              <w:jc w:val="center"/>
              <w:rPr>
                <w:sz w:val="20"/>
              </w:rPr>
            </w:pPr>
          </w:p>
        </w:tc>
        <w:tc>
          <w:tcPr>
            <w:tcW w:w="893" w:type="dxa"/>
            <w:vMerge/>
            <w:vAlign w:val="center"/>
          </w:tcPr>
          <w:p w14:paraId="7816AA5F" w14:textId="77777777" w:rsidR="00150E77" w:rsidRPr="00A01DCA" w:rsidRDefault="00150E77" w:rsidP="00150E77">
            <w:pPr>
              <w:spacing w:line="240" w:lineRule="auto"/>
              <w:ind w:firstLine="0"/>
              <w:jc w:val="center"/>
              <w:rPr>
                <w:sz w:val="20"/>
              </w:rPr>
            </w:pPr>
          </w:p>
        </w:tc>
        <w:tc>
          <w:tcPr>
            <w:tcW w:w="893" w:type="dxa"/>
            <w:vMerge/>
            <w:tcBorders>
              <w:right w:val="double" w:sz="4" w:space="0" w:color="auto"/>
            </w:tcBorders>
            <w:vAlign w:val="center"/>
          </w:tcPr>
          <w:p w14:paraId="189302C3" w14:textId="77777777" w:rsidR="00150E77" w:rsidRPr="00A01DCA" w:rsidRDefault="00150E77" w:rsidP="00150E77">
            <w:pPr>
              <w:spacing w:line="240" w:lineRule="auto"/>
              <w:ind w:firstLine="0"/>
              <w:jc w:val="center"/>
              <w:rPr>
                <w:sz w:val="20"/>
              </w:rPr>
            </w:pPr>
          </w:p>
        </w:tc>
        <w:tc>
          <w:tcPr>
            <w:tcW w:w="4746" w:type="dxa"/>
            <w:gridSpan w:val="5"/>
            <w:tcBorders>
              <w:left w:val="double" w:sz="4" w:space="0" w:color="auto"/>
            </w:tcBorders>
            <w:vAlign w:val="center"/>
          </w:tcPr>
          <w:p w14:paraId="74151CBD" w14:textId="707904B5" w:rsidR="00150E77" w:rsidRPr="00A01DCA" w:rsidRDefault="00150E77" w:rsidP="00150E77">
            <w:pPr>
              <w:spacing w:line="240" w:lineRule="auto"/>
              <w:ind w:firstLine="0"/>
              <w:jc w:val="center"/>
              <w:rPr>
                <w:sz w:val="20"/>
              </w:rPr>
            </w:pPr>
            <w:r w:rsidRPr="00A01DCA">
              <w:rPr>
                <w:sz w:val="20"/>
              </w:rPr>
              <w:t>Kombinētā (ekspertu-statistiskā) prognoze</w:t>
            </w:r>
          </w:p>
        </w:tc>
      </w:tr>
      <w:tr w:rsidR="004C5F9B" w:rsidRPr="00A01DCA" w14:paraId="4EA06827" w14:textId="77777777" w:rsidTr="004C5F9B">
        <w:trPr>
          <w:trHeight w:val="454"/>
          <w:jc w:val="center"/>
        </w:trPr>
        <w:tc>
          <w:tcPr>
            <w:tcW w:w="892" w:type="dxa"/>
            <w:vMerge/>
            <w:vAlign w:val="center"/>
          </w:tcPr>
          <w:p w14:paraId="0BE2AFC4" w14:textId="77777777" w:rsidR="00150E77" w:rsidRPr="00A01DCA" w:rsidRDefault="00150E77" w:rsidP="00150E77">
            <w:pPr>
              <w:spacing w:line="240" w:lineRule="auto"/>
              <w:ind w:firstLine="0"/>
              <w:jc w:val="center"/>
              <w:rPr>
                <w:sz w:val="20"/>
              </w:rPr>
            </w:pPr>
          </w:p>
        </w:tc>
        <w:tc>
          <w:tcPr>
            <w:tcW w:w="893" w:type="dxa"/>
            <w:vMerge/>
            <w:vAlign w:val="center"/>
          </w:tcPr>
          <w:p w14:paraId="127D9EF0" w14:textId="77777777" w:rsidR="00150E77" w:rsidRPr="00A01DCA" w:rsidRDefault="00150E77" w:rsidP="00150E77">
            <w:pPr>
              <w:spacing w:line="240" w:lineRule="auto"/>
              <w:ind w:firstLine="0"/>
              <w:jc w:val="center"/>
              <w:rPr>
                <w:sz w:val="20"/>
              </w:rPr>
            </w:pPr>
          </w:p>
        </w:tc>
        <w:tc>
          <w:tcPr>
            <w:tcW w:w="892" w:type="dxa"/>
            <w:vMerge/>
            <w:vAlign w:val="center"/>
          </w:tcPr>
          <w:p w14:paraId="78472185" w14:textId="77777777" w:rsidR="00150E77" w:rsidRPr="00A01DCA" w:rsidRDefault="00150E77" w:rsidP="00150E77">
            <w:pPr>
              <w:spacing w:line="240" w:lineRule="auto"/>
              <w:ind w:firstLine="0"/>
              <w:jc w:val="center"/>
              <w:rPr>
                <w:sz w:val="20"/>
              </w:rPr>
            </w:pPr>
          </w:p>
        </w:tc>
        <w:tc>
          <w:tcPr>
            <w:tcW w:w="893" w:type="dxa"/>
            <w:vMerge/>
            <w:vAlign w:val="center"/>
          </w:tcPr>
          <w:p w14:paraId="5BDDDE54" w14:textId="77777777" w:rsidR="00150E77" w:rsidRPr="00A01DCA" w:rsidRDefault="00150E77" w:rsidP="00150E77">
            <w:pPr>
              <w:spacing w:line="240" w:lineRule="auto"/>
              <w:ind w:firstLine="0"/>
              <w:jc w:val="center"/>
              <w:rPr>
                <w:sz w:val="20"/>
              </w:rPr>
            </w:pPr>
          </w:p>
        </w:tc>
        <w:tc>
          <w:tcPr>
            <w:tcW w:w="893" w:type="dxa"/>
            <w:vMerge/>
            <w:tcBorders>
              <w:right w:val="double" w:sz="4" w:space="0" w:color="auto"/>
            </w:tcBorders>
            <w:vAlign w:val="center"/>
          </w:tcPr>
          <w:p w14:paraId="69A735D3" w14:textId="77777777" w:rsidR="00150E77" w:rsidRPr="00A01DCA" w:rsidRDefault="00150E77" w:rsidP="00150E77">
            <w:pPr>
              <w:spacing w:line="240" w:lineRule="auto"/>
              <w:ind w:firstLine="0"/>
              <w:jc w:val="center"/>
              <w:rPr>
                <w:sz w:val="20"/>
              </w:rPr>
            </w:pPr>
          </w:p>
        </w:tc>
        <w:tc>
          <w:tcPr>
            <w:tcW w:w="892" w:type="dxa"/>
            <w:tcBorders>
              <w:left w:val="double" w:sz="4" w:space="0" w:color="auto"/>
            </w:tcBorders>
            <w:vAlign w:val="center"/>
          </w:tcPr>
          <w:p w14:paraId="4EC8BC6A" w14:textId="30F000B8" w:rsidR="00150E77" w:rsidRPr="00A01DCA" w:rsidRDefault="00F125CB" w:rsidP="00150E77">
            <w:pPr>
              <w:spacing w:line="240" w:lineRule="auto"/>
              <w:ind w:firstLine="0"/>
              <w:jc w:val="center"/>
              <w:rPr>
                <w:sz w:val="20"/>
              </w:rPr>
            </w:pPr>
            <w:r w:rsidRPr="00A01DCA">
              <w:rPr>
                <w:sz w:val="20"/>
              </w:rPr>
              <w:t>+1,99%</w:t>
            </w:r>
          </w:p>
        </w:tc>
        <w:tc>
          <w:tcPr>
            <w:tcW w:w="893" w:type="dxa"/>
            <w:vAlign w:val="center"/>
          </w:tcPr>
          <w:p w14:paraId="05F10368" w14:textId="392E05C0" w:rsidR="00150E77" w:rsidRPr="00A01DCA" w:rsidRDefault="00F125CB" w:rsidP="00150E77">
            <w:pPr>
              <w:spacing w:line="240" w:lineRule="auto"/>
              <w:ind w:firstLine="0"/>
              <w:jc w:val="center"/>
              <w:rPr>
                <w:sz w:val="20"/>
              </w:rPr>
            </w:pPr>
            <w:r w:rsidRPr="00A01DCA">
              <w:rPr>
                <w:sz w:val="20"/>
              </w:rPr>
              <w:t>+2,40%</w:t>
            </w:r>
          </w:p>
        </w:tc>
        <w:tc>
          <w:tcPr>
            <w:tcW w:w="892" w:type="dxa"/>
            <w:vAlign w:val="center"/>
          </w:tcPr>
          <w:p w14:paraId="0A1C588B" w14:textId="163CFD51" w:rsidR="00150E77" w:rsidRPr="00A01DCA" w:rsidRDefault="00F125CB" w:rsidP="00150E77">
            <w:pPr>
              <w:spacing w:line="240" w:lineRule="auto"/>
              <w:ind w:firstLine="0"/>
              <w:jc w:val="center"/>
              <w:rPr>
                <w:sz w:val="20"/>
              </w:rPr>
            </w:pPr>
            <w:r w:rsidRPr="00A01DCA">
              <w:rPr>
                <w:sz w:val="20"/>
              </w:rPr>
              <w:t>+2,48%</w:t>
            </w:r>
          </w:p>
        </w:tc>
        <w:tc>
          <w:tcPr>
            <w:tcW w:w="893" w:type="dxa"/>
            <w:vAlign w:val="center"/>
          </w:tcPr>
          <w:p w14:paraId="7C7D82F7" w14:textId="1613478F" w:rsidR="00150E77" w:rsidRPr="00A01DCA" w:rsidRDefault="00F125CB" w:rsidP="00150E77">
            <w:pPr>
              <w:spacing w:line="240" w:lineRule="auto"/>
              <w:ind w:firstLine="0"/>
              <w:jc w:val="center"/>
              <w:rPr>
                <w:sz w:val="20"/>
              </w:rPr>
            </w:pPr>
            <w:r w:rsidRPr="00A01DCA">
              <w:rPr>
                <w:sz w:val="20"/>
              </w:rPr>
              <w:t>+2,53%</w:t>
            </w:r>
          </w:p>
        </w:tc>
        <w:tc>
          <w:tcPr>
            <w:tcW w:w="1176" w:type="dxa"/>
            <w:vAlign w:val="center"/>
          </w:tcPr>
          <w:p w14:paraId="76163FF4" w14:textId="64A301BC" w:rsidR="00150E77" w:rsidRPr="00A01DCA" w:rsidRDefault="00F125CB" w:rsidP="00150E77">
            <w:pPr>
              <w:spacing w:line="240" w:lineRule="auto"/>
              <w:ind w:firstLine="0"/>
              <w:jc w:val="center"/>
              <w:rPr>
                <w:sz w:val="20"/>
              </w:rPr>
            </w:pPr>
            <w:r w:rsidRPr="00A01DCA">
              <w:rPr>
                <w:sz w:val="20"/>
              </w:rPr>
              <w:t>+2,60%</w:t>
            </w:r>
          </w:p>
        </w:tc>
      </w:tr>
      <w:tr w:rsidR="004C5F9B" w:rsidRPr="00A01DCA" w14:paraId="35612597" w14:textId="77777777" w:rsidTr="004C5F9B">
        <w:trPr>
          <w:trHeight w:val="340"/>
          <w:jc w:val="center"/>
        </w:trPr>
        <w:tc>
          <w:tcPr>
            <w:tcW w:w="9209" w:type="dxa"/>
            <w:gridSpan w:val="10"/>
            <w:vAlign w:val="center"/>
          </w:tcPr>
          <w:p w14:paraId="0F291040" w14:textId="6DD9E6AF" w:rsidR="00FB49EF" w:rsidRPr="00A01DCA" w:rsidRDefault="00FB49EF" w:rsidP="00F23457">
            <w:pPr>
              <w:spacing w:line="240" w:lineRule="auto"/>
              <w:ind w:firstLine="0"/>
              <w:jc w:val="left"/>
              <w:rPr>
                <w:b/>
                <w:bCs/>
                <w:sz w:val="20"/>
              </w:rPr>
            </w:pPr>
            <w:bookmarkStart w:id="28" w:name="_Hlk52987142"/>
            <w:r w:rsidRPr="00A01DCA">
              <w:rPr>
                <w:b/>
                <w:bCs/>
                <w:sz w:val="20"/>
              </w:rPr>
              <w:t>Arhitektūras un inženiertehniskie pakalpojumi; tehniskā pārbaude un analīze</w:t>
            </w:r>
            <w:bookmarkEnd w:id="28"/>
          </w:p>
        </w:tc>
      </w:tr>
      <w:tr w:rsidR="004C5F9B" w:rsidRPr="00A01DCA" w14:paraId="625219BE" w14:textId="77777777" w:rsidTr="004C5F9B">
        <w:trPr>
          <w:trHeight w:val="340"/>
          <w:jc w:val="center"/>
        </w:trPr>
        <w:tc>
          <w:tcPr>
            <w:tcW w:w="892" w:type="dxa"/>
            <w:vMerge w:val="restart"/>
            <w:vAlign w:val="center"/>
          </w:tcPr>
          <w:p w14:paraId="5ED0E485" w14:textId="4BF4C8D3" w:rsidR="00F23457" w:rsidRPr="00A01DCA" w:rsidRDefault="001D3DBE" w:rsidP="00F23457">
            <w:pPr>
              <w:spacing w:line="240" w:lineRule="auto"/>
              <w:ind w:firstLine="0"/>
              <w:jc w:val="center"/>
              <w:rPr>
                <w:sz w:val="20"/>
              </w:rPr>
            </w:pPr>
            <w:r w:rsidRPr="00A01DCA">
              <w:rPr>
                <w:sz w:val="20"/>
              </w:rPr>
              <w:t>+6,6%</w:t>
            </w:r>
          </w:p>
        </w:tc>
        <w:tc>
          <w:tcPr>
            <w:tcW w:w="893" w:type="dxa"/>
            <w:vMerge w:val="restart"/>
            <w:vAlign w:val="center"/>
          </w:tcPr>
          <w:p w14:paraId="0EDBB9E8" w14:textId="5FEA28D2" w:rsidR="00F23457" w:rsidRPr="00A01DCA" w:rsidRDefault="001D3DBE" w:rsidP="001D3DBE">
            <w:pPr>
              <w:spacing w:line="240" w:lineRule="auto"/>
              <w:ind w:firstLine="0"/>
              <w:rPr>
                <w:sz w:val="20"/>
              </w:rPr>
            </w:pPr>
            <w:r w:rsidRPr="00A01DCA">
              <w:rPr>
                <w:sz w:val="20"/>
              </w:rPr>
              <w:t>+6,0%</w:t>
            </w:r>
          </w:p>
        </w:tc>
        <w:tc>
          <w:tcPr>
            <w:tcW w:w="892" w:type="dxa"/>
            <w:vMerge w:val="restart"/>
            <w:vAlign w:val="center"/>
          </w:tcPr>
          <w:p w14:paraId="1E77A8DD" w14:textId="6DB789CD" w:rsidR="00F23457" w:rsidRPr="00A01DCA" w:rsidRDefault="001D3DBE" w:rsidP="001D3DBE">
            <w:pPr>
              <w:spacing w:line="240" w:lineRule="auto"/>
              <w:ind w:firstLine="0"/>
              <w:rPr>
                <w:sz w:val="20"/>
              </w:rPr>
            </w:pPr>
            <w:r w:rsidRPr="00A01DCA">
              <w:rPr>
                <w:sz w:val="20"/>
              </w:rPr>
              <w:t>+1,2%</w:t>
            </w:r>
          </w:p>
        </w:tc>
        <w:tc>
          <w:tcPr>
            <w:tcW w:w="893" w:type="dxa"/>
            <w:vMerge w:val="restart"/>
            <w:vAlign w:val="center"/>
          </w:tcPr>
          <w:p w14:paraId="6F95E6DF" w14:textId="4CB645E1" w:rsidR="00F23457" w:rsidRPr="00A01DCA" w:rsidRDefault="001D3DBE" w:rsidP="001D3DBE">
            <w:pPr>
              <w:spacing w:line="240" w:lineRule="auto"/>
              <w:ind w:firstLine="0"/>
              <w:rPr>
                <w:sz w:val="20"/>
              </w:rPr>
            </w:pPr>
            <w:r w:rsidRPr="00A01DCA">
              <w:rPr>
                <w:sz w:val="20"/>
              </w:rPr>
              <w:t>+7,5%</w:t>
            </w:r>
          </w:p>
        </w:tc>
        <w:tc>
          <w:tcPr>
            <w:tcW w:w="893" w:type="dxa"/>
            <w:vMerge w:val="restart"/>
            <w:tcBorders>
              <w:right w:val="double" w:sz="4" w:space="0" w:color="auto"/>
            </w:tcBorders>
            <w:vAlign w:val="center"/>
          </w:tcPr>
          <w:p w14:paraId="64C6E8E1" w14:textId="7296FEE1" w:rsidR="00F23457" w:rsidRPr="00A01DCA" w:rsidRDefault="001D3DBE" w:rsidP="001D3DBE">
            <w:pPr>
              <w:spacing w:line="240" w:lineRule="auto"/>
              <w:ind w:firstLine="0"/>
              <w:rPr>
                <w:sz w:val="20"/>
              </w:rPr>
            </w:pPr>
            <w:r w:rsidRPr="00A01DCA">
              <w:rPr>
                <w:sz w:val="20"/>
              </w:rPr>
              <w:t>+6,7%</w:t>
            </w:r>
          </w:p>
        </w:tc>
        <w:tc>
          <w:tcPr>
            <w:tcW w:w="4746" w:type="dxa"/>
            <w:gridSpan w:val="5"/>
            <w:tcBorders>
              <w:left w:val="double" w:sz="4" w:space="0" w:color="auto"/>
            </w:tcBorders>
            <w:vAlign w:val="center"/>
          </w:tcPr>
          <w:p w14:paraId="0285CE90" w14:textId="50997AE4" w:rsidR="00F23457" w:rsidRPr="00A01DCA" w:rsidRDefault="001D3DBE" w:rsidP="00F23457">
            <w:pPr>
              <w:spacing w:line="240" w:lineRule="auto"/>
              <w:ind w:firstLine="0"/>
              <w:jc w:val="center"/>
              <w:rPr>
                <w:sz w:val="20"/>
              </w:rPr>
            </w:pPr>
            <w:r w:rsidRPr="00A01DCA">
              <w:rPr>
                <w:sz w:val="20"/>
              </w:rPr>
              <w:t>Vidējā ekspertu prognoze</w:t>
            </w:r>
          </w:p>
        </w:tc>
      </w:tr>
      <w:tr w:rsidR="004C5F9B" w:rsidRPr="00A01DCA" w14:paraId="0EB70FA6" w14:textId="77777777" w:rsidTr="004C5F9B">
        <w:trPr>
          <w:trHeight w:val="454"/>
          <w:jc w:val="center"/>
        </w:trPr>
        <w:tc>
          <w:tcPr>
            <w:tcW w:w="892" w:type="dxa"/>
            <w:vMerge/>
            <w:vAlign w:val="center"/>
          </w:tcPr>
          <w:p w14:paraId="6AEBF07D" w14:textId="77777777" w:rsidR="00F23457" w:rsidRPr="00A01DCA" w:rsidRDefault="00F23457" w:rsidP="00F23457">
            <w:pPr>
              <w:spacing w:line="240" w:lineRule="auto"/>
              <w:ind w:firstLine="0"/>
              <w:jc w:val="center"/>
              <w:rPr>
                <w:sz w:val="20"/>
              </w:rPr>
            </w:pPr>
          </w:p>
        </w:tc>
        <w:tc>
          <w:tcPr>
            <w:tcW w:w="893" w:type="dxa"/>
            <w:vMerge/>
            <w:vAlign w:val="center"/>
          </w:tcPr>
          <w:p w14:paraId="7875D50E" w14:textId="7C09E124" w:rsidR="00F23457" w:rsidRPr="00A01DCA" w:rsidRDefault="00F23457" w:rsidP="00F23457">
            <w:pPr>
              <w:spacing w:line="240" w:lineRule="auto"/>
              <w:ind w:firstLine="0"/>
              <w:jc w:val="center"/>
              <w:rPr>
                <w:sz w:val="20"/>
              </w:rPr>
            </w:pPr>
          </w:p>
        </w:tc>
        <w:tc>
          <w:tcPr>
            <w:tcW w:w="892" w:type="dxa"/>
            <w:vMerge/>
            <w:vAlign w:val="center"/>
          </w:tcPr>
          <w:p w14:paraId="5B7B7EC8" w14:textId="52E72B9F" w:rsidR="00F23457" w:rsidRPr="00A01DCA" w:rsidRDefault="00F23457" w:rsidP="00F23457">
            <w:pPr>
              <w:spacing w:line="240" w:lineRule="auto"/>
              <w:ind w:firstLine="0"/>
              <w:jc w:val="center"/>
              <w:rPr>
                <w:sz w:val="20"/>
              </w:rPr>
            </w:pPr>
          </w:p>
        </w:tc>
        <w:tc>
          <w:tcPr>
            <w:tcW w:w="893" w:type="dxa"/>
            <w:vMerge/>
            <w:vAlign w:val="center"/>
          </w:tcPr>
          <w:p w14:paraId="2BBBB2DF" w14:textId="7685DB17" w:rsidR="00F23457" w:rsidRPr="00A01DCA" w:rsidRDefault="00F23457" w:rsidP="00F23457">
            <w:pPr>
              <w:spacing w:line="240" w:lineRule="auto"/>
              <w:ind w:firstLine="0"/>
              <w:jc w:val="center"/>
              <w:rPr>
                <w:sz w:val="20"/>
              </w:rPr>
            </w:pPr>
          </w:p>
        </w:tc>
        <w:tc>
          <w:tcPr>
            <w:tcW w:w="893" w:type="dxa"/>
            <w:vMerge/>
            <w:tcBorders>
              <w:right w:val="double" w:sz="4" w:space="0" w:color="auto"/>
            </w:tcBorders>
            <w:vAlign w:val="center"/>
          </w:tcPr>
          <w:p w14:paraId="5AC9E449" w14:textId="6B2E03C3" w:rsidR="00F23457" w:rsidRPr="00A01DCA" w:rsidRDefault="00F23457" w:rsidP="00F23457">
            <w:pPr>
              <w:spacing w:line="240" w:lineRule="auto"/>
              <w:ind w:firstLine="0"/>
              <w:jc w:val="center"/>
              <w:rPr>
                <w:sz w:val="20"/>
              </w:rPr>
            </w:pPr>
          </w:p>
        </w:tc>
        <w:tc>
          <w:tcPr>
            <w:tcW w:w="892" w:type="dxa"/>
            <w:tcBorders>
              <w:left w:val="double" w:sz="4" w:space="0" w:color="auto"/>
            </w:tcBorders>
            <w:vAlign w:val="center"/>
          </w:tcPr>
          <w:p w14:paraId="0E47A51B" w14:textId="4D75F9B8" w:rsidR="00F23457" w:rsidRPr="00A01DCA" w:rsidRDefault="001D3DBE" w:rsidP="00F23457">
            <w:pPr>
              <w:spacing w:line="240" w:lineRule="auto"/>
              <w:ind w:firstLine="0"/>
              <w:jc w:val="center"/>
              <w:rPr>
                <w:sz w:val="20"/>
              </w:rPr>
            </w:pPr>
            <w:r w:rsidRPr="00A01DCA">
              <w:rPr>
                <w:sz w:val="20"/>
              </w:rPr>
              <w:t>+4,21%</w:t>
            </w:r>
          </w:p>
        </w:tc>
        <w:tc>
          <w:tcPr>
            <w:tcW w:w="893" w:type="dxa"/>
            <w:vAlign w:val="center"/>
          </w:tcPr>
          <w:p w14:paraId="6D95B574" w14:textId="3D8B7926" w:rsidR="00F23457" w:rsidRPr="00A01DCA" w:rsidRDefault="001D3DBE" w:rsidP="00F23457">
            <w:pPr>
              <w:spacing w:line="240" w:lineRule="auto"/>
              <w:ind w:firstLine="0"/>
              <w:jc w:val="center"/>
              <w:rPr>
                <w:sz w:val="20"/>
              </w:rPr>
            </w:pPr>
            <w:r w:rsidRPr="00A01DCA">
              <w:rPr>
                <w:sz w:val="20"/>
              </w:rPr>
              <w:t>+4,77%</w:t>
            </w:r>
          </w:p>
        </w:tc>
        <w:tc>
          <w:tcPr>
            <w:tcW w:w="892" w:type="dxa"/>
            <w:vAlign w:val="center"/>
          </w:tcPr>
          <w:p w14:paraId="235F0945" w14:textId="599A917F" w:rsidR="00F23457" w:rsidRPr="00A01DCA" w:rsidRDefault="001D3DBE" w:rsidP="00F23457">
            <w:pPr>
              <w:spacing w:line="240" w:lineRule="auto"/>
              <w:ind w:firstLine="0"/>
              <w:jc w:val="center"/>
              <w:rPr>
                <w:sz w:val="20"/>
              </w:rPr>
            </w:pPr>
            <w:r w:rsidRPr="00A01DCA">
              <w:rPr>
                <w:sz w:val="20"/>
              </w:rPr>
              <w:t>+4,76%</w:t>
            </w:r>
          </w:p>
        </w:tc>
        <w:tc>
          <w:tcPr>
            <w:tcW w:w="893" w:type="dxa"/>
            <w:vAlign w:val="center"/>
          </w:tcPr>
          <w:p w14:paraId="0FF365B9" w14:textId="1CAE1D38" w:rsidR="00F23457" w:rsidRPr="00A01DCA" w:rsidRDefault="001D3DBE" w:rsidP="00F23457">
            <w:pPr>
              <w:spacing w:line="240" w:lineRule="auto"/>
              <w:ind w:firstLine="0"/>
              <w:jc w:val="center"/>
              <w:rPr>
                <w:sz w:val="20"/>
              </w:rPr>
            </w:pPr>
            <w:r w:rsidRPr="00A01DCA">
              <w:rPr>
                <w:sz w:val="20"/>
              </w:rPr>
              <w:t>+4,49%</w:t>
            </w:r>
          </w:p>
        </w:tc>
        <w:tc>
          <w:tcPr>
            <w:tcW w:w="1176" w:type="dxa"/>
            <w:vAlign w:val="center"/>
          </w:tcPr>
          <w:p w14:paraId="079232E4" w14:textId="0827A6CF" w:rsidR="00F23457" w:rsidRPr="00A01DCA" w:rsidRDefault="001D3DBE" w:rsidP="00F23457">
            <w:pPr>
              <w:spacing w:line="240" w:lineRule="auto"/>
              <w:ind w:firstLine="0"/>
              <w:jc w:val="center"/>
              <w:rPr>
                <w:sz w:val="20"/>
              </w:rPr>
            </w:pPr>
            <w:r w:rsidRPr="00A01DCA">
              <w:rPr>
                <w:sz w:val="20"/>
              </w:rPr>
              <w:t>+4,98%</w:t>
            </w:r>
          </w:p>
        </w:tc>
      </w:tr>
      <w:tr w:rsidR="004C5F9B" w:rsidRPr="00A01DCA" w14:paraId="170D2DA2" w14:textId="77777777" w:rsidTr="004C5F9B">
        <w:trPr>
          <w:trHeight w:val="340"/>
          <w:jc w:val="center"/>
        </w:trPr>
        <w:tc>
          <w:tcPr>
            <w:tcW w:w="892" w:type="dxa"/>
            <w:vMerge/>
            <w:vAlign w:val="center"/>
          </w:tcPr>
          <w:p w14:paraId="526D4520" w14:textId="77777777" w:rsidR="00F23457" w:rsidRPr="00A01DCA" w:rsidRDefault="00F23457" w:rsidP="00F23457">
            <w:pPr>
              <w:spacing w:line="240" w:lineRule="auto"/>
              <w:ind w:firstLine="0"/>
              <w:jc w:val="center"/>
              <w:rPr>
                <w:sz w:val="20"/>
              </w:rPr>
            </w:pPr>
          </w:p>
        </w:tc>
        <w:tc>
          <w:tcPr>
            <w:tcW w:w="893" w:type="dxa"/>
            <w:vMerge/>
            <w:vAlign w:val="center"/>
          </w:tcPr>
          <w:p w14:paraId="4501C287" w14:textId="77777777" w:rsidR="00F23457" w:rsidRPr="00A01DCA" w:rsidRDefault="00F23457" w:rsidP="00F23457">
            <w:pPr>
              <w:spacing w:line="240" w:lineRule="auto"/>
              <w:ind w:firstLine="0"/>
              <w:jc w:val="center"/>
              <w:rPr>
                <w:sz w:val="20"/>
              </w:rPr>
            </w:pPr>
          </w:p>
        </w:tc>
        <w:tc>
          <w:tcPr>
            <w:tcW w:w="892" w:type="dxa"/>
            <w:vMerge/>
            <w:vAlign w:val="center"/>
          </w:tcPr>
          <w:p w14:paraId="6F909014" w14:textId="77777777" w:rsidR="00F23457" w:rsidRPr="00A01DCA" w:rsidRDefault="00F23457" w:rsidP="00F23457">
            <w:pPr>
              <w:spacing w:line="240" w:lineRule="auto"/>
              <w:ind w:firstLine="0"/>
              <w:jc w:val="center"/>
              <w:rPr>
                <w:sz w:val="20"/>
              </w:rPr>
            </w:pPr>
          </w:p>
        </w:tc>
        <w:tc>
          <w:tcPr>
            <w:tcW w:w="893" w:type="dxa"/>
            <w:vMerge/>
            <w:vAlign w:val="center"/>
          </w:tcPr>
          <w:p w14:paraId="17F443B5" w14:textId="77777777" w:rsidR="00F23457" w:rsidRPr="00A01DCA" w:rsidRDefault="00F23457" w:rsidP="00F23457">
            <w:pPr>
              <w:spacing w:line="240" w:lineRule="auto"/>
              <w:ind w:firstLine="0"/>
              <w:jc w:val="center"/>
              <w:rPr>
                <w:sz w:val="20"/>
              </w:rPr>
            </w:pPr>
          </w:p>
        </w:tc>
        <w:tc>
          <w:tcPr>
            <w:tcW w:w="893" w:type="dxa"/>
            <w:vMerge/>
            <w:tcBorders>
              <w:right w:val="double" w:sz="4" w:space="0" w:color="auto"/>
            </w:tcBorders>
            <w:vAlign w:val="center"/>
          </w:tcPr>
          <w:p w14:paraId="10D634B9" w14:textId="77777777" w:rsidR="00F23457" w:rsidRPr="00A01DCA" w:rsidRDefault="00F23457" w:rsidP="00F23457">
            <w:pPr>
              <w:spacing w:line="240" w:lineRule="auto"/>
              <w:ind w:firstLine="0"/>
              <w:jc w:val="center"/>
              <w:rPr>
                <w:sz w:val="20"/>
              </w:rPr>
            </w:pPr>
          </w:p>
        </w:tc>
        <w:tc>
          <w:tcPr>
            <w:tcW w:w="4746" w:type="dxa"/>
            <w:gridSpan w:val="5"/>
            <w:tcBorders>
              <w:left w:val="double" w:sz="4" w:space="0" w:color="auto"/>
            </w:tcBorders>
            <w:vAlign w:val="center"/>
          </w:tcPr>
          <w:p w14:paraId="01AAF888" w14:textId="6F96A8B4" w:rsidR="00F23457" w:rsidRPr="00A01DCA" w:rsidRDefault="001D3DBE" w:rsidP="00F23457">
            <w:pPr>
              <w:spacing w:line="240" w:lineRule="auto"/>
              <w:ind w:firstLine="0"/>
              <w:jc w:val="center"/>
              <w:rPr>
                <w:sz w:val="20"/>
              </w:rPr>
            </w:pPr>
            <w:r w:rsidRPr="00A01DCA">
              <w:rPr>
                <w:sz w:val="20"/>
              </w:rPr>
              <w:t>Kombinētā (ekspertu-statistiskā) prognoze</w:t>
            </w:r>
          </w:p>
        </w:tc>
      </w:tr>
      <w:tr w:rsidR="004C5F9B" w:rsidRPr="00A01DCA" w14:paraId="3EC6E052" w14:textId="77777777" w:rsidTr="004C5F9B">
        <w:trPr>
          <w:trHeight w:val="454"/>
          <w:jc w:val="center"/>
        </w:trPr>
        <w:tc>
          <w:tcPr>
            <w:tcW w:w="892" w:type="dxa"/>
            <w:vMerge/>
            <w:vAlign w:val="center"/>
          </w:tcPr>
          <w:p w14:paraId="576AE7A4" w14:textId="77777777" w:rsidR="00F23457" w:rsidRPr="00A01DCA" w:rsidRDefault="00F23457" w:rsidP="00F23457">
            <w:pPr>
              <w:spacing w:line="240" w:lineRule="auto"/>
              <w:ind w:firstLine="0"/>
              <w:jc w:val="center"/>
              <w:rPr>
                <w:sz w:val="20"/>
              </w:rPr>
            </w:pPr>
            <w:bookmarkStart w:id="29" w:name="_Hlk52987152"/>
          </w:p>
        </w:tc>
        <w:tc>
          <w:tcPr>
            <w:tcW w:w="893" w:type="dxa"/>
            <w:vMerge/>
            <w:vAlign w:val="center"/>
          </w:tcPr>
          <w:p w14:paraId="3B455785" w14:textId="77777777" w:rsidR="00F23457" w:rsidRPr="00A01DCA" w:rsidRDefault="00F23457" w:rsidP="00F23457">
            <w:pPr>
              <w:spacing w:line="240" w:lineRule="auto"/>
              <w:ind w:firstLine="0"/>
              <w:jc w:val="center"/>
              <w:rPr>
                <w:sz w:val="20"/>
              </w:rPr>
            </w:pPr>
          </w:p>
        </w:tc>
        <w:tc>
          <w:tcPr>
            <w:tcW w:w="892" w:type="dxa"/>
            <w:vMerge/>
            <w:vAlign w:val="center"/>
          </w:tcPr>
          <w:p w14:paraId="6E3B5418" w14:textId="77777777" w:rsidR="00F23457" w:rsidRPr="00A01DCA" w:rsidRDefault="00F23457" w:rsidP="00F23457">
            <w:pPr>
              <w:spacing w:line="240" w:lineRule="auto"/>
              <w:ind w:firstLine="0"/>
              <w:jc w:val="center"/>
              <w:rPr>
                <w:sz w:val="20"/>
              </w:rPr>
            </w:pPr>
          </w:p>
        </w:tc>
        <w:tc>
          <w:tcPr>
            <w:tcW w:w="893" w:type="dxa"/>
            <w:vMerge/>
            <w:vAlign w:val="center"/>
          </w:tcPr>
          <w:p w14:paraId="75160132" w14:textId="77777777" w:rsidR="00F23457" w:rsidRPr="00A01DCA" w:rsidRDefault="00F23457" w:rsidP="00F23457">
            <w:pPr>
              <w:spacing w:line="240" w:lineRule="auto"/>
              <w:ind w:firstLine="0"/>
              <w:jc w:val="center"/>
              <w:rPr>
                <w:sz w:val="20"/>
              </w:rPr>
            </w:pPr>
          </w:p>
        </w:tc>
        <w:tc>
          <w:tcPr>
            <w:tcW w:w="893" w:type="dxa"/>
            <w:vMerge/>
            <w:tcBorders>
              <w:right w:val="double" w:sz="4" w:space="0" w:color="auto"/>
            </w:tcBorders>
            <w:vAlign w:val="center"/>
          </w:tcPr>
          <w:p w14:paraId="6838CB54" w14:textId="77777777" w:rsidR="00F23457" w:rsidRPr="00A01DCA" w:rsidRDefault="00F23457" w:rsidP="00F23457">
            <w:pPr>
              <w:spacing w:line="240" w:lineRule="auto"/>
              <w:ind w:firstLine="0"/>
              <w:jc w:val="center"/>
              <w:rPr>
                <w:sz w:val="20"/>
              </w:rPr>
            </w:pPr>
          </w:p>
        </w:tc>
        <w:tc>
          <w:tcPr>
            <w:tcW w:w="892" w:type="dxa"/>
            <w:tcBorders>
              <w:left w:val="double" w:sz="4" w:space="0" w:color="auto"/>
            </w:tcBorders>
            <w:vAlign w:val="center"/>
          </w:tcPr>
          <w:p w14:paraId="65DD5292" w14:textId="4A4D5C92" w:rsidR="00F23457" w:rsidRPr="00A01DCA" w:rsidRDefault="001D3DBE" w:rsidP="00F23457">
            <w:pPr>
              <w:spacing w:line="240" w:lineRule="auto"/>
              <w:ind w:firstLine="0"/>
              <w:jc w:val="center"/>
              <w:rPr>
                <w:sz w:val="20"/>
              </w:rPr>
            </w:pPr>
            <w:r w:rsidRPr="00A01DCA">
              <w:rPr>
                <w:sz w:val="20"/>
              </w:rPr>
              <w:t>+4,76%</w:t>
            </w:r>
          </w:p>
        </w:tc>
        <w:tc>
          <w:tcPr>
            <w:tcW w:w="893" w:type="dxa"/>
            <w:vAlign w:val="center"/>
          </w:tcPr>
          <w:p w14:paraId="76B58AF2" w14:textId="19806EE6" w:rsidR="00F23457" w:rsidRPr="00A01DCA" w:rsidRDefault="001D3DBE" w:rsidP="00F23457">
            <w:pPr>
              <w:spacing w:line="240" w:lineRule="auto"/>
              <w:ind w:firstLine="0"/>
              <w:jc w:val="center"/>
              <w:rPr>
                <w:sz w:val="20"/>
              </w:rPr>
            </w:pPr>
            <w:r w:rsidRPr="00A01DCA">
              <w:rPr>
                <w:sz w:val="20"/>
              </w:rPr>
              <w:t>+4,98%</w:t>
            </w:r>
          </w:p>
        </w:tc>
        <w:tc>
          <w:tcPr>
            <w:tcW w:w="892" w:type="dxa"/>
            <w:vAlign w:val="center"/>
          </w:tcPr>
          <w:p w14:paraId="2DA052F0" w14:textId="46622036" w:rsidR="00F23457" w:rsidRPr="00A01DCA" w:rsidRDefault="001D3DBE" w:rsidP="00F23457">
            <w:pPr>
              <w:spacing w:line="240" w:lineRule="auto"/>
              <w:ind w:firstLine="0"/>
              <w:jc w:val="center"/>
              <w:rPr>
                <w:sz w:val="20"/>
              </w:rPr>
            </w:pPr>
            <w:r w:rsidRPr="00A01DCA">
              <w:rPr>
                <w:sz w:val="20"/>
              </w:rPr>
              <w:t>+4,93%</w:t>
            </w:r>
          </w:p>
        </w:tc>
        <w:tc>
          <w:tcPr>
            <w:tcW w:w="893" w:type="dxa"/>
            <w:vAlign w:val="center"/>
          </w:tcPr>
          <w:p w14:paraId="7A9A7FC0" w14:textId="222571AB" w:rsidR="00F23457" w:rsidRPr="00A01DCA" w:rsidRDefault="001D3DBE" w:rsidP="00F23457">
            <w:pPr>
              <w:spacing w:line="240" w:lineRule="auto"/>
              <w:ind w:firstLine="0"/>
              <w:jc w:val="center"/>
              <w:rPr>
                <w:sz w:val="20"/>
              </w:rPr>
            </w:pPr>
            <w:r w:rsidRPr="00A01DCA">
              <w:rPr>
                <w:sz w:val="20"/>
              </w:rPr>
              <w:t>+4,75%</w:t>
            </w:r>
          </w:p>
        </w:tc>
        <w:tc>
          <w:tcPr>
            <w:tcW w:w="1176" w:type="dxa"/>
            <w:vAlign w:val="center"/>
          </w:tcPr>
          <w:p w14:paraId="1423DC4B" w14:textId="43B2098F" w:rsidR="00F23457" w:rsidRPr="00A01DCA" w:rsidRDefault="001D3DBE" w:rsidP="00F23457">
            <w:pPr>
              <w:spacing w:line="240" w:lineRule="auto"/>
              <w:ind w:firstLine="0"/>
              <w:jc w:val="center"/>
              <w:rPr>
                <w:sz w:val="20"/>
              </w:rPr>
            </w:pPr>
            <w:r w:rsidRPr="00A01DCA">
              <w:rPr>
                <w:sz w:val="20"/>
              </w:rPr>
              <w:t>+4,95%</w:t>
            </w:r>
          </w:p>
        </w:tc>
      </w:tr>
      <w:bookmarkEnd w:id="29"/>
    </w:tbl>
    <w:p w14:paraId="3B71EA2B" w14:textId="4B2D4D39" w:rsidR="00D114C8" w:rsidRPr="004C5F9B" w:rsidRDefault="00D114C8" w:rsidP="0018196A">
      <w:pPr>
        <w:ind w:firstLine="0"/>
      </w:pPr>
    </w:p>
    <w:p w14:paraId="29C061B0" w14:textId="0B191F60" w:rsidR="00D114C8" w:rsidRPr="00F9706F" w:rsidRDefault="00CF2612" w:rsidP="00D114C8">
      <w:pPr>
        <w:rPr>
          <w:sz w:val="24"/>
          <w:szCs w:val="24"/>
        </w:rPr>
      </w:pPr>
      <w:bookmarkStart w:id="30" w:name="_Hlk522720462"/>
      <w:r w:rsidRPr="00F9706F">
        <w:rPr>
          <w:sz w:val="24"/>
          <w:szCs w:val="24"/>
        </w:rPr>
        <w:t>Apkopojot ekspertu sniegtās prognozes</w:t>
      </w:r>
      <w:r w:rsidR="00DF2DA4" w:rsidRPr="00F9706F">
        <w:rPr>
          <w:sz w:val="24"/>
          <w:szCs w:val="24"/>
        </w:rPr>
        <w:t xml:space="preserve"> </w:t>
      </w:r>
      <w:r w:rsidR="00DF2DA4" w:rsidRPr="004C5F9B">
        <w:rPr>
          <w:sz w:val="24"/>
          <w:szCs w:val="24"/>
        </w:rPr>
        <w:t>(</w:t>
      </w:r>
      <w:r w:rsidR="00DF2DA4" w:rsidRPr="004C5F9B">
        <w:rPr>
          <w:sz w:val="24"/>
          <w:szCs w:val="24"/>
        </w:rPr>
        <w:fldChar w:fldCharType="begin"/>
      </w:r>
      <w:r w:rsidR="00DF2DA4" w:rsidRPr="004C5F9B">
        <w:rPr>
          <w:sz w:val="24"/>
          <w:szCs w:val="24"/>
        </w:rPr>
        <w:instrText xml:space="preserve"> REF _Ref522228437 \h </w:instrText>
      </w:r>
      <w:r w:rsidR="00F9706F" w:rsidRPr="004C5F9B">
        <w:rPr>
          <w:sz w:val="24"/>
          <w:szCs w:val="24"/>
        </w:rPr>
        <w:instrText xml:space="preserve"> \* MERGEFORMAT </w:instrText>
      </w:r>
      <w:r w:rsidR="00DF2DA4" w:rsidRPr="004C5F9B">
        <w:rPr>
          <w:sz w:val="24"/>
          <w:szCs w:val="24"/>
        </w:rPr>
      </w:r>
      <w:r w:rsidR="00DF2DA4" w:rsidRPr="004C5F9B">
        <w:rPr>
          <w:sz w:val="24"/>
          <w:szCs w:val="24"/>
        </w:rPr>
        <w:fldChar w:fldCharType="separate"/>
      </w:r>
      <w:r w:rsidR="00363B39" w:rsidRPr="004C5F9B">
        <w:rPr>
          <w:sz w:val="24"/>
          <w:szCs w:val="24"/>
        </w:rPr>
        <w:t xml:space="preserve">Tabula </w:t>
      </w:r>
      <w:r w:rsidR="00DF2DA4" w:rsidRPr="004C5F9B">
        <w:rPr>
          <w:sz w:val="24"/>
          <w:szCs w:val="24"/>
        </w:rPr>
        <w:fldChar w:fldCharType="end"/>
      </w:r>
      <w:r w:rsidR="004C5F9B" w:rsidRPr="004C5F9B">
        <w:rPr>
          <w:sz w:val="24"/>
          <w:szCs w:val="24"/>
        </w:rPr>
        <w:t>3</w:t>
      </w:r>
      <w:r w:rsidR="0018196A" w:rsidRPr="004C5F9B">
        <w:rPr>
          <w:sz w:val="24"/>
          <w:szCs w:val="24"/>
        </w:rPr>
        <w:t>.</w:t>
      </w:r>
      <w:r w:rsidR="00DF2DA4" w:rsidRPr="004C5F9B">
        <w:rPr>
          <w:sz w:val="24"/>
          <w:szCs w:val="24"/>
        </w:rPr>
        <w:t>)</w:t>
      </w:r>
      <w:r w:rsidRPr="004C5F9B">
        <w:rPr>
          <w:sz w:val="24"/>
          <w:szCs w:val="24"/>
        </w:rPr>
        <w:t xml:space="preserve">, </w:t>
      </w:r>
      <w:r w:rsidRPr="00F9706F">
        <w:rPr>
          <w:sz w:val="24"/>
          <w:szCs w:val="24"/>
        </w:rPr>
        <w:t xml:space="preserve">visstraujākais izmaksu izmaiņu raksturs paredzams darba samaksai, kam seko arhitektūras un inženiertehnisko pakalpojumu izmaksas – tām izmaksu pozīcijām, kas ir vairāk saistītas ar darbaspēka piesaistīšanu. </w:t>
      </w:r>
      <w:r w:rsidR="003034CC" w:rsidRPr="00F9706F">
        <w:rPr>
          <w:sz w:val="24"/>
          <w:szCs w:val="24"/>
        </w:rPr>
        <w:t>T</w:t>
      </w:r>
      <w:r w:rsidRPr="00F9706F">
        <w:rPr>
          <w:sz w:val="24"/>
          <w:szCs w:val="24"/>
        </w:rPr>
        <w:t xml:space="preserve">omēr nevienā pozīcijā un gadā netiek prognozēts izmaksu samazinājums. </w:t>
      </w:r>
    </w:p>
    <w:p w14:paraId="68D9FF76" w14:textId="77777777" w:rsidR="003034CC" w:rsidRDefault="003034CC" w:rsidP="00D114C8"/>
    <w:p w14:paraId="2B3C6BF2" w14:textId="582A919C" w:rsidR="003D6F5B" w:rsidRPr="001A72D7" w:rsidRDefault="003D6F5B" w:rsidP="00F016B1">
      <w:pPr>
        <w:pStyle w:val="Heading2"/>
        <w:numPr>
          <w:ilvl w:val="1"/>
          <w:numId w:val="1"/>
        </w:numPr>
      </w:pPr>
      <w:bookmarkStart w:id="31" w:name="_Toc54287919"/>
      <w:bookmarkEnd w:id="30"/>
      <w:r w:rsidRPr="001A72D7">
        <w:t>Būvniecības produkcijas apjoma un izmaksu izmaiņu prognoze</w:t>
      </w:r>
      <w:r>
        <w:t xml:space="preserve"> </w:t>
      </w:r>
      <w:proofErr w:type="spellStart"/>
      <w:r>
        <w:t>apakšnozarēs</w:t>
      </w:r>
      <w:bookmarkEnd w:id="31"/>
      <w:proofErr w:type="spellEnd"/>
    </w:p>
    <w:p w14:paraId="70C50C0B" w14:textId="6582403F" w:rsidR="00FC269F" w:rsidRPr="004C5F9B" w:rsidRDefault="003D6F5B" w:rsidP="00D114C8">
      <w:pPr>
        <w:rPr>
          <w:sz w:val="24"/>
          <w:szCs w:val="24"/>
        </w:rPr>
      </w:pPr>
      <w:r w:rsidRPr="004C5F9B">
        <w:rPr>
          <w:sz w:val="24"/>
          <w:szCs w:val="24"/>
        </w:rPr>
        <w:t xml:space="preserve">Pētījuma gaitā </w:t>
      </w:r>
      <w:r w:rsidR="00FC269F" w:rsidRPr="004C5F9B">
        <w:rPr>
          <w:sz w:val="24"/>
          <w:szCs w:val="24"/>
        </w:rPr>
        <w:t xml:space="preserve">tika veikta </w:t>
      </w:r>
      <w:r w:rsidR="00684234" w:rsidRPr="004C5F9B">
        <w:rPr>
          <w:sz w:val="24"/>
          <w:szCs w:val="24"/>
        </w:rPr>
        <w:t xml:space="preserve">būvniecības </w:t>
      </w:r>
      <w:proofErr w:type="spellStart"/>
      <w:r w:rsidR="00FC269F" w:rsidRPr="004C5F9B">
        <w:rPr>
          <w:sz w:val="24"/>
          <w:szCs w:val="24"/>
        </w:rPr>
        <w:t>apakšnozaru</w:t>
      </w:r>
      <w:proofErr w:type="spellEnd"/>
      <w:r w:rsidR="00FC269F" w:rsidRPr="004C5F9B">
        <w:rPr>
          <w:sz w:val="24"/>
          <w:szCs w:val="24"/>
        </w:rPr>
        <w:t xml:space="preserve"> ekspertu aptauja, attiecīgi aplūkojot prognozētās būvniecības </w:t>
      </w:r>
      <w:r w:rsidR="00FE51C1" w:rsidRPr="004C5F9B">
        <w:rPr>
          <w:sz w:val="24"/>
          <w:szCs w:val="24"/>
        </w:rPr>
        <w:t xml:space="preserve">produkcijas un </w:t>
      </w:r>
      <w:r w:rsidR="00FC269F" w:rsidRPr="004C5F9B">
        <w:rPr>
          <w:sz w:val="24"/>
          <w:szCs w:val="24"/>
        </w:rPr>
        <w:t>izmaksu izmaiņas pa objektu grupām un resursu veidiem</w:t>
      </w:r>
      <w:r w:rsidR="00684234" w:rsidRPr="004C5F9B">
        <w:rPr>
          <w:sz w:val="24"/>
          <w:szCs w:val="24"/>
        </w:rPr>
        <w:t xml:space="preserve"> (</w:t>
      </w:r>
      <w:r w:rsidR="00684234" w:rsidRPr="004C5F9B">
        <w:rPr>
          <w:sz w:val="24"/>
          <w:szCs w:val="24"/>
        </w:rPr>
        <w:fldChar w:fldCharType="begin"/>
      </w:r>
      <w:r w:rsidR="00684234" w:rsidRPr="004C5F9B">
        <w:rPr>
          <w:sz w:val="24"/>
          <w:szCs w:val="24"/>
        </w:rPr>
        <w:instrText xml:space="preserve"> REF _Ref522281168 \h </w:instrText>
      </w:r>
      <w:r w:rsidR="004C5F9B">
        <w:rPr>
          <w:sz w:val="24"/>
          <w:szCs w:val="24"/>
        </w:rPr>
        <w:instrText xml:space="preserve"> \* MERGEFORMAT </w:instrText>
      </w:r>
      <w:r w:rsidR="00684234" w:rsidRPr="004C5F9B">
        <w:rPr>
          <w:sz w:val="24"/>
          <w:szCs w:val="24"/>
        </w:rPr>
      </w:r>
      <w:r w:rsidR="00684234" w:rsidRPr="004C5F9B">
        <w:rPr>
          <w:sz w:val="24"/>
          <w:szCs w:val="24"/>
        </w:rPr>
        <w:fldChar w:fldCharType="separate"/>
      </w:r>
      <w:r w:rsidR="00684234" w:rsidRPr="004C5F9B">
        <w:rPr>
          <w:sz w:val="24"/>
          <w:szCs w:val="24"/>
        </w:rPr>
        <w:t xml:space="preserve">Tabula </w:t>
      </w:r>
      <w:r w:rsidR="00684234" w:rsidRPr="004C5F9B">
        <w:rPr>
          <w:sz w:val="24"/>
          <w:szCs w:val="24"/>
        </w:rPr>
        <w:fldChar w:fldCharType="end"/>
      </w:r>
      <w:r w:rsidR="00584BE1" w:rsidRPr="004C5F9B">
        <w:rPr>
          <w:sz w:val="24"/>
          <w:szCs w:val="24"/>
        </w:rPr>
        <w:t>4</w:t>
      </w:r>
      <w:r w:rsidR="00684234" w:rsidRPr="004C5F9B">
        <w:rPr>
          <w:sz w:val="24"/>
          <w:szCs w:val="24"/>
        </w:rPr>
        <w:t>.).</w:t>
      </w:r>
    </w:p>
    <w:p w14:paraId="1A51F8E1" w14:textId="7649C77C" w:rsidR="00E67E49" w:rsidRPr="004C5F9B" w:rsidRDefault="00684234" w:rsidP="00D114C8">
      <w:pPr>
        <w:rPr>
          <w:sz w:val="24"/>
          <w:szCs w:val="24"/>
        </w:rPr>
      </w:pPr>
      <w:r w:rsidRPr="004C5F9B">
        <w:rPr>
          <w:sz w:val="24"/>
          <w:szCs w:val="24"/>
        </w:rPr>
        <w:t xml:space="preserve">Pētījums liecina, ka </w:t>
      </w:r>
      <w:r w:rsidR="00E67E49" w:rsidRPr="004C5F9B">
        <w:rPr>
          <w:sz w:val="24"/>
          <w:szCs w:val="24"/>
        </w:rPr>
        <w:t xml:space="preserve">visās </w:t>
      </w:r>
      <w:proofErr w:type="spellStart"/>
      <w:r w:rsidR="00E67E49" w:rsidRPr="004C5F9B">
        <w:rPr>
          <w:sz w:val="24"/>
          <w:szCs w:val="24"/>
        </w:rPr>
        <w:t>apakšnozarēs</w:t>
      </w:r>
      <w:proofErr w:type="spellEnd"/>
      <w:r w:rsidR="0018196A" w:rsidRPr="004C5F9B">
        <w:rPr>
          <w:sz w:val="24"/>
          <w:szCs w:val="24"/>
        </w:rPr>
        <w:t>,</w:t>
      </w:r>
      <w:r w:rsidR="00E67E49" w:rsidRPr="004C5F9B">
        <w:rPr>
          <w:sz w:val="24"/>
          <w:szCs w:val="24"/>
        </w:rPr>
        <w:t xml:space="preserve"> aplūkojamas līdzīgas tendences ar </w:t>
      </w:r>
      <w:r w:rsidR="00612D93" w:rsidRPr="004C5F9B">
        <w:rPr>
          <w:sz w:val="24"/>
          <w:szCs w:val="24"/>
        </w:rPr>
        <w:t>samazinājumu</w:t>
      </w:r>
      <w:r w:rsidR="00E67E49" w:rsidRPr="004C5F9B">
        <w:rPr>
          <w:sz w:val="24"/>
          <w:szCs w:val="24"/>
        </w:rPr>
        <w:t xml:space="preserve"> sākotnējos periodus un </w:t>
      </w:r>
      <w:r w:rsidR="00612D93" w:rsidRPr="004C5F9B">
        <w:rPr>
          <w:sz w:val="24"/>
          <w:szCs w:val="24"/>
        </w:rPr>
        <w:t>pieaugumu</w:t>
      </w:r>
      <w:r w:rsidR="00E67E49" w:rsidRPr="004C5F9B">
        <w:rPr>
          <w:sz w:val="24"/>
          <w:szCs w:val="24"/>
        </w:rPr>
        <w:t xml:space="preserve"> pēdējos periodus</w:t>
      </w:r>
      <w:r w:rsidR="00AA213E" w:rsidRPr="004C5F9B">
        <w:rPr>
          <w:sz w:val="24"/>
          <w:szCs w:val="24"/>
        </w:rPr>
        <w:t>.</w:t>
      </w:r>
      <w:r w:rsidR="00E67E49" w:rsidRPr="004C5F9B">
        <w:rPr>
          <w:sz w:val="24"/>
          <w:szCs w:val="24"/>
        </w:rPr>
        <w:t xml:space="preserve"> </w:t>
      </w:r>
      <w:bookmarkStart w:id="32" w:name="_Hlk522720576"/>
      <w:r w:rsidR="00E67E49" w:rsidRPr="004C5F9B">
        <w:rPr>
          <w:sz w:val="24"/>
          <w:szCs w:val="24"/>
        </w:rPr>
        <w:t xml:space="preserve">Visstraujāko izaugsmi </w:t>
      </w:r>
      <w:r w:rsidR="00916DB1" w:rsidRPr="004C5F9B">
        <w:rPr>
          <w:sz w:val="24"/>
          <w:szCs w:val="24"/>
        </w:rPr>
        <w:t>2020</w:t>
      </w:r>
      <w:r w:rsidR="00E67E49" w:rsidRPr="004C5F9B">
        <w:rPr>
          <w:sz w:val="24"/>
          <w:szCs w:val="24"/>
        </w:rPr>
        <w:t>.</w:t>
      </w:r>
      <w:r w:rsidR="0018196A" w:rsidRPr="004C5F9B">
        <w:rPr>
          <w:sz w:val="24"/>
          <w:szCs w:val="24"/>
        </w:rPr>
        <w:t xml:space="preserve"> </w:t>
      </w:r>
      <w:r w:rsidR="00E67E49" w:rsidRPr="004C5F9B">
        <w:rPr>
          <w:sz w:val="24"/>
          <w:szCs w:val="24"/>
        </w:rPr>
        <w:t>gadā ekspert</w:t>
      </w:r>
      <w:r w:rsidR="00F138E3" w:rsidRPr="004C5F9B">
        <w:rPr>
          <w:sz w:val="24"/>
          <w:szCs w:val="24"/>
        </w:rPr>
        <w:t>i</w:t>
      </w:r>
      <w:r w:rsidR="00E67E49" w:rsidRPr="004C5F9B">
        <w:rPr>
          <w:sz w:val="24"/>
          <w:szCs w:val="24"/>
        </w:rPr>
        <w:t xml:space="preserve"> vidēji paredz </w:t>
      </w:r>
      <w:r w:rsidR="00916DB1" w:rsidRPr="004C5F9B">
        <w:rPr>
          <w:sz w:val="24"/>
          <w:szCs w:val="24"/>
        </w:rPr>
        <w:t>tiltu un tuneļu bū</w:t>
      </w:r>
      <w:r w:rsidR="0018196A" w:rsidRPr="004C5F9B">
        <w:rPr>
          <w:sz w:val="24"/>
          <w:szCs w:val="24"/>
        </w:rPr>
        <w:t>v</w:t>
      </w:r>
      <w:r w:rsidR="00916DB1" w:rsidRPr="004C5F9B">
        <w:rPr>
          <w:sz w:val="24"/>
          <w:szCs w:val="24"/>
        </w:rPr>
        <w:t>niecība</w:t>
      </w:r>
      <w:r w:rsidR="0018196A" w:rsidRPr="004C5F9B">
        <w:rPr>
          <w:sz w:val="24"/>
          <w:szCs w:val="24"/>
        </w:rPr>
        <w:t>i</w:t>
      </w:r>
      <w:r w:rsidR="00916DB1" w:rsidRPr="004C5F9B">
        <w:rPr>
          <w:sz w:val="24"/>
          <w:szCs w:val="24"/>
        </w:rPr>
        <w:t xml:space="preserve"> +9,71%</w:t>
      </w:r>
      <w:r w:rsidR="00E67E49" w:rsidRPr="004C5F9B">
        <w:rPr>
          <w:sz w:val="24"/>
          <w:szCs w:val="24"/>
        </w:rPr>
        <w:t xml:space="preserve">, savukārt </w:t>
      </w:r>
      <w:r w:rsidR="0018196A" w:rsidRPr="004C5F9B">
        <w:rPr>
          <w:sz w:val="24"/>
          <w:szCs w:val="24"/>
        </w:rPr>
        <w:t>kritums tiek prognozēts</w:t>
      </w:r>
      <w:r w:rsidR="00E67E49" w:rsidRPr="004C5F9B">
        <w:rPr>
          <w:sz w:val="24"/>
          <w:szCs w:val="24"/>
        </w:rPr>
        <w:t xml:space="preserve"> </w:t>
      </w:r>
      <w:r w:rsidR="00916DB1" w:rsidRPr="004C5F9B">
        <w:rPr>
          <w:sz w:val="24"/>
          <w:szCs w:val="24"/>
        </w:rPr>
        <w:t xml:space="preserve">pārējā </w:t>
      </w:r>
      <w:proofErr w:type="spellStart"/>
      <w:r w:rsidR="00916DB1" w:rsidRPr="004C5F9B">
        <w:rPr>
          <w:sz w:val="24"/>
          <w:szCs w:val="24"/>
        </w:rPr>
        <w:t>inženierbūvniecībā</w:t>
      </w:r>
      <w:proofErr w:type="spellEnd"/>
      <w:r w:rsidR="00916DB1" w:rsidRPr="004C5F9B">
        <w:rPr>
          <w:sz w:val="24"/>
          <w:szCs w:val="24"/>
        </w:rPr>
        <w:t xml:space="preserve"> </w:t>
      </w:r>
      <w:r w:rsidR="0018196A" w:rsidRPr="004C5F9B">
        <w:rPr>
          <w:sz w:val="24"/>
          <w:szCs w:val="24"/>
        </w:rPr>
        <w:t>-</w:t>
      </w:r>
      <w:r w:rsidR="00916DB1" w:rsidRPr="004C5F9B">
        <w:rPr>
          <w:sz w:val="24"/>
          <w:szCs w:val="24"/>
        </w:rPr>
        <w:t xml:space="preserve"> 11,1%</w:t>
      </w:r>
      <w:r w:rsidR="00E67E49" w:rsidRPr="004C5F9B">
        <w:rPr>
          <w:sz w:val="24"/>
          <w:szCs w:val="24"/>
        </w:rPr>
        <w:t>. Termiņā līdz 202</w:t>
      </w:r>
      <w:r w:rsidR="00916DB1" w:rsidRPr="004C5F9B">
        <w:rPr>
          <w:sz w:val="24"/>
          <w:szCs w:val="24"/>
        </w:rPr>
        <w:t>4</w:t>
      </w:r>
      <w:r w:rsidR="00E67E49" w:rsidRPr="004C5F9B">
        <w:rPr>
          <w:sz w:val="24"/>
          <w:szCs w:val="24"/>
        </w:rPr>
        <w:t>.</w:t>
      </w:r>
      <w:r w:rsidR="00A03B6A" w:rsidRPr="004C5F9B">
        <w:rPr>
          <w:sz w:val="24"/>
          <w:szCs w:val="24"/>
        </w:rPr>
        <w:t xml:space="preserve"> </w:t>
      </w:r>
      <w:r w:rsidR="00E67E49" w:rsidRPr="004C5F9B">
        <w:rPr>
          <w:sz w:val="24"/>
          <w:szCs w:val="24"/>
        </w:rPr>
        <w:t xml:space="preserve">gadam gandrīz visās </w:t>
      </w:r>
      <w:proofErr w:type="spellStart"/>
      <w:r w:rsidR="00E67E49" w:rsidRPr="004C5F9B">
        <w:rPr>
          <w:sz w:val="24"/>
          <w:szCs w:val="24"/>
        </w:rPr>
        <w:t>apakšnozarēs</w:t>
      </w:r>
      <w:proofErr w:type="spellEnd"/>
      <w:r w:rsidR="00E67E49" w:rsidRPr="004C5F9B">
        <w:rPr>
          <w:sz w:val="24"/>
          <w:szCs w:val="24"/>
        </w:rPr>
        <w:t xml:space="preserve"> ekspertu vērtējumi kļūst samērā viendabīgi</w:t>
      </w:r>
      <w:r w:rsidRPr="004C5F9B">
        <w:rPr>
          <w:sz w:val="24"/>
          <w:szCs w:val="24"/>
        </w:rPr>
        <w:t>.</w:t>
      </w:r>
      <w:bookmarkEnd w:id="32"/>
    </w:p>
    <w:p w14:paraId="0108CBC7" w14:textId="74B921C1" w:rsidR="00167BB5" w:rsidRPr="004C5F9B" w:rsidRDefault="00A25DEA" w:rsidP="00D0421A">
      <w:pPr>
        <w:rPr>
          <w:sz w:val="24"/>
          <w:szCs w:val="24"/>
        </w:rPr>
      </w:pPr>
      <w:r w:rsidRPr="004C5F9B">
        <w:rPr>
          <w:sz w:val="24"/>
          <w:szCs w:val="24"/>
        </w:rPr>
        <w:t>Kā būtisks izrāviens tiek prognozēts 2021.-202</w:t>
      </w:r>
      <w:r w:rsidR="00410A91" w:rsidRPr="004C5F9B">
        <w:rPr>
          <w:sz w:val="24"/>
          <w:szCs w:val="24"/>
        </w:rPr>
        <w:t>3</w:t>
      </w:r>
      <w:r w:rsidRPr="004C5F9B">
        <w:rPr>
          <w:sz w:val="24"/>
          <w:szCs w:val="24"/>
        </w:rPr>
        <w:t>.</w:t>
      </w:r>
      <w:r w:rsidR="00A03B6A" w:rsidRPr="004C5F9B">
        <w:rPr>
          <w:sz w:val="24"/>
          <w:szCs w:val="24"/>
        </w:rPr>
        <w:t xml:space="preserve"> </w:t>
      </w:r>
      <w:r w:rsidRPr="004C5F9B">
        <w:rPr>
          <w:sz w:val="24"/>
          <w:szCs w:val="24"/>
        </w:rPr>
        <w:t xml:space="preserve">gada periods </w:t>
      </w:r>
      <w:r w:rsidR="00061133" w:rsidRPr="004C5F9B">
        <w:rPr>
          <w:sz w:val="24"/>
          <w:szCs w:val="24"/>
        </w:rPr>
        <w:t>dzelzceļu</w:t>
      </w:r>
      <w:r w:rsidRPr="004C5F9B">
        <w:rPr>
          <w:sz w:val="24"/>
          <w:szCs w:val="24"/>
        </w:rPr>
        <w:t xml:space="preserve"> būvniecībā</w:t>
      </w:r>
      <w:r w:rsidR="00684234" w:rsidRPr="004C5F9B">
        <w:rPr>
          <w:sz w:val="24"/>
          <w:szCs w:val="24"/>
        </w:rPr>
        <w:t>, n</w:t>
      </w:r>
      <w:r w:rsidR="00410A91" w:rsidRPr="004C5F9B">
        <w:rPr>
          <w:sz w:val="24"/>
          <w:szCs w:val="24"/>
        </w:rPr>
        <w:t xml:space="preserve">o visām </w:t>
      </w:r>
      <w:proofErr w:type="spellStart"/>
      <w:r w:rsidR="00410A91" w:rsidRPr="004C5F9B">
        <w:rPr>
          <w:sz w:val="24"/>
          <w:szCs w:val="24"/>
        </w:rPr>
        <w:t>apakšnozarēm</w:t>
      </w:r>
      <w:proofErr w:type="spellEnd"/>
      <w:r w:rsidR="00410A91" w:rsidRPr="004C5F9B">
        <w:rPr>
          <w:sz w:val="24"/>
          <w:szCs w:val="24"/>
        </w:rPr>
        <w:t xml:space="preserve"> šis ir visbūtiskākais prognozētais pieaugums. </w:t>
      </w:r>
    </w:p>
    <w:p w14:paraId="47972DAD" w14:textId="5718D677" w:rsidR="00D0421A" w:rsidRDefault="00207D2A" w:rsidP="00D0421A">
      <w:pPr>
        <w:pStyle w:val="Caption"/>
        <w:keepNext/>
        <w:spacing w:after="0"/>
        <w:jc w:val="right"/>
      </w:pPr>
      <w:bookmarkStart w:id="33" w:name="_Ref522281168"/>
      <w:r>
        <w:t xml:space="preserve">Tabula </w:t>
      </w:r>
      <w:r w:rsidR="00584BE1">
        <w:t>4</w:t>
      </w:r>
      <w:bookmarkEnd w:id="33"/>
      <w:r>
        <w:t xml:space="preserve">. </w:t>
      </w:r>
    </w:p>
    <w:p w14:paraId="74B13892" w14:textId="3EE9C1E9" w:rsidR="00207D2A" w:rsidRDefault="00207D2A" w:rsidP="003034CC">
      <w:pPr>
        <w:pStyle w:val="Caption"/>
        <w:keepNext/>
        <w:spacing w:after="0"/>
        <w:ind w:firstLine="0"/>
      </w:pPr>
      <w:r>
        <w:t xml:space="preserve">Būvniecības produkcijas izmaiņu prognozes procentos pret iepriekšējo gadu pēc </w:t>
      </w:r>
      <w:proofErr w:type="spellStart"/>
      <w:r>
        <w:t>apakšnozaru</w:t>
      </w:r>
      <w:proofErr w:type="spellEnd"/>
      <w:r>
        <w:t xml:space="preserve"> ekspertu vidējā vērtējuma</w:t>
      </w:r>
      <w:r w:rsidR="008A4196">
        <w:t>.</w:t>
      </w:r>
    </w:p>
    <w:tbl>
      <w:tblPr>
        <w:tblStyle w:val="GridTable1Light"/>
        <w:tblW w:w="9017" w:type="dxa"/>
        <w:jc w:val="center"/>
        <w:tblLayout w:type="fixed"/>
        <w:tblLook w:val="06A0" w:firstRow="1" w:lastRow="0" w:firstColumn="1" w:lastColumn="0" w:noHBand="1" w:noVBand="1"/>
      </w:tblPr>
      <w:tblGrid>
        <w:gridCol w:w="4248"/>
        <w:gridCol w:w="953"/>
        <w:gridCol w:w="954"/>
        <w:gridCol w:w="954"/>
        <w:gridCol w:w="954"/>
        <w:gridCol w:w="954"/>
      </w:tblGrid>
      <w:tr w:rsidR="00207D2A" w:rsidRPr="00631B24" w14:paraId="22CCECEC" w14:textId="77777777" w:rsidTr="00D0421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358109C5" w14:textId="77777777" w:rsidR="00207D2A" w:rsidRPr="00631B24" w:rsidRDefault="00207D2A" w:rsidP="00207D2A">
            <w:pPr>
              <w:spacing w:line="240" w:lineRule="auto"/>
              <w:ind w:firstLine="0"/>
              <w:jc w:val="left"/>
              <w:rPr>
                <w:rFonts w:eastAsia="Times New Roman" w:cstheme="minorHAnsi"/>
                <w:b w:val="0"/>
                <w:sz w:val="20"/>
                <w:szCs w:val="20"/>
                <w:lang w:eastAsia="lv-LV"/>
              </w:rPr>
            </w:pPr>
          </w:p>
        </w:tc>
        <w:tc>
          <w:tcPr>
            <w:tcW w:w="953" w:type="dxa"/>
            <w:noWrap/>
            <w:hideMark/>
          </w:tcPr>
          <w:p w14:paraId="32608FE0" w14:textId="5FF958F3" w:rsidR="00207D2A" w:rsidRPr="00631B24" w:rsidRDefault="00FF6BD6" w:rsidP="00207D2A">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lang w:eastAsia="lv-LV"/>
              </w:rPr>
            </w:pPr>
            <w:r>
              <w:rPr>
                <w:rFonts w:eastAsia="Times New Roman" w:cstheme="minorHAnsi"/>
                <w:b w:val="0"/>
                <w:color w:val="000000"/>
                <w:lang w:eastAsia="lv-LV"/>
              </w:rPr>
              <w:t>2020</w:t>
            </w:r>
            <w:r w:rsidR="0047275C">
              <w:rPr>
                <w:rFonts w:eastAsia="Times New Roman" w:cstheme="minorHAnsi"/>
                <w:b w:val="0"/>
                <w:color w:val="000000"/>
                <w:lang w:eastAsia="lv-LV"/>
              </w:rPr>
              <w:t>.</w:t>
            </w:r>
          </w:p>
        </w:tc>
        <w:tc>
          <w:tcPr>
            <w:tcW w:w="954" w:type="dxa"/>
            <w:noWrap/>
            <w:hideMark/>
          </w:tcPr>
          <w:p w14:paraId="3D7C5EE4" w14:textId="7BD64375" w:rsidR="00207D2A" w:rsidRPr="00631B24" w:rsidRDefault="00FF6BD6" w:rsidP="00207D2A">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lang w:eastAsia="lv-LV"/>
              </w:rPr>
            </w:pPr>
            <w:r>
              <w:rPr>
                <w:rFonts w:eastAsia="Times New Roman" w:cstheme="minorHAnsi"/>
                <w:b w:val="0"/>
                <w:color w:val="000000"/>
                <w:lang w:eastAsia="lv-LV"/>
              </w:rPr>
              <w:t>2021</w:t>
            </w:r>
            <w:r w:rsidR="0047275C">
              <w:rPr>
                <w:rFonts w:eastAsia="Times New Roman" w:cstheme="minorHAnsi"/>
                <w:b w:val="0"/>
                <w:color w:val="000000"/>
                <w:lang w:eastAsia="lv-LV"/>
              </w:rPr>
              <w:t>.</w:t>
            </w:r>
          </w:p>
        </w:tc>
        <w:tc>
          <w:tcPr>
            <w:tcW w:w="954" w:type="dxa"/>
            <w:noWrap/>
            <w:hideMark/>
          </w:tcPr>
          <w:p w14:paraId="6751147C" w14:textId="65E6CFE5" w:rsidR="00207D2A" w:rsidRPr="00631B24" w:rsidRDefault="00FF6BD6" w:rsidP="00207D2A">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lang w:eastAsia="lv-LV"/>
              </w:rPr>
            </w:pPr>
            <w:r>
              <w:rPr>
                <w:rFonts w:eastAsia="Times New Roman" w:cstheme="minorHAnsi"/>
                <w:b w:val="0"/>
                <w:color w:val="000000"/>
                <w:lang w:eastAsia="lv-LV"/>
              </w:rPr>
              <w:t>2022</w:t>
            </w:r>
            <w:r w:rsidR="0047275C">
              <w:rPr>
                <w:rFonts w:eastAsia="Times New Roman" w:cstheme="minorHAnsi"/>
                <w:b w:val="0"/>
                <w:color w:val="000000"/>
                <w:lang w:eastAsia="lv-LV"/>
              </w:rPr>
              <w:t>.</w:t>
            </w:r>
          </w:p>
        </w:tc>
        <w:tc>
          <w:tcPr>
            <w:tcW w:w="954" w:type="dxa"/>
            <w:noWrap/>
            <w:hideMark/>
          </w:tcPr>
          <w:p w14:paraId="2C8BDA13" w14:textId="62C26FB6" w:rsidR="00207D2A" w:rsidRPr="00631B24" w:rsidRDefault="00FF6BD6" w:rsidP="00207D2A">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lang w:eastAsia="lv-LV"/>
              </w:rPr>
            </w:pPr>
            <w:r>
              <w:rPr>
                <w:rFonts w:eastAsia="Times New Roman" w:cstheme="minorHAnsi"/>
                <w:b w:val="0"/>
                <w:color w:val="000000"/>
                <w:lang w:eastAsia="lv-LV"/>
              </w:rPr>
              <w:t>2023</w:t>
            </w:r>
            <w:r w:rsidR="0047275C">
              <w:rPr>
                <w:rFonts w:eastAsia="Times New Roman" w:cstheme="minorHAnsi"/>
                <w:b w:val="0"/>
                <w:color w:val="000000"/>
                <w:lang w:eastAsia="lv-LV"/>
              </w:rPr>
              <w:t>.</w:t>
            </w:r>
          </w:p>
        </w:tc>
        <w:tc>
          <w:tcPr>
            <w:tcW w:w="954" w:type="dxa"/>
            <w:noWrap/>
            <w:hideMark/>
          </w:tcPr>
          <w:p w14:paraId="0C39DC81" w14:textId="58448C0E" w:rsidR="00207D2A" w:rsidRPr="00631B24" w:rsidRDefault="00FF6BD6" w:rsidP="00207D2A">
            <w:pPr>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lang w:eastAsia="lv-LV"/>
              </w:rPr>
            </w:pPr>
            <w:r>
              <w:rPr>
                <w:rFonts w:eastAsia="Times New Roman" w:cstheme="minorHAnsi"/>
                <w:b w:val="0"/>
                <w:color w:val="000000"/>
                <w:lang w:eastAsia="lv-LV"/>
              </w:rPr>
              <w:t>2024</w:t>
            </w:r>
            <w:r w:rsidR="0047275C">
              <w:rPr>
                <w:rFonts w:eastAsia="Times New Roman" w:cstheme="minorHAnsi"/>
                <w:b w:val="0"/>
                <w:color w:val="000000"/>
                <w:lang w:eastAsia="lv-LV"/>
              </w:rPr>
              <w:t>.</w:t>
            </w:r>
          </w:p>
        </w:tc>
      </w:tr>
      <w:tr w:rsidR="00751BAC" w:rsidRPr="00631B24" w14:paraId="6963E59A" w14:textId="77777777" w:rsidTr="00D0421A">
        <w:trPr>
          <w:trHeight w:val="30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737F9AA7" w14:textId="5CEE9C9B" w:rsidR="00751BAC" w:rsidRPr="00631B24" w:rsidRDefault="00751BAC" w:rsidP="00751BAC">
            <w:pPr>
              <w:spacing w:line="240" w:lineRule="auto"/>
              <w:ind w:firstLine="0"/>
              <w:jc w:val="left"/>
              <w:rPr>
                <w:rFonts w:eastAsia="Times New Roman" w:cstheme="minorHAnsi"/>
                <w:b w:val="0"/>
                <w:color w:val="000000"/>
                <w:lang w:eastAsia="lv-LV"/>
              </w:rPr>
            </w:pPr>
            <w:r w:rsidRPr="00631B24">
              <w:rPr>
                <w:rFonts w:eastAsia="Times New Roman" w:cstheme="minorHAnsi"/>
                <w:b w:val="0"/>
                <w:color w:val="000000"/>
                <w:lang w:eastAsia="lv-LV"/>
              </w:rPr>
              <w:t>Dzīvojamo ēku būvniecība</w:t>
            </w:r>
          </w:p>
        </w:tc>
        <w:tc>
          <w:tcPr>
            <w:tcW w:w="953" w:type="dxa"/>
            <w:noWrap/>
            <w:vAlign w:val="center"/>
          </w:tcPr>
          <w:p w14:paraId="015D010B" w14:textId="2813C09C" w:rsidR="00751BAC" w:rsidRPr="0047275C" w:rsidRDefault="00751BA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sidRPr="0047275C">
              <w:rPr>
                <w:rFonts w:cstheme="minorHAnsi"/>
                <w:color w:val="000000"/>
              </w:rPr>
              <w:t>-0,37</w:t>
            </w:r>
          </w:p>
        </w:tc>
        <w:tc>
          <w:tcPr>
            <w:tcW w:w="954" w:type="dxa"/>
            <w:noWrap/>
            <w:vAlign w:val="center"/>
          </w:tcPr>
          <w:p w14:paraId="67FDA696" w14:textId="18D0F01A" w:rsidR="00751BAC" w:rsidRPr="0047275C" w:rsidRDefault="00751BA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sidRPr="0047275C">
              <w:rPr>
                <w:rFonts w:cstheme="minorHAnsi"/>
                <w:color w:val="000000"/>
              </w:rPr>
              <w:t>-3,02</w:t>
            </w:r>
          </w:p>
        </w:tc>
        <w:tc>
          <w:tcPr>
            <w:tcW w:w="954" w:type="dxa"/>
            <w:noWrap/>
            <w:vAlign w:val="center"/>
          </w:tcPr>
          <w:p w14:paraId="08ECAD0D" w14:textId="244FC940" w:rsidR="00751BAC"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751BAC" w:rsidRPr="0047275C">
              <w:rPr>
                <w:rFonts w:cstheme="minorHAnsi"/>
                <w:color w:val="000000"/>
              </w:rPr>
              <w:t>0,57</w:t>
            </w:r>
          </w:p>
        </w:tc>
        <w:tc>
          <w:tcPr>
            <w:tcW w:w="954" w:type="dxa"/>
            <w:noWrap/>
            <w:vAlign w:val="center"/>
          </w:tcPr>
          <w:p w14:paraId="7AB78185" w14:textId="0A81C1E3" w:rsidR="00751BAC"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751BAC" w:rsidRPr="0047275C">
              <w:rPr>
                <w:rFonts w:cstheme="minorHAnsi"/>
                <w:color w:val="000000"/>
              </w:rPr>
              <w:t>4,59</w:t>
            </w:r>
          </w:p>
        </w:tc>
        <w:tc>
          <w:tcPr>
            <w:tcW w:w="954" w:type="dxa"/>
            <w:noWrap/>
            <w:vAlign w:val="center"/>
          </w:tcPr>
          <w:p w14:paraId="6CF0B530" w14:textId="58A266C1" w:rsidR="00751BAC"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751BAC" w:rsidRPr="0047275C">
              <w:rPr>
                <w:rFonts w:cstheme="minorHAnsi"/>
                <w:color w:val="000000"/>
              </w:rPr>
              <w:t>6,01</w:t>
            </w:r>
          </w:p>
        </w:tc>
      </w:tr>
      <w:tr w:rsidR="00BE511E" w:rsidRPr="00631B24" w14:paraId="1E9AF719" w14:textId="77777777" w:rsidTr="00D0421A">
        <w:trPr>
          <w:trHeight w:val="30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4A5EDF78" w14:textId="3C97D192" w:rsidR="00BE511E" w:rsidRPr="00631B24" w:rsidRDefault="00BE511E" w:rsidP="00BE511E">
            <w:pPr>
              <w:spacing w:line="240" w:lineRule="auto"/>
              <w:ind w:firstLine="0"/>
              <w:jc w:val="left"/>
              <w:rPr>
                <w:rFonts w:eastAsia="Times New Roman" w:cstheme="minorHAnsi"/>
                <w:b w:val="0"/>
                <w:color w:val="000000"/>
                <w:lang w:eastAsia="lv-LV"/>
              </w:rPr>
            </w:pPr>
            <w:r w:rsidRPr="00631B24">
              <w:rPr>
                <w:rFonts w:eastAsia="Times New Roman" w:cstheme="minorHAnsi"/>
                <w:b w:val="0"/>
                <w:color w:val="000000"/>
                <w:lang w:eastAsia="lv-LV"/>
              </w:rPr>
              <w:t>Nedzīvojamo ēku būvniecība</w:t>
            </w:r>
          </w:p>
        </w:tc>
        <w:tc>
          <w:tcPr>
            <w:tcW w:w="953" w:type="dxa"/>
            <w:noWrap/>
            <w:vAlign w:val="center"/>
          </w:tcPr>
          <w:p w14:paraId="34AFEB64" w14:textId="23950C75" w:rsidR="00BE511E" w:rsidRPr="0047275C" w:rsidRDefault="00BE511E"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sidRPr="0047275C">
              <w:rPr>
                <w:rFonts w:cstheme="minorHAnsi"/>
                <w:color w:val="000000"/>
              </w:rPr>
              <w:t>-1,46</w:t>
            </w:r>
          </w:p>
        </w:tc>
        <w:tc>
          <w:tcPr>
            <w:tcW w:w="954" w:type="dxa"/>
            <w:noWrap/>
            <w:vAlign w:val="center"/>
          </w:tcPr>
          <w:p w14:paraId="5BE62B46" w14:textId="280B98E1" w:rsidR="00BE511E" w:rsidRPr="0047275C" w:rsidRDefault="00BE511E"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sidRPr="0047275C">
              <w:rPr>
                <w:rFonts w:cstheme="minorHAnsi"/>
                <w:color w:val="000000"/>
              </w:rPr>
              <w:t>-2,26</w:t>
            </w:r>
          </w:p>
        </w:tc>
        <w:tc>
          <w:tcPr>
            <w:tcW w:w="954" w:type="dxa"/>
            <w:noWrap/>
            <w:vAlign w:val="center"/>
          </w:tcPr>
          <w:p w14:paraId="2817155E" w14:textId="23E86768" w:rsidR="00BE511E"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BE511E" w:rsidRPr="0047275C">
              <w:rPr>
                <w:rFonts w:cstheme="minorHAnsi"/>
                <w:color w:val="000000"/>
              </w:rPr>
              <w:t>0,31</w:t>
            </w:r>
          </w:p>
        </w:tc>
        <w:tc>
          <w:tcPr>
            <w:tcW w:w="954" w:type="dxa"/>
            <w:noWrap/>
            <w:vAlign w:val="center"/>
          </w:tcPr>
          <w:p w14:paraId="189B7112" w14:textId="2EF7CBBA" w:rsidR="00BE511E"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BE511E" w:rsidRPr="0047275C">
              <w:rPr>
                <w:rFonts w:cstheme="minorHAnsi"/>
                <w:color w:val="000000"/>
              </w:rPr>
              <w:t>2,23</w:t>
            </w:r>
          </w:p>
        </w:tc>
        <w:tc>
          <w:tcPr>
            <w:tcW w:w="954" w:type="dxa"/>
            <w:noWrap/>
            <w:vAlign w:val="center"/>
          </w:tcPr>
          <w:p w14:paraId="1E4D82AD" w14:textId="55F5FAC6" w:rsidR="00BE511E"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BE511E" w:rsidRPr="0047275C">
              <w:rPr>
                <w:rFonts w:cstheme="minorHAnsi"/>
                <w:color w:val="000000"/>
              </w:rPr>
              <w:t>2,23</w:t>
            </w:r>
          </w:p>
        </w:tc>
      </w:tr>
      <w:tr w:rsidR="00827BEF" w:rsidRPr="00631B24" w14:paraId="4B869D36" w14:textId="77777777" w:rsidTr="00D0421A">
        <w:trPr>
          <w:trHeight w:val="300"/>
          <w:jc w:val="center"/>
        </w:trPr>
        <w:tc>
          <w:tcPr>
            <w:cnfStyle w:val="001000000000" w:firstRow="0" w:lastRow="0" w:firstColumn="1" w:lastColumn="0" w:oddVBand="0" w:evenVBand="0" w:oddHBand="0" w:evenHBand="0" w:firstRowFirstColumn="0" w:firstRowLastColumn="0" w:lastRowFirstColumn="0" w:lastRowLastColumn="0"/>
            <w:tcW w:w="4248" w:type="dxa"/>
            <w:noWrap/>
          </w:tcPr>
          <w:p w14:paraId="49077430" w14:textId="22C25CC9" w:rsidR="00827BEF" w:rsidRPr="00827BEF" w:rsidRDefault="00827BEF" w:rsidP="00827BEF">
            <w:pPr>
              <w:spacing w:line="240" w:lineRule="auto"/>
              <w:ind w:firstLine="0"/>
              <w:jc w:val="left"/>
              <w:rPr>
                <w:rFonts w:eastAsia="Times New Roman" w:cstheme="minorHAnsi"/>
                <w:b w:val="0"/>
                <w:bCs w:val="0"/>
                <w:color w:val="000000"/>
                <w:lang w:eastAsia="lv-LV"/>
              </w:rPr>
            </w:pPr>
            <w:r w:rsidRPr="00827BEF">
              <w:rPr>
                <w:rFonts w:eastAsia="Times New Roman" w:cstheme="minorHAnsi"/>
                <w:b w:val="0"/>
                <w:bCs w:val="0"/>
                <w:color w:val="000000"/>
                <w:lang w:eastAsia="lv-LV"/>
              </w:rPr>
              <w:t>Ceļu un maģistrāļu būvniecība</w:t>
            </w:r>
          </w:p>
        </w:tc>
        <w:tc>
          <w:tcPr>
            <w:tcW w:w="953" w:type="dxa"/>
            <w:noWrap/>
            <w:vAlign w:val="center"/>
          </w:tcPr>
          <w:p w14:paraId="3E013E1D" w14:textId="6E7DDB7A" w:rsidR="00827BEF"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827BEF" w:rsidRPr="0047275C">
              <w:rPr>
                <w:rFonts w:cstheme="minorHAnsi"/>
                <w:color w:val="000000"/>
              </w:rPr>
              <w:t>6,25</w:t>
            </w:r>
          </w:p>
        </w:tc>
        <w:tc>
          <w:tcPr>
            <w:tcW w:w="954" w:type="dxa"/>
            <w:noWrap/>
            <w:vAlign w:val="center"/>
          </w:tcPr>
          <w:p w14:paraId="50B8AEDC" w14:textId="28C4E346" w:rsidR="00827BEF"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827BEF" w:rsidRPr="0047275C">
              <w:rPr>
                <w:rFonts w:cstheme="minorHAnsi"/>
                <w:color w:val="000000"/>
              </w:rPr>
              <w:t>3,50</w:t>
            </w:r>
          </w:p>
        </w:tc>
        <w:tc>
          <w:tcPr>
            <w:tcW w:w="954" w:type="dxa"/>
            <w:noWrap/>
            <w:vAlign w:val="center"/>
          </w:tcPr>
          <w:p w14:paraId="5818FCF8" w14:textId="25D3BB61" w:rsidR="00827BEF"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827BEF" w:rsidRPr="0047275C">
              <w:rPr>
                <w:rFonts w:cstheme="minorHAnsi"/>
                <w:color w:val="000000"/>
              </w:rPr>
              <w:t>9,38</w:t>
            </w:r>
          </w:p>
        </w:tc>
        <w:tc>
          <w:tcPr>
            <w:tcW w:w="954" w:type="dxa"/>
            <w:noWrap/>
            <w:vAlign w:val="center"/>
          </w:tcPr>
          <w:p w14:paraId="51ADA822" w14:textId="734F6320" w:rsidR="00827BEF"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827BEF" w:rsidRPr="0047275C">
              <w:rPr>
                <w:rFonts w:cstheme="minorHAnsi"/>
                <w:color w:val="000000"/>
              </w:rPr>
              <w:t>7,50</w:t>
            </w:r>
          </w:p>
        </w:tc>
        <w:tc>
          <w:tcPr>
            <w:tcW w:w="954" w:type="dxa"/>
            <w:noWrap/>
            <w:vAlign w:val="center"/>
          </w:tcPr>
          <w:p w14:paraId="0E180BBA" w14:textId="0339A830" w:rsidR="00827BEF"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827BEF" w:rsidRPr="0047275C">
              <w:rPr>
                <w:rFonts w:cstheme="minorHAnsi"/>
                <w:color w:val="000000"/>
              </w:rPr>
              <w:t>4,38</w:t>
            </w:r>
          </w:p>
        </w:tc>
      </w:tr>
      <w:tr w:rsidR="004D0736" w:rsidRPr="00631B24" w14:paraId="1ED91C20" w14:textId="77777777" w:rsidTr="00D0421A">
        <w:trPr>
          <w:trHeight w:val="300"/>
          <w:jc w:val="center"/>
        </w:trPr>
        <w:tc>
          <w:tcPr>
            <w:cnfStyle w:val="001000000000" w:firstRow="0" w:lastRow="0" w:firstColumn="1" w:lastColumn="0" w:oddVBand="0" w:evenVBand="0" w:oddHBand="0" w:evenHBand="0" w:firstRowFirstColumn="0" w:firstRowLastColumn="0" w:lastRowFirstColumn="0" w:lastRowLastColumn="0"/>
            <w:tcW w:w="4248" w:type="dxa"/>
            <w:noWrap/>
          </w:tcPr>
          <w:p w14:paraId="4CBDA0EC" w14:textId="445A1D8A" w:rsidR="004D0736" w:rsidRPr="00827BEF" w:rsidRDefault="00295264" w:rsidP="004D0736">
            <w:pPr>
              <w:spacing w:line="240" w:lineRule="auto"/>
              <w:ind w:firstLine="0"/>
              <w:jc w:val="left"/>
              <w:rPr>
                <w:rFonts w:eastAsia="Times New Roman" w:cstheme="minorHAnsi"/>
                <w:b w:val="0"/>
                <w:bCs w:val="0"/>
                <w:color w:val="000000"/>
                <w:lang w:eastAsia="lv-LV"/>
              </w:rPr>
            </w:pPr>
            <w:r>
              <w:rPr>
                <w:rFonts w:eastAsia="Times New Roman" w:cstheme="minorHAnsi"/>
                <w:b w:val="0"/>
                <w:bCs w:val="0"/>
                <w:color w:val="000000"/>
                <w:lang w:eastAsia="lv-LV"/>
              </w:rPr>
              <w:t>D</w:t>
            </w:r>
            <w:r w:rsidR="004D0736">
              <w:rPr>
                <w:rFonts w:eastAsia="Times New Roman" w:cstheme="minorHAnsi"/>
                <w:b w:val="0"/>
                <w:bCs w:val="0"/>
                <w:color w:val="000000"/>
                <w:lang w:eastAsia="lv-LV"/>
              </w:rPr>
              <w:t>zelzceļu būvniecība</w:t>
            </w:r>
          </w:p>
        </w:tc>
        <w:tc>
          <w:tcPr>
            <w:tcW w:w="953" w:type="dxa"/>
            <w:noWrap/>
            <w:vAlign w:val="center"/>
          </w:tcPr>
          <w:p w14:paraId="21D356C0" w14:textId="6D59C5E9" w:rsidR="004D0736"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t>
            </w:r>
            <w:r w:rsidR="004D0736" w:rsidRPr="0047275C">
              <w:rPr>
                <w:rFonts w:cstheme="minorHAnsi"/>
                <w:color w:val="000000"/>
              </w:rPr>
              <w:t>1,00</w:t>
            </w:r>
          </w:p>
        </w:tc>
        <w:tc>
          <w:tcPr>
            <w:tcW w:w="954" w:type="dxa"/>
            <w:noWrap/>
            <w:vAlign w:val="center"/>
          </w:tcPr>
          <w:p w14:paraId="43B3D57F" w14:textId="115F586C" w:rsidR="004D0736" w:rsidRPr="0047275C" w:rsidRDefault="00A25DEA"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t>
            </w:r>
            <w:r w:rsidR="004D0736" w:rsidRPr="0047275C">
              <w:rPr>
                <w:rFonts w:cstheme="minorHAnsi"/>
                <w:color w:val="000000"/>
              </w:rPr>
              <w:t>19,25</w:t>
            </w:r>
          </w:p>
        </w:tc>
        <w:tc>
          <w:tcPr>
            <w:tcW w:w="954" w:type="dxa"/>
            <w:noWrap/>
            <w:vAlign w:val="center"/>
          </w:tcPr>
          <w:p w14:paraId="6512497E" w14:textId="46C82D5D" w:rsidR="004D0736"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t>
            </w:r>
            <w:r w:rsidR="004D0736" w:rsidRPr="0047275C">
              <w:rPr>
                <w:rFonts w:cstheme="minorHAnsi"/>
                <w:color w:val="000000"/>
              </w:rPr>
              <w:t>55,75</w:t>
            </w:r>
          </w:p>
        </w:tc>
        <w:tc>
          <w:tcPr>
            <w:tcW w:w="954" w:type="dxa"/>
            <w:noWrap/>
            <w:vAlign w:val="center"/>
          </w:tcPr>
          <w:p w14:paraId="099A573F" w14:textId="479ACA8B" w:rsidR="004D0736"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t>
            </w:r>
            <w:r w:rsidR="004D0736" w:rsidRPr="0047275C">
              <w:rPr>
                <w:rFonts w:cstheme="minorHAnsi"/>
                <w:color w:val="000000"/>
              </w:rPr>
              <w:t>30,75</w:t>
            </w:r>
          </w:p>
        </w:tc>
        <w:tc>
          <w:tcPr>
            <w:tcW w:w="954" w:type="dxa"/>
            <w:noWrap/>
            <w:vAlign w:val="center"/>
          </w:tcPr>
          <w:p w14:paraId="0111B1A8" w14:textId="3D349D5F" w:rsidR="004D0736"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t>
            </w:r>
            <w:r w:rsidR="004D0736" w:rsidRPr="0047275C">
              <w:rPr>
                <w:rFonts w:cstheme="minorHAnsi"/>
                <w:color w:val="000000"/>
              </w:rPr>
              <w:t>5,75</w:t>
            </w:r>
          </w:p>
        </w:tc>
      </w:tr>
      <w:tr w:rsidR="004D0736" w:rsidRPr="00631B24" w14:paraId="1F068756" w14:textId="77777777" w:rsidTr="00D0421A">
        <w:trPr>
          <w:trHeight w:val="300"/>
          <w:jc w:val="center"/>
        </w:trPr>
        <w:tc>
          <w:tcPr>
            <w:cnfStyle w:val="001000000000" w:firstRow="0" w:lastRow="0" w:firstColumn="1" w:lastColumn="0" w:oddVBand="0" w:evenVBand="0" w:oddHBand="0" w:evenHBand="0" w:firstRowFirstColumn="0" w:firstRowLastColumn="0" w:lastRowFirstColumn="0" w:lastRowLastColumn="0"/>
            <w:tcW w:w="4248" w:type="dxa"/>
            <w:noWrap/>
          </w:tcPr>
          <w:p w14:paraId="1E8E973A" w14:textId="42D3B1D0" w:rsidR="004D0736" w:rsidRPr="00827BEF" w:rsidRDefault="004D0736" w:rsidP="004D0736">
            <w:pPr>
              <w:spacing w:line="240" w:lineRule="auto"/>
              <w:ind w:firstLine="0"/>
              <w:jc w:val="left"/>
              <w:rPr>
                <w:rFonts w:eastAsia="Times New Roman" w:cstheme="minorHAnsi"/>
                <w:b w:val="0"/>
                <w:bCs w:val="0"/>
                <w:color w:val="000000"/>
                <w:lang w:eastAsia="lv-LV"/>
              </w:rPr>
            </w:pPr>
            <w:r>
              <w:rPr>
                <w:rFonts w:eastAsia="Times New Roman" w:cstheme="minorHAnsi"/>
                <w:b w:val="0"/>
                <w:bCs w:val="0"/>
                <w:color w:val="000000"/>
                <w:lang w:eastAsia="lv-LV"/>
              </w:rPr>
              <w:t>Tiltu un tuneļu būvniecība</w:t>
            </w:r>
          </w:p>
        </w:tc>
        <w:tc>
          <w:tcPr>
            <w:tcW w:w="953" w:type="dxa"/>
            <w:noWrap/>
            <w:vAlign w:val="center"/>
          </w:tcPr>
          <w:p w14:paraId="5F4C5559" w14:textId="280A7FBF" w:rsidR="004D0736"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t>
            </w:r>
            <w:r w:rsidR="004D0736" w:rsidRPr="0047275C">
              <w:rPr>
                <w:rFonts w:cstheme="minorHAnsi"/>
                <w:color w:val="000000"/>
              </w:rPr>
              <w:t>9,71</w:t>
            </w:r>
          </w:p>
        </w:tc>
        <w:tc>
          <w:tcPr>
            <w:tcW w:w="954" w:type="dxa"/>
            <w:noWrap/>
            <w:vAlign w:val="center"/>
          </w:tcPr>
          <w:p w14:paraId="0E7329E7" w14:textId="0DB66171" w:rsidR="004D0736"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t>
            </w:r>
            <w:r w:rsidR="004D0736" w:rsidRPr="0047275C">
              <w:rPr>
                <w:rFonts w:cstheme="minorHAnsi"/>
                <w:color w:val="000000"/>
              </w:rPr>
              <w:t>8,71</w:t>
            </w:r>
          </w:p>
        </w:tc>
        <w:tc>
          <w:tcPr>
            <w:tcW w:w="954" w:type="dxa"/>
            <w:noWrap/>
            <w:vAlign w:val="center"/>
          </w:tcPr>
          <w:p w14:paraId="731B2BFA" w14:textId="08811A50" w:rsidR="004D0736"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t>
            </w:r>
            <w:r w:rsidR="004D0736" w:rsidRPr="0047275C">
              <w:rPr>
                <w:rFonts w:cstheme="minorHAnsi"/>
                <w:color w:val="000000"/>
              </w:rPr>
              <w:t>6,71</w:t>
            </w:r>
          </w:p>
        </w:tc>
        <w:tc>
          <w:tcPr>
            <w:tcW w:w="954" w:type="dxa"/>
            <w:noWrap/>
            <w:vAlign w:val="center"/>
          </w:tcPr>
          <w:p w14:paraId="74730456" w14:textId="18592385" w:rsidR="004D0736"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t>
            </w:r>
            <w:r w:rsidR="004D0736" w:rsidRPr="0047275C">
              <w:rPr>
                <w:rFonts w:cstheme="minorHAnsi"/>
                <w:color w:val="000000"/>
              </w:rPr>
              <w:t>4,86</w:t>
            </w:r>
          </w:p>
        </w:tc>
        <w:tc>
          <w:tcPr>
            <w:tcW w:w="954" w:type="dxa"/>
            <w:noWrap/>
            <w:vAlign w:val="center"/>
          </w:tcPr>
          <w:p w14:paraId="7B7A5472" w14:textId="268624AC" w:rsidR="004D0736"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w:t>
            </w:r>
            <w:r w:rsidR="004D0736" w:rsidRPr="0047275C">
              <w:rPr>
                <w:rFonts w:cstheme="minorHAnsi"/>
                <w:color w:val="000000"/>
              </w:rPr>
              <w:t>3,86</w:t>
            </w:r>
          </w:p>
        </w:tc>
      </w:tr>
      <w:tr w:rsidR="00BE511E" w:rsidRPr="00631B24" w14:paraId="00214502" w14:textId="77777777" w:rsidTr="00D0421A">
        <w:trPr>
          <w:trHeight w:val="30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27583B51" w14:textId="04996CFC" w:rsidR="00BE511E" w:rsidRPr="00631B24" w:rsidRDefault="00BE511E" w:rsidP="00BE511E">
            <w:pPr>
              <w:spacing w:line="240" w:lineRule="auto"/>
              <w:ind w:firstLine="0"/>
              <w:jc w:val="left"/>
              <w:rPr>
                <w:rFonts w:eastAsia="Times New Roman" w:cstheme="minorHAnsi"/>
                <w:b w:val="0"/>
                <w:color w:val="000000"/>
                <w:lang w:eastAsia="lv-LV"/>
              </w:rPr>
            </w:pPr>
            <w:r w:rsidRPr="00631B24">
              <w:rPr>
                <w:rFonts w:eastAsia="Times New Roman" w:cstheme="minorHAnsi"/>
                <w:b w:val="0"/>
                <w:color w:val="000000"/>
                <w:lang w:eastAsia="lv-LV"/>
              </w:rPr>
              <w:t>Pilsētas  infrastruktūras objektu būvniecība</w:t>
            </w:r>
          </w:p>
        </w:tc>
        <w:tc>
          <w:tcPr>
            <w:tcW w:w="953" w:type="dxa"/>
            <w:noWrap/>
            <w:vAlign w:val="center"/>
          </w:tcPr>
          <w:p w14:paraId="7EE8575B" w14:textId="5028CDE1" w:rsidR="00BE511E" w:rsidRPr="0047275C" w:rsidRDefault="00BE511E"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sidRPr="0047275C">
              <w:rPr>
                <w:rFonts w:cstheme="minorHAnsi"/>
                <w:color w:val="000000"/>
              </w:rPr>
              <w:t>-0,67</w:t>
            </w:r>
          </w:p>
        </w:tc>
        <w:tc>
          <w:tcPr>
            <w:tcW w:w="954" w:type="dxa"/>
            <w:noWrap/>
            <w:vAlign w:val="center"/>
          </w:tcPr>
          <w:p w14:paraId="326C4275" w14:textId="35D37EDB" w:rsidR="00BE511E"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BE511E" w:rsidRPr="0047275C">
              <w:rPr>
                <w:rFonts w:cstheme="minorHAnsi"/>
                <w:color w:val="000000"/>
              </w:rPr>
              <w:t>2,17</w:t>
            </w:r>
          </w:p>
        </w:tc>
        <w:tc>
          <w:tcPr>
            <w:tcW w:w="954" w:type="dxa"/>
            <w:noWrap/>
            <w:vAlign w:val="center"/>
          </w:tcPr>
          <w:p w14:paraId="7E3E5AD7" w14:textId="5BDB1427" w:rsidR="00BE511E"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BE511E" w:rsidRPr="0047275C">
              <w:rPr>
                <w:rFonts w:cstheme="minorHAnsi"/>
                <w:color w:val="000000"/>
              </w:rPr>
              <w:t>6,17</w:t>
            </w:r>
          </w:p>
        </w:tc>
        <w:tc>
          <w:tcPr>
            <w:tcW w:w="954" w:type="dxa"/>
            <w:noWrap/>
            <w:vAlign w:val="center"/>
          </w:tcPr>
          <w:p w14:paraId="392FF03A" w14:textId="2EB463CF" w:rsidR="00BE511E"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BE511E" w:rsidRPr="0047275C">
              <w:rPr>
                <w:rFonts w:cstheme="minorHAnsi"/>
                <w:color w:val="000000"/>
              </w:rPr>
              <w:t>8,50</w:t>
            </w:r>
          </w:p>
        </w:tc>
        <w:tc>
          <w:tcPr>
            <w:tcW w:w="954" w:type="dxa"/>
            <w:noWrap/>
            <w:vAlign w:val="center"/>
          </w:tcPr>
          <w:p w14:paraId="7F1FC04D" w14:textId="2FDFF130" w:rsidR="00BE511E"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BE511E" w:rsidRPr="0047275C">
              <w:rPr>
                <w:rFonts w:cstheme="minorHAnsi"/>
                <w:color w:val="000000"/>
              </w:rPr>
              <w:t>5,67</w:t>
            </w:r>
          </w:p>
        </w:tc>
      </w:tr>
      <w:tr w:rsidR="0047275C" w:rsidRPr="00631B24" w14:paraId="0FA3874D" w14:textId="77777777" w:rsidTr="00D0421A">
        <w:trPr>
          <w:trHeight w:val="300"/>
          <w:jc w:val="center"/>
        </w:trPr>
        <w:tc>
          <w:tcPr>
            <w:cnfStyle w:val="001000000000" w:firstRow="0" w:lastRow="0" w:firstColumn="1" w:lastColumn="0" w:oddVBand="0" w:evenVBand="0" w:oddHBand="0" w:evenHBand="0" w:firstRowFirstColumn="0" w:firstRowLastColumn="0" w:lastRowFirstColumn="0" w:lastRowLastColumn="0"/>
            <w:tcW w:w="4248" w:type="dxa"/>
            <w:noWrap/>
            <w:hideMark/>
          </w:tcPr>
          <w:p w14:paraId="10DB2AFC" w14:textId="68D77018" w:rsidR="0047275C" w:rsidRPr="00631B24" w:rsidRDefault="0047275C" w:rsidP="0047275C">
            <w:pPr>
              <w:spacing w:line="240" w:lineRule="auto"/>
              <w:ind w:firstLine="0"/>
              <w:jc w:val="left"/>
              <w:rPr>
                <w:rFonts w:eastAsia="Times New Roman" w:cstheme="minorHAnsi"/>
                <w:b w:val="0"/>
                <w:color w:val="000000"/>
                <w:lang w:eastAsia="lv-LV"/>
              </w:rPr>
            </w:pPr>
            <w:r w:rsidRPr="00631B24">
              <w:rPr>
                <w:rFonts w:eastAsia="Times New Roman" w:cstheme="minorHAnsi"/>
                <w:b w:val="0"/>
                <w:color w:val="000000"/>
                <w:lang w:eastAsia="lv-LV"/>
              </w:rPr>
              <w:t xml:space="preserve">Pārējā </w:t>
            </w:r>
            <w:proofErr w:type="spellStart"/>
            <w:r w:rsidRPr="00631B24">
              <w:rPr>
                <w:rFonts w:eastAsia="Times New Roman" w:cstheme="minorHAnsi"/>
                <w:b w:val="0"/>
                <w:color w:val="000000"/>
                <w:lang w:eastAsia="lv-LV"/>
              </w:rPr>
              <w:t>inženierbūvniecība</w:t>
            </w:r>
            <w:proofErr w:type="spellEnd"/>
          </w:p>
        </w:tc>
        <w:tc>
          <w:tcPr>
            <w:tcW w:w="953" w:type="dxa"/>
            <w:noWrap/>
            <w:vAlign w:val="center"/>
          </w:tcPr>
          <w:p w14:paraId="430CC071" w14:textId="79A03950" w:rsidR="0047275C"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sidRPr="0047275C">
              <w:rPr>
                <w:rFonts w:cstheme="minorHAnsi"/>
                <w:color w:val="000000"/>
              </w:rPr>
              <w:t>-11,10</w:t>
            </w:r>
          </w:p>
        </w:tc>
        <w:tc>
          <w:tcPr>
            <w:tcW w:w="954" w:type="dxa"/>
            <w:noWrap/>
            <w:vAlign w:val="center"/>
          </w:tcPr>
          <w:p w14:paraId="5B3F800C" w14:textId="12C3A408" w:rsidR="0047275C"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sidRPr="0047275C">
              <w:rPr>
                <w:rFonts w:cstheme="minorHAnsi"/>
                <w:color w:val="000000"/>
              </w:rPr>
              <w:t>-0,49</w:t>
            </w:r>
          </w:p>
        </w:tc>
        <w:tc>
          <w:tcPr>
            <w:tcW w:w="954" w:type="dxa"/>
            <w:noWrap/>
            <w:vAlign w:val="center"/>
          </w:tcPr>
          <w:p w14:paraId="2E2033C3" w14:textId="7EA0F2A2" w:rsidR="0047275C"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Pr="0047275C">
              <w:rPr>
                <w:rFonts w:cstheme="minorHAnsi"/>
                <w:color w:val="000000"/>
              </w:rPr>
              <w:t>10,40</w:t>
            </w:r>
          </w:p>
        </w:tc>
        <w:tc>
          <w:tcPr>
            <w:tcW w:w="954" w:type="dxa"/>
            <w:noWrap/>
            <w:vAlign w:val="center"/>
          </w:tcPr>
          <w:p w14:paraId="246E8CCB" w14:textId="7F892237" w:rsidR="0047275C" w:rsidRPr="0047275C" w:rsidRDefault="0047275C"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Pr="0047275C">
              <w:rPr>
                <w:rFonts w:cstheme="minorHAnsi"/>
                <w:color w:val="000000"/>
              </w:rPr>
              <w:t>4,89</w:t>
            </w:r>
          </w:p>
        </w:tc>
        <w:tc>
          <w:tcPr>
            <w:tcW w:w="954" w:type="dxa"/>
            <w:noWrap/>
            <w:vAlign w:val="center"/>
          </w:tcPr>
          <w:p w14:paraId="401C1021" w14:textId="5965C268" w:rsidR="0047275C" w:rsidRPr="0047275C" w:rsidRDefault="00612D93" w:rsidP="0047275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lang w:eastAsia="lv-LV"/>
              </w:rPr>
            </w:pPr>
            <w:r>
              <w:rPr>
                <w:rFonts w:cstheme="minorHAnsi"/>
                <w:color w:val="000000"/>
              </w:rPr>
              <w:t>+</w:t>
            </w:r>
            <w:r w:rsidR="0047275C" w:rsidRPr="0047275C">
              <w:rPr>
                <w:rFonts w:cstheme="minorHAnsi"/>
                <w:color w:val="000000"/>
              </w:rPr>
              <w:t>8,60</w:t>
            </w:r>
          </w:p>
        </w:tc>
      </w:tr>
    </w:tbl>
    <w:p w14:paraId="61EA93EE" w14:textId="77777777" w:rsidR="00207D2A" w:rsidRDefault="00207D2A" w:rsidP="00D114C8"/>
    <w:p w14:paraId="195E4513" w14:textId="2A10955C" w:rsidR="00562EC7" w:rsidRPr="004C5F9B" w:rsidRDefault="00A03B6A" w:rsidP="005F216D">
      <w:pPr>
        <w:rPr>
          <w:sz w:val="24"/>
          <w:szCs w:val="24"/>
        </w:rPr>
      </w:pPr>
      <w:r w:rsidRPr="004C5F9B">
        <w:rPr>
          <w:sz w:val="24"/>
          <w:szCs w:val="24"/>
        </w:rPr>
        <w:t>A</w:t>
      </w:r>
      <w:r w:rsidR="00E67E49" w:rsidRPr="004C5F9B">
        <w:rPr>
          <w:sz w:val="24"/>
          <w:szCs w:val="24"/>
        </w:rPr>
        <w:t>pkopojot rezultātus par būvniecības izmaksu izmaiņām (</w:t>
      </w:r>
      <w:r w:rsidR="00E67E49" w:rsidRPr="004C5F9B">
        <w:rPr>
          <w:sz w:val="24"/>
          <w:szCs w:val="24"/>
        </w:rPr>
        <w:fldChar w:fldCharType="begin"/>
      </w:r>
      <w:r w:rsidR="00E67E49" w:rsidRPr="004C5F9B">
        <w:rPr>
          <w:sz w:val="24"/>
          <w:szCs w:val="24"/>
        </w:rPr>
        <w:instrText xml:space="preserve"> REF _Ref522281120 \h </w:instrText>
      </w:r>
      <w:r w:rsidR="004C5F9B">
        <w:rPr>
          <w:sz w:val="24"/>
          <w:szCs w:val="24"/>
        </w:rPr>
        <w:instrText xml:space="preserve"> \* MERGEFORMAT </w:instrText>
      </w:r>
      <w:r w:rsidR="00E67E49" w:rsidRPr="004C5F9B">
        <w:rPr>
          <w:sz w:val="24"/>
          <w:szCs w:val="24"/>
        </w:rPr>
      </w:r>
      <w:r w:rsidR="00E67E49" w:rsidRPr="004C5F9B">
        <w:rPr>
          <w:sz w:val="24"/>
          <w:szCs w:val="24"/>
        </w:rPr>
        <w:fldChar w:fldCharType="separate"/>
      </w:r>
      <w:r w:rsidR="00363B39" w:rsidRPr="004C5F9B">
        <w:rPr>
          <w:sz w:val="24"/>
          <w:szCs w:val="24"/>
        </w:rPr>
        <w:t xml:space="preserve">Tabula </w:t>
      </w:r>
      <w:r w:rsidR="00584BE1" w:rsidRPr="004C5F9B">
        <w:rPr>
          <w:noProof/>
          <w:sz w:val="24"/>
          <w:szCs w:val="24"/>
        </w:rPr>
        <w:t>5</w:t>
      </w:r>
      <w:r w:rsidR="00E67E49" w:rsidRPr="004C5F9B">
        <w:rPr>
          <w:sz w:val="24"/>
          <w:szCs w:val="24"/>
        </w:rPr>
        <w:fldChar w:fldCharType="end"/>
      </w:r>
      <w:r w:rsidR="003B5212" w:rsidRPr="004C5F9B">
        <w:rPr>
          <w:sz w:val="24"/>
          <w:szCs w:val="24"/>
        </w:rPr>
        <w:t>.</w:t>
      </w:r>
      <w:r w:rsidR="00E67E49" w:rsidRPr="004C5F9B">
        <w:rPr>
          <w:sz w:val="24"/>
          <w:szCs w:val="24"/>
        </w:rPr>
        <w:t>), viennozīmīgi dominē ekspertu viedoklis par izmaksu pieaugumu</w:t>
      </w:r>
      <w:r w:rsidR="00480B14" w:rsidRPr="004C5F9B">
        <w:rPr>
          <w:sz w:val="24"/>
          <w:szCs w:val="24"/>
        </w:rPr>
        <w:t xml:space="preserve"> sākot ar 2022.</w:t>
      </w:r>
      <w:r w:rsidR="003B5212" w:rsidRPr="004C5F9B">
        <w:rPr>
          <w:sz w:val="24"/>
          <w:szCs w:val="24"/>
        </w:rPr>
        <w:t xml:space="preserve"> </w:t>
      </w:r>
      <w:r w:rsidR="00480B14" w:rsidRPr="004C5F9B">
        <w:rPr>
          <w:sz w:val="24"/>
          <w:szCs w:val="24"/>
        </w:rPr>
        <w:t xml:space="preserve">gadu. Laika periodā līdz tam ir dažādi attīstības virzieni dažādās </w:t>
      </w:r>
      <w:proofErr w:type="spellStart"/>
      <w:r w:rsidR="00480B14" w:rsidRPr="004C5F9B">
        <w:rPr>
          <w:sz w:val="24"/>
          <w:szCs w:val="24"/>
        </w:rPr>
        <w:t>apakšnozarēs</w:t>
      </w:r>
      <w:proofErr w:type="spellEnd"/>
      <w:r w:rsidR="00480B14" w:rsidRPr="004C5F9B">
        <w:rPr>
          <w:sz w:val="24"/>
          <w:szCs w:val="24"/>
        </w:rPr>
        <w:t xml:space="preserve">. </w:t>
      </w:r>
      <w:r w:rsidR="00675FDD" w:rsidRPr="004C5F9B">
        <w:rPr>
          <w:sz w:val="24"/>
          <w:szCs w:val="24"/>
        </w:rPr>
        <w:t xml:space="preserve">Augstāko būvniecības izmaksu pieaugumu eksperti saskata </w:t>
      </w:r>
      <w:r w:rsidR="00FC58FD" w:rsidRPr="004C5F9B">
        <w:rPr>
          <w:sz w:val="24"/>
          <w:szCs w:val="24"/>
        </w:rPr>
        <w:t xml:space="preserve">dzelzceļu, tiltu un tuneļu būvniecībā, kur atsevišķos gados prognozēts vidēji pat </w:t>
      </w:r>
      <w:r w:rsidR="007A527F" w:rsidRPr="004C5F9B">
        <w:rPr>
          <w:sz w:val="24"/>
          <w:szCs w:val="24"/>
        </w:rPr>
        <w:t xml:space="preserve">6% un augstāks izmaksu pieaugums. </w:t>
      </w:r>
    </w:p>
    <w:p w14:paraId="3DD47887" w14:textId="5C6D7DBE" w:rsidR="005F216D" w:rsidRDefault="00207D2A" w:rsidP="005F216D">
      <w:pPr>
        <w:pStyle w:val="Caption"/>
        <w:keepNext/>
        <w:spacing w:after="0"/>
        <w:jc w:val="right"/>
      </w:pPr>
      <w:bookmarkStart w:id="34" w:name="_Ref522281120"/>
      <w:bookmarkStart w:id="35" w:name="_Ref522281116"/>
      <w:r>
        <w:lastRenderedPageBreak/>
        <w:t xml:space="preserve">Tabula </w:t>
      </w:r>
      <w:r w:rsidR="00584BE1">
        <w:t>5</w:t>
      </w:r>
      <w:bookmarkEnd w:id="34"/>
      <w:r>
        <w:t>.</w:t>
      </w:r>
    </w:p>
    <w:p w14:paraId="2B8DB698" w14:textId="28C0F079" w:rsidR="00207D2A" w:rsidRDefault="00207D2A" w:rsidP="005F216D">
      <w:pPr>
        <w:pStyle w:val="Caption"/>
        <w:keepNext/>
        <w:spacing w:after="0"/>
        <w:jc w:val="right"/>
      </w:pPr>
      <w:r>
        <w:t xml:space="preserve"> Būvniecības </w:t>
      </w:r>
      <w:r w:rsidR="00E67E49">
        <w:t>izmaksu</w:t>
      </w:r>
      <w:r>
        <w:t xml:space="preserve"> izmaiņu prognozes procentos pret iepriekšējo gadu pēc </w:t>
      </w:r>
      <w:proofErr w:type="spellStart"/>
      <w:r>
        <w:t>apakšnozaru</w:t>
      </w:r>
      <w:proofErr w:type="spellEnd"/>
      <w:r>
        <w:t xml:space="preserve"> ekspertu vidējā vērtējuma</w:t>
      </w:r>
      <w:bookmarkEnd w:id="35"/>
      <w:r w:rsidR="008A4196">
        <w:t>.</w:t>
      </w:r>
    </w:p>
    <w:tbl>
      <w:tblPr>
        <w:tblStyle w:val="GridTable1Light"/>
        <w:tblW w:w="9017" w:type="dxa"/>
        <w:jc w:val="center"/>
        <w:tblLayout w:type="fixed"/>
        <w:tblLook w:val="0620" w:firstRow="1" w:lastRow="0" w:firstColumn="0" w:lastColumn="0" w:noHBand="1" w:noVBand="1"/>
      </w:tblPr>
      <w:tblGrid>
        <w:gridCol w:w="4248"/>
        <w:gridCol w:w="953"/>
        <w:gridCol w:w="954"/>
        <w:gridCol w:w="954"/>
        <w:gridCol w:w="954"/>
        <w:gridCol w:w="954"/>
      </w:tblGrid>
      <w:tr w:rsidR="00A46AB2" w:rsidRPr="00631B24" w14:paraId="1914286B" w14:textId="77777777" w:rsidTr="005F216D">
        <w:trPr>
          <w:cnfStyle w:val="100000000000" w:firstRow="1" w:lastRow="0" w:firstColumn="0" w:lastColumn="0" w:oddVBand="0" w:evenVBand="0" w:oddHBand="0" w:evenHBand="0" w:firstRowFirstColumn="0" w:firstRowLastColumn="0" w:lastRowFirstColumn="0" w:lastRowLastColumn="0"/>
          <w:trHeight w:val="300"/>
          <w:jc w:val="center"/>
        </w:trPr>
        <w:tc>
          <w:tcPr>
            <w:tcW w:w="4248" w:type="dxa"/>
            <w:noWrap/>
          </w:tcPr>
          <w:p w14:paraId="43D8EBC3" w14:textId="77777777" w:rsidR="00A46AB2" w:rsidRPr="00631B24" w:rsidRDefault="00A46AB2" w:rsidP="00A46AB2">
            <w:pPr>
              <w:spacing w:line="240" w:lineRule="auto"/>
              <w:ind w:firstLine="0"/>
              <w:jc w:val="left"/>
              <w:rPr>
                <w:rFonts w:eastAsia="Times New Roman" w:cstheme="minorHAnsi"/>
                <w:b w:val="0"/>
                <w:color w:val="000000"/>
                <w:lang w:eastAsia="lv-LV"/>
              </w:rPr>
            </w:pPr>
          </w:p>
        </w:tc>
        <w:tc>
          <w:tcPr>
            <w:tcW w:w="953" w:type="dxa"/>
            <w:noWrap/>
          </w:tcPr>
          <w:p w14:paraId="73D97293" w14:textId="0985C64F" w:rsidR="00A46AB2" w:rsidRPr="00631B24" w:rsidRDefault="00A46AB2" w:rsidP="00A46AB2">
            <w:pPr>
              <w:spacing w:line="240" w:lineRule="auto"/>
              <w:ind w:firstLine="0"/>
              <w:jc w:val="right"/>
              <w:rPr>
                <w:rFonts w:eastAsia="Times New Roman" w:cstheme="minorHAnsi"/>
                <w:b w:val="0"/>
                <w:bCs w:val="0"/>
                <w:color w:val="000000"/>
                <w:lang w:eastAsia="lv-LV"/>
              </w:rPr>
            </w:pPr>
            <w:r>
              <w:rPr>
                <w:rFonts w:eastAsia="Times New Roman" w:cstheme="minorHAnsi"/>
                <w:b w:val="0"/>
                <w:color w:val="000000"/>
                <w:lang w:eastAsia="lv-LV"/>
              </w:rPr>
              <w:t>2020.</w:t>
            </w:r>
          </w:p>
        </w:tc>
        <w:tc>
          <w:tcPr>
            <w:tcW w:w="954" w:type="dxa"/>
            <w:noWrap/>
          </w:tcPr>
          <w:p w14:paraId="780D7054" w14:textId="0FAD1CA4" w:rsidR="00A46AB2" w:rsidRPr="00631B24" w:rsidRDefault="00A46AB2" w:rsidP="00A46AB2">
            <w:pPr>
              <w:spacing w:line="240" w:lineRule="auto"/>
              <w:ind w:firstLine="0"/>
              <w:jc w:val="right"/>
              <w:rPr>
                <w:rFonts w:eastAsia="Times New Roman" w:cstheme="minorHAnsi"/>
                <w:b w:val="0"/>
                <w:bCs w:val="0"/>
                <w:color w:val="000000"/>
                <w:lang w:eastAsia="lv-LV"/>
              </w:rPr>
            </w:pPr>
            <w:r>
              <w:rPr>
                <w:rFonts w:eastAsia="Times New Roman" w:cstheme="minorHAnsi"/>
                <w:b w:val="0"/>
                <w:color w:val="000000"/>
                <w:lang w:eastAsia="lv-LV"/>
              </w:rPr>
              <w:t>2021.</w:t>
            </w:r>
          </w:p>
        </w:tc>
        <w:tc>
          <w:tcPr>
            <w:tcW w:w="954" w:type="dxa"/>
            <w:noWrap/>
          </w:tcPr>
          <w:p w14:paraId="369B3B54" w14:textId="03D40E11" w:rsidR="00A46AB2" w:rsidRPr="00631B24" w:rsidRDefault="00A46AB2" w:rsidP="00A46AB2">
            <w:pPr>
              <w:spacing w:line="240" w:lineRule="auto"/>
              <w:ind w:firstLine="0"/>
              <w:jc w:val="right"/>
              <w:rPr>
                <w:rFonts w:eastAsia="Times New Roman" w:cstheme="minorHAnsi"/>
                <w:b w:val="0"/>
                <w:bCs w:val="0"/>
                <w:color w:val="000000"/>
                <w:lang w:eastAsia="lv-LV"/>
              </w:rPr>
            </w:pPr>
            <w:r>
              <w:rPr>
                <w:rFonts w:eastAsia="Times New Roman" w:cstheme="minorHAnsi"/>
                <w:b w:val="0"/>
                <w:color w:val="000000"/>
                <w:lang w:eastAsia="lv-LV"/>
              </w:rPr>
              <w:t>2022.</w:t>
            </w:r>
          </w:p>
        </w:tc>
        <w:tc>
          <w:tcPr>
            <w:tcW w:w="954" w:type="dxa"/>
            <w:noWrap/>
          </w:tcPr>
          <w:p w14:paraId="7C3FE63F" w14:textId="36D8A294" w:rsidR="00A46AB2" w:rsidRPr="00631B24" w:rsidRDefault="00A46AB2" w:rsidP="00A46AB2">
            <w:pPr>
              <w:spacing w:line="240" w:lineRule="auto"/>
              <w:ind w:firstLine="0"/>
              <w:jc w:val="right"/>
              <w:rPr>
                <w:rFonts w:eastAsia="Times New Roman" w:cstheme="minorHAnsi"/>
                <w:b w:val="0"/>
                <w:bCs w:val="0"/>
                <w:color w:val="000000"/>
                <w:lang w:eastAsia="lv-LV"/>
              </w:rPr>
            </w:pPr>
            <w:r>
              <w:rPr>
                <w:rFonts w:eastAsia="Times New Roman" w:cstheme="minorHAnsi"/>
                <w:b w:val="0"/>
                <w:color w:val="000000"/>
                <w:lang w:eastAsia="lv-LV"/>
              </w:rPr>
              <w:t>2023.</w:t>
            </w:r>
          </w:p>
        </w:tc>
        <w:tc>
          <w:tcPr>
            <w:tcW w:w="954" w:type="dxa"/>
            <w:noWrap/>
          </w:tcPr>
          <w:p w14:paraId="3A70EBD5" w14:textId="0817434B" w:rsidR="00A46AB2" w:rsidRPr="00631B24" w:rsidRDefault="00A46AB2" w:rsidP="00A46AB2">
            <w:pPr>
              <w:spacing w:line="240" w:lineRule="auto"/>
              <w:ind w:firstLine="0"/>
              <w:jc w:val="right"/>
              <w:rPr>
                <w:rFonts w:eastAsia="Times New Roman" w:cstheme="minorHAnsi"/>
                <w:b w:val="0"/>
                <w:bCs w:val="0"/>
                <w:color w:val="000000"/>
                <w:lang w:eastAsia="lv-LV"/>
              </w:rPr>
            </w:pPr>
            <w:r>
              <w:rPr>
                <w:rFonts w:eastAsia="Times New Roman" w:cstheme="minorHAnsi"/>
                <w:b w:val="0"/>
                <w:color w:val="000000"/>
                <w:lang w:eastAsia="lv-LV"/>
              </w:rPr>
              <w:t>2024.</w:t>
            </w:r>
          </w:p>
        </w:tc>
      </w:tr>
      <w:tr w:rsidR="001A2641" w:rsidRPr="00631B24" w14:paraId="63BD43E6" w14:textId="77777777" w:rsidTr="005F216D">
        <w:trPr>
          <w:trHeight w:val="300"/>
          <w:jc w:val="center"/>
        </w:trPr>
        <w:tc>
          <w:tcPr>
            <w:tcW w:w="4248" w:type="dxa"/>
            <w:noWrap/>
            <w:hideMark/>
          </w:tcPr>
          <w:p w14:paraId="11D8B412" w14:textId="078E91B1" w:rsidR="001A2641" w:rsidRPr="00631B24" w:rsidRDefault="001A2641" w:rsidP="001A2641">
            <w:pPr>
              <w:spacing w:line="240" w:lineRule="auto"/>
              <w:ind w:firstLine="0"/>
              <w:jc w:val="left"/>
              <w:rPr>
                <w:rFonts w:eastAsia="Times New Roman" w:cstheme="minorHAnsi"/>
                <w:color w:val="000000"/>
                <w:lang w:eastAsia="lv-LV"/>
              </w:rPr>
            </w:pPr>
            <w:r w:rsidRPr="00631B24">
              <w:rPr>
                <w:rFonts w:eastAsia="Times New Roman" w:cstheme="minorHAnsi"/>
                <w:color w:val="000000"/>
                <w:lang w:eastAsia="lv-LV"/>
              </w:rPr>
              <w:t>Dzīvojamo ēku būvniecība</w:t>
            </w:r>
          </w:p>
        </w:tc>
        <w:tc>
          <w:tcPr>
            <w:tcW w:w="953" w:type="dxa"/>
            <w:noWrap/>
            <w:vAlign w:val="center"/>
          </w:tcPr>
          <w:p w14:paraId="531D5980" w14:textId="145F5186" w:rsidR="001A2641" w:rsidRPr="001B2B9D" w:rsidRDefault="001A2641" w:rsidP="001B2B9D">
            <w:pPr>
              <w:spacing w:line="240" w:lineRule="auto"/>
              <w:ind w:firstLine="0"/>
              <w:jc w:val="right"/>
              <w:rPr>
                <w:rFonts w:eastAsia="Times New Roman" w:cstheme="minorHAnsi"/>
                <w:bCs/>
                <w:color w:val="000000"/>
                <w:lang w:eastAsia="lv-LV"/>
              </w:rPr>
            </w:pPr>
            <w:r w:rsidRPr="001B2B9D">
              <w:rPr>
                <w:rFonts w:cstheme="minorHAnsi"/>
                <w:color w:val="000000"/>
              </w:rPr>
              <w:t>-0,53</w:t>
            </w:r>
          </w:p>
        </w:tc>
        <w:tc>
          <w:tcPr>
            <w:tcW w:w="954" w:type="dxa"/>
            <w:noWrap/>
            <w:vAlign w:val="center"/>
          </w:tcPr>
          <w:p w14:paraId="27FF741E" w14:textId="0BE5E9E7"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0,76</w:t>
            </w:r>
          </w:p>
        </w:tc>
        <w:tc>
          <w:tcPr>
            <w:tcW w:w="954" w:type="dxa"/>
            <w:noWrap/>
            <w:vAlign w:val="center"/>
          </w:tcPr>
          <w:p w14:paraId="0E167CF7" w14:textId="0E4B0B4D"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2,57</w:t>
            </w:r>
          </w:p>
        </w:tc>
        <w:tc>
          <w:tcPr>
            <w:tcW w:w="954" w:type="dxa"/>
            <w:noWrap/>
            <w:vAlign w:val="center"/>
          </w:tcPr>
          <w:p w14:paraId="0FC4CFF3" w14:textId="56BD027B"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4,59</w:t>
            </w:r>
          </w:p>
        </w:tc>
        <w:tc>
          <w:tcPr>
            <w:tcW w:w="954" w:type="dxa"/>
            <w:noWrap/>
            <w:vAlign w:val="center"/>
          </w:tcPr>
          <w:p w14:paraId="0C6A43F2" w14:textId="42252C72"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5,68</w:t>
            </w:r>
          </w:p>
        </w:tc>
      </w:tr>
      <w:tr w:rsidR="001A2641" w:rsidRPr="00631B24" w14:paraId="682A3C31" w14:textId="77777777" w:rsidTr="005F216D">
        <w:trPr>
          <w:trHeight w:val="300"/>
          <w:jc w:val="center"/>
        </w:trPr>
        <w:tc>
          <w:tcPr>
            <w:tcW w:w="4248" w:type="dxa"/>
            <w:noWrap/>
            <w:hideMark/>
          </w:tcPr>
          <w:p w14:paraId="65F1A8F3" w14:textId="2819E645" w:rsidR="001A2641" w:rsidRPr="00631B24" w:rsidRDefault="001A2641" w:rsidP="001A2641">
            <w:pPr>
              <w:spacing w:line="240" w:lineRule="auto"/>
              <w:ind w:firstLine="0"/>
              <w:jc w:val="left"/>
              <w:rPr>
                <w:rFonts w:eastAsia="Times New Roman" w:cstheme="minorHAnsi"/>
                <w:color w:val="000000"/>
                <w:lang w:eastAsia="lv-LV"/>
              </w:rPr>
            </w:pPr>
            <w:r w:rsidRPr="00631B24">
              <w:rPr>
                <w:rFonts w:eastAsia="Times New Roman" w:cstheme="minorHAnsi"/>
                <w:color w:val="000000"/>
                <w:lang w:eastAsia="lv-LV"/>
              </w:rPr>
              <w:t>Nedzīvojamo ēku būvniecība</w:t>
            </w:r>
          </w:p>
        </w:tc>
        <w:tc>
          <w:tcPr>
            <w:tcW w:w="953" w:type="dxa"/>
            <w:noWrap/>
            <w:vAlign w:val="center"/>
          </w:tcPr>
          <w:p w14:paraId="51C701F3" w14:textId="4BB05C90" w:rsidR="001A2641" w:rsidRPr="001B2B9D" w:rsidRDefault="001A2641" w:rsidP="001B2B9D">
            <w:pPr>
              <w:spacing w:line="240" w:lineRule="auto"/>
              <w:ind w:firstLine="0"/>
              <w:jc w:val="right"/>
              <w:rPr>
                <w:rFonts w:eastAsia="Times New Roman" w:cstheme="minorHAnsi"/>
                <w:bCs/>
                <w:color w:val="000000"/>
                <w:lang w:eastAsia="lv-LV"/>
              </w:rPr>
            </w:pPr>
            <w:r w:rsidRPr="001B2B9D">
              <w:rPr>
                <w:rFonts w:cstheme="minorHAnsi"/>
                <w:color w:val="000000"/>
              </w:rPr>
              <w:t>-1,23</w:t>
            </w:r>
          </w:p>
        </w:tc>
        <w:tc>
          <w:tcPr>
            <w:tcW w:w="954" w:type="dxa"/>
            <w:noWrap/>
            <w:vAlign w:val="center"/>
          </w:tcPr>
          <w:p w14:paraId="5AA2AF20" w14:textId="47DBE4CB" w:rsidR="001A2641" w:rsidRPr="001B2B9D" w:rsidRDefault="001A2641" w:rsidP="001B2B9D">
            <w:pPr>
              <w:spacing w:line="240" w:lineRule="auto"/>
              <w:ind w:firstLine="0"/>
              <w:jc w:val="right"/>
              <w:rPr>
                <w:rFonts w:eastAsia="Times New Roman" w:cstheme="minorHAnsi"/>
                <w:bCs/>
                <w:color w:val="000000"/>
                <w:lang w:eastAsia="lv-LV"/>
              </w:rPr>
            </w:pPr>
            <w:r w:rsidRPr="001B2B9D">
              <w:rPr>
                <w:rFonts w:cstheme="minorHAnsi"/>
                <w:color w:val="000000"/>
              </w:rPr>
              <w:t>-0,26</w:t>
            </w:r>
          </w:p>
        </w:tc>
        <w:tc>
          <w:tcPr>
            <w:tcW w:w="954" w:type="dxa"/>
            <w:noWrap/>
            <w:vAlign w:val="center"/>
          </w:tcPr>
          <w:p w14:paraId="2E255563" w14:textId="6FFD4E47"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2,64</w:t>
            </w:r>
          </w:p>
        </w:tc>
        <w:tc>
          <w:tcPr>
            <w:tcW w:w="954" w:type="dxa"/>
            <w:noWrap/>
            <w:vAlign w:val="center"/>
          </w:tcPr>
          <w:p w14:paraId="69498CFB" w14:textId="193239FB"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3,90</w:t>
            </w:r>
          </w:p>
        </w:tc>
        <w:tc>
          <w:tcPr>
            <w:tcW w:w="954" w:type="dxa"/>
            <w:noWrap/>
            <w:vAlign w:val="center"/>
          </w:tcPr>
          <w:p w14:paraId="45B2671A" w14:textId="2E099EFD"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4,01</w:t>
            </w:r>
          </w:p>
        </w:tc>
      </w:tr>
      <w:tr w:rsidR="001A2641" w:rsidRPr="00631B24" w14:paraId="39B0D902" w14:textId="77777777" w:rsidTr="005F216D">
        <w:trPr>
          <w:trHeight w:val="300"/>
          <w:jc w:val="center"/>
        </w:trPr>
        <w:tc>
          <w:tcPr>
            <w:tcW w:w="4248" w:type="dxa"/>
            <w:noWrap/>
            <w:hideMark/>
          </w:tcPr>
          <w:p w14:paraId="5A5178A3" w14:textId="180805A8" w:rsidR="001A2641" w:rsidRPr="00A46AB2" w:rsidRDefault="001A2641" w:rsidP="001A2641">
            <w:pPr>
              <w:spacing w:line="240" w:lineRule="auto"/>
              <w:ind w:firstLine="0"/>
              <w:jc w:val="left"/>
              <w:rPr>
                <w:rFonts w:eastAsia="Times New Roman" w:cstheme="minorHAnsi"/>
                <w:color w:val="000000"/>
                <w:lang w:eastAsia="lv-LV"/>
              </w:rPr>
            </w:pPr>
            <w:r w:rsidRPr="00A46AB2">
              <w:rPr>
                <w:rFonts w:eastAsia="Times New Roman" w:cstheme="minorHAnsi"/>
                <w:color w:val="000000"/>
                <w:lang w:eastAsia="lv-LV"/>
              </w:rPr>
              <w:t>Ceļu un maģistrāļu būvniecība</w:t>
            </w:r>
          </w:p>
        </w:tc>
        <w:tc>
          <w:tcPr>
            <w:tcW w:w="953" w:type="dxa"/>
            <w:noWrap/>
            <w:vAlign w:val="center"/>
          </w:tcPr>
          <w:p w14:paraId="6F977C07" w14:textId="769A283E" w:rsidR="001A2641" w:rsidRPr="001B2B9D" w:rsidRDefault="001A2641" w:rsidP="001B2B9D">
            <w:pPr>
              <w:spacing w:line="240" w:lineRule="auto"/>
              <w:ind w:firstLine="0"/>
              <w:jc w:val="right"/>
              <w:rPr>
                <w:rFonts w:eastAsia="Times New Roman" w:cstheme="minorHAnsi"/>
                <w:bCs/>
                <w:color w:val="000000"/>
                <w:lang w:eastAsia="lv-LV"/>
              </w:rPr>
            </w:pPr>
            <w:r w:rsidRPr="001B2B9D">
              <w:rPr>
                <w:rFonts w:cstheme="minorHAnsi"/>
                <w:color w:val="000000"/>
              </w:rPr>
              <w:t>-8,50</w:t>
            </w:r>
          </w:p>
        </w:tc>
        <w:tc>
          <w:tcPr>
            <w:tcW w:w="954" w:type="dxa"/>
            <w:noWrap/>
            <w:vAlign w:val="center"/>
          </w:tcPr>
          <w:p w14:paraId="217E135A" w14:textId="28597B8F"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0,13</w:t>
            </w:r>
          </w:p>
        </w:tc>
        <w:tc>
          <w:tcPr>
            <w:tcW w:w="954" w:type="dxa"/>
            <w:noWrap/>
            <w:vAlign w:val="center"/>
          </w:tcPr>
          <w:p w14:paraId="7CB93271" w14:textId="63B0FAAB"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2,50</w:t>
            </w:r>
          </w:p>
        </w:tc>
        <w:tc>
          <w:tcPr>
            <w:tcW w:w="954" w:type="dxa"/>
            <w:noWrap/>
            <w:vAlign w:val="center"/>
          </w:tcPr>
          <w:p w14:paraId="67D11594" w14:textId="36E6FE78"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4,50</w:t>
            </w:r>
          </w:p>
        </w:tc>
        <w:tc>
          <w:tcPr>
            <w:tcW w:w="954" w:type="dxa"/>
            <w:noWrap/>
            <w:vAlign w:val="center"/>
          </w:tcPr>
          <w:p w14:paraId="5B35CAC5" w14:textId="6541F2B9"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6,88</w:t>
            </w:r>
          </w:p>
        </w:tc>
      </w:tr>
      <w:tr w:rsidR="001A2641" w:rsidRPr="00631B24" w14:paraId="5E7AAC43" w14:textId="77777777" w:rsidTr="005F216D">
        <w:trPr>
          <w:trHeight w:val="300"/>
          <w:jc w:val="center"/>
        </w:trPr>
        <w:tc>
          <w:tcPr>
            <w:tcW w:w="4248" w:type="dxa"/>
            <w:noWrap/>
            <w:hideMark/>
          </w:tcPr>
          <w:p w14:paraId="7064ED2C" w14:textId="1C61B6ED" w:rsidR="001A2641" w:rsidRPr="00A46AB2" w:rsidRDefault="001A2641" w:rsidP="001A2641">
            <w:pPr>
              <w:spacing w:line="240" w:lineRule="auto"/>
              <w:ind w:firstLine="0"/>
              <w:jc w:val="left"/>
              <w:rPr>
                <w:rFonts w:eastAsia="Times New Roman" w:cstheme="minorHAnsi"/>
                <w:color w:val="000000"/>
                <w:lang w:eastAsia="lv-LV"/>
              </w:rPr>
            </w:pPr>
            <w:r w:rsidRPr="00A46AB2">
              <w:rPr>
                <w:rFonts w:eastAsia="Times New Roman" w:cstheme="minorHAnsi"/>
                <w:color w:val="000000"/>
                <w:lang w:eastAsia="lv-LV"/>
              </w:rPr>
              <w:t>Dzelzceļu būvniecība</w:t>
            </w:r>
          </w:p>
        </w:tc>
        <w:tc>
          <w:tcPr>
            <w:tcW w:w="953" w:type="dxa"/>
            <w:noWrap/>
            <w:vAlign w:val="center"/>
          </w:tcPr>
          <w:p w14:paraId="4660877A" w14:textId="2046E22A"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1,00</w:t>
            </w:r>
          </w:p>
        </w:tc>
        <w:tc>
          <w:tcPr>
            <w:tcW w:w="954" w:type="dxa"/>
            <w:noWrap/>
            <w:vAlign w:val="center"/>
          </w:tcPr>
          <w:p w14:paraId="003A3781" w14:textId="05585249"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6,00</w:t>
            </w:r>
          </w:p>
        </w:tc>
        <w:tc>
          <w:tcPr>
            <w:tcW w:w="954" w:type="dxa"/>
            <w:noWrap/>
            <w:vAlign w:val="center"/>
          </w:tcPr>
          <w:p w14:paraId="546FFDB8" w14:textId="178D5C26"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5,50</w:t>
            </w:r>
          </w:p>
        </w:tc>
        <w:tc>
          <w:tcPr>
            <w:tcW w:w="954" w:type="dxa"/>
            <w:noWrap/>
            <w:vAlign w:val="center"/>
          </w:tcPr>
          <w:p w14:paraId="67655BFA" w14:textId="1EA774A2"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4,50</w:t>
            </w:r>
          </w:p>
        </w:tc>
        <w:tc>
          <w:tcPr>
            <w:tcW w:w="954" w:type="dxa"/>
            <w:noWrap/>
            <w:vAlign w:val="center"/>
          </w:tcPr>
          <w:p w14:paraId="36866FC5" w14:textId="3200D6EC"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2,50</w:t>
            </w:r>
          </w:p>
        </w:tc>
      </w:tr>
      <w:tr w:rsidR="001A2641" w:rsidRPr="00631B24" w14:paraId="618C95C6" w14:textId="77777777" w:rsidTr="005F216D">
        <w:trPr>
          <w:trHeight w:val="300"/>
          <w:jc w:val="center"/>
        </w:trPr>
        <w:tc>
          <w:tcPr>
            <w:tcW w:w="4248" w:type="dxa"/>
            <w:noWrap/>
            <w:hideMark/>
          </w:tcPr>
          <w:p w14:paraId="04CB2F67" w14:textId="5CE077CD" w:rsidR="001A2641" w:rsidRPr="00A46AB2" w:rsidRDefault="001A2641" w:rsidP="001A2641">
            <w:pPr>
              <w:spacing w:line="240" w:lineRule="auto"/>
              <w:ind w:firstLine="0"/>
              <w:jc w:val="left"/>
              <w:rPr>
                <w:rFonts w:eastAsia="Times New Roman" w:cstheme="minorHAnsi"/>
                <w:color w:val="000000"/>
                <w:lang w:eastAsia="lv-LV"/>
              </w:rPr>
            </w:pPr>
            <w:r w:rsidRPr="00A46AB2">
              <w:rPr>
                <w:rFonts w:eastAsia="Times New Roman" w:cstheme="minorHAnsi"/>
                <w:color w:val="000000"/>
                <w:lang w:eastAsia="lv-LV"/>
              </w:rPr>
              <w:t>Tiltu un tuneļu būvniecība</w:t>
            </w:r>
          </w:p>
        </w:tc>
        <w:tc>
          <w:tcPr>
            <w:tcW w:w="953" w:type="dxa"/>
            <w:noWrap/>
            <w:vAlign w:val="center"/>
          </w:tcPr>
          <w:p w14:paraId="2B62CE3F" w14:textId="254D446D"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1,57</w:t>
            </w:r>
          </w:p>
        </w:tc>
        <w:tc>
          <w:tcPr>
            <w:tcW w:w="954" w:type="dxa"/>
            <w:noWrap/>
            <w:vAlign w:val="center"/>
          </w:tcPr>
          <w:p w14:paraId="088F0049" w14:textId="3507BFDD"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5,00</w:t>
            </w:r>
          </w:p>
        </w:tc>
        <w:tc>
          <w:tcPr>
            <w:tcW w:w="954" w:type="dxa"/>
            <w:noWrap/>
            <w:vAlign w:val="center"/>
          </w:tcPr>
          <w:p w14:paraId="710AA93D" w14:textId="2514D21B"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6,57</w:t>
            </w:r>
          </w:p>
        </w:tc>
        <w:tc>
          <w:tcPr>
            <w:tcW w:w="954" w:type="dxa"/>
            <w:noWrap/>
            <w:vAlign w:val="center"/>
          </w:tcPr>
          <w:p w14:paraId="410B7642" w14:textId="1C70638A"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6,57</w:t>
            </w:r>
          </w:p>
        </w:tc>
        <w:tc>
          <w:tcPr>
            <w:tcW w:w="954" w:type="dxa"/>
            <w:noWrap/>
            <w:vAlign w:val="center"/>
          </w:tcPr>
          <w:p w14:paraId="6FC4876F" w14:textId="74E93771" w:rsidR="001A2641"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001A2641" w:rsidRPr="001B2B9D">
              <w:rPr>
                <w:rFonts w:cstheme="minorHAnsi"/>
                <w:color w:val="000000"/>
              </w:rPr>
              <w:t>6,57</w:t>
            </w:r>
          </w:p>
        </w:tc>
      </w:tr>
      <w:tr w:rsidR="001B2B9D" w:rsidRPr="00631B24" w14:paraId="5008F042" w14:textId="77777777" w:rsidTr="005F216D">
        <w:trPr>
          <w:trHeight w:val="300"/>
          <w:jc w:val="center"/>
        </w:trPr>
        <w:tc>
          <w:tcPr>
            <w:tcW w:w="4248" w:type="dxa"/>
            <w:noWrap/>
            <w:hideMark/>
          </w:tcPr>
          <w:p w14:paraId="75EC93FF" w14:textId="61B3A513" w:rsidR="001B2B9D" w:rsidRPr="00631B24" w:rsidRDefault="001B2B9D" w:rsidP="001B2B9D">
            <w:pPr>
              <w:spacing w:line="240" w:lineRule="auto"/>
              <w:ind w:firstLine="0"/>
              <w:jc w:val="left"/>
              <w:rPr>
                <w:rFonts w:eastAsia="Times New Roman" w:cstheme="minorHAnsi"/>
                <w:color w:val="000000"/>
                <w:lang w:eastAsia="lv-LV"/>
              </w:rPr>
            </w:pPr>
            <w:r w:rsidRPr="00631B24">
              <w:rPr>
                <w:rFonts w:eastAsia="Times New Roman" w:cstheme="minorHAnsi"/>
                <w:color w:val="000000"/>
                <w:lang w:eastAsia="lv-LV"/>
              </w:rPr>
              <w:t>Pilsētas  infrastruktūras objektu būvniecība</w:t>
            </w:r>
          </w:p>
        </w:tc>
        <w:tc>
          <w:tcPr>
            <w:tcW w:w="953" w:type="dxa"/>
            <w:noWrap/>
            <w:vAlign w:val="center"/>
          </w:tcPr>
          <w:p w14:paraId="3C3B95B3" w14:textId="5E921570" w:rsidR="001B2B9D"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Pr="001B2B9D">
              <w:rPr>
                <w:rFonts w:cstheme="minorHAnsi"/>
                <w:color w:val="000000"/>
              </w:rPr>
              <w:t>2,67</w:t>
            </w:r>
          </w:p>
        </w:tc>
        <w:tc>
          <w:tcPr>
            <w:tcW w:w="954" w:type="dxa"/>
            <w:noWrap/>
            <w:vAlign w:val="center"/>
          </w:tcPr>
          <w:p w14:paraId="54EAD4D5" w14:textId="567DD957" w:rsidR="001B2B9D"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Pr="001B2B9D">
              <w:rPr>
                <w:rFonts w:cstheme="minorHAnsi"/>
                <w:color w:val="000000"/>
              </w:rPr>
              <w:t>3,33</w:t>
            </w:r>
          </w:p>
        </w:tc>
        <w:tc>
          <w:tcPr>
            <w:tcW w:w="954" w:type="dxa"/>
            <w:noWrap/>
            <w:vAlign w:val="center"/>
          </w:tcPr>
          <w:p w14:paraId="4FF3E34B" w14:textId="2ACD2768" w:rsidR="001B2B9D"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Pr="001B2B9D">
              <w:rPr>
                <w:rFonts w:cstheme="minorHAnsi"/>
                <w:color w:val="000000"/>
              </w:rPr>
              <w:t>4,83</w:t>
            </w:r>
          </w:p>
        </w:tc>
        <w:tc>
          <w:tcPr>
            <w:tcW w:w="954" w:type="dxa"/>
            <w:noWrap/>
            <w:vAlign w:val="center"/>
          </w:tcPr>
          <w:p w14:paraId="5A638E02" w14:textId="2C150E10" w:rsidR="001B2B9D"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Pr="001B2B9D">
              <w:rPr>
                <w:rFonts w:cstheme="minorHAnsi"/>
                <w:color w:val="000000"/>
              </w:rPr>
              <w:t>4,33</w:t>
            </w:r>
          </w:p>
        </w:tc>
        <w:tc>
          <w:tcPr>
            <w:tcW w:w="954" w:type="dxa"/>
            <w:noWrap/>
            <w:vAlign w:val="center"/>
          </w:tcPr>
          <w:p w14:paraId="384BD3CB" w14:textId="4B86293F" w:rsidR="001B2B9D" w:rsidRPr="001B2B9D" w:rsidRDefault="001B2B9D" w:rsidP="001B2B9D">
            <w:pPr>
              <w:spacing w:line="240" w:lineRule="auto"/>
              <w:ind w:firstLine="0"/>
              <w:jc w:val="right"/>
              <w:rPr>
                <w:rFonts w:eastAsia="Times New Roman" w:cstheme="minorHAnsi"/>
                <w:bCs/>
                <w:color w:val="000000"/>
                <w:lang w:eastAsia="lv-LV"/>
              </w:rPr>
            </w:pPr>
            <w:r>
              <w:rPr>
                <w:rFonts w:cstheme="minorHAnsi"/>
                <w:color w:val="000000"/>
              </w:rPr>
              <w:t>+</w:t>
            </w:r>
            <w:r w:rsidRPr="001B2B9D">
              <w:rPr>
                <w:rFonts w:cstheme="minorHAnsi"/>
                <w:color w:val="000000"/>
              </w:rPr>
              <w:t>4,00</w:t>
            </w:r>
          </w:p>
        </w:tc>
      </w:tr>
      <w:tr w:rsidR="001B2B9D" w:rsidRPr="00631B24" w14:paraId="76781EDA" w14:textId="77777777" w:rsidTr="005F216D">
        <w:trPr>
          <w:trHeight w:val="300"/>
          <w:jc w:val="center"/>
        </w:trPr>
        <w:tc>
          <w:tcPr>
            <w:tcW w:w="4248" w:type="dxa"/>
            <w:noWrap/>
          </w:tcPr>
          <w:p w14:paraId="0AF03E0E" w14:textId="43D0AB62" w:rsidR="001B2B9D" w:rsidRPr="00631B24" w:rsidRDefault="001B2B9D" w:rsidP="001B2B9D">
            <w:pPr>
              <w:spacing w:line="240" w:lineRule="auto"/>
              <w:ind w:firstLine="0"/>
              <w:jc w:val="left"/>
              <w:rPr>
                <w:rFonts w:eastAsia="Times New Roman" w:cstheme="minorHAnsi"/>
                <w:color w:val="000000"/>
                <w:lang w:eastAsia="lv-LV"/>
              </w:rPr>
            </w:pPr>
            <w:r w:rsidRPr="00631B24">
              <w:rPr>
                <w:rFonts w:eastAsia="Times New Roman" w:cstheme="minorHAnsi"/>
                <w:color w:val="000000"/>
                <w:lang w:eastAsia="lv-LV"/>
              </w:rPr>
              <w:t xml:space="preserve">Pārējā </w:t>
            </w:r>
            <w:proofErr w:type="spellStart"/>
            <w:r w:rsidRPr="00631B24">
              <w:rPr>
                <w:rFonts w:eastAsia="Times New Roman" w:cstheme="minorHAnsi"/>
                <w:color w:val="000000"/>
                <w:lang w:eastAsia="lv-LV"/>
              </w:rPr>
              <w:t>inženierbūvniecība</w:t>
            </w:r>
            <w:proofErr w:type="spellEnd"/>
          </w:p>
        </w:tc>
        <w:tc>
          <w:tcPr>
            <w:tcW w:w="953" w:type="dxa"/>
            <w:noWrap/>
            <w:vAlign w:val="center"/>
          </w:tcPr>
          <w:p w14:paraId="3D894886" w14:textId="5A5F338E" w:rsidR="001B2B9D" w:rsidRPr="001B2B9D" w:rsidRDefault="001B2B9D" w:rsidP="001B2B9D">
            <w:pPr>
              <w:spacing w:line="240" w:lineRule="auto"/>
              <w:ind w:firstLine="0"/>
              <w:jc w:val="right"/>
              <w:rPr>
                <w:rFonts w:cstheme="minorHAnsi"/>
                <w:bCs/>
                <w:color w:val="000000"/>
              </w:rPr>
            </w:pPr>
            <w:r>
              <w:rPr>
                <w:rFonts w:cstheme="minorHAnsi"/>
                <w:color w:val="000000"/>
              </w:rPr>
              <w:t>+</w:t>
            </w:r>
            <w:r w:rsidRPr="001B2B9D">
              <w:rPr>
                <w:rFonts w:cstheme="minorHAnsi"/>
                <w:color w:val="000000"/>
              </w:rPr>
              <w:t>0,71</w:t>
            </w:r>
          </w:p>
        </w:tc>
        <w:tc>
          <w:tcPr>
            <w:tcW w:w="954" w:type="dxa"/>
            <w:noWrap/>
            <w:vAlign w:val="center"/>
          </w:tcPr>
          <w:p w14:paraId="56B00150" w14:textId="1149C7AC" w:rsidR="001B2B9D" w:rsidRPr="001B2B9D" w:rsidRDefault="001B2B9D" w:rsidP="001B2B9D">
            <w:pPr>
              <w:spacing w:line="240" w:lineRule="auto"/>
              <w:ind w:firstLine="0"/>
              <w:jc w:val="right"/>
              <w:rPr>
                <w:rFonts w:cstheme="minorHAnsi"/>
                <w:bCs/>
                <w:color w:val="000000"/>
              </w:rPr>
            </w:pPr>
            <w:r>
              <w:rPr>
                <w:rFonts w:cstheme="minorHAnsi"/>
                <w:color w:val="000000"/>
              </w:rPr>
              <w:t>+</w:t>
            </w:r>
            <w:r w:rsidRPr="001B2B9D">
              <w:rPr>
                <w:rFonts w:cstheme="minorHAnsi"/>
                <w:color w:val="000000"/>
              </w:rPr>
              <w:t>4,97</w:t>
            </w:r>
          </w:p>
        </w:tc>
        <w:tc>
          <w:tcPr>
            <w:tcW w:w="954" w:type="dxa"/>
            <w:noWrap/>
            <w:vAlign w:val="center"/>
          </w:tcPr>
          <w:p w14:paraId="392F4297" w14:textId="1B6D9334" w:rsidR="001B2B9D" w:rsidRPr="001B2B9D" w:rsidRDefault="001B2B9D" w:rsidP="001B2B9D">
            <w:pPr>
              <w:spacing w:line="240" w:lineRule="auto"/>
              <w:ind w:firstLine="0"/>
              <w:jc w:val="right"/>
              <w:rPr>
                <w:rFonts w:cstheme="minorHAnsi"/>
                <w:bCs/>
                <w:color w:val="000000"/>
              </w:rPr>
            </w:pPr>
            <w:r>
              <w:rPr>
                <w:rFonts w:cstheme="minorHAnsi"/>
                <w:color w:val="000000"/>
              </w:rPr>
              <w:t>+</w:t>
            </w:r>
            <w:r w:rsidRPr="001B2B9D">
              <w:rPr>
                <w:rFonts w:cstheme="minorHAnsi"/>
                <w:color w:val="000000"/>
              </w:rPr>
              <w:t>4,10</w:t>
            </w:r>
          </w:p>
        </w:tc>
        <w:tc>
          <w:tcPr>
            <w:tcW w:w="954" w:type="dxa"/>
            <w:noWrap/>
            <w:vAlign w:val="center"/>
          </w:tcPr>
          <w:p w14:paraId="651A5D3D" w14:textId="55B5043C" w:rsidR="001B2B9D" w:rsidRPr="001B2B9D" w:rsidRDefault="001B2B9D" w:rsidP="001B2B9D">
            <w:pPr>
              <w:spacing w:line="240" w:lineRule="auto"/>
              <w:ind w:firstLine="0"/>
              <w:jc w:val="right"/>
              <w:rPr>
                <w:rFonts w:cstheme="minorHAnsi"/>
                <w:bCs/>
                <w:color w:val="000000"/>
              </w:rPr>
            </w:pPr>
            <w:r>
              <w:rPr>
                <w:rFonts w:cstheme="minorHAnsi"/>
                <w:color w:val="000000"/>
              </w:rPr>
              <w:t>+</w:t>
            </w:r>
            <w:r w:rsidRPr="001B2B9D">
              <w:rPr>
                <w:rFonts w:cstheme="minorHAnsi"/>
                <w:color w:val="000000"/>
              </w:rPr>
              <w:t>4,26</w:t>
            </w:r>
          </w:p>
        </w:tc>
        <w:tc>
          <w:tcPr>
            <w:tcW w:w="954" w:type="dxa"/>
            <w:noWrap/>
            <w:vAlign w:val="center"/>
          </w:tcPr>
          <w:p w14:paraId="3F77EAD1" w14:textId="3EC94C70" w:rsidR="001B2B9D" w:rsidRPr="001B2B9D" w:rsidRDefault="001B2B9D" w:rsidP="001B2B9D">
            <w:pPr>
              <w:spacing w:line="240" w:lineRule="auto"/>
              <w:ind w:firstLine="0"/>
              <w:jc w:val="right"/>
              <w:rPr>
                <w:rFonts w:cstheme="minorHAnsi"/>
                <w:bCs/>
                <w:color w:val="000000"/>
              </w:rPr>
            </w:pPr>
            <w:r>
              <w:rPr>
                <w:rFonts w:cstheme="minorHAnsi"/>
                <w:color w:val="000000"/>
              </w:rPr>
              <w:t>+</w:t>
            </w:r>
            <w:r w:rsidRPr="001B2B9D">
              <w:rPr>
                <w:rFonts w:cstheme="minorHAnsi"/>
                <w:color w:val="000000"/>
              </w:rPr>
              <w:t>5,11</w:t>
            </w:r>
          </w:p>
        </w:tc>
      </w:tr>
    </w:tbl>
    <w:p w14:paraId="32370DAE" w14:textId="0514AD9F" w:rsidR="00A03B6A" w:rsidRDefault="00A03B6A" w:rsidP="00A03B6A">
      <w:pPr>
        <w:ind w:firstLine="0"/>
      </w:pPr>
    </w:p>
    <w:p w14:paraId="381D4D0A" w14:textId="48B460D0" w:rsidR="00A03B6A" w:rsidRPr="00490706" w:rsidRDefault="00A03B6A" w:rsidP="00A03B6A">
      <w:pPr>
        <w:rPr>
          <w:sz w:val="24"/>
          <w:szCs w:val="24"/>
        </w:rPr>
      </w:pPr>
      <w:r w:rsidRPr="00490706">
        <w:rPr>
          <w:sz w:val="24"/>
          <w:szCs w:val="24"/>
        </w:rPr>
        <w:t xml:space="preserve">Ņemot vērā būvniecības produkcijas lēno izaugsmi, 2020.gadā vairākās </w:t>
      </w:r>
      <w:proofErr w:type="spellStart"/>
      <w:r w:rsidR="00AA213E" w:rsidRPr="00490706">
        <w:rPr>
          <w:sz w:val="24"/>
          <w:szCs w:val="24"/>
        </w:rPr>
        <w:t>apakš</w:t>
      </w:r>
      <w:r w:rsidRPr="00490706">
        <w:rPr>
          <w:sz w:val="24"/>
          <w:szCs w:val="24"/>
        </w:rPr>
        <w:t>nozarēs</w:t>
      </w:r>
      <w:proofErr w:type="spellEnd"/>
      <w:r w:rsidRPr="00490706">
        <w:rPr>
          <w:sz w:val="24"/>
          <w:szCs w:val="24"/>
        </w:rPr>
        <w:t xml:space="preserve"> prognozēts izmaksu samazinājums</w:t>
      </w:r>
      <w:r w:rsidR="001B78B1" w:rsidRPr="00490706">
        <w:rPr>
          <w:sz w:val="24"/>
          <w:szCs w:val="24"/>
        </w:rPr>
        <w:t>, t</w:t>
      </w:r>
      <w:r w:rsidRPr="00490706">
        <w:rPr>
          <w:sz w:val="24"/>
          <w:szCs w:val="24"/>
        </w:rPr>
        <w:t xml:space="preserve">omēr jau ar 2022. gadu visās </w:t>
      </w:r>
      <w:proofErr w:type="spellStart"/>
      <w:r w:rsidRPr="00490706">
        <w:rPr>
          <w:sz w:val="24"/>
          <w:szCs w:val="24"/>
        </w:rPr>
        <w:t>apakšnozarēs</w:t>
      </w:r>
      <w:proofErr w:type="spellEnd"/>
      <w:r w:rsidRPr="00490706">
        <w:rPr>
          <w:sz w:val="24"/>
          <w:szCs w:val="24"/>
        </w:rPr>
        <w:t xml:space="preserve"> prognozē</w:t>
      </w:r>
      <w:r w:rsidR="001B78B1" w:rsidRPr="00490706">
        <w:rPr>
          <w:sz w:val="24"/>
          <w:szCs w:val="24"/>
        </w:rPr>
        <w:t>jams</w:t>
      </w:r>
      <w:r w:rsidRPr="00490706">
        <w:rPr>
          <w:sz w:val="24"/>
          <w:szCs w:val="24"/>
        </w:rPr>
        <w:t xml:space="preserve"> izmaksu pieaugum</w:t>
      </w:r>
      <w:r w:rsidR="001B78B1" w:rsidRPr="00490706">
        <w:rPr>
          <w:sz w:val="24"/>
          <w:szCs w:val="24"/>
        </w:rPr>
        <w:t>s</w:t>
      </w:r>
      <w:r w:rsidRPr="00490706">
        <w:rPr>
          <w:sz w:val="24"/>
          <w:szCs w:val="24"/>
        </w:rPr>
        <w:t>.</w:t>
      </w:r>
    </w:p>
    <w:p w14:paraId="30D1AECE" w14:textId="77777777" w:rsidR="00A03B6A" w:rsidRDefault="00A03B6A" w:rsidP="00A03B6A">
      <w:pPr>
        <w:ind w:firstLine="0"/>
      </w:pPr>
    </w:p>
    <w:p w14:paraId="76372E6D" w14:textId="2FF24286" w:rsidR="00CC694D" w:rsidRDefault="00CC694D" w:rsidP="00A03B6A">
      <w:pPr>
        <w:pStyle w:val="Heading3"/>
      </w:pPr>
      <w:r w:rsidRPr="002B70F7">
        <w:t>Būvniecības izmaksu izmaiņas</w:t>
      </w:r>
      <w:r w:rsidR="00A87AE8">
        <w:t xml:space="preserve"> </w:t>
      </w:r>
      <w:proofErr w:type="spellStart"/>
      <w:r w:rsidR="00A87AE8">
        <w:t>apakšnozarēs</w:t>
      </w:r>
      <w:proofErr w:type="spellEnd"/>
      <w:r w:rsidRPr="002B70F7">
        <w:t xml:space="preserve"> pa resursu veidiem</w:t>
      </w:r>
    </w:p>
    <w:p w14:paraId="2ED0CB02" w14:textId="39D1922E" w:rsidR="00A47703" w:rsidRPr="00490706" w:rsidRDefault="00E67E49" w:rsidP="00A47703">
      <w:pPr>
        <w:pStyle w:val="Default"/>
        <w:spacing w:after="131" w:line="360" w:lineRule="auto"/>
        <w:ind w:firstLine="720"/>
        <w:jc w:val="both"/>
        <w:rPr>
          <w:rFonts w:asciiTheme="minorHAnsi" w:hAnsiTheme="minorHAnsi" w:cstheme="minorHAnsi"/>
        </w:rPr>
      </w:pPr>
      <w:r w:rsidRPr="00490706">
        <w:rPr>
          <w:rFonts w:asciiTheme="minorHAnsi" w:hAnsiTheme="minorHAnsi" w:cstheme="minorHAnsi"/>
          <w:u w:val="single"/>
        </w:rPr>
        <w:t xml:space="preserve">Dzīvojamo ēku </w:t>
      </w:r>
      <w:proofErr w:type="spellStart"/>
      <w:r w:rsidRPr="00490706">
        <w:rPr>
          <w:rFonts w:asciiTheme="minorHAnsi" w:hAnsiTheme="minorHAnsi" w:cstheme="minorHAnsi"/>
          <w:u w:val="single"/>
        </w:rPr>
        <w:t>apakšnozarē</w:t>
      </w:r>
      <w:proofErr w:type="spellEnd"/>
      <w:r w:rsidRPr="00490706">
        <w:rPr>
          <w:rFonts w:asciiTheme="minorHAnsi" w:hAnsiTheme="minorHAnsi" w:cstheme="minorHAnsi"/>
        </w:rPr>
        <w:t xml:space="preserve"> </w:t>
      </w:r>
      <w:r w:rsidR="00A47703" w:rsidRPr="00490706">
        <w:rPr>
          <w:rFonts w:asciiTheme="minorHAnsi" w:hAnsiTheme="minorHAnsi" w:cstheme="minorHAnsi"/>
          <w:bCs/>
        </w:rPr>
        <w:t xml:space="preserve">Dzīvojamo ēku </w:t>
      </w:r>
      <w:proofErr w:type="spellStart"/>
      <w:r w:rsidR="00A47703" w:rsidRPr="00490706">
        <w:rPr>
          <w:rFonts w:asciiTheme="minorHAnsi" w:hAnsiTheme="minorHAnsi" w:cstheme="minorHAnsi"/>
          <w:bCs/>
        </w:rPr>
        <w:t>apakšnozarē</w:t>
      </w:r>
      <w:proofErr w:type="spellEnd"/>
      <w:r w:rsidR="00A47703" w:rsidRPr="00490706">
        <w:rPr>
          <w:rFonts w:asciiTheme="minorHAnsi" w:hAnsiTheme="minorHAnsi" w:cstheme="minorHAnsi"/>
          <w:bCs/>
        </w:rPr>
        <w:t xml:space="preserve"> 2020. gadā visu pozīciju izmaksas tiek prognozētas ar samazinājumu, īpaši mašīnu un mehānismu uzturēšanai ar -1,22%. 2021. gadā visās pozīcijās gaidāms sadārdzinājums, ar augstāko izaugsmi strādnieku samaksai 3,44% un arhitektūrai un inženiertehniskajiem pakalpojumiem ar 3,44% pieaugumu, kas pieaugs </w:t>
      </w:r>
      <w:r w:rsidRPr="00490706">
        <w:rPr>
          <w:rFonts w:asciiTheme="minorHAnsi" w:hAnsiTheme="minorHAnsi" w:cstheme="minorHAnsi"/>
        </w:rPr>
        <w:t xml:space="preserve">līdz </w:t>
      </w:r>
      <w:r w:rsidR="00AF58DB" w:rsidRPr="00490706">
        <w:rPr>
          <w:rFonts w:asciiTheme="minorHAnsi" w:hAnsiTheme="minorHAnsi" w:cstheme="minorHAnsi"/>
        </w:rPr>
        <w:t>6,67</w:t>
      </w:r>
      <w:r w:rsidR="0089788F" w:rsidRPr="00490706">
        <w:rPr>
          <w:rFonts w:asciiTheme="minorHAnsi" w:hAnsiTheme="minorHAnsi" w:cstheme="minorHAnsi"/>
        </w:rPr>
        <w:t>% 202</w:t>
      </w:r>
      <w:r w:rsidR="00AF58DB" w:rsidRPr="00490706">
        <w:rPr>
          <w:rFonts w:asciiTheme="minorHAnsi" w:hAnsiTheme="minorHAnsi" w:cstheme="minorHAnsi"/>
        </w:rPr>
        <w:t>4</w:t>
      </w:r>
      <w:r w:rsidR="0089788F" w:rsidRPr="00490706">
        <w:rPr>
          <w:rFonts w:asciiTheme="minorHAnsi" w:hAnsiTheme="minorHAnsi" w:cstheme="minorHAnsi"/>
        </w:rPr>
        <w:t>.</w:t>
      </w:r>
      <w:r w:rsidR="005F216D" w:rsidRPr="00490706">
        <w:rPr>
          <w:rFonts w:asciiTheme="minorHAnsi" w:hAnsiTheme="minorHAnsi" w:cstheme="minorHAnsi"/>
        </w:rPr>
        <w:t xml:space="preserve"> </w:t>
      </w:r>
      <w:r w:rsidR="0089788F" w:rsidRPr="00490706">
        <w:rPr>
          <w:rFonts w:asciiTheme="minorHAnsi" w:hAnsiTheme="minorHAnsi" w:cstheme="minorHAnsi"/>
        </w:rPr>
        <w:t xml:space="preserve">gadā, kas ir augstākie novērtējumi </w:t>
      </w:r>
      <w:proofErr w:type="spellStart"/>
      <w:r w:rsidR="0089788F" w:rsidRPr="00490706">
        <w:rPr>
          <w:rFonts w:asciiTheme="minorHAnsi" w:hAnsiTheme="minorHAnsi" w:cstheme="minorHAnsi"/>
        </w:rPr>
        <w:t>apakšnozarē</w:t>
      </w:r>
      <w:proofErr w:type="spellEnd"/>
      <w:r w:rsidR="0089788F" w:rsidRPr="00490706">
        <w:rPr>
          <w:rFonts w:asciiTheme="minorHAnsi" w:hAnsiTheme="minorHAnsi" w:cstheme="minorHAnsi"/>
        </w:rPr>
        <w:t xml:space="preserve"> starp visiem resursu veidiem</w:t>
      </w:r>
      <w:r w:rsidR="00490706">
        <w:rPr>
          <w:rFonts w:asciiTheme="minorHAnsi" w:hAnsiTheme="minorHAnsi" w:cstheme="minorHAnsi"/>
        </w:rPr>
        <w:t xml:space="preserve"> </w:t>
      </w:r>
      <w:r w:rsidR="00490706" w:rsidRPr="00490706">
        <w:rPr>
          <w:rFonts w:asciiTheme="minorHAnsi" w:hAnsiTheme="minorHAnsi" w:cstheme="minorHAnsi"/>
        </w:rPr>
        <w:t>(</w:t>
      </w:r>
      <w:r w:rsidR="00490706" w:rsidRPr="00490706">
        <w:rPr>
          <w:rFonts w:asciiTheme="minorHAnsi" w:hAnsiTheme="minorHAnsi" w:cstheme="minorHAnsi"/>
        </w:rPr>
        <w:fldChar w:fldCharType="begin"/>
      </w:r>
      <w:r w:rsidR="00490706" w:rsidRPr="00490706">
        <w:rPr>
          <w:rFonts w:asciiTheme="minorHAnsi" w:hAnsiTheme="minorHAnsi" w:cstheme="minorHAnsi"/>
        </w:rPr>
        <w:instrText xml:space="preserve"> REF _Ref522228417 \h  \* MERGEFORMAT </w:instrText>
      </w:r>
      <w:r w:rsidR="00490706" w:rsidRPr="00490706">
        <w:rPr>
          <w:rFonts w:asciiTheme="minorHAnsi" w:hAnsiTheme="minorHAnsi" w:cstheme="minorHAnsi"/>
        </w:rPr>
      </w:r>
      <w:r w:rsidR="00490706" w:rsidRPr="00490706">
        <w:rPr>
          <w:rFonts w:asciiTheme="minorHAnsi" w:hAnsiTheme="minorHAnsi" w:cstheme="minorHAnsi"/>
        </w:rPr>
        <w:fldChar w:fldCharType="separate"/>
      </w:r>
      <w:r w:rsidR="00490706" w:rsidRPr="00490706">
        <w:rPr>
          <w:rFonts w:asciiTheme="minorHAnsi" w:hAnsiTheme="minorHAnsi" w:cstheme="minorHAnsi"/>
        </w:rPr>
        <w:t>Att.13.</w:t>
      </w:r>
      <w:r w:rsidR="00490706" w:rsidRPr="00490706">
        <w:rPr>
          <w:rFonts w:asciiTheme="minorHAnsi" w:hAnsiTheme="minorHAnsi" w:cstheme="minorHAnsi"/>
        </w:rPr>
        <w:fldChar w:fldCharType="end"/>
      </w:r>
      <w:r w:rsidR="00490706" w:rsidRPr="00490706">
        <w:rPr>
          <w:rFonts w:asciiTheme="minorHAnsi" w:hAnsiTheme="minorHAnsi" w:cstheme="minorHAnsi"/>
        </w:rPr>
        <w:t>).</w:t>
      </w:r>
      <w:r w:rsidR="0089788F" w:rsidRPr="00490706">
        <w:rPr>
          <w:rFonts w:asciiTheme="minorHAnsi" w:hAnsiTheme="minorHAnsi" w:cstheme="minorHAnsi"/>
        </w:rPr>
        <w:t xml:space="preserve"> </w:t>
      </w:r>
      <w:r w:rsidR="001B78B1" w:rsidRPr="00490706">
        <w:rPr>
          <w:rFonts w:asciiTheme="minorHAnsi" w:hAnsiTheme="minorHAnsi" w:cstheme="minorHAnsi"/>
        </w:rPr>
        <w:t xml:space="preserve">Summāri, salīdzinot ar 2019.gadu, šo pakalpojumu kopējais pieaugums sasniegs 23,02%. </w:t>
      </w:r>
      <w:r w:rsidR="0089788F" w:rsidRPr="00490706">
        <w:rPr>
          <w:rFonts w:asciiTheme="minorHAnsi" w:hAnsiTheme="minorHAnsi" w:cstheme="minorHAnsi"/>
        </w:rPr>
        <w:t xml:space="preserve">Vismazākās izmaksu izmaiņas paredzētas mašīnu un mehānismu uzturēšanā. </w:t>
      </w:r>
    </w:p>
    <w:p w14:paraId="2AED554E" w14:textId="5C5C1BC0" w:rsidR="000722D8" w:rsidRDefault="000722D8" w:rsidP="00A47703">
      <w:pPr>
        <w:pStyle w:val="Default"/>
        <w:spacing w:after="131" w:line="360" w:lineRule="auto"/>
        <w:ind w:firstLine="720"/>
        <w:jc w:val="both"/>
        <w:rPr>
          <w:rFonts w:asciiTheme="minorHAnsi" w:hAnsiTheme="minorHAnsi" w:cstheme="minorHAnsi"/>
          <w:bCs/>
          <w:sz w:val="22"/>
          <w:szCs w:val="22"/>
        </w:rPr>
      </w:pPr>
      <w:r>
        <w:rPr>
          <w:noProof/>
          <w:lang w:val="en-US"/>
        </w:rPr>
        <w:drawing>
          <wp:inline distT="0" distB="0" distL="0" distR="0" wp14:anchorId="085707D3" wp14:editId="0DD3E573">
            <wp:extent cx="5613400" cy="137795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44" t="2601" r="969" b="3336"/>
                    <a:stretch/>
                  </pic:blipFill>
                  <pic:spPr bwMode="auto">
                    <a:xfrm>
                      <a:off x="0" y="0"/>
                      <a:ext cx="5615308" cy="1378418"/>
                    </a:xfrm>
                    <a:prstGeom prst="rect">
                      <a:avLst/>
                    </a:prstGeom>
                    <a:noFill/>
                    <a:ln>
                      <a:noFill/>
                    </a:ln>
                    <a:extLst>
                      <a:ext uri="{53640926-AAD7-44D8-BBD7-CCE9431645EC}">
                        <a14:shadowObscured xmlns:a14="http://schemas.microsoft.com/office/drawing/2010/main"/>
                      </a:ext>
                    </a:extLst>
                  </pic:spPr>
                </pic:pic>
              </a:graphicData>
            </a:graphic>
          </wp:inline>
        </w:drawing>
      </w:r>
    </w:p>
    <w:p w14:paraId="054AE80F" w14:textId="77777777" w:rsidR="000722D8" w:rsidRDefault="000722D8" w:rsidP="000722D8">
      <w:pPr>
        <w:pStyle w:val="Caption"/>
        <w:keepNext/>
        <w:jc w:val="center"/>
      </w:pPr>
      <w:r>
        <w:t xml:space="preserve">Att. </w:t>
      </w:r>
      <w:r>
        <w:rPr>
          <w:noProof/>
        </w:rPr>
        <w:fldChar w:fldCharType="begin"/>
      </w:r>
      <w:r>
        <w:rPr>
          <w:noProof/>
        </w:rPr>
        <w:instrText xml:space="preserve"> SEQ Att. \* ARABIC </w:instrText>
      </w:r>
      <w:r>
        <w:rPr>
          <w:noProof/>
        </w:rPr>
        <w:fldChar w:fldCharType="separate"/>
      </w:r>
      <w:r>
        <w:rPr>
          <w:noProof/>
        </w:rPr>
        <w:t>13</w:t>
      </w:r>
      <w:r>
        <w:rPr>
          <w:noProof/>
        </w:rPr>
        <w:fldChar w:fldCharType="end"/>
      </w:r>
      <w:r>
        <w:t xml:space="preserve">. Dzīvojamo ēku būvniecības izmaksu izmaiņu prognozes procentos pret iepriekšējo gadu un indeksos pret 2019.gadu pēc </w:t>
      </w:r>
      <w:proofErr w:type="spellStart"/>
      <w:r>
        <w:t>apakšnozaru</w:t>
      </w:r>
      <w:proofErr w:type="spellEnd"/>
      <w:r>
        <w:t xml:space="preserve"> ekspertu vidējā vērtējuma  pa resursu veidiem.</w:t>
      </w:r>
    </w:p>
    <w:p w14:paraId="3FF2F9D1" w14:textId="5F42BB19" w:rsidR="001E16E3" w:rsidRPr="00490706" w:rsidRDefault="0089788F" w:rsidP="00A47703">
      <w:pPr>
        <w:rPr>
          <w:rFonts w:ascii="Times New Roman" w:hAnsi="Times New Roman" w:cs="Times New Roman"/>
          <w:bCs/>
          <w:sz w:val="24"/>
          <w:szCs w:val="24"/>
        </w:rPr>
      </w:pPr>
      <w:bookmarkStart w:id="36" w:name="_Hlk522720770"/>
      <w:r w:rsidRPr="00490706">
        <w:rPr>
          <w:sz w:val="24"/>
          <w:szCs w:val="24"/>
          <w:u w:val="single"/>
        </w:rPr>
        <w:t xml:space="preserve">Nedzīvojamo ēku būvniecības </w:t>
      </w:r>
      <w:proofErr w:type="spellStart"/>
      <w:r w:rsidRPr="00490706">
        <w:rPr>
          <w:sz w:val="24"/>
          <w:szCs w:val="24"/>
          <w:u w:val="single"/>
        </w:rPr>
        <w:t>apakšnozarē</w:t>
      </w:r>
      <w:proofErr w:type="spellEnd"/>
      <w:r w:rsidRPr="00490706">
        <w:rPr>
          <w:sz w:val="24"/>
          <w:szCs w:val="24"/>
        </w:rPr>
        <w:t xml:space="preserve"> tiek novērotas samērā līdzīgas tendences kā dzīvojamo ēku </w:t>
      </w:r>
      <w:proofErr w:type="spellStart"/>
      <w:r w:rsidRPr="00490706">
        <w:rPr>
          <w:sz w:val="24"/>
          <w:szCs w:val="24"/>
        </w:rPr>
        <w:t>apakšnozarē</w:t>
      </w:r>
      <w:proofErr w:type="spellEnd"/>
      <w:r w:rsidR="001B78B1" w:rsidRPr="00490706">
        <w:rPr>
          <w:sz w:val="24"/>
          <w:szCs w:val="24"/>
        </w:rPr>
        <w:t xml:space="preserve">. </w:t>
      </w:r>
      <w:r w:rsidRPr="00490706">
        <w:rPr>
          <w:sz w:val="24"/>
          <w:szCs w:val="24"/>
        </w:rPr>
        <w:t xml:space="preserve">Arī šajā grupā dominē </w:t>
      </w:r>
      <w:r w:rsidR="00061133" w:rsidRPr="00490706">
        <w:rPr>
          <w:sz w:val="24"/>
          <w:szCs w:val="24"/>
        </w:rPr>
        <w:t>arhitektūras</w:t>
      </w:r>
      <w:r w:rsidR="008760D3" w:rsidRPr="00490706">
        <w:rPr>
          <w:sz w:val="24"/>
          <w:szCs w:val="24"/>
        </w:rPr>
        <w:t xml:space="preserve"> un inženiertehniskie pakalpojumi</w:t>
      </w:r>
      <w:r w:rsidRPr="00490706">
        <w:rPr>
          <w:sz w:val="24"/>
          <w:szCs w:val="24"/>
        </w:rPr>
        <w:t>, kas ir straujāk augošā pozīcija no 20</w:t>
      </w:r>
      <w:r w:rsidR="008760D3" w:rsidRPr="00490706">
        <w:rPr>
          <w:sz w:val="24"/>
          <w:szCs w:val="24"/>
        </w:rPr>
        <w:t>21</w:t>
      </w:r>
      <w:r w:rsidRPr="00490706">
        <w:rPr>
          <w:sz w:val="24"/>
          <w:szCs w:val="24"/>
        </w:rPr>
        <w:t>.gada (</w:t>
      </w:r>
      <w:r w:rsidR="008760D3" w:rsidRPr="00490706">
        <w:rPr>
          <w:sz w:val="24"/>
          <w:szCs w:val="24"/>
        </w:rPr>
        <w:t>3,78</w:t>
      </w:r>
      <w:r w:rsidRPr="00490706">
        <w:rPr>
          <w:sz w:val="24"/>
          <w:szCs w:val="24"/>
        </w:rPr>
        <w:t>%) līdz 202</w:t>
      </w:r>
      <w:r w:rsidR="008760D3" w:rsidRPr="00490706">
        <w:rPr>
          <w:sz w:val="24"/>
          <w:szCs w:val="24"/>
        </w:rPr>
        <w:t>4</w:t>
      </w:r>
      <w:r w:rsidRPr="00490706">
        <w:rPr>
          <w:sz w:val="24"/>
          <w:szCs w:val="24"/>
        </w:rPr>
        <w:t>.gadam (7,</w:t>
      </w:r>
      <w:r w:rsidR="0025596D" w:rsidRPr="00490706">
        <w:rPr>
          <w:sz w:val="24"/>
          <w:szCs w:val="24"/>
        </w:rPr>
        <w:t>0</w:t>
      </w:r>
      <w:r w:rsidR="008760D3" w:rsidRPr="00490706">
        <w:rPr>
          <w:sz w:val="24"/>
          <w:szCs w:val="24"/>
        </w:rPr>
        <w:t>0</w:t>
      </w:r>
      <w:r w:rsidRPr="00490706">
        <w:rPr>
          <w:sz w:val="24"/>
          <w:szCs w:val="24"/>
        </w:rPr>
        <w:t>%). Mašīnu un mehānismu uzturēšana ir lēnāk augošā pozīcija</w:t>
      </w:r>
      <w:r w:rsidR="00A47703" w:rsidRPr="00490706">
        <w:rPr>
          <w:sz w:val="24"/>
          <w:szCs w:val="24"/>
        </w:rPr>
        <w:t xml:space="preserve">, </w:t>
      </w:r>
      <w:r w:rsidR="00307233" w:rsidRPr="00490706">
        <w:rPr>
          <w:sz w:val="24"/>
          <w:szCs w:val="24"/>
        </w:rPr>
        <w:t>a</w:t>
      </w:r>
      <w:r w:rsidR="006D1669" w:rsidRPr="00490706">
        <w:rPr>
          <w:sz w:val="24"/>
          <w:szCs w:val="24"/>
        </w:rPr>
        <w:t>r</w:t>
      </w:r>
      <w:r w:rsidR="00307233" w:rsidRPr="00490706">
        <w:rPr>
          <w:sz w:val="24"/>
          <w:szCs w:val="24"/>
        </w:rPr>
        <w:t>ī strādnieku darba samaksai tiek prognozēts līdzīgi zems pieauguma temps</w:t>
      </w:r>
      <w:r w:rsidR="00490706">
        <w:rPr>
          <w:sz w:val="24"/>
          <w:szCs w:val="24"/>
        </w:rPr>
        <w:t xml:space="preserve"> </w:t>
      </w:r>
      <w:r w:rsidR="00490706" w:rsidRPr="00490706">
        <w:rPr>
          <w:rFonts w:cstheme="minorHAnsi"/>
          <w:sz w:val="24"/>
          <w:szCs w:val="24"/>
        </w:rPr>
        <w:t>(</w:t>
      </w:r>
      <w:r w:rsidR="00490706" w:rsidRPr="00490706">
        <w:rPr>
          <w:rFonts w:cstheme="minorHAnsi"/>
          <w:sz w:val="24"/>
          <w:szCs w:val="24"/>
        </w:rPr>
        <w:fldChar w:fldCharType="begin"/>
      </w:r>
      <w:r w:rsidR="00490706" w:rsidRPr="00490706">
        <w:rPr>
          <w:rFonts w:cstheme="minorHAnsi"/>
          <w:sz w:val="24"/>
          <w:szCs w:val="24"/>
        </w:rPr>
        <w:instrText xml:space="preserve"> REF _Ref522228417 \h  \* MERGEFORMAT </w:instrText>
      </w:r>
      <w:r w:rsidR="00490706" w:rsidRPr="00490706">
        <w:rPr>
          <w:rFonts w:cstheme="minorHAnsi"/>
          <w:sz w:val="24"/>
          <w:szCs w:val="24"/>
        </w:rPr>
      </w:r>
      <w:r w:rsidR="00490706" w:rsidRPr="00490706">
        <w:rPr>
          <w:rFonts w:cstheme="minorHAnsi"/>
          <w:sz w:val="24"/>
          <w:szCs w:val="24"/>
        </w:rPr>
        <w:fldChar w:fldCharType="separate"/>
      </w:r>
      <w:r w:rsidR="00490706" w:rsidRPr="00490706">
        <w:rPr>
          <w:rFonts w:cstheme="minorHAnsi"/>
        </w:rPr>
        <w:t>Att</w:t>
      </w:r>
      <w:r w:rsidR="00490706" w:rsidRPr="00490706">
        <w:rPr>
          <w:rFonts w:cstheme="minorHAnsi"/>
          <w:sz w:val="24"/>
          <w:szCs w:val="24"/>
        </w:rPr>
        <w:t>.</w:t>
      </w:r>
      <w:r w:rsidR="00490706" w:rsidRPr="00490706">
        <w:rPr>
          <w:rFonts w:cstheme="minorHAnsi"/>
        </w:rPr>
        <w:t>1</w:t>
      </w:r>
      <w:r w:rsidR="00490706">
        <w:rPr>
          <w:rFonts w:cstheme="minorHAnsi"/>
        </w:rPr>
        <w:t>4</w:t>
      </w:r>
      <w:r w:rsidR="00490706" w:rsidRPr="00490706">
        <w:rPr>
          <w:rFonts w:cstheme="minorHAnsi"/>
          <w:sz w:val="24"/>
          <w:szCs w:val="24"/>
        </w:rPr>
        <w:t>.</w:t>
      </w:r>
      <w:r w:rsidR="00490706" w:rsidRPr="00490706">
        <w:rPr>
          <w:rFonts w:cstheme="minorHAnsi"/>
          <w:sz w:val="24"/>
          <w:szCs w:val="24"/>
        </w:rPr>
        <w:fldChar w:fldCharType="end"/>
      </w:r>
      <w:r w:rsidR="00490706" w:rsidRPr="00490706">
        <w:rPr>
          <w:rFonts w:cstheme="minorHAnsi"/>
          <w:sz w:val="24"/>
          <w:szCs w:val="24"/>
        </w:rPr>
        <w:t>)</w:t>
      </w:r>
      <w:r w:rsidRPr="00490706">
        <w:rPr>
          <w:sz w:val="24"/>
          <w:szCs w:val="24"/>
        </w:rPr>
        <w:t xml:space="preserve">. </w:t>
      </w:r>
      <w:r w:rsidR="00307233" w:rsidRPr="00490706">
        <w:rPr>
          <w:sz w:val="24"/>
          <w:szCs w:val="24"/>
        </w:rPr>
        <w:t>Visās pozīcijās 2020.</w:t>
      </w:r>
      <w:r w:rsidR="00112A3F" w:rsidRPr="00490706">
        <w:rPr>
          <w:sz w:val="24"/>
          <w:szCs w:val="24"/>
        </w:rPr>
        <w:t xml:space="preserve"> </w:t>
      </w:r>
      <w:r w:rsidR="00307233" w:rsidRPr="00490706">
        <w:rPr>
          <w:sz w:val="24"/>
          <w:szCs w:val="24"/>
        </w:rPr>
        <w:t xml:space="preserve">gadā eksperti </w:t>
      </w:r>
      <w:r w:rsidR="00307233" w:rsidRPr="00490706">
        <w:rPr>
          <w:sz w:val="24"/>
          <w:szCs w:val="24"/>
        </w:rPr>
        <w:lastRenderedPageBreak/>
        <w:t xml:space="preserve">prognozē </w:t>
      </w:r>
      <w:r w:rsidR="00A87AE8" w:rsidRPr="00490706">
        <w:rPr>
          <w:sz w:val="24"/>
          <w:szCs w:val="24"/>
        </w:rPr>
        <w:t xml:space="preserve">niecīgu </w:t>
      </w:r>
      <w:r w:rsidR="00307233" w:rsidRPr="00490706">
        <w:rPr>
          <w:sz w:val="24"/>
          <w:szCs w:val="24"/>
        </w:rPr>
        <w:t>izmaksu samazināšanos, starp 0,56% un 1,22% gadā</w:t>
      </w:r>
      <w:r w:rsidR="00A47703" w:rsidRPr="00490706">
        <w:rPr>
          <w:sz w:val="24"/>
          <w:szCs w:val="24"/>
        </w:rPr>
        <w:t xml:space="preserve">, </w:t>
      </w:r>
      <w:bookmarkEnd w:id="36"/>
      <w:r w:rsidR="004B6867" w:rsidRPr="00490706">
        <w:rPr>
          <w:sz w:val="24"/>
          <w:szCs w:val="24"/>
        </w:rPr>
        <w:t>kam seko</w:t>
      </w:r>
      <w:r w:rsidR="00A87AE8" w:rsidRPr="00490706">
        <w:rPr>
          <w:sz w:val="24"/>
          <w:szCs w:val="24"/>
        </w:rPr>
        <w:t>s</w:t>
      </w:r>
      <w:r w:rsidR="004B6867" w:rsidRPr="00490706">
        <w:rPr>
          <w:sz w:val="24"/>
          <w:szCs w:val="24"/>
        </w:rPr>
        <w:t xml:space="preserve"> pieaugums no 2021. līdz 2023.gadam. </w:t>
      </w:r>
      <w:r w:rsidR="004B6867" w:rsidRPr="00490706">
        <w:rPr>
          <w:sz w:val="24"/>
          <w:szCs w:val="24"/>
          <w:u w:val="single"/>
        </w:rPr>
        <w:t>Kopumā augstākais izm</w:t>
      </w:r>
      <w:r w:rsidR="00112A3F" w:rsidRPr="00490706">
        <w:rPr>
          <w:sz w:val="24"/>
          <w:szCs w:val="24"/>
          <w:u w:val="single"/>
        </w:rPr>
        <w:t>a</w:t>
      </w:r>
      <w:r w:rsidR="004B6867" w:rsidRPr="00490706">
        <w:rPr>
          <w:sz w:val="24"/>
          <w:szCs w:val="24"/>
          <w:u w:val="single"/>
        </w:rPr>
        <w:t xml:space="preserve">ksu pieaugums tiek prognozēts arhitektūras un inženiertehniskajiem pakalpojumiem, kur izmaksas varētu pieaugt par </w:t>
      </w:r>
      <w:r w:rsidR="00A87804" w:rsidRPr="00490706">
        <w:rPr>
          <w:sz w:val="24"/>
          <w:szCs w:val="24"/>
          <w:u w:val="single"/>
        </w:rPr>
        <w:t xml:space="preserve">23,01% piecu gadu kopsummā. </w:t>
      </w:r>
    </w:p>
    <w:p w14:paraId="013A0D6A" w14:textId="08ED0404" w:rsidR="009C4B59" w:rsidRDefault="000722D8" w:rsidP="00FC269F">
      <w:pPr>
        <w:rPr>
          <w:u w:val="single"/>
        </w:rPr>
      </w:pPr>
      <w:r>
        <w:rPr>
          <w:noProof/>
          <w:lang w:val="en-US"/>
        </w:rPr>
        <w:drawing>
          <wp:inline distT="0" distB="0" distL="0" distR="0" wp14:anchorId="4DE93F71" wp14:editId="0833AAC5">
            <wp:extent cx="5613400" cy="139065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433" t="2593" r="1098" b="2765"/>
                    <a:stretch/>
                  </pic:blipFill>
                  <pic:spPr bwMode="auto">
                    <a:xfrm>
                      <a:off x="0" y="0"/>
                      <a:ext cx="5614160" cy="1390838"/>
                    </a:xfrm>
                    <a:prstGeom prst="rect">
                      <a:avLst/>
                    </a:prstGeom>
                    <a:noFill/>
                    <a:ln>
                      <a:noFill/>
                    </a:ln>
                    <a:extLst>
                      <a:ext uri="{53640926-AAD7-44D8-BBD7-CCE9431645EC}">
                        <a14:shadowObscured xmlns:a14="http://schemas.microsoft.com/office/drawing/2010/main"/>
                      </a:ext>
                    </a:extLst>
                  </pic:spPr>
                </pic:pic>
              </a:graphicData>
            </a:graphic>
          </wp:inline>
        </w:drawing>
      </w:r>
    </w:p>
    <w:p w14:paraId="5553A7DF" w14:textId="77777777" w:rsidR="000722D8" w:rsidRDefault="000722D8" w:rsidP="000722D8">
      <w:pPr>
        <w:pStyle w:val="Caption"/>
        <w:jc w:val="center"/>
      </w:pPr>
      <w:r>
        <w:t xml:space="preserve">Att. </w:t>
      </w:r>
      <w:r>
        <w:rPr>
          <w:noProof/>
        </w:rPr>
        <w:fldChar w:fldCharType="begin"/>
      </w:r>
      <w:r>
        <w:rPr>
          <w:noProof/>
        </w:rPr>
        <w:instrText xml:space="preserve"> SEQ Att. \* ARABIC </w:instrText>
      </w:r>
      <w:r>
        <w:rPr>
          <w:noProof/>
        </w:rPr>
        <w:fldChar w:fldCharType="separate"/>
      </w:r>
      <w:r>
        <w:rPr>
          <w:noProof/>
        </w:rPr>
        <w:t>14</w:t>
      </w:r>
      <w:r>
        <w:rPr>
          <w:noProof/>
        </w:rPr>
        <w:fldChar w:fldCharType="end"/>
      </w:r>
      <w:r>
        <w:t xml:space="preserve">. Nedzīvojamo ēku būvniecības izmaksu izmaiņu prognozes procentos pret iepriekšējo gadu un indeksos pret 2019.gadu pēc </w:t>
      </w:r>
      <w:proofErr w:type="spellStart"/>
      <w:r>
        <w:t>apakšnozaru</w:t>
      </w:r>
      <w:proofErr w:type="spellEnd"/>
      <w:r>
        <w:t xml:space="preserve"> ekspertu vidējā vērtējuma  pa resursu veidiem.</w:t>
      </w:r>
    </w:p>
    <w:p w14:paraId="07BFC14F" w14:textId="77777777" w:rsidR="000722D8" w:rsidRPr="00A87AE8" w:rsidRDefault="000722D8" w:rsidP="00FC269F">
      <w:pPr>
        <w:rPr>
          <w:u w:val="single"/>
        </w:rPr>
      </w:pPr>
    </w:p>
    <w:p w14:paraId="47A0F10D" w14:textId="679BA2E0" w:rsidR="009C4B59" w:rsidRPr="006367F8" w:rsidRDefault="00662C04" w:rsidP="00FC269F">
      <w:pPr>
        <w:rPr>
          <w:sz w:val="24"/>
          <w:szCs w:val="24"/>
        </w:rPr>
      </w:pPr>
      <w:bookmarkStart w:id="37" w:name="_Hlk522720832"/>
      <w:r w:rsidRPr="006367F8">
        <w:rPr>
          <w:sz w:val="24"/>
          <w:szCs w:val="24"/>
          <w:u w:val="single"/>
        </w:rPr>
        <w:t>Transportu objektu būvniecībā</w:t>
      </w:r>
      <w:r w:rsidRPr="006367F8">
        <w:rPr>
          <w:sz w:val="24"/>
          <w:szCs w:val="24"/>
        </w:rPr>
        <w:t xml:space="preserve"> pa resursu veidiem </w:t>
      </w:r>
      <w:r w:rsidR="007C4405" w:rsidRPr="006367F8">
        <w:rPr>
          <w:sz w:val="24"/>
          <w:szCs w:val="24"/>
        </w:rPr>
        <w:t>visās pozīcijās tiek prognozēts izmaksu pieaugums</w:t>
      </w:r>
      <w:r w:rsidRPr="006367F8">
        <w:rPr>
          <w:sz w:val="24"/>
          <w:szCs w:val="24"/>
        </w:rPr>
        <w:t xml:space="preserve">. </w:t>
      </w:r>
      <w:r w:rsidR="00205D9D" w:rsidRPr="006367F8">
        <w:rPr>
          <w:sz w:val="24"/>
          <w:szCs w:val="24"/>
        </w:rPr>
        <w:t>Tomēr 2020. gadā šis izaugsmes mērogs uzskatāms par samērā nenozīmīgu, jo variē starp 0,64% un 1,55%</w:t>
      </w:r>
      <w:r w:rsidR="00490706" w:rsidRPr="006367F8">
        <w:rPr>
          <w:sz w:val="24"/>
          <w:szCs w:val="24"/>
        </w:rPr>
        <w:t xml:space="preserve"> </w:t>
      </w:r>
      <w:r w:rsidR="00490706" w:rsidRPr="006367F8">
        <w:rPr>
          <w:rFonts w:cstheme="minorHAnsi"/>
          <w:sz w:val="24"/>
          <w:szCs w:val="24"/>
        </w:rPr>
        <w:t>(</w:t>
      </w:r>
      <w:r w:rsidR="00490706" w:rsidRPr="006367F8">
        <w:rPr>
          <w:rFonts w:cstheme="minorHAnsi"/>
          <w:sz w:val="24"/>
          <w:szCs w:val="24"/>
        </w:rPr>
        <w:fldChar w:fldCharType="begin"/>
      </w:r>
      <w:r w:rsidR="00490706" w:rsidRPr="006367F8">
        <w:rPr>
          <w:rFonts w:cstheme="minorHAnsi"/>
          <w:sz w:val="24"/>
          <w:szCs w:val="24"/>
        </w:rPr>
        <w:instrText xml:space="preserve"> REF _Ref522228417 \h  \* MERGEFORMAT </w:instrText>
      </w:r>
      <w:r w:rsidR="00490706" w:rsidRPr="006367F8">
        <w:rPr>
          <w:rFonts w:cstheme="minorHAnsi"/>
          <w:sz w:val="24"/>
          <w:szCs w:val="24"/>
        </w:rPr>
      </w:r>
      <w:r w:rsidR="00490706" w:rsidRPr="006367F8">
        <w:rPr>
          <w:rFonts w:cstheme="minorHAnsi"/>
          <w:sz w:val="24"/>
          <w:szCs w:val="24"/>
        </w:rPr>
        <w:fldChar w:fldCharType="separate"/>
      </w:r>
      <w:r w:rsidR="00490706" w:rsidRPr="006367F8">
        <w:rPr>
          <w:rFonts w:cstheme="minorHAnsi"/>
          <w:sz w:val="24"/>
          <w:szCs w:val="24"/>
        </w:rPr>
        <w:t>Att.15.</w:t>
      </w:r>
      <w:r w:rsidR="00490706" w:rsidRPr="006367F8">
        <w:rPr>
          <w:rFonts w:cstheme="minorHAnsi"/>
          <w:sz w:val="24"/>
          <w:szCs w:val="24"/>
        </w:rPr>
        <w:fldChar w:fldCharType="end"/>
      </w:r>
      <w:r w:rsidR="00490706" w:rsidRPr="006367F8">
        <w:rPr>
          <w:rFonts w:cstheme="minorHAnsi"/>
          <w:sz w:val="24"/>
          <w:szCs w:val="24"/>
        </w:rPr>
        <w:t>)</w:t>
      </w:r>
      <w:r w:rsidR="00205D9D" w:rsidRPr="006367F8">
        <w:rPr>
          <w:sz w:val="24"/>
          <w:szCs w:val="24"/>
        </w:rPr>
        <w:t>. Kopumā lielākā izmaksu pieauguma pozīcija transporta objektu būvniecībā prognozēta strādnieku darba samaksai, kur augstākais novērtējums sniegts 2023.gadā ar 6,00% pie</w:t>
      </w:r>
      <w:r w:rsidR="00112A3F" w:rsidRPr="006367F8">
        <w:rPr>
          <w:sz w:val="24"/>
          <w:szCs w:val="24"/>
        </w:rPr>
        <w:t>a</w:t>
      </w:r>
      <w:r w:rsidR="00205D9D" w:rsidRPr="006367F8">
        <w:rPr>
          <w:sz w:val="24"/>
          <w:szCs w:val="24"/>
        </w:rPr>
        <w:t>ugumu</w:t>
      </w:r>
      <w:r w:rsidRPr="006367F8">
        <w:rPr>
          <w:sz w:val="24"/>
          <w:szCs w:val="24"/>
        </w:rPr>
        <w:t xml:space="preserve">. </w:t>
      </w:r>
      <w:bookmarkStart w:id="38" w:name="_Hlk522720915"/>
      <w:bookmarkEnd w:id="37"/>
      <w:r w:rsidR="00E66F42" w:rsidRPr="006367F8">
        <w:rPr>
          <w:sz w:val="24"/>
          <w:szCs w:val="24"/>
        </w:rPr>
        <w:t>Š</w:t>
      </w:r>
      <w:r w:rsidR="001F087A" w:rsidRPr="006367F8">
        <w:rPr>
          <w:sz w:val="24"/>
          <w:szCs w:val="24"/>
        </w:rPr>
        <w:t xml:space="preserve">ajā </w:t>
      </w:r>
      <w:proofErr w:type="spellStart"/>
      <w:r w:rsidR="001F087A" w:rsidRPr="006367F8">
        <w:rPr>
          <w:sz w:val="24"/>
          <w:szCs w:val="24"/>
        </w:rPr>
        <w:t>apakšnozarē</w:t>
      </w:r>
      <w:proofErr w:type="spellEnd"/>
      <w:r w:rsidR="001F087A" w:rsidRPr="006367F8">
        <w:rPr>
          <w:sz w:val="24"/>
          <w:szCs w:val="24"/>
        </w:rPr>
        <w:t xml:space="preserve"> novērojamas mazākas atšķirības starp resursu veidiem nekā ēku būvniecībā. Tomēr kopēji izmaksu pieaugums tiek novērtēts samērā augsts</w:t>
      </w:r>
      <w:r w:rsidR="00E66F42" w:rsidRPr="006367F8">
        <w:rPr>
          <w:rFonts w:ascii="Times New Roman" w:hAnsi="Times New Roman" w:cs="Times New Roman"/>
          <w:bCs/>
          <w:sz w:val="24"/>
          <w:szCs w:val="24"/>
        </w:rPr>
        <w:t xml:space="preserve"> aplūkojamajā laika periodā</w:t>
      </w:r>
      <w:r w:rsidR="001F087A" w:rsidRPr="006367F8">
        <w:rPr>
          <w:sz w:val="24"/>
          <w:szCs w:val="24"/>
        </w:rPr>
        <w:t xml:space="preserve">. Tā piemēram piecu gadu laikā strādnieku darba samaksas pieaugums tiek prognozēts </w:t>
      </w:r>
      <w:r w:rsidR="00EC7A9B" w:rsidRPr="006367F8">
        <w:rPr>
          <w:sz w:val="24"/>
          <w:szCs w:val="24"/>
        </w:rPr>
        <w:t>19,95%.</w:t>
      </w:r>
    </w:p>
    <w:p w14:paraId="71FA401F" w14:textId="258E393A" w:rsidR="000722D8" w:rsidRDefault="000722D8" w:rsidP="00FC269F">
      <w:r>
        <w:rPr>
          <w:noProof/>
          <w:lang w:val="en-US"/>
        </w:rPr>
        <w:drawing>
          <wp:inline distT="0" distB="0" distL="0" distR="0" wp14:anchorId="397E5C65" wp14:editId="3FAB51FA">
            <wp:extent cx="5645150" cy="1358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103" t="1794" r="856" b="2243"/>
                    <a:stretch/>
                  </pic:blipFill>
                  <pic:spPr bwMode="auto">
                    <a:xfrm>
                      <a:off x="0" y="0"/>
                      <a:ext cx="5647132" cy="1359377"/>
                    </a:xfrm>
                    <a:prstGeom prst="rect">
                      <a:avLst/>
                    </a:prstGeom>
                    <a:noFill/>
                    <a:ln>
                      <a:noFill/>
                    </a:ln>
                    <a:extLst>
                      <a:ext uri="{53640926-AAD7-44D8-BBD7-CCE9431645EC}">
                        <a14:shadowObscured xmlns:a14="http://schemas.microsoft.com/office/drawing/2010/main"/>
                      </a:ext>
                    </a:extLst>
                  </pic:spPr>
                </pic:pic>
              </a:graphicData>
            </a:graphic>
          </wp:inline>
        </w:drawing>
      </w:r>
    </w:p>
    <w:p w14:paraId="5F8A9BC4" w14:textId="77777777" w:rsidR="000722D8" w:rsidRPr="006D6C5A" w:rsidRDefault="000722D8" w:rsidP="000722D8">
      <w:pPr>
        <w:pStyle w:val="Caption"/>
        <w:jc w:val="center"/>
      </w:pPr>
      <w:r>
        <w:t xml:space="preserve">Att. </w:t>
      </w:r>
      <w:r>
        <w:rPr>
          <w:noProof/>
        </w:rPr>
        <w:fldChar w:fldCharType="begin"/>
      </w:r>
      <w:r>
        <w:rPr>
          <w:noProof/>
        </w:rPr>
        <w:instrText xml:space="preserve"> SEQ Att. \* ARABIC </w:instrText>
      </w:r>
      <w:r>
        <w:rPr>
          <w:noProof/>
        </w:rPr>
        <w:fldChar w:fldCharType="separate"/>
      </w:r>
      <w:r>
        <w:rPr>
          <w:noProof/>
        </w:rPr>
        <w:t>15</w:t>
      </w:r>
      <w:r>
        <w:rPr>
          <w:noProof/>
        </w:rPr>
        <w:fldChar w:fldCharType="end"/>
      </w:r>
      <w:r>
        <w:t xml:space="preserve">. Transporta objektu būvniecības izmaksu izmaiņu prognozes procentos pret iepriekšējo gadu un indeksos pret 2019.gadu pēc </w:t>
      </w:r>
      <w:proofErr w:type="spellStart"/>
      <w:r>
        <w:t>apakšnozaru</w:t>
      </w:r>
      <w:proofErr w:type="spellEnd"/>
      <w:r>
        <w:t xml:space="preserve"> ekspertu vidējā vērtējuma  pa resursu veidiem.</w:t>
      </w:r>
    </w:p>
    <w:bookmarkEnd w:id="38"/>
    <w:p w14:paraId="143B1181" w14:textId="77777777" w:rsidR="001E16E3" w:rsidRPr="006367F8" w:rsidRDefault="001E16E3" w:rsidP="00E66F42">
      <w:pPr>
        <w:pStyle w:val="Default"/>
        <w:spacing w:after="131" w:line="360" w:lineRule="auto"/>
        <w:ind w:firstLine="720"/>
        <w:jc w:val="both"/>
        <w:rPr>
          <w:rFonts w:ascii="Times New Roman" w:hAnsi="Times New Roman" w:cs="Times New Roman"/>
          <w:bCs/>
        </w:rPr>
      </w:pPr>
      <w:r w:rsidRPr="006367F8">
        <w:rPr>
          <w:rFonts w:ascii="Times New Roman" w:hAnsi="Times New Roman" w:cs="Times New Roman"/>
          <w:bCs/>
        </w:rPr>
        <w:t xml:space="preserve">Ceļu un maģistrāļu būvniecībā </w:t>
      </w:r>
      <w:proofErr w:type="spellStart"/>
      <w:r w:rsidRPr="006367F8">
        <w:rPr>
          <w:rFonts w:ascii="Times New Roman" w:hAnsi="Times New Roman" w:cs="Times New Roman"/>
          <w:bCs/>
        </w:rPr>
        <w:t>apakšnozaru</w:t>
      </w:r>
      <w:proofErr w:type="spellEnd"/>
      <w:r w:rsidRPr="006367F8">
        <w:rPr>
          <w:rFonts w:ascii="Times New Roman" w:hAnsi="Times New Roman" w:cs="Times New Roman"/>
          <w:bCs/>
        </w:rPr>
        <w:t xml:space="preserve"> eksperti prognozē būtisku izmaksu samazinājumu 2020. gadā ar -8,5% izmaiņām, kas tomēr jau nākamajos gados varētu pārvērsties izmaksu pieaugumā, sasniedzot 6,88% ikgadējo pieaugumu 2024. gadā.</w:t>
      </w:r>
    </w:p>
    <w:p w14:paraId="391B3650" w14:textId="77777777" w:rsidR="001E16E3" w:rsidRPr="006367F8" w:rsidRDefault="001E16E3" w:rsidP="00E66F42">
      <w:pPr>
        <w:pStyle w:val="Default"/>
        <w:spacing w:after="131" w:line="360" w:lineRule="auto"/>
        <w:ind w:firstLine="720"/>
        <w:jc w:val="both"/>
        <w:rPr>
          <w:rFonts w:ascii="Times New Roman" w:hAnsi="Times New Roman" w:cs="Times New Roman"/>
          <w:bCs/>
        </w:rPr>
      </w:pPr>
      <w:r w:rsidRPr="006367F8">
        <w:rPr>
          <w:rFonts w:ascii="Times New Roman" w:hAnsi="Times New Roman" w:cs="Times New Roman"/>
          <w:bCs/>
        </w:rPr>
        <w:t>Dzelzceļu būvniecībā, ņemot arī vērā prognozēto būvniecības apjomu pieaugumu, tiek prognozēts mērens izmaksu pieaugums 2020. gadā par 1,00%, kam sekos straujāks pieaugums 2021. gadā par 6,00%. Tālākos gados eksperti prognozē ar katru gadu zemāku pieaugumu sasniedzot +2,50% 2024. gadā.</w:t>
      </w:r>
    </w:p>
    <w:p w14:paraId="63FF7A98" w14:textId="77777777" w:rsidR="001E16E3" w:rsidRPr="006367F8" w:rsidRDefault="001E16E3" w:rsidP="00E66F42">
      <w:pPr>
        <w:pStyle w:val="Default"/>
        <w:spacing w:after="131" w:line="360" w:lineRule="auto"/>
        <w:ind w:firstLine="720"/>
        <w:jc w:val="both"/>
        <w:rPr>
          <w:rFonts w:ascii="Times New Roman" w:hAnsi="Times New Roman" w:cs="Times New Roman"/>
          <w:bCs/>
        </w:rPr>
      </w:pPr>
      <w:r w:rsidRPr="006367F8">
        <w:rPr>
          <w:rFonts w:ascii="Times New Roman" w:hAnsi="Times New Roman" w:cs="Times New Roman"/>
          <w:bCs/>
        </w:rPr>
        <w:lastRenderedPageBreak/>
        <w:t>Tiltu un tuneļu būvniecībā ir augstākais prognozētās būvniecības izmaksu pieaugums 2020. gadā no transporta objektu grupas ar +1,57%. Tālākos gados tiek prognozēts samērā konstants pieaugums ik gadu par 6,57% līdz 2024. gadam.</w:t>
      </w:r>
    </w:p>
    <w:p w14:paraId="33A4DB4A" w14:textId="2CB3E053" w:rsidR="001E16E3" w:rsidRPr="006367F8" w:rsidRDefault="001E16E3" w:rsidP="00E66F42">
      <w:pPr>
        <w:pStyle w:val="Default"/>
        <w:spacing w:after="131" w:line="360" w:lineRule="auto"/>
        <w:ind w:firstLine="720"/>
        <w:jc w:val="both"/>
        <w:rPr>
          <w:rFonts w:ascii="Times New Roman" w:hAnsi="Times New Roman" w:cs="Times New Roman"/>
          <w:bCs/>
        </w:rPr>
      </w:pPr>
      <w:r w:rsidRPr="006367F8">
        <w:rPr>
          <w:rFonts w:ascii="Times New Roman" w:hAnsi="Times New Roman" w:cs="Times New Roman"/>
          <w:bCs/>
        </w:rPr>
        <w:t>Transporta objektu būvniecībā visos periodos prognozējams izmaksu pieaugums.</w:t>
      </w:r>
      <w:r w:rsidR="00E66F42" w:rsidRPr="006367F8">
        <w:rPr>
          <w:rFonts w:ascii="Times New Roman" w:hAnsi="Times New Roman" w:cs="Times New Roman"/>
          <w:bCs/>
        </w:rPr>
        <w:t xml:space="preserve"> </w:t>
      </w:r>
      <w:r w:rsidRPr="006367F8">
        <w:rPr>
          <w:rFonts w:ascii="Times New Roman" w:hAnsi="Times New Roman" w:cs="Times New Roman"/>
          <w:bCs/>
        </w:rPr>
        <w:t xml:space="preserve">2021. gadā </w:t>
      </w:r>
      <w:r w:rsidRPr="006367F8">
        <w:rPr>
          <w:rFonts w:ascii="Times New Roman" w:hAnsi="Times New Roman" w:cs="Times New Roman"/>
          <w:b/>
        </w:rPr>
        <w:t>būtiskākais izmaksu pieaugums prognozēts būvmateriālu izmaksām 4,68%.</w:t>
      </w:r>
    </w:p>
    <w:p w14:paraId="7BD925C6" w14:textId="77777777" w:rsidR="00A87AE8" w:rsidRPr="006367F8" w:rsidRDefault="00A87AE8" w:rsidP="001C13D1">
      <w:pPr>
        <w:rPr>
          <w:sz w:val="24"/>
          <w:szCs w:val="24"/>
          <w:u w:val="single"/>
        </w:rPr>
      </w:pPr>
    </w:p>
    <w:p w14:paraId="3FA413CE" w14:textId="1DBEA54B" w:rsidR="005F6596" w:rsidRPr="006367F8" w:rsidRDefault="00662C04" w:rsidP="005F6596">
      <w:pPr>
        <w:pStyle w:val="Default"/>
        <w:spacing w:after="131" w:line="360" w:lineRule="auto"/>
        <w:ind w:firstLine="720"/>
        <w:jc w:val="both"/>
        <w:rPr>
          <w:rFonts w:asciiTheme="minorHAnsi" w:hAnsiTheme="minorHAnsi" w:cstheme="minorHAnsi"/>
          <w:bCs/>
        </w:rPr>
      </w:pPr>
      <w:r w:rsidRPr="006367F8">
        <w:rPr>
          <w:rFonts w:asciiTheme="minorHAnsi" w:hAnsiTheme="minorHAnsi" w:cstheme="minorHAnsi"/>
          <w:u w:val="single"/>
        </w:rPr>
        <w:t>Pilsētas infrastruktūras objektu būvniecības</w:t>
      </w:r>
      <w:r w:rsidRPr="006367F8">
        <w:rPr>
          <w:rFonts w:asciiTheme="minorHAnsi" w:hAnsiTheme="minorHAnsi" w:cstheme="minorHAnsi"/>
        </w:rPr>
        <w:t xml:space="preserve"> </w:t>
      </w:r>
      <w:proofErr w:type="spellStart"/>
      <w:r w:rsidRPr="006367F8">
        <w:rPr>
          <w:rFonts w:asciiTheme="minorHAnsi" w:hAnsiTheme="minorHAnsi" w:cstheme="minorHAnsi"/>
        </w:rPr>
        <w:t>apakšnozarē</w:t>
      </w:r>
      <w:proofErr w:type="spellEnd"/>
      <w:r w:rsidRPr="006367F8">
        <w:rPr>
          <w:rFonts w:asciiTheme="minorHAnsi" w:hAnsiTheme="minorHAnsi" w:cstheme="minorHAnsi"/>
        </w:rPr>
        <w:t xml:space="preserve"> </w:t>
      </w:r>
      <w:r w:rsidR="005D0C15" w:rsidRPr="006367F8">
        <w:rPr>
          <w:rFonts w:asciiTheme="minorHAnsi" w:hAnsiTheme="minorHAnsi" w:cstheme="minorHAnsi"/>
        </w:rPr>
        <w:t>izmaksu izmaiņ</w:t>
      </w:r>
      <w:r w:rsidR="001C13D1" w:rsidRPr="006367F8">
        <w:rPr>
          <w:rFonts w:asciiTheme="minorHAnsi" w:hAnsiTheme="minorHAnsi" w:cstheme="minorHAnsi"/>
        </w:rPr>
        <w:t>u</w:t>
      </w:r>
      <w:r w:rsidR="00F42F40" w:rsidRPr="006367F8">
        <w:rPr>
          <w:rFonts w:asciiTheme="minorHAnsi" w:hAnsiTheme="minorHAnsi" w:cstheme="minorHAnsi"/>
        </w:rPr>
        <w:t xml:space="preserve"> </w:t>
      </w:r>
      <w:r w:rsidR="00CF0628" w:rsidRPr="006367F8">
        <w:rPr>
          <w:rFonts w:asciiTheme="minorHAnsi" w:hAnsiTheme="minorHAnsi" w:cstheme="minorHAnsi"/>
        </w:rPr>
        <w:t>prognozes</w:t>
      </w:r>
      <w:r w:rsidR="001C13D1" w:rsidRPr="006367F8">
        <w:rPr>
          <w:rFonts w:asciiTheme="minorHAnsi" w:hAnsiTheme="minorHAnsi" w:cstheme="minorHAnsi"/>
        </w:rPr>
        <w:t xml:space="preserve"> </w:t>
      </w:r>
      <w:r w:rsidR="00F42F40" w:rsidRPr="006367F8">
        <w:rPr>
          <w:rFonts w:asciiTheme="minorHAnsi" w:hAnsiTheme="minorHAnsi" w:cstheme="minorHAnsi"/>
        </w:rPr>
        <w:t xml:space="preserve">pieaug par ne vairāk kā </w:t>
      </w:r>
      <w:r w:rsidR="0061010F" w:rsidRPr="006367F8">
        <w:rPr>
          <w:rFonts w:asciiTheme="minorHAnsi" w:hAnsiTheme="minorHAnsi" w:cstheme="minorHAnsi"/>
        </w:rPr>
        <w:t>4,86</w:t>
      </w:r>
      <w:r w:rsidR="00F42F40" w:rsidRPr="006367F8">
        <w:rPr>
          <w:rFonts w:asciiTheme="minorHAnsi" w:hAnsiTheme="minorHAnsi" w:cstheme="minorHAnsi"/>
        </w:rPr>
        <w:t>%</w:t>
      </w:r>
      <w:r w:rsidR="0061010F" w:rsidRPr="006367F8">
        <w:rPr>
          <w:rFonts w:asciiTheme="minorHAnsi" w:hAnsiTheme="minorHAnsi" w:cstheme="minorHAnsi"/>
        </w:rPr>
        <w:t xml:space="preserve"> gadā</w:t>
      </w:r>
      <w:r w:rsidR="00F42F40" w:rsidRPr="006367F8">
        <w:rPr>
          <w:rFonts w:asciiTheme="minorHAnsi" w:hAnsiTheme="minorHAnsi" w:cstheme="minorHAnsi"/>
        </w:rPr>
        <w:t xml:space="preserve">, kas ir </w:t>
      </w:r>
      <w:r w:rsidR="0061010F" w:rsidRPr="006367F8">
        <w:rPr>
          <w:rFonts w:asciiTheme="minorHAnsi" w:hAnsiTheme="minorHAnsi" w:cstheme="minorHAnsi"/>
        </w:rPr>
        <w:t>samērā mēreni rādītāji</w:t>
      </w:r>
      <w:r w:rsidR="009C2807" w:rsidRPr="006367F8">
        <w:rPr>
          <w:rFonts w:asciiTheme="minorHAnsi" w:hAnsiTheme="minorHAnsi" w:cstheme="minorHAnsi"/>
        </w:rPr>
        <w:t>,</w:t>
      </w:r>
      <w:r w:rsidR="0061010F" w:rsidRPr="006367F8">
        <w:rPr>
          <w:rFonts w:asciiTheme="minorHAnsi" w:hAnsiTheme="minorHAnsi" w:cstheme="minorHAnsi"/>
        </w:rPr>
        <w:t xml:space="preserve"> salīdzinot ar, piemēram, transporta </w:t>
      </w:r>
      <w:proofErr w:type="spellStart"/>
      <w:r w:rsidR="0061010F" w:rsidRPr="006367F8">
        <w:rPr>
          <w:rFonts w:asciiTheme="minorHAnsi" w:hAnsiTheme="minorHAnsi" w:cstheme="minorHAnsi"/>
        </w:rPr>
        <w:t>apakšnozari</w:t>
      </w:r>
      <w:proofErr w:type="spellEnd"/>
      <w:r w:rsidR="00490706" w:rsidRPr="006367F8">
        <w:rPr>
          <w:rFonts w:asciiTheme="minorHAnsi" w:hAnsiTheme="minorHAnsi" w:cstheme="minorHAnsi"/>
        </w:rPr>
        <w:t xml:space="preserve"> (</w:t>
      </w:r>
      <w:r w:rsidR="00490706" w:rsidRPr="006367F8">
        <w:rPr>
          <w:rFonts w:asciiTheme="minorHAnsi" w:hAnsiTheme="minorHAnsi" w:cstheme="minorHAnsi"/>
        </w:rPr>
        <w:fldChar w:fldCharType="begin"/>
      </w:r>
      <w:r w:rsidR="00490706" w:rsidRPr="006367F8">
        <w:rPr>
          <w:rFonts w:asciiTheme="minorHAnsi" w:hAnsiTheme="minorHAnsi" w:cstheme="minorHAnsi"/>
        </w:rPr>
        <w:instrText xml:space="preserve"> REF _Ref522228417 \h  \* MERGEFORMAT </w:instrText>
      </w:r>
      <w:r w:rsidR="00490706" w:rsidRPr="006367F8">
        <w:rPr>
          <w:rFonts w:asciiTheme="minorHAnsi" w:hAnsiTheme="minorHAnsi" w:cstheme="minorHAnsi"/>
        </w:rPr>
      </w:r>
      <w:r w:rsidR="00490706" w:rsidRPr="006367F8">
        <w:rPr>
          <w:rFonts w:asciiTheme="minorHAnsi" w:hAnsiTheme="minorHAnsi" w:cstheme="minorHAnsi"/>
        </w:rPr>
        <w:fldChar w:fldCharType="separate"/>
      </w:r>
      <w:r w:rsidR="00490706" w:rsidRPr="006367F8">
        <w:rPr>
          <w:rFonts w:asciiTheme="minorHAnsi" w:hAnsiTheme="minorHAnsi" w:cstheme="minorHAnsi"/>
        </w:rPr>
        <w:t>Att.16.</w:t>
      </w:r>
      <w:r w:rsidR="00490706" w:rsidRPr="006367F8">
        <w:rPr>
          <w:rFonts w:asciiTheme="minorHAnsi" w:hAnsiTheme="minorHAnsi" w:cstheme="minorHAnsi"/>
        </w:rPr>
        <w:fldChar w:fldCharType="end"/>
      </w:r>
      <w:r w:rsidR="00490706" w:rsidRPr="006367F8">
        <w:rPr>
          <w:rFonts w:asciiTheme="minorHAnsi" w:hAnsiTheme="minorHAnsi" w:cstheme="minorHAnsi"/>
        </w:rPr>
        <w:t>)</w:t>
      </w:r>
      <w:r w:rsidRPr="006367F8">
        <w:rPr>
          <w:rFonts w:asciiTheme="minorHAnsi" w:hAnsiTheme="minorHAnsi" w:cstheme="minorHAnsi"/>
        </w:rPr>
        <w:t>.</w:t>
      </w:r>
      <w:r w:rsidR="00F42F40" w:rsidRPr="006367F8">
        <w:rPr>
          <w:rFonts w:asciiTheme="minorHAnsi" w:hAnsiTheme="minorHAnsi" w:cstheme="minorHAnsi"/>
        </w:rPr>
        <w:t xml:space="preserve"> Visās pozīcijās vidējie ekspertu vērtējumi paredz izmaksu pieaugumu. Zemākais pieaugums paredzēts </w:t>
      </w:r>
      <w:r w:rsidR="00056B45" w:rsidRPr="006367F8">
        <w:rPr>
          <w:rFonts w:asciiTheme="minorHAnsi" w:hAnsiTheme="minorHAnsi" w:cstheme="minorHAnsi"/>
        </w:rPr>
        <w:t>būvmateriālu izmaksām</w:t>
      </w:r>
      <w:r w:rsidR="00F42F40" w:rsidRPr="006367F8">
        <w:rPr>
          <w:rFonts w:asciiTheme="minorHAnsi" w:hAnsiTheme="minorHAnsi" w:cstheme="minorHAnsi"/>
        </w:rPr>
        <w:t xml:space="preserve">, kas no </w:t>
      </w:r>
      <w:r w:rsidR="00056B45" w:rsidRPr="006367F8">
        <w:rPr>
          <w:rFonts w:asciiTheme="minorHAnsi" w:hAnsiTheme="minorHAnsi" w:cstheme="minorHAnsi"/>
        </w:rPr>
        <w:t xml:space="preserve">zemākā </w:t>
      </w:r>
      <w:r w:rsidR="00F42F40" w:rsidRPr="006367F8">
        <w:rPr>
          <w:rFonts w:asciiTheme="minorHAnsi" w:hAnsiTheme="minorHAnsi" w:cstheme="minorHAnsi"/>
        </w:rPr>
        <w:t xml:space="preserve">līmeņa </w:t>
      </w:r>
      <w:r w:rsidR="00056B45" w:rsidRPr="006367F8">
        <w:rPr>
          <w:rFonts w:asciiTheme="minorHAnsi" w:hAnsiTheme="minorHAnsi" w:cstheme="minorHAnsi"/>
        </w:rPr>
        <w:t>2,00</w:t>
      </w:r>
      <w:r w:rsidR="00F42F40" w:rsidRPr="006367F8">
        <w:rPr>
          <w:rFonts w:asciiTheme="minorHAnsi" w:hAnsiTheme="minorHAnsi" w:cstheme="minorHAnsi"/>
        </w:rPr>
        <w:t>% 20</w:t>
      </w:r>
      <w:r w:rsidR="00056B45" w:rsidRPr="006367F8">
        <w:rPr>
          <w:rFonts w:asciiTheme="minorHAnsi" w:hAnsiTheme="minorHAnsi" w:cstheme="minorHAnsi"/>
        </w:rPr>
        <w:t>20</w:t>
      </w:r>
      <w:r w:rsidR="00F42F40" w:rsidRPr="006367F8">
        <w:rPr>
          <w:rFonts w:asciiTheme="minorHAnsi" w:hAnsiTheme="minorHAnsi" w:cstheme="minorHAnsi"/>
        </w:rPr>
        <w:t>.</w:t>
      </w:r>
      <w:r w:rsidR="00FB79D9" w:rsidRPr="006367F8">
        <w:rPr>
          <w:rFonts w:asciiTheme="minorHAnsi" w:hAnsiTheme="minorHAnsi" w:cstheme="minorHAnsi"/>
        </w:rPr>
        <w:t xml:space="preserve"> </w:t>
      </w:r>
      <w:r w:rsidR="00F42F40" w:rsidRPr="006367F8">
        <w:rPr>
          <w:rFonts w:asciiTheme="minorHAnsi" w:hAnsiTheme="minorHAnsi" w:cstheme="minorHAnsi"/>
        </w:rPr>
        <w:t xml:space="preserve">gadā varētu </w:t>
      </w:r>
      <w:r w:rsidR="00056B45" w:rsidRPr="006367F8">
        <w:rPr>
          <w:rFonts w:asciiTheme="minorHAnsi" w:hAnsiTheme="minorHAnsi" w:cstheme="minorHAnsi"/>
        </w:rPr>
        <w:t xml:space="preserve">pieaugt </w:t>
      </w:r>
      <w:r w:rsidR="00F42F40" w:rsidRPr="006367F8">
        <w:rPr>
          <w:rFonts w:asciiTheme="minorHAnsi" w:hAnsiTheme="minorHAnsi" w:cstheme="minorHAnsi"/>
        </w:rPr>
        <w:t xml:space="preserve">līdz </w:t>
      </w:r>
      <w:r w:rsidR="004E0EF9" w:rsidRPr="006367F8">
        <w:rPr>
          <w:rFonts w:asciiTheme="minorHAnsi" w:hAnsiTheme="minorHAnsi" w:cstheme="minorHAnsi"/>
        </w:rPr>
        <w:t>4,29</w:t>
      </w:r>
      <w:r w:rsidR="00F42F40" w:rsidRPr="006367F8">
        <w:rPr>
          <w:rFonts w:asciiTheme="minorHAnsi" w:hAnsiTheme="minorHAnsi" w:cstheme="minorHAnsi"/>
        </w:rPr>
        <w:t>% pieaugumam 202</w:t>
      </w:r>
      <w:r w:rsidR="004E0EF9" w:rsidRPr="006367F8">
        <w:rPr>
          <w:rFonts w:asciiTheme="minorHAnsi" w:hAnsiTheme="minorHAnsi" w:cstheme="minorHAnsi"/>
        </w:rPr>
        <w:t>4</w:t>
      </w:r>
      <w:r w:rsidR="00F42F40" w:rsidRPr="006367F8">
        <w:rPr>
          <w:rFonts w:asciiTheme="minorHAnsi" w:hAnsiTheme="minorHAnsi" w:cstheme="minorHAnsi"/>
        </w:rPr>
        <w:t>.</w:t>
      </w:r>
      <w:r w:rsidR="00FB79D9" w:rsidRPr="006367F8">
        <w:rPr>
          <w:rFonts w:asciiTheme="minorHAnsi" w:hAnsiTheme="minorHAnsi" w:cstheme="minorHAnsi"/>
        </w:rPr>
        <w:t xml:space="preserve"> </w:t>
      </w:r>
      <w:r w:rsidR="00F42F40" w:rsidRPr="006367F8">
        <w:rPr>
          <w:rFonts w:asciiTheme="minorHAnsi" w:hAnsiTheme="minorHAnsi" w:cstheme="minorHAnsi"/>
        </w:rPr>
        <w:t>gadā.</w:t>
      </w:r>
      <w:r w:rsidR="005F6596" w:rsidRPr="006367F8">
        <w:rPr>
          <w:rFonts w:asciiTheme="minorHAnsi" w:hAnsiTheme="minorHAnsi" w:cstheme="minorHAnsi"/>
          <w:bCs/>
        </w:rPr>
        <w:t xml:space="preserve"> 2021. gadā būtiskākais izmaksu pieaugums ir prognozēts strādnieku darba samaksai par 3,71%. </w:t>
      </w:r>
    </w:p>
    <w:p w14:paraId="4D826851" w14:textId="339AFF47" w:rsidR="000722D8" w:rsidRDefault="000722D8" w:rsidP="00E66F42">
      <w:pPr>
        <w:pStyle w:val="Default"/>
        <w:spacing w:after="131" w:line="360" w:lineRule="auto"/>
        <w:ind w:firstLine="360"/>
        <w:jc w:val="both"/>
        <w:rPr>
          <w:rFonts w:asciiTheme="minorHAnsi" w:hAnsiTheme="minorHAnsi" w:cstheme="minorHAnsi"/>
          <w:sz w:val="22"/>
          <w:szCs w:val="22"/>
        </w:rPr>
      </w:pPr>
      <w:r>
        <w:rPr>
          <w:noProof/>
          <w:lang w:val="en-US"/>
        </w:rPr>
        <w:drawing>
          <wp:inline distT="0" distB="0" distL="0" distR="0" wp14:anchorId="61C2406F" wp14:editId="742EDC4E">
            <wp:extent cx="5600699" cy="1384300"/>
            <wp:effectExtent l="0" t="0" r="635"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434" t="3450" r="1311" b="2543"/>
                    <a:stretch/>
                  </pic:blipFill>
                  <pic:spPr bwMode="auto">
                    <a:xfrm>
                      <a:off x="0" y="0"/>
                      <a:ext cx="5601936" cy="1384606"/>
                    </a:xfrm>
                    <a:prstGeom prst="rect">
                      <a:avLst/>
                    </a:prstGeom>
                    <a:noFill/>
                    <a:ln>
                      <a:noFill/>
                    </a:ln>
                    <a:extLst>
                      <a:ext uri="{53640926-AAD7-44D8-BBD7-CCE9431645EC}">
                        <a14:shadowObscured xmlns:a14="http://schemas.microsoft.com/office/drawing/2010/main"/>
                      </a:ext>
                    </a:extLst>
                  </pic:spPr>
                </pic:pic>
              </a:graphicData>
            </a:graphic>
          </wp:inline>
        </w:drawing>
      </w:r>
    </w:p>
    <w:p w14:paraId="7F403481" w14:textId="77777777" w:rsidR="00FB2306" w:rsidRDefault="00FB2306" w:rsidP="00FB2306">
      <w:pPr>
        <w:pStyle w:val="Caption"/>
        <w:jc w:val="center"/>
      </w:pPr>
      <w:r>
        <w:t xml:space="preserve">Att. </w:t>
      </w:r>
      <w:r>
        <w:rPr>
          <w:noProof/>
        </w:rPr>
        <w:fldChar w:fldCharType="begin"/>
      </w:r>
      <w:r>
        <w:rPr>
          <w:noProof/>
        </w:rPr>
        <w:instrText xml:space="preserve"> SEQ Att. \* ARABIC </w:instrText>
      </w:r>
      <w:r>
        <w:rPr>
          <w:noProof/>
        </w:rPr>
        <w:fldChar w:fldCharType="separate"/>
      </w:r>
      <w:r>
        <w:rPr>
          <w:noProof/>
        </w:rPr>
        <w:t>16</w:t>
      </w:r>
      <w:r>
        <w:rPr>
          <w:noProof/>
        </w:rPr>
        <w:fldChar w:fldCharType="end"/>
      </w:r>
      <w:r>
        <w:t xml:space="preserve">. Pilsētas infrastruktūras objektu būvniecības izmaksu izmaiņu prognozes procentos pret iepriekšējo gadu un indeksos pret 2019.gadu pēc </w:t>
      </w:r>
      <w:proofErr w:type="spellStart"/>
      <w:r>
        <w:t>apakšnozaru</w:t>
      </w:r>
      <w:proofErr w:type="spellEnd"/>
      <w:r>
        <w:t xml:space="preserve"> ekspertu vidējā vērtējuma  pa resursu veidiem.</w:t>
      </w:r>
    </w:p>
    <w:p w14:paraId="39CC96DB" w14:textId="270A343A" w:rsidR="001E16E3" w:rsidRPr="006367F8" w:rsidRDefault="00F42F40" w:rsidP="00E66F42">
      <w:pPr>
        <w:pStyle w:val="Default"/>
        <w:spacing w:after="131" w:line="360" w:lineRule="auto"/>
        <w:ind w:firstLine="360"/>
        <w:jc w:val="both"/>
        <w:rPr>
          <w:rFonts w:asciiTheme="minorHAnsi" w:hAnsiTheme="minorHAnsi" w:cstheme="minorHAnsi"/>
          <w:bCs/>
        </w:rPr>
      </w:pPr>
      <w:r w:rsidRPr="006367F8">
        <w:rPr>
          <w:rFonts w:asciiTheme="minorHAnsi" w:hAnsiTheme="minorHAnsi" w:cstheme="minorHAnsi"/>
        </w:rPr>
        <w:t xml:space="preserve">Kopējā tendence pilsētas infrastruktūras objektu būvniecības </w:t>
      </w:r>
      <w:proofErr w:type="spellStart"/>
      <w:r w:rsidRPr="006367F8">
        <w:rPr>
          <w:rFonts w:asciiTheme="minorHAnsi" w:hAnsiTheme="minorHAnsi" w:cstheme="minorHAnsi"/>
        </w:rPr>
        <w:t>apakšnozarē</w:t>
      </w:r>
      <w:proofErr w:type="spellEnd"/>
      <w:r w:rsidRPr="006367F8">
        <w:rPr>
          <w:rFonts w:asciiTheme="minorHAnsi" w:hAnsiTheme="minorHAnsi" w:cstheme="minorHAnsi"/>
        </w:rPr>
        <w:t xml:space="preserve"> ir vērsta uz arvien lēnāku izmaksu pieaugumu līdz par 202</w:t>
      </w:r>
      <w:r w:rsidR="004E0EF9" w:rsidRPr="006367F8">
        <w:rPr>
          <w:rFonts w:asciiTheme="minorHAnsi" w:hAnsiTheme="minorHAnsi" w:cstheme="minorHAnsi"/>
        </w:rPr>
        <w:t>4</w:t>
      </w:r>
      <w:r w:rsidRPr="006367F8">
        <w:rPr>
          <w:rFonts w:asciiTheme="minorHAnsi" w:hAnsiTheme="minorHAnsi" w:cstheme="minorHAnsi"/>
        </w:rPr>
        <w:t>.</w:t>
      </w:r>
      <w:r w:rsidR="00FB79D9" w:rsidRPr="006367F8">
        <w:rPr>
          <w:rFonts w:asciiTheme="minorHAnsi" w:hAnsiTheme="minorHAnsi" w:cstheme="minorHAnsi"/>
        </w:rPr>
        <w:t xml:space="preserve"> </w:t>
      </w:r>
      <w:r w:rsidRPr="006367F8">
        <w:rPr>
          <w:rFonts w:asciiTheme="minorHAnsi" w:hAnsiTheme="minorHAnsi" w:cstheme="minorHAnsi"/>
        </w:rPr>
        <w:t xml:space="preserve">gadam. </w:t>
      </w:r>
      <w:r w:rsidR="004E0EF9" w:rsidRPr="006367F8">
        <w:rPr>
          <w:rFonts w:asciiTheme="minorHAnsi" w:hAnsiTheme="minorHAnsi" w:cstheme="minorHAnsi"/>
        </w:rPr>
        <w:t xml:space="preserve">Kopumā tiek novērtēts, ka </w:t>
      </w:r>
      <w:r w:rsidR="004E0EF9" w:rsidRPr="006367F8">
        <w:rPr>
          <w:rFonts w:asciiTheme="minorHAnsi" w:hAnsiTheme="minorHAnsi" w:cstheme="minorHAnsi"/>
          <w:b/>
          <w:bCs/>
        </w:rPr>
        <w:t>visvairāk pieaugs strādnieku darba samaksa</w:t>
      </w:r>
      <w:r w:rsidR="00CB2B13" w:rsidRPr="006367F8">
        <w:rPr>
          <w:rFonts w:asciiTheme="minorHAnsi" w:hAnsiTheme="minorHAnsi" w:cstheme="minorHAnsi"/>
          <w:b/>
          <w:bCs/>
        </w:rPr>
        <w:t xml:space="preserve"> ar 19,95% pieaugumu piecu gadu laikā, un arhitektūras un inženiertehniskie pakalpojumi ar </w:t>
      </w:r>
      <w:r w:rsidR="001A4AFF" w:rsidRPr="006367F8">
        <w:rPr>
          <w:rFonts w:asciiTheme="minorHAnsi" w:hAnsiTheme="minorHAnsi" w:cstheme="minorHAnsi"/>
          <w:b/>
          <w:bCs/>
        </w:rPr>
        <w:t>18,18% pieaugumu piecu gadu laikā</w:t>
      </w:r>
      <w:r w:rsidRPr="006367F8">
        <w:rPr>
          <w:rFonts w:asciiTheme="minorHAnsi" w:hAnsiTheme="minorHAnsi" w:cstheme="minorHAnsi"/>
          <w:b/>
          <w:bCs/>
        </w:rPr>
        <w:t>.</w:t>
      </w:r>
      <w:r w:rsidR="001E16E3" w:rsidRPr="006367F8">
        <w:rPr>
          <w:rFonts w:asciiTheme="minorHAnsi" w:hAnsiTheme="minorHAnsi" w:cstheme="minorHAnsi"/>
          <w:bCs/>
        </w:rPr>
        <w:t xml:space="preserve"> </w:t>
      </w:r>
    </w:p>
    <w:p w14:paraId="47BCD953" w14:textId="3EA7FC4B" w:rsidR="00F42F40" w:rsidRPr="006367F8" w:rsidRDefault="00662C04" w:rsidP="00115931">
      <w:pPr>
        <w:rPr>
          <w:rFonts w:ascii="Times New Roman" w:hAnsi="Times New Roman" w:cs="Times New Roman"/>
          <w:bCs/>
          <w:sz w:val="24"/>
          <w:szCs w:val="24"/>
        </w:rPr>
      </w:pPr>
      <w:bookmarkStart w:id="39" w:name="_Hlk522721123"/>
      <w:r w:rsidRPr="006367F8">
        <w:rPr>
          <w:sz w:val="24"/>
          <w:szCs w:val="24"/>
          <w:u w:val="single"/>
        </w:rPr>
        <w:t xml:space="preserve">Pārējās </w:t>
      </w:r>
      <w:proofErr w:type="spellStart"/>
      <w:r w:rsidRPr="006367F8">
        <w:rPr>
          <w:sz w:val="24"/>
          <w:szCs w:val="24"/>
          <w:u w:val="single"/>
        </w:rPr>
        <w:t>inženierbūvniecības</w:t>
      </w:r>
      <w:proofErr w:type="spellEnd"/>
      <w:r w:rsidRPr="006367F8">
        <w:rPr>
          <w:sz w:val="24"/>
          <w:szCs w:val="24"/>
          <w:u w:val="single"/>
        </w:rPr>
        <w:t xml:space="preserve"> </w:t>
      </w:r>
      <w:proofErr w:type="spellStart"/>
      <w:r w:rsidRPr="006367F8">
        <w:rPr>
          <w:sz w:val="24"/>
          <w:szCs w:val="24"/>
          <w:u w:val="single"/>
        </w:rPr>
        <w:t>apakšnozarē</w:t>
      </w:r>
      <w:proofErr w:type="spellEnd"/>
      <w:r w:rsidRPr="006367F8">
        <w:rPr>
          <w:sz w:val="24"/>
          <w:szCs w:val="24"/>
        </w:rPr>
        <w:t xml:space="preserve"> ir novērojamas salīdzinoši augstas prognozes par pakalpojumu izmaksām, </w:t>
      </w:r>
      <w:r w:rsidR="001A4AFF" w:rsidRPr="006367F8">
        <w:rPr>
          <w:sz w:val="24"/>
          <w:szCs w:val="24"/>
        </w:rPr>
        <w:t>izņemot strādnieku darba samaksu 2020. gadā, kas ir vienīgais periods, kad prognozē izmaksu samazinājumu</w:t>
      </w:r>
      <w:r w:rsidR="006367F8" w:rsidRPr="006367F8">
        <w:rPr>
          <w:sz w:val="24"/>
          <w:szCs w:val="24"/>
        </w:rPr>
        <w:t xml:space="preserve"> </w:t>
      </w:r>
      <w:r w:rsidR="006367F8" w:rsidRPr="006367F8">
        <w:rPr>
          <w:rFonts w:cstheme="minorHAnsi"/>
          <w:sz w:val="24"/>
          <w:szCs w:val="24"/>
        </w:rPr>
        <w:t>(</w:t>
      </w:r>
      <w:r w:rsidR="006367F8" w:rsidRPr="006367F8">
        <w:rPr>
          <w:rFonts w:cstheme="minorHAnsi"/>
          <w:sz w:val="24"/>
          <w:szCs w:val="24"/>
        </w:rPr>
        <w:fldChar w:fldCharType="begin"/>
      </w:r>
      <w:r w:rsidR="006367F8" w:rsidRPr="006367F8">
        <w:rPr>
          <w:rFonts w:cstheme="minorHAnsi"/>
          <w:sz w:val="24"/>
          <w:szCs w:val="24"/>
        </w:rPr>
        <w:instrText xml:space="preserve"> REF _Ref522228417 \h  \* MERGEFORMAT </w:instrText>
      </w:r>
      <w:r w:rsidR="006367F8" w:rsidRPr="006367F8">
        <w:rPr>
          <w:rFonts w:cstheme="minorHAnsi"/>
          <w:sz w:val="24"/>
          <w:szCs w:val="24"/>
        </w:rPr>
      </w:r>
      <w:r w:rsidR="006367F8" w:rsidRPr="006367F8">
        <w:rPr>
          <w:rFonts w:cstheme="minorHAnsi"/>
          <w:sz w:val="24"/>
          <w:szCs w:val="24"/>
        </w:rPr>
        <w:fldChar w:fldCharType="separate"/>
      </w:r>
      <w:r w:rsidR="006367F8" w:rsidRPr="006367F8">
        <w:rPr>
          <w:rFonts w:cstheme="minorHAnsi"/>
          <w:sz w:val="24"/>
          <w:szCs w:val="24"/>
        </w:rPr>
        <w:t>Att.17.</w:t>
      </w:r>
      <w:r w:rsidR="006367F8" w:rsidRPr="006367F8">
        <w:rPr>
          <w:rFonts w:cstheme="minorHAnsi"/>
          <w:sz w:val="24"/>
          <w:szCs w:val="24"/>
        </w:rPr>
        <w:fldChar w:fldCharType="end"/>
      </w:r>
      <w:r w:rsidR="006367F8" w:rsidRPr="006367F8">
        <w:rPr>
          <w:rFonts w:cstheme="minorHAnsi"/>
          <w:sz w:val="24"/>
          <w:szCs w:val="24"/>
        </w:rPr>
        <w:t>)</w:t>
      </w:r>
      <w:r w:rsidRPr="006367F8">
        <w:rPr>
          <w:sz w:val="24"/>
          <w:szCs w:val="24"/>
        </w:rPr>
        <w:t xml:space="preserve">. </w:t>
      </w:r>
      <w:r w:rsidR="00191197" w:rsidRPr="006367F8">
        <w:rPr>
          <w:sz w:val="24"/>
          <w:szCs w:val="24"/>
        </w:rPr>
        <w:t xml:space="preserve">Arī strādnieku darba samaksas resursu grupā </w:t>
      </w:r>
      <w:r w:rsidR="00FC37C1" w:rsidRPr="006367F8">
        <w:rPr>
          <w:sz w:val="24"/>
          <w:szCs w:val="24"/>
        </w:rPr>
        <w:t xml:space="preserve">vidēji ir mazākie izaugsmes rādītāji. Šī ir vienīgā kategorija, kur paredzētas būtiskas mašīnu un mehānismu izmaksu </w:t>
      </w:r>
      <w:r w:rsidR="00E07605" w:rsidRPr="006367F8">
        <w:rPr>
          <w:sz w:val="24"/>
          <w:szCs w:val="24"/>
        </w:rPr>
        <w:t>izmaiņas ar 12,66% pieaugumu 2022. gadā</w:t>
      </w:r>
      <w:r w:rsidR="00331708" w:rsidRPr="006367F8">
        <w:rPr>
          <w:sz w:val="24"/>
          <w:szCs w:val="24"/>
        </w:rPr>
        <w:t>.</w:t>
      </w:r>
      <w:r w:rsidR="00331708" w:rsidRPr="006367F8">
        <w:rPr>
          <w:b/>
          <w:bCs/>
          <w:sz w:val="24"/>
          <w:szCs w:val="24"/>
        </w:rPr>
        <w:t xml:space="preserve"> </w:t>
      </w:r>
      <w:r w:rsidR="000722D8" w:rsidRPr="006367F8">
        <w:rPr>
          <w:rFonts w:ascii="Times New Roman" w:hAnsi="Times New Roman" w:cs="Times New Roman"/>
          <w:bCs/>
          <w:sz w:val="24"/>
          <w:szCs w:val="24"/>
        </w:rPr>
        <w:t>2021. gadā būtiskākais izmaksu pieaugums saglabājas arhitektūras un inženiertehniskajiem pakalpojumiem ar 8,43% izmaksu pieaugumu.</w:t>
      </w:r>
    </w:p>
    <w:p w14:paraId="2D194774" w14:textId="2691F04D" w:rsidR="00FB2306" w:rsidRDefault="00FB2306" w:rsidP="00115931">
      <w:r>
        <w:rPr>
          <w:noProof/>
          <w:lang w:val="en-US"/>
        </w:rPr>
        <w:lastRenderedPageBreak/>
        <w:drawing>
          <wp:inline distT="0" distB="0" distL="0" distR="0" wp14:anchorId="4B19B95A" wp14:editId="34E886BD">
            <wp:extent cx="5626100" cy="1371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213" t="3460" r="1080" b="3114"/>
                    <a:stretch/>
                  </pic:blipFill>
                  <pic:spPr bwMode="auto">
                    <a:xfrm>
                      <a:off x="0" y="0"/>
                      <a:ext cx="5627959" cy="1372053"/>
                    </a:xfrm>
                    <a:prstGeom prst="rect">
                      <a:avLst/>
                    </a:prstGeom>
                    <a:noFill/>
                    <a:ln>
                      <a:noFill/>
                    </a:ln>
                    <a:extLst>
                      <a:ext uri="{53640926-AAD7-44D8-BBD7-CCE9431645EC}">
                        <a14:shadowObscured xmlns:a14="http://schemas.microsoft.com/office/drawing/2010/main"/>
                      </a:ext>
                    </a:extLst>
                  </pic:spPr>
                </pic:pic>
              </a:graphicData>
            </a:graphic>
          </wp:inline>
        </w:drawing>
      </w:r>
    </w:p>
    <w:p w14:paraId="47F950C9" w14:textId="77777777" w:rsidR="00FB2306" w:rsidRDefault="00FB2306" w:rsidP="00FB2306">
      <w:pPr>
        <w:pStyle w:val="Caption"/>
        <w:keepNext/>
        <w:jc w:val="center"/>
      </w:pPr>
      <w:r>
        <w:t xml:space="preserve">Att. </w:t>
      </w:r>
      <w:r>
        <w:rPr>
          <w:noProof/>
        </w:rPr>
        <w:fldChar w:fldCharType="begin"/>
      </w:r>
      <w:r>
        <w:rPr>
          <w:noProof/>
        </w:rPr>
        <w:instrText xml:space="preserve"> SEQ Att. \* ARABIC </w:instrText>
      </w:r>
      <w:r>
        <w:rPr>
          <w:noProof/>
        </w:rPr>
        <w:fldChar w:fldCharType="separate"/>
      </w:r>
      <w:r>
        <w:rPr>
          <w:noProof/>
        </w:rPr>
        <w:t>17</w:t>
      </w:r>
      <w:r>
        <w:rPr>
          <w:noProof/>
        </w:rPr>
        <w:fldChar w:fldCharType="end"/>
      </w:r>
      <w:r>
        <w:t xml:space="preserve">. Pārējās </w:t>
      </w:r>
      <w:proofErr w:type="spellStart"/>
      <w:r>
        <w:t>inženierbūvniecības</w:t>
      </w:r>
      <w:proofErr w:type="spellEnd"/>
      <w:r>
        <w:t xml:space="preserve"> izmaksu izmaiņu prognozes procentos pret iepriekšējo gadu un indeksos pret 2019.gadu pēc </w:t>
      </w:r>
      <w:proofErr w:type="spellStart"/>
      <w:r>
        <w:t>apakšnozaru</w:t>
      </w:r>
      <w:proofErr w:type="spellEnd"/>
      <w:r>
        <w:t xml:space="preserve"> ekspertu vidējā vērtējuma  pa resursu veidiem.</w:t>
      </w:r>
    </w:p>
    <w:bookmarkEnd w:id="39"/>
    <w:p w14:paraId="730A3B59" w14:textId="215A2BBB" w:rsidR="009C4B59" w:rsidRPr="006367F8" w:rsidRDefault="009506A0" w:rsidP="00FC269F">
      <w:pPr>
        <w:rPr>
          <w:sz w:val="24"/>
          <w:szCs w:val="24"/>
        </w:rPr>
      </w:pPr>
      <w:r w:rsidRPr="006367F8">
        <w:rPr>
          <w:sz w:val="24"/>
          <w:szCs w:val="24"/>
        </w:rPr>
        <w:t xml:space="preserve">Pārējā </w:t>
      </w:r>
      <w:proofErr w:type="spellStart"/>
      <w:r w:rsidRPr="006367F8">
        <w:rPr>
          <w:sz w:val="24"/>
          <w:szCs w:val="24"/>
        </w:rPr>
        <w:t>inženierbūvniecība</w:t>
      </w:r>
      <w:proofErr w:type="spellEnd"/>
      <w:r w:rsidRPr="006367F8">
        <w:rPr>
          <w:sz w:val="24"/>
          <w:szCs w:val="24"/>
        </w:rPr>
        <w:t xml:space="preserve"> ir </w:t>
      </w:r>
      <w:proofErr w:type="spellStart"/>
      <w:r w:rsidRPr="006367F8">
        <w:rPr>
          <w:sz w:val="24"/>
          <w:szCs w:val="24"/>
        </w:rPr>
        <w:t>apakšnozare</w:t>
      </w:r>
      <w:proofErr w:type="spellEnd"/>
      <w:r w:rsidRPr="006367F8">
        <w:rPr>
          <w:sz w:val="24"/>
          <w:szCs w:val="24"/>
        </w:rPr>
        <w:t xml:space="preserve"> ar visaugstāko kopējo prognozējamo izmaksu pieaugumu. </w:t>
      </w:r>
      <w:r w:rsidR="00B13B0A" w:rsidRPr="006367F8">
        <w:rPr>
          <w:sz w:val="24"/>
          <w:szCs w:val="24"/>
        </w:rPr>
        <w:t xml:space="preserve">Vadībā ir arhitektūras un inženiertehnisko pakalpojumu izmaksas, kas varētu sadārdzināties par 42,12% piecu gadu laikā. Tām seko mašīnu un mehānismu uzturēšanas un ekspluatācijas izmaksas, kas piecos gados varētu kopā pieaugt par </w:t>
      </w:r>
      <w:r w:rsidR="006E4EC4" w:rsidRPr="006367F8">
        <w:rPr>
          <w:sz w:val="24"/>
          <w:szCs w:val="24"/>
        </w:rPr>
        <w:t>36,6%. Arī pārējās pozīcijās kopējais izmaksu pieaugums pārsniedz 20% atzīmi.</w:t>
      </w:r>
    </w:p>
    <w:p w14:paraId="275DD2B1" w14:textId="77777777" w:rsidR="00D114C8" w:rsidRDefault="00D114C8" w:rsidP="00774A69"/>
    <w:p w14:paraId="157FE00C" w14:textId="0C1C18B2" w:rsidR="00774A69" w:rsidRPr="00025BCB" w:rsidRDefault="00A71CB9" w:rsidP="00F016B1">
      <w:pPr>
        <w:pStyle w:val="Heading2"/>
        <w:numPr>
          <w:ilvl w:val="1"/>
          <w:numId w:val="1"/>
        </w:numPr>
      </w:pPr>
      <w:bookmarkStart w:id="40" w:name="_Toc54287920"/>
      <w:r w:rsidRPr="00025BCB">
        <w:t>Būvniecības produkcijas apjoma ietekme uz izmaksām un nozares vidējo peļņas normu</w:t>
      </w:r>
      <w:bookmarkEnd w:id="40"/>
    </w:p>
    <w:p w14:paraId="3970EEFE" w14:textId="77777777" w:rsidR="00577228" w:rsidRPr="006367F8" w:rsidRDefault="00577228" w:rsidP="00774A69">
      <w:pPr>
        <w:rPr>
          <w:sz w:val="24"/>
          <w:szCs w:val="24"/>
        </w:rPr>
      </w:pPr>
    </w:p>
    <w:p w14:paraId="21B0FCF7" w14:textId="02CB9CB3" w:rsidR="00B27FBF" w:rsidRPr="006367F8" w:rsidRDefault="00B27FBF" w:rsidP="00774A69">
      <w:pPr>
        <w:rPr>
          <w:sz w:val="24"/>
          <w:szCs w:val="24"/>
        </w:rPr>
      </w:pPr>
      <w:r w:rsidRPr="006367F8">
        <w:rPr>
          <w:sz w:val="24"/>
          <w:szCs w:val="24"/>
        </w:rPr>
        <w:t xml:space="preserve">Viens no </w:t>
      </w:r>
      <w:r w:rsidR="006A6479" w:rsidRPr="006367F8">
        <w:rPr>
          <w:sz w:val="24"/>
          <w:szCs w:val="24"/>
        </w:rPr>
        <w:t xml:space="preserve">pētījuma </w:t>
      </w:r>
      <w:r w:rsidRPr="006367F8">
        <w:rPr>
          <w:sz w:val="24"/>
          <w:szCs w:val="24"/>
        </w:rPr>
        <w:t>jautājumiem</w:t>
      </w:r>
      <w:r w:rsidR="006A6479" w:rsidRPr="006367F8">
        <w:rPr>
          <w:sz w:val="24"/>
          <w:szCs w:val="24"/>
        </w:rPr>
        <w:t xml:space="preserve"> </w:t>
      </w:r>
      <w:r w:rsidRPr="006367F8">
        <w:rPr>
          <w:sz w:val="24"/>
          <w:szCs w:val="24"/>
        </w:rPr>
        <w:t xml:space="preserve">bija </w:t>
      </w:r>
      <w:r w:rsidR="006A6479" w:rsidRPr="006367F8">
        <w:rPr>
          <w:sz w:val="24"/>
          <w:szCs w:val="24"/>
        </w:rPr>
        <w:t>par</w:t>
      </w:r>
      <w:r w:rsidRPr="006367F8">
        <w:rPr>
          <w:sz w:val="24"/>
          <w:szCs w:val="24"/>
        </w:rPr>
        <w:t xml:space="preserve"> pieņemam</w:t>
      </w:r>
      <w:r w:rsidR="006A6479" w:rsidRPr="006367F8">
        <w:rPr>
          <w:sz w:val="24"/>
          <w:szCs w:val="24"/>
        </w:rPr>
        <w:t>o</w:t>
      </w:r>
      <w:r w:rsidRPr="006367F8">
        <w:rPr>
          <w:sz w:val="24"/>
          <w:szCs w:val="24"/>
        </w:rPr>
        <w:t xml:space="preserve"> peļņas norm</w:t>
      </w:r>
      <w:r w:rsidR="006A6479" w:rsidRPr="006367F8">
        <w:rPr>
          <w:sz w:val="24"/>
          <w:szCs w:val="24"/>
        </w:rPr>
        <w:t>u</w:t>
      </w:r>
      <w:r w:rsidRPr="006367F8">
        <w:rPr>
          <w:sz w:val="24"/>
          <w:szCs w:val="24"/>
        </w:rPr>
        <w:t xml:space="preserve"> būvniecības uzņēmumiem pie dažādiem būvniecības nozares izaugsmes scenārijiem. </w:t>
      </w:r>
    </w:p>
    <w:p w14:paraId="5A8684D7" w14:textId="528EB79E" w:rsidR="00E741D4" w:rsidRPr="006367F8" w:rsidRDefault="00E04C87" w:rsidP="00774A69">
      <w:pPr>
        <w:rPr>
          <w:sz w:val="24"/>
          <w:szCs w:val="24"/>
        </w:rPr>
      </w:pPr>
      <w:r w:rsidRPr="006367F8">
        <w:rPr>
          <w:sz w:val="24"/>
          <w:szCs w:val="24"/>
        </w:rPr>
        <w:t>Vairumā gadījumu</w:t>
      </w:r>
      <w:r w:rsidR="007E40F3" w:rsidRPr="006367F8">
        <w:rPr>
          <w:sz w:val="24"/>
          <w:szCs w:val="24"/>
        </w:rPr>
        <w:t>,</w:t>
      </w:r>
      <w:r w:rsidRPr="006367F8">
        <w:rPr>
          <w:sz w:val="24"/>
          <w:szCs w:val="24"/>
        </w:rPr>
        <w:t xml:space="preserve"> pozitīva būvniecības produkcijas apjoma izaugsmes gadījumā</w:t>
      </w:r>
      <w:r w:rsidR="007E40F3" w:rsidRPr="006367F8">
        <w:rPr>
          <w:sz w:val="24"/>
          <w:szCs w:val="24"/>
        </w:rPr>
        <w:t>,</w:t>
      </w:r>
      <w:r w:rsidRPr="006367F8">
        <w:rPr>
          <w:sz w:val="24"/>
          <w:szCs w:val="24"/>
        </w:rPr>
        <w:t xml:space="preserve"> uzņēmumi vidēji strādāja ar pozitīvu peļņas normu, savukārt</w:t>
      </w:r>
      <w:r w:rsidR="007E40F3" w:rsidRPr="006367F8">
        <w:rPr>
          <w:sz w:val="24"/>
          <w:szCs w:val="24"/>
        </w:rPr>
        <w:t>,</w:t>
      </w:r>
      <w:r w:rsidRPr="006367F8">
        <w:rPr>
          <w:sz w:val="24"/>
          <w:szCs w:val="24"/>
        </w:rPr>
        <w:t xml:space="preserve"> būvniecības produkcijas krituma laikā arī peļņas norma kritās un bieži bija negatīva. </w:t>
      </w:r>
      <w:r w:rsidR="000B5468" w:rsidRPr="006367F8">
        <w:rPr>
          <w:sz w:val="24"/>
          <w:szCs w:val="24"/>
        </w:rPr>
        <w:t xml:space="preserve">Salīdzinot ar izmaksu izmaiņu reakciju uz būvniecības produkcijas izmaiņām, peļņas normai novērojamas stabilākas tendences. </w:t>
      </w:r>
      <w:r w:rsidR="009150F5" w:rsidRPr="006367F8">
        <w:rPr>
          <w:sz w:val="24"/>
          <w:szCs w:val="24"/>
        </w:rPr>
        <w:t xml:space="preserve">Sākot ar 2012.gadu vidēji tiek novērota peļņa, kas svārstās 0% un 2% robežās. </w:t>
      </w:r>
      <w:r w:rsidR="004261CA" w:rsidRPr="006367F8">
        <w:rPr>
          <w:sz w:val="24"/>
          <w:szCs w:val="24"/>
        </w:rPr>
        <w:t>Pēdējais zināmais periods 2018.gads izcēlās ar visbūtiskāko vidējo peļņas normu nozarē</w:t>
      </w:r>
      <w:r w:rsidR="00957712" w:rsidRPr="006367F8">
        <w:rPr>
          <w:sz w:val="24"/>
          <w:szCs w:val="24"/>
        </w:rPr>
        <w:t>,</w:t>
      </w:r>
      <w:r w:rsidR="004261CA" w:rsidRPr="006367F8">
        <w:rPr>
          <w:sz w:val="24"/>
          <w:szCs w:val="24"/>
        </w:rPr>
        <w:t xml:space="preserve"> vairāk kā </w:t>
      </w:r>
      <w:r w:rsidR="007E40F3" w:rsidRPr="006367F8">
        <w:rPr>
          <w:sz w:val="24"/>
          <w:szCs w:val="24"/>
        </w:rPr>
        <w:t xml:space="preserve">visā </w:t>
      </w:r>
      <w:r w:rsidR="004261CA" w:rsidRPr="006367F8">
        <w:rPr>
          <w:sz w:val="24"/>
          <w:szCs w:val="24"/>
        </w:rPr>
        <w:t>desmitgadē</w:t>
      </w:r>
      <w:r w:rsidR="009150F5" w:rsidRPr="006367F8">
        <w:rPr>
          <w:sz w:val="24"/>
          <w:szCs w:val="24"/>
        </w:rPr>
        <w:t xml:space="preserve">. </w:t>
      </w:r>
    </w:p>
    <w:p w14:paraId="11C99DF2" w14:textId="0A9066CF" w:rsidR="00A47703" w:rsidRPr="006367F8" w:rsidRDefault="003B0107" w:rsidP="003B0107">
      <w:pPr>
        <w:pStyle w:val="Default"/>
        <w:spacing w:after="131" w:line="360" w:lineRule="auto"/>
        <w:ind w:firstLine="720"/>
        <w:jc w:val="both"/>
        <w:rPr>
          <w:rFonts w:asciiTheme="minorHAnsi" w:hAnsiTheme="minorHAnsi" w:cstheme="minorHAnsi"/>
        </w:rPr>
      </w:pPr>
      <w:r w:rsidRPr="006367F8">
        <w:rPr>
          <w:rFonts w:asciiTheme="minorHAnsi" w:hAnsiTheme="minorHAnsi" w:cstheme="minorHAnsi"/>
        </w:rPr>
        <w:t>Pētījumā e</w:t>
      </w:r>
      <w:r w:rsidR="00D56F32" w:rsidRPr="006367F8">
        <w:rPr>
          <w:rFonts w:asciiTheme="minorHAnsi" w:hAnsiTheme="minorHAnsi" w:cstheme="minorHAnsi"/>
        </w:rPr>
        <w:t>kspertiem tika piedāvāti dažādi scenāriji</w:t>
      </w:r>
      <w:r w:rsidR="00682DCA" w:rsidRPr="006367F8">
        <w:rPr>
          <w:rFonts w:asciiTheme="minorHAnsi" w:hAnsiTheme="minorHAnsi" w:cstheme="minorHAnsi"/>
        </w:rPr>
        <w:t xml:space="preserve"> un e</w:t>
      </w:r>
      <w:r w:rsidR="00D56F32" w:rsidRPr="006367F8">
        <w:rPr>
          <w:rFonts w:asciiTheme="minorHAnsi" w:hAnsiTheme="minorHAnsi" w:cstheme="minorHAnsi"/>
        </w:rPr>
        <w:t xml:space="preserve">ksperti sniedza savu vērtējumu par būvniecības izmaksu izmaiņām un būvuzņēmējiem pieņemamo peļņas normu katra scenārija gadījumā </w:t>
      </w:r>
      <w:r w:rsidRPr="006367F8">
        <w:rPr>
          <w:rFonts w:asciiTheme="minorHAnsi" w:hAnsiTheme="minorHAnsi" w:cstheme="minorHAnsi"/>
        </w:rPr>
        <w:t>(</w:t>
      </w:r>
      <w:r w:rsidRPr="006367F8">
        <w:rPr>
          <w:rFonts w:asciiTheme="minorHAnsi" w:hAnsiTheme="minorHAnsi" w:cstheme="minorHAnsi"/>
        </w:rPr>
        <w:fldChar w:fldCharType="begin"/>
      </w:r>
      <w:r w:rsidRPr="006367F8">
        <w:rPr>
          <w:rFonts w:asciiTheme="minorHAnsi" w:hAnsiTheme="minorHAnsi" w:cstheme="minorHAnsi"/>
        </w:rPr>
        <w:instrText xml:space="preserve"> REF _Ref522228454 \h  \* MERGEFORMAT </w:instrText>
      </w:r>
      <w:r w:rsidRPr="006367F8">
        <w:rPr>
          <w:rFonts w:asciiTheme="minorHAnsi" w:hAnsiTheme="minorHAnsi" w:cstheme="minorHAnsi"/>
        </w:rPr>
      </w:r>
      <w:r w:rsidRPr="006367F8">
        <w:rPr>
          <w:rFonts w:asciiTheme="minorHAnsi" w:hAnsiTheme="minorHAnsi" w:cstheme="minorHAnsi"/>
        </w:rPr>
        <w:fldChar w:fldCharType="separate"/>
      </w:r>
      <w:r w:rsidRPr="006367F8">
        <w:rPr>
          <w:rFonts w:asciiTheme="minorHAnsi" w:hAnsiTheme="minorHAnsi" w:cstheme="minorHAnsi"/>
        </w:rPr>
        <w:t xml:space="preserve">Att. </w:t>
      </w:r>
      <w:r w:rsidR="00584BE1" w:rsidRPr="006367F8">
        <w:rPr>
          <w:rFonts w:asciiTheme="minorHAnsi" w:hAnsiTheme="minorHAnsi" w:cstheme="minorHAnsi"/>
          <w:noProof/>
        </w:rPr>
        <w:t>18</w:t>
      </w:r>
      <w:r w:rsidRPr="006367F8">
        <w:rPr>
          <w:rFonts w:asciiTheme="minorHAnsi" w:hAnsiTheme="minorHAnsi" w:cstheme="minorHAnsi"/>
        </w:rPr>
        <w:fldChar w:fldCharType="end"/>
      </w:r>
      <w:r w:rsidRPr="006367F8">
        <w:rPr>
          <w:rFonts w:asciiTheme="minorHAnsi" w:hAnsiTheme="minorHAnsi" w:cstheme="minorHAnsi"/>
        </w:rPr>
        <w:t>).</w:t>
      </w:r>
    </w:p>
    <w:p w14:paraId="174D72B4" w14:textId="44BE9079" w:rsidR="00E45355" w:rsidRDefault="004261CA" w:rsidP="007A5FD1">
      <w:pPr>
        <w:keepNext/>
        <w:jc w:val="center"/>
      </w:pPr>
      <w:r>
        <w:rPr>
          <w:noProof/>
          <w:lang w:val="en-US"/>
        </w:rPr>
        <w:lastRenderedPageBreak/>
        <w:drawing>
          <wp:inline distT="0" distB="0" distL="0" distR="0" wp14:anchorId="2C5AD4ED" wp14:editId="1F74D48F">
            <wp:extent cx="4695288" cy="222295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l="2058" t="2706" r="1072" b="3486"/>
                    <a:stretch/>
                  </pic:blipFill>
                  <pic:spPr bwMode="auto">
                    <a:xfrm>
                      <a:off x="0" y="0"/>
                      <a:ext cx="4721132" cy="2235195"/>
                    </a:xfrm>
                    <a:prstGeom prst="rect">
                      <a:avLst/>
                    </a:prstGeom>
                    <a:noFill/>
                    <a:ln>
                      <a:noFill/>
                    </a:ln>
                    <a:extLst>
                      <a:ext uri="{53640926-AAD7-44D8-BBD7-CCE9431645EC}">
                        <a14:shadowObscured xmlns:a14="http://schemas.microsoft.com/office/drawing/2010/main"/>
                      </a:ext>
                    </a:extLst>
                  </pic:spPr>
                </pic:pic>
              </a:graphicData>
            </a:graphic>
          </wp:inline>
        </w:drawing>
      </w:r>
    </w:p>
    <w:p w14:paraId="32CD0501" w14:textId="0CEECEFA" w:rsidR="007741A5" w:rsidRDefault="00E45355" w:rsidP="007A5FD1">
      <w:pPr>
        <w:pStyle w:val="Caption"/>
        <w:jc w:val="center"/>
      </w:pPr>
      <w:bookmarkStart w:id="41" w:name="_Ref522228454"/>
      <w:r>
        <w:t>Att.</w:t>
      </w:r>
      <w:bookmarkEnd w:id="41"/>
      <w:r w:rsidR="00584BE1">
        <w:t>18</w:t>
      </w:r>
      <w:r>
        <w:t xml:space="preserve">. Būvniecības apjoma izmaiņu scenāriju ietekmes uz būvniecības izmaiņām un pieņemamo peļņas normu vidējie </w:t>
      </w:r>
      <w:proofErr w:type="spellStart"/>
      <w:r>
        <w:t>ekspertvērtējumi</w:t>
      </w:r>
      <w:proofErr w:type="spellEnd"/>
      <w:r>
        <w:t>.</w:t>
      </w:r>
    </w:p>
    <w:p w14:paraId="75EC7883" w14:textId="5943E9BF" w:rsidR="00C678E4" w:rsidRPr="006367F8" w:rsidRDefault="00957712" w:rsidP="007A5FD1">
      <w:pPr>
        <w:rPr>
          <w:sz w:val="24"/>
          <w:szCs w:val="24"/>
        </w:rPr>
      </w:pPr>
      <w:r w:rsidRPr="006367F8">
        <w:rPr>
          <w:sz w:val="24"/>
          <w:szCs w:val="24"/>
        </w:rPr>
        <w:t>Eksperti v</w:t>
      </w:r>
      <w:r w:rsidR="00C678E4" w:rsidRPr="006367F8">
        <w:rPr>
          <w:sz w:val="24"/>
          <w:szCs w:val="24"/>
        </w:rPr>
        <w:t>ērtēj</w:t>
      </w:r>
      <w:r w:rsidRPr="006367F8">
        <w:rPr>
          <w:sz w:val="24"/>
          <w:szCs w:val="24"/>
        </w:rPr>
        <w:t>a</w:t>
      </w:r>
      <w:r w:rsidR="00C678E4" w:rsidRPr="006367F8">
        <w:rPr>
          <w:sz w:val="24"/>
          <w:szCs w:val="24"/>
        </w:rPr>
        <w:t xml:space="preserve"> būvniecības izmaksas pie negatīva scenārija, kad būvniecības produkcija samazinātos par -20% līdz -10%, </w:t>
      </w:r>
      <w:r w:rsidRPr="006367F8">
        <w:rPr>
          <w:sz w:val="24"/>
          <w:szCs w:val="24"/>
        </w:rPr>
        <w:t xml:space="preserve">un </w:t>
      </w:r>
      <w:r w:rsidR="00C678E4" w:rsidRPr="006367F8">
        <w:rPr>
          <w:sz w:val="24"/>
          <w:szCs w:val="24"/>
        </w:rPr>
        <w:t xml:space="preserve">pie visoptimistiskākā būvniecības attīstības scenārija, kas paredz +20% līdz +30% izaugsmi gadā, </w:t>
      </w:r>
      <w:r w:rsidRPr="006367F8">
        <w:rPr>
          <w:sz w:val="24"/>
          <w:szCs w:val="24"/>
        </w:rPr>
        <w:t xml:space="preserve">kad </w:t>
      </w:r>
      <w:r w:rsidR="00C678E4" w:rsidRPr="006367F8">
        <w:rPr>
          <w:sz w:val="24"/>
          <w:szCs w:val="24"/>
        </w:rPr>
        <w:t xml:space="preserve">būvniecības izmaksu izmaiņas tiek novērtētas vidēji kā </w:t>
      </w:r>
      <w:r w:rsidR="004261CA" w:rsidRPr="006367F8">
        <w:rPr>
          <w:sz w:val="24"/>
          <w:szCs w:val="24"/>
        </w:rPr>
        <w:t>11,47</w:t>
      </w:r>
      <w:r w:rsidR="00C678E4" w:rsidRPr="006367F8">
        <w:rPr>
          <w:sz w:val="24"/>
          <w:szCs w:val="24"/>
        </w:rPr>
        <w:t xml:space="preserve">%. </w:t>
      </w:r>
    </w:p>
    <w:p w14:paraId="0C694EBB" w14:textId="2ADE21EB" w:rsidR="007A5FD1" w:rsidRDefault="005E00E6" w:rsidP="007A5FD1">
      <w:pPr>
        <w:pStyle w:val="Caption"/>
        <w:keepNext/>
        <w:spacing w:after="0"/>
        <w:jc w:val="right"/>
      </w:pPr>
      <w:bookmarkStart w:id="42" w:name="_Ref522228471"/>
      <w:r>
        <w:t xml:space="preserve">Tabula </w:t>
      </w:r>
      <w:r w:rsidR="00637B4C">
        <w:rPr>
          <w:noProof/>
        </w:rPr>
        <w:fldChar w:fldCharType="begin"/>
      </w:r>
      <w:r w:rsidR="00637B4C">
        <w:rPr>
          <w:noProof/>
        </w:rPr>
        <w:instrText xml:space="preserve"> SEQ Tabula \* ARABIC </w:instrText>
      </w:r>
      <w:r w:rsidR="00637B4C">
        <w:rPr>
          <w:noProof/>
        </w:rPr>
        <w:fldChar w:fldCharType="separate"/>
      </w:r>
      <w:r w:rsidR="00584BE1">
        <w:rPr>
          <w:noProof/>
        </w:rPr>
        <w:t>6</w:t>
      </w:r>
      <w:r w:rsidR="00637B4C">
        <w:rPr>
          <w:noProof/>
        </w:rPr>
        <w:fldChar w:fldCharType="end"/>
      </w:r>
      <w:bookmarkEnd w:id="42"/>
      <w:r>
        <w:t xml:space="preserve">. </w:t>
      </w:r>
    </w:p>
    <w:p w14:paraId="3E7C46DB" w14:textId="5B07E4A7" w:rsidR="005E00E6" w:rsidRDefault="00E45355" w:rsidP="007A5FD1">
      <w:pPr>
        <w:pStyle w:val="Caption"/>
        <w:keepNext/>
        <w:spacing w:after="0"/>
        <w:jc w:val="right"/>
      </w:pPr>
      <w:r>
        <w:t>Vidējais ekspertu novērtējums par būvniecības izmaksu izmaiņām un pieņemamo peļņas normu pēc būvniecības apjoma attīstības scenārijiem</w:t>
      </w:r>
      <w:r w:rsidR="007A5FD1">
        <w:t>.</w:t>
      </w:r>
    </w:p>
    <w:tbl>
      <w:tblPr>
        <w:tblStyle w:val="GridTable1Light"/>
        <w:tblW w:w="9067" w:type="dxa"/>
        <w:tblLayout w:type="fixed"/>
        <w:tblLook w:val="04A0" w:firstRow="1" w:lastRow="0" w:firstColumn="1" w:lastColumn="0" w:noHBand="0" w:noVBand="1"/>
      </w:tblPr>
      <w:tblGrid>
        <w:gridCol w:w="3022"/>
        <w:gridCol w:w="3022"/>
        <w:gridCol w:w="3023"/>
      </w:tblGrid>
      <w:tr w:rsidR="00C678E4" w:rsidRPr="00631B24" w14:paraId="592DE5AD" w14:textId="77777777" w:rsidTr="00C678E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3022" w:type="dxa"/>
            <w:vAlign w:val="center"/>
            <w:hideMark/>
          </w:tcPr>
          <w:p w14:paraId="55E3E9EB" w14:textId="70A5DEAD" w:rsidR="00C678E4" w:rsidRPr="00631B24" w:rsidRDefault="00C678E4" w:rsidP="00C678E4">
            <w:pPr>
              <w:spacing w:line="240" w:lineRule="auto"/>
              <w:ind w:firstLine="0"/>
              <w:jc w:val="center"/>
              <w:rPr>
                <w:rFonts w:ascii="Times New Roman" w:eastAsia="Times New Roman" w:hAnsi="Times New Roman" w:cs="Times New Roman"/>
                <w:color w:val="000000"/>
                <w:lang w:eastAsia="lv-LV"/>
              </w:rPr>
            </w:pPr>
            <w:r w:rsidRPr="00631B24">
              <w:rPr>
                <w:rFonts w:ascii="Times New Roman" w:eastAsia="Times New Roman" w:hAnsi="Times New Roman" w:cs="Times New Roman"/>
                <w:color w:val="000000"/>
                <w:lang w:eastAsia="lv-LV"/>
              </w:rPr>
              <w:t>Būvniecības apjoma izmaiņu scenāriji, procentos pret iepriekšējo gadu</w:t>
            </w:r>
          </w:p>
        </w:tc>
        <w:tc>
          <w:tcPr>
            <w:tcW w:w="3022" w:type="dxa"/>
            <w:vAlign w:val="center"/>
            <w:hideMark/>
          </w:tcPr>
          <w:p w14:paraId="2C2F9771" w14:textId="51C14820" w:rsidR="00C678E4" w:rsidRPr="00631B24" w:rsidRDefault="00C678E4" w:rsidP="00C678E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631B24">
              <w:rPr>
                <w:rFonts w:ascii="Times New Roman" w:eastAsia="Times New Roman" w:hAnsi="Times New Roman" w:cs="Times New Roman"/>
                <w:color w:val="000000"/>
                <w:lang w:eastAsia="lv-LV"/>
              </w:rPr>
              <w:t>Vidējais ekspertu novērtējums būvniecības izmaksu izmaiņām,  procentos pret iepriekšējo gadu</w:t>
            </w:r>
          </w:p>
        </w:tc>
        <w:tc>
          <w:tcPr>
            <w:tcW w:w="3023" w:type="dxa"/>
            <w:vAlign w:val="center"/>
            <w:hideMark/>
          </w:tcPr>
          <w:p w14:paraId="38D186D2" w14:textId="24AE89C7" w:rsidR="00C678E4" w:rsidRPr="00631B24" w:rsidRDefault="00C678E4" w:rsidP="00C678E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631B24">
              <w:rPr>
                <w:rFonts w:ascii="Times New Roman" w:eastAsia="Times New Roman" w:hAnsi="Times New Roman" w:cs="Times New Roman"/>
                <w:color w:val="000000"/>
                <w:lang w:eastAsia="lv-LV"/>
              </w:rPr>
              <w:t>Vidējais ekspertu novērtējums peļņas normai procentos, kas būtu pieņemama Latvijas būvuzņēmējiem</w:t>
            </w:r>
          </w:p>
        </w:tc>
      </w:tr>
      <w:tr w:rsidR="004261CA" w:rsidRPr="00631B24" w14:paraId="5778ED74" w14:textId="77777777" w:rsidTr="004261CA">
        <w:trPr>
          <w:trHeight w:val="300"/>
        </w:trPr>
        <w:tc>
          <w:tcPr>
            <w:cnfStyle w:val="001000000000" w:firstRow="0" w:lastRow="0" w:firstColumn="1" w:lastColumn="0" w:oddVBand="0" w:evenVBand="0" w:oddHBand="0" w:evenHBand="0" w:firstRowFirstColumn="0" w:firstRowLastColumn="0" w:lastRowFirstColumn="0" w:lastRowLastColumn="0"/>
            <w:tcW w:w="3022" w:type="dxa"/>
            <w:noWrap/>
            <w:vAlign w:val="center"/>
            <w:hideMark/>
          </w:tcPr>
          <w:p w14:paraId="50D11150" w14:textId="77777777" w:rsidR="004261CA" w:rsidRPr="00631B24" w:rsidRDefault="004261CA" w:rsidP="004261CA">
            <w:pPr>
              <w:spacing w:line="240" w:lineRule="auto"/>
              <w:ind w:firstLine="0"/>
              <w:jc w:val="center"/>
              <w:rPr>
                <w:rFonts w:ascii="Times New Roman" w:eastAsia="Times New Roman" w:hAnsi="Times New Roman" w:cs="Times New Roman"/>
                <w:color w:val="000000"/>
                <w:lang w:eastAsia="lv-LV"/>
              </w:rPr>
            </w:pPr>
            <w:r w:rsidRPr="00631B24">
              <w:rPr>
                <w:rFonts w:ascii="Times New Roman" w:eastAsia="Times New Roman" w:hAnsi="Times New Roman" w:cs="Times New Roman"/>
                <w:color w:val="000000"/>
                <w:lang w:eastAsia="lv-LV"/>
              </w:rPr>
              <w:t>-20% līdz -10%</w:t>
            </w:r>
          </w:p>
        </w:tc>
        <w:tc>
          <w:tcPr>
            <w:tcW w:w="3022" w:type="dxa"/>
            <w:noWrap/>
            <w:vAlign w:val="center"/>
            <w:hideMark/>
          </w:tcPr>
          <w:p w14:paraId="1F256CAC" w14:textId="00639BD9" w:rsidR="004261CA" w:rsidRPr="004261CA" w:rsidRDefault="004261CA" w:rsidP="004261C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4261CA">
              <w:rPr>
                <w:rFonts w:cstheme="minorHAnsi"/>
                <w:color w:val="000000"/>
              </w:rPr>
              <w:t>-8,23</w:t>
            </w:r>
          </w:p>
        </w:tc>
        <w:tc>
          <w:tcPr>
            <w:tcW w:w="3023" w:type="dxa"/>
            <w:noWrap/>
            <w:vAlign w:val="center"/>
            <w:hideMark/>
          </w:tcPr>
          <w:p w14:paraId="79C6B775" w14:textId="5A269B76" w:rsidR="004261CA" w:rsidRPr="004261CA" w:rsidRDefault="004261CA" w:rsidP="004261C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4261CA">
              <w:rPr>
                <w:rFonts w:cstheme="minorHAnsi"/>
                <w:color w:val="000000"/>
              </w:rPr>
              <w:t>2,67</w:t>
            </w:r>
          </w:p>
        </w:tc>
      </w:tr>
      <w:tr w:rsidR="004261CA" w:rsidRPr="00631B24" w14:paraId="3FC15F19" w14:textId="77777777" w:rsidTr="004261CA">
        <w:trPr>
          <w:trHeight w:val="300"/>
        </w:trPr>
        <w:tc>
          <w:tcPr>
            <w:cnfStyle w:val="001000000000" w:firstRow="0" w:lastRow="0" w:firstColumn="1" w:lastColumn="0" w:oddVBand="0" w:evenVBand="0" w:oddHBand="0" w:evenHBand="0" w:firstRowFirstColumn="0" w:firstRowLastColumn="0" w:lastRowFirstColumn="0" w:lastRowLastColumn="0"/>
            <w:tcW w:w="3022" w:type="dxa"/>
            <w:noWrap/>
            <w:vAlign w:val="center"/>
            <w:hideMark/>
          </w:tcPr>
          <w:p w14:paraId="553A4EFC" w14:textId="77777777" w:rsidR="004261CA" w:rsidRPr="00631B24" w:rsidRDefault="004261CA" w:rsidP="004261CA">
            <w:pPr>
              <w:spacing w:line="240" w:lineRule="auto"/>
              <w:ind w:firstLine="0"/>
              <w:jc w:val="center"/>
              <w:rPr>
                <w:rFonts w:ascii="Times New Roman" w:eastAsia="Times New Roman" w:hAnsi="Times New Roman" w:cs="Times New Roman"/>
                <w:color w:val="000000"/>
                <w:lang w:eastAsia="lv-LV"/>
              </w:rPr>
            </w:pPr>
            <w:r w:rsidRPr="00631B24">
              <w:rPr>
                <w:rFonts w:ascii="Times New Roman" w:eastAsia="Times New Roman" w:hAnsi="Times New Roman" w:cs="Times New Roman"/>
                <w:color w:val="000000"/>
                <w:lang w:eastAsia="lv-LV"/>
              </w:rPr>
              <w:t>-10% līdz -0%</w:t>
            </w:r>
          </w:p>
        </w:tc>
        <w:tc>
          <w:tcPr>
            <w:tcW w:w="3022" w:type="dxa"/>
            <w:noWrap/>
            <w:vAlign w:val="center"/>
            <w:hideMark/>
          </w:tcPr>
          <w:p w14:paraId="29A27DB2" w14:textId="2B65EB4D" w:rsidR="004261CA" w:rsidRPr="004261CA" w:rsidRDefault="004261CA" w:rsidP="004261C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4261CA">
              <w:rPr>
                <w:rFonts w:cstheme="minorHAnsi"/>
                <w:color w:val="000000"/>
              </w:rPr>
              <w:t>-4,08</w:t>
            </w:r>
          </w:p>
        </w:tc>
        <w:tc>
          <w:tcPr>
            <w:tcW w:w="3023" w:type="dxa"/>
            <w:noWrap/>
            <w:vAlign w:val="center"/>
            <w:hideMark/>
          </w:tcPr>
          <w:p w14:paraId="59BCEC48" w14:textId="6ED72243" w:rsidR="004261CA" w:rsidRPr="004261CA" w:rsidRDefault="004261CA" w:rsidP="004261C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4261CA">
              <w:rPr>
                <w:rFonts w:cstheme="minorHAnsi"/>
                <w:color w:val="000000"/>
              </w:rPr>
              <w:t>5,02</w:t>
            </w:r>
          </w:p>
        </w:tc>
      </w:tr>
      <w:tr w:rsidR="004261CA" w:rsidRPr="00631B24" w14:paraId="6DAE5F17" w14:textId="77777777" w:rsidTr="004261CA">
        <w:trPr>
          <w:trHeight w:val="300"/>
        </w:trPr>
        <w:tc>
          <w:tcPr>
            <w:cnfStyle w:val="001000000000" w:firstRow="0" w:lastRow="0" w:firstColumn="1" w:lastColumn="0" w:oddVBand="0" w:evenVBand="0" w:oddHBand="0" w:evenHBand="0" w:firstRowFirstColumn="0" w:firstRowLastColumn="0" w:lastRowFirstColumn="0" w:lastRowLastColumn="0"/>
            <w:tcW w:w="3022" w:type="dxa"/>
            <w:noWrap/>
            <w:vAlign w:val="center"/>
            <w:hideMark/>
          </w:tcPr>
          <w:p w14:paraId="786A0CDB" w14:textId="77777777" w:rsidR="004261CA" w:rsidRPr="00631B24" w:rsidRDefault="004261CA" w:rsidP="004261CA">
            <w:pPr>
              <w:spacing w:line="240" w:lineRule="auto"/>
              <w:ind w:firstLine="0"/>
              <w:jc w:val="center"/>
              <w:rPr>
                <w:rFonts w:ascii="Times New Roman" w:eastAsia="Times New Roman" w:hAnsi="Times New Roman" w:cs="Times New Roman"/>
                <w:color w:val="000000"/>
                <w:lang w:eastAsia="lv-LV"/>
              </w:rPr>
            </w:pPr>
            <w:r w:rsidRPr="00631B24">
              <w:rPr>
                <w:rFonts w:ascii="Times New Roman" w:eastAsia="Times New Roman" w:hAnsi="Times New Roman" w:cs="Times New Roman"/>
                <w:color w:val="000000"/>
                <w:lang w:eastAsia="lv-LV"/>
              </w:rPr>
              <w:t>0% līdz +10%</w:t>
            </w:r>
          </w:p>
        </w:tc>
        <w:tc>
          <w:tcPr>
            <w:tcW w:w="3022" w:type="dxa"/>
            <w:noWrap/>
            <w:vAlign w:val="center"/>
            <w:hideMark/>
          </w:tcPr>
          <w:p w14:paraId="138C913A" w14:textId="33DA2DD4" w:rsidR="004261CA" w:rsidRPr="004261CA" w:rsidRDefault="004261CA" w:rsidP="004261C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4261CA">
              <w:rPr>
                <w:rFonts w:cstheme="minorHAnsi"/>
                <w:color w:val="000000"/>
              </w:rPr>
              <w:t>1,70</w:t>
            </w:r>
          </w:p>
        </w:tc>
        <w:tc>
          <w:tcPr>
            <w:tcW w:w="3023" w:type="dxa"/>
            <w:noWrap/>
            <w:vAlign w:val="center"/>
            <w:hideMark/>
          </w:tcPr>
          <w:p w14:paraId="12AC0E54" w14:textId="16D1FC51" w:rsidR="004261CA" w:rsidRPr="004261CA" w:rsidRDefault="004261CA" w:rsidP="004261C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4261CA">
              <w:rPr>
                <w:rFonts w:cstheme="minorHAnsi"/>
                <w:color w:val="000000"/>
              </w:rPr>
              <w:t>7,10</w:t>
            </w:r>
          </w:p>
        </w:tc>
      </w:tr>
      <w:tr w:rsidR="004261CA" w:rsidRPr="00631B24" w14:paraId="54BAD8AE" w14:textId="77777777" w:rsidTr="004261CA">
        <w:trPr>
          <w:trHeight w:val="300"/>
        </w:trPr>
        <w:tc>
          <w:tcPr>
            <w:cnfStyle w:val="001000000000" w:firstRow="0" w:lastRow="0" w:firstColumn="1" w:lastColumn="0" w:oddVBand="0" w:evenVBand="0" w:oddHBand="0" w:evenHBand="0" w:firstRowFirstColumn="0" w:firstRowLastColumn="0" w:lastRowFirstColumn="0" w:lastRowLastColumn="0"/>
            <w:tcW w:w="3022" w:type="dxa"/>
            <w:noWrap/>
            <w:vAlign w:val="center"/>
            <w:hideMark/>
          </w:tcPr>
          <w:p w14:paraId="5582E67F" w14:textId="77777777" w:rsidR="004261CA" w:rsidRPr="00631B24" w:rsidRDefault="004261CA" w:rsidP="004261CA">
            <w:pPr>
              <w:spacing w:line="240" w:lineRule="auto"/>
              <w:ind w:firstLine="0"/>
              <w:jc w:val="center"/>
              <w:rPr>
                <w:rFonts w:ascii="Times New Roman" w:eastAsia="Times New Roman" w:hAnsi="Times New Roman" w:cs="Times New Roman"/>
                <w:color w:val="000000"/>
                <w:lang w:eastAsia="lv-LV"/>
              </w:rPr>
            </w:pPr>
            <w:r w:rsidRPr="00631B24">
              <w:rPr>
                <w:rFonts w:ascii="Times New Roman" w:eastAsia="Times New Roman" w:hAnsi="Times New Roman" w:cs="Times New Roman"/>
                <w:color w:val="000000"/>
                <w:lang w:eastAsia="lv-LV"/>
              </w:rPr>
              <w:t>+10% līdz +20%</w:t>
            </w:r>
          </w:p>
        </w:tc>
        <w:tc>
          <w:tcPr>
            <w:tcW w:w="3022" w:type="dxa"/>
            <w:noWrap/>
            <w:vAlign w:val="center"/>
            <w:hideMark/>
          </w:tcPr>
          <w:p w14:paraId="145F88DF" w14:textId="73A45B60" w:rsidR="004261CA" w:rsidRPr="004261CA" w:rsidRDefault="004261CA" w:rsidP="004261C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4261CA">
              <w:rPr>
                <w:rFonts w:cstheme="minorHAnsi"/>
                <w:color w:val="000000"/>
              </w:rPr>
              <w:t>7,73</w:t>
            </w:r>
          </w:p>
        </w:tc>
        <w:tc>
          <w:tcPr>
            <w:tcW w:w="3023" w:type="dxa"/>
            <w:noWrap/>
            <w:vAlign w:val="center"/>
            <w:hideMark/>
          </w:tcPr>
          <w:p w14:paraId="30129A6B" w14:textId="184030F7" w:rsidR="004261CA" w:rsidRPr="004261CA" w:rsidRDefault="004261CA" w:rsidP="004261C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4261CA">
              <w:rPr>
                <w:rFonts w:cstheme="minorHAnsi"/>
                <w:color w:val="000000"/>
              </w:rPr>
              <w:t>9,04</w:t>
            </w:r>
          </w:p>
        </w:tc>
      </w:tr>
      <w:tr w:rsidR="004261CA" w:rsidRPr="00631B24" w14:paraId="4968638A" w14:textId="77777777" w:rsidTr="004261CA">
        <w:trPr>
          <w:trHeight w:val="300"/>
        </w:trPr>
        <w:tc>
          <w:tcPr>
            <w:cnfStyle w:val="001000000000" w:firstRow="0" w:lastRow="0" w:firstColumn="1" w:lastColumn="0" w:oddVBand="0" w:evenVBand="0" w:oddHBand="0" w:evenHBand="0" w:firstRowFirstColumn="0" w:firstRowLastColumn="0" w:lastRowFirstColumn="0" w:lastRowLastColumn="0"/>
            <w:tcW w:w="3022" w:type="dxa"/>
            <w:noWrap/>
            <w:vAlign w:val="center"/>
            <w:hideMark/>
          </w:tcPr>
          <w:p w14:paraId="1F1774F0" w14:textId="77777777" w:rsidR="004261CA" w:rsidRPr="00631B24" w:rsidRDefault="004261CA" w:rsidP="004261CA">
            <w:pPr>
              <w:spacing w:line="240" w:lineRule="auto"/>
              <w:ind w:firstLine="0"/>
              <w:jc w:val="center"/>
              <w:rPr>
                <w:rFonts w:ascii="Times New Roman" w:eastAsia="Times New Roman" w:hAnsi="Times New Roman" w:cs="Times New Roman"/>
                <w:color w:val="000000"/>
                <w:lang w:eastAsia="lv-LV"/>
              </w:rPr>
            </w:pPr>
            <w:r w:rsidRPr="00631B24">
              <w:rPr>
                <w:rFonts w:ascii="Times New Roman" w:eastAsia="Times New Roman" w:hAnsi="Times New Roman" w:cs="Times New Roman"/>
                <w:color w:val="000000"/>
                <w:lang w:eastAsia="lv-LV"/>
              </w:rPr>
              <w:t>+20% līdz +30%</w:t>
            </w:r>
          </w:p>
        </w:tc>
        <w:tc>
          <w:tcPr>
            <w:tcW w:w="3022" w:type="dxa"/>
            <w:noWrap/>
            <w:vAlign w:val="center"/>
            <w:hideMark/>
          </w:tcPr>
          <w:p w14:paraId="7CD02DE6" w14:textId="0CB2DDCE" w:rsidR="004261CA" w:rsidRPr="004261CA" w:rsidRDefault="004261CA" w:rsidP="004261C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4261CA">
              <w:rPr>
                <w:rFonts w:cstheme="minorHAnsi"/>
                <w:color w:val="000000"/>
              </w:rPr>
              <w:t>11,47</w:t>
            </w:r>
          </w:p>
        </w:tc>
        <w:tc>
          <w:tcPr>
            <w:tcW w:w="3023" w:type="dxa"/>
            <w:noWrap/>
            <w:vAlign w:val="center"/>
            <w:hideMark/>
          </w:tcPr>
          <w:p w14:paraId="597DC7D7" w14:textId="1BC7C68F" w:rsidR="004261CA" w:rsidRPr="004261CA" w:rsidRDefault="004261CA" w:rsidP="004261CA">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lv-LV"/>
              </w:rPr>
            </w:pPr>
            <w:r w:rsidRPr="004261CA">
              <w:rPr>
                <w:rFonts w:cstheme="minorHAnsi"/>
                <w:color w:val="000000"/>
              </w:rPr>
              <w:t>10,77</w:t>
            </w:r>
          </w:p>
        </w:tc>
      </w:tr>
    </w:tbl>
    <w:p w14:paraId="2C1D880A" w14:textId="77777777" w:rsidR="00C678E4" w:rsidRDefault="00C678E4" w:rsidP="00774A69"/>
    <w:p w14:paraId="37139C2C" w14:textId="35B45439" w:rsidR="00EE6380" w:rsidRPr="006367F8" w:rsidRDefault="00C678E4" w:rsidP="00774A69">
      <w:pPr>
        <w:rPr>
          <w:sz w:val="24"/>
          <w:szCs w:val="24"/>
        </w:rPr>
      </w:pPr>
      <w:r w:rsidRPr="006367F8">
        <w:rPr>
          <w:sz w:val="24"/>
          <w:szCs w:val="24"/>
        </w:rPr>
        <w:t>Vērtējot pieņemamo peļņas normu, visiem scenārijiem eksperti sniedza vidēji pozitīvu novērtējumu</w:t>
      </w:r>
      <w:r w:rsidR="008E56A0" w:rsidRPr="006367F8">
        <w:rPr>
          <w:sz w:val="24"/>
          <w:szCs w:val="24"/>
        </w:rPr>
        <w:t xml:space="preserve"> (</w:t>
      </w:r>
      <w:r w:rsidR="008E56A0" w:rsidRPr="006367F8">
        <w:rPr>
          <w:sz w:val="24"/>
          <w:szCs w:val="24"/>
        </w:rPr>
        <w:fldChar w:fldCharType="begin"/>
      </w:r>
      <w:r w:rsidR="008E56A0" w:rsidRPr="006367F8">
        <w:rPr>
          <w:sz w:val="24"/>
          <w:szCs w:val="24"/>
        </w:rPr>
        <w:instrText xml:space="preserve"> REF _Ref522228471 \h </w:instrText>
      </w:r>
      <w:r w:rsidR="006367F8">
        <w:rPr>
          <w:sz w:val="24"/>
          <w:szCs w:val="24"/>
        </w:rPr>
        <w:instrText xml:space="preserve"> \* MERGEFORMAT </w:instrText>
      </w:r>
      <w:r w:rsidR="008E56A0" w:rsidRPr="006367F8">
        <w:rPr>
          <w:sz w:val="24"/>
          <w:szCs w:val="24"/>
        </w:rPr>
      </w:r>
      <w:r w:rsidR="008E56A0" w:rsidRPr="006367F8">
        <w:rPr>
          <w:sz w:val="24"/>
          <w:szCs w:val="24"/>
        </w:rPr>
        <w:fldChar w:fldCharType="separate"/>
      </w:r>
      <w:r w:rsidR="00363B39" w:rsidRPr="006367F8">
        <w:rPr>
          <w:sz w:val="24"/>
          <w:szCs w:val="24"/>
        </w:rPr>
        <w:t xml:space="preserve">Tabula </w:t>
      </w:r>
      <w:r w:rsidR="00584BE1" w:rsidRPr="006367F8">
        <w:rPr>
          <w:noProof/>
          <w:sz w:val="24"/>
          <w:szCs w:val="24"/>
        </w:rPr>
        <w:t>6</w:t>
      </w:r>
      <w:r w:rsidR="008E56A0" w:rsidRPr="006367F8">
        <w:rPr>
          <w:sz w:val="24"/>
          <w:szCs w:val="24"/>
        </w:rPr>
        <w:fldChar w:fldCharType="end"/>
      </w:r>
      <w:r w:rsidR="007A5FD1" w:rsidRPr="006367F8">
        <w:rPr>
          <w:sz w:val="24"/>
          <w:szCs w:val="24"/>
        </w:rPr>
        <w:t>.</w:t>
      </w:r>
      <w:r w:rsidR="008E56A0" w:rsidRPr="006367F8">
        <w:rPr>
          <w:sz w:val="24"/>
          <w:szCs w:val="24"/>
        </w:rPr>
        <w:t>)</w:t>
      </w:r>
      <w:r w:rsidRPr="006367F8">
        <w:rPr>
          <w:sz w:val="24"/>
          <w:szCs w:val="24"/>
        </w:rPr>
        <w:t>. Pie pesimistiskākā būvniecības nozares attīstības scenārija pieņemamā peļņas norma tika novērtēta kā 2</w:t>
      </w:r>
      <w:r w:rsidR="0010785C" w:rsidRPr="006367F8">
        <w:rPr>
          <w:sz w:val="24"/>
          <w:szCs w:val="24"/>
        </w:rPr>
        <w:t>,67</w:t>
      </w:r>
      <w:r w:rsidRPr="006367F8">
        <w:rPr>
          <w:sz w:val="24"/>
          <w:szCs w:val="24"/>
        </w:rPr>
        <w:t>%, savukārt</w:t>
      </w:r>
      <w:r w:rsidR="007E40F3" w:rsidRPr="006367F8">
        <w:rPr>
          <w:sz w:val="24"/>
          <w:szCs w:val="24"/>
        </w:rPr>
        <w:t xml:space="preserve">, </w:t>
      </w:r>
      <w:r w:rsidRPr="006367F8">
        <w:rPr>
          <w:sz w:val="24"/>
          <w:szCs w:val="24"/>
        </w:rPr>
        <w:t xml:space="preserve">visoptimistiskākajā gadījumā kā </w:t>
      </w:r>
      <w:r w:rsidR="0010785C" w:rsidRPr="006367F8">
        <w:rPr>
          <w:sz w:val="24"/>
          <w:szCs w:val="24"/>
        </w:rPr>
        <w:t>10,77</w:t>
      </w:r>
      <w:r w:rsidRPr="006367F8">
        <w:rPr>
          <w:sz w:val="24"/>
          <w:szCs w:val="24"/>
        </w:rPr>
        <w:t>%. Jāatzīmē, ka šis novērtējums ir tieši pieņemamais līmenis, jo faktiski periodos, kad būvniecības nozarē bija novērojams apjomu samazinājums, arī peļņas norma mēdza būt vidēji nozarē negatīva.</w:t>
      </w:r>
    </w:p>
    <w:p w14:paraId="16832BDF" w14:textId="7A2D4DEE" w:rsidR="007741A5" w:rsidRDefault="00C678E4" w:rsidP="00774A69">
      <w:r>
        <w:t xml:space="preserve"> </w:t>
      </w:r>
    </w:p>
    <w:p w14:paraId="00144752" w14:textId="78AF5A6F" w:rsidR="00EE6380" w:rsidRPr="00EE6380" w:rsidRDefault="00EE6380" w:rsidP="00F016B1">
      <w:pPr>
        <w:pStyle w:val="Heading2"/>
        <w:numPr>
          <w:ilvl w:val="1"/>
          <w:numId w:val="1"/>
        </w:numPr>
        <w:ind w:firstLine="0"/>
      </w:pPr>
      <w:bookmarkStart w:id="43" w:name="_Toc54287921"/>
      <w:r>
        <w:t xml:space="preserve">Tautsaimniecības iespējamo pārkaršanas risku </w:t>
      </w:r>
      <w:proofErr w:type="spellStart"/>
      <w:r>
        <w:t>izvērtējums</w:t>
      </w:r>
      <w:bookmarkEnd w:id="43"/>
      <w:proofErr w:type="spellEnd"/>
      <w:r>
        <w:t xml:space="preserve"> </w:t>
      </w:r>
    </w:p>
    <w:p w14:paraId="22966EFD" w14:textId="2AE3F999" w:rsidR="00143721" w:rsidRPr="006367F8" w:rsidRDefault="00143721" w:rsidP="002B099B">
      <w:r w:rsidRPr="006367F8">
        <w:t xml:space="preserve">Lai precīzāk izvērtētu būvniecības nozares iespējamos pārkaršanas riskus, pētnieki izmantoja trīs dažādas </w:t>
      </w:r>
      <w:r w:rsidR="007F3895" w:rsidRPr="006367F8">
        <w:t xml:space="preserve">prognozēšanas </w:t>
      </w:r>
      <w:r w:rsidRPr="006367F8">
        <w:t>metodes</w:t>
      </w:r>
      <w:r w:rsidR="007F3895" w:rsidRPr="006367F8">
        <w:t>,</w:t>
      </w:r>
      <w:r w:rsidRPr="006367F8">
        <w:t xml:space="preserve"> par pamatu ņemot vēsturiskos datus</w:t>
      </w:r>
      <w:r w:rsidR="007F3895" w:rsidRPr="006367F8">
        <w:t xml:space="preserve"> un </w:t>
      </w:r>
      <w:proofErr w:type="spellStart"/>
      <w:r w:rsidR="007F3895" w:rsidRPr="006367F8">
        <w:t>ekspetrvērtējumus</w:t>
      </w:r>
      <w:proofErr w:type="spellEnd"/>
      <w:r w:rsidR="007F3895" w:rsidRPr="006367F8">
        <w:t xml:space="preserve">. Kā </w:t>
      </w:r>
      <w:r w:rsidR="007F3895" w:rsidRPr="006367F8">
        <w:lastRenderedPageBreak/>
        <w:t xml:space="preserve">viens no risku identifikatoriem,  </w:t>
      </w:r>
      <w:r w:rsidR="00246BA3">
        <w:t>t</w:t>
      </w:r>
      <w:r w:rsidR="007F3895" w:rsidRPr="006367F8">
        <w:t>ika pieņemta attiecība starp būvniecības produkcijas apjom</w:t>
      </w:r>
      <w:r w:rsidR="006367F8" w:rsidRPr="006367F8">
        <w:t>a</w:t>
      </w:r>
      <w:r w:rsidR="007F3895" w:rsidRPr="006367F8">
        <w:t xml:space="preserve"> un būvniecības izmaks</w:t>
      </w:r>
      <w:r w:rsidR="006367F8" w:rsidRPr="006367F8">
        <w:t>u izmaiņām laika periodā no 2020.-2024.gadam</w:t>
      </w:r>
      <w:r w:rsidR="007F3895" w:rsidRPr="006367F8">
        <w:t xml:space="preserve">. </w:t>
      </w:r>
    </w:p>
    <w:p w14:paraId="07782F70" w14:textId="5C82D79C" w:rsidR="002B099B" w:rsidRPr="00CB5C1E" w:rsidRDefault="002B099B" w:rsidP="002B099B">
      <w:pPr>
        <w:rPr>
          <w:b/>
          <w:bCs/>
          <w:color w:val="2F5496" w:themeColor="accent1" w:themeShade="BF"/>
        </w:rPr>
      </w:pPr>
      <w:r w:rsidRPr="00CB5C1E">
        <w:rPr>
          <w:b/>
          <w:bCs/>
          <w:color w:val="2F5496" w:themeColor="accent1" w:themeShade="BF"/>
        </w:rPr>
        <w:t xml:space="preserve">Pagātnes scenāriji ar </w:t>
      </w:r>
      <w:r w:rsidR="009F63E0" w:rsidRPr="00CB5C1E">
        <w:rPr>
          <w:b/>
          <w:bCs/>
          <w:color w:val="2F5496" w:themeColor="accent1" w:themeShade="BF"/>
        </w:rPr>
        <w:t>izmaksu/produkcijas attiecību</w:t>
      </w:r>
      <w:r w:rsidR="0005328F">
        <w:rPr>
          <w:b/>
          <w:bCs/>
          <w:color w:val="2F5496" w:themeColor="accent1" w:themeShade="BF"/>
        </w:rPr>
        <w:t xml:space="preserve"> </w:t>
      </w:r>
      <w:r w:rsidR="009F63E0" w:rsidRPr="00CB5C1E">
        <w:rPr>
          <w:b/>
          <w:bCs/>
          <w:color w:val="2F5496" w:themeColor="accent1" w:themeShade="BF"/>
        </w:rPr>
        <w:t>kritisk</w:t>
      </w:r>
      <w:r w:rsidR="0005328F">
        <w:rPr>
          <w:b/>
          <w:bCs/>
          <w:color w:val="2F5496" w:themeColor="accent1" w:themeShade="BF"/>
        </w:rPr>
        <w:t>ajos</w:t>
      </w:r>
      <w:r w:rsidR="009F63E0" w:rsidRPr="00CB5C1E">
        <w:rPr>
          <w:b/>
          <w:bCs/>
          <w:color w:val="2F5496" w:themeColor="accent1" w:themeShade="BF"/>
        </w:rPr>
        <w:t xml:space="preserve"> attīstības period</w:t>
      </w:r>
      <w:r w:rsidR="0005328F">
        <w:rPr>
          <w:b/>
          <w:bCs/>
          <w:color w:val="2F5496" w:themeColor="accent1" w:themeShade="BF"/>
        </w:rPr>
        <w:t>o</w:t>
      </w:r>
      <w:r w:rsidR="009F63E0" w:rsidRPr="00CB5C1E">
        <w:rPr>
          <w:b/>
          <w:bCs/>
          <w:color w:val="2F5496" w:themeColor="accent1" w:themeShade="BF"/>
        </w:rPr>
        <w:t>s</w:t>
      </w:r>
    </w:p>
    <w:p w14:paraId="4BC8A194" w14:textId="065B0F71" w:rsidR="00521832" w:rsidRPr="00521832" w:rsidRDefault="00507C21" w:rsidP="002B099B">
      <w:r>
        <w:t>Pētījuma ietv</w:t>
      </w:r>
      <w:r w:rsidR="00783911">
        <w:t>a</w:t>
      </w:r>
      <w:r>
        <w:t>ros</w:t>
      </w:r>
      <w:r w:rsidR="00783911">
        <w:t>,</w:t>
      </w:r>
      <w:r>
        <w:t xml:space="preserve"> </w:t>
      </w:r>
      <w:r w:rsidR="001E4070">
        <w:t>tika veikta</w:t>
      </w:r>
      <w:r>
        <w:t xml:space="preserve"> retrospekciju par būvniecības produkcijas apjomu izmaiņām un būvniecības izmaksu izmaiņām, tika aplūkots laika periods </w:t>
      </w:r>
      <w:r w:rsidR="001E4070">
        <w:t>no</w:t>
      </w:r>
      <w:r>
        <w:t xml:space="preserve"> 2006.gada</w:t>
      </w:r>
      <w:r w:rsidR="001E4070">
        <w:t xml:space="preserve">, kad bija </w:t>
      </w:r>
      <w:r>
        <w:t>būvniecības nozares burbulis un tirgus pārkaršana 2007.-2008.gadā, pēc kuras sekoja ekonomiskā lejupslīd</w:t>
      </w:r>
      <w:r w:rsidR="00575F10">
        <w:t xml:space="preserve">e un krīze ne tikai būvniecības nozarē, bet visā Latvijas </w:t>
      </w:r>
      <w:r w:rsidR="00061133">
        <w:t>tautsaimniecībā</w:t>
      </w:r>
      <w:r>
        <w:t xml:space="preserve">. </w:t>
      </w:r>
      <w:r w:rsidR="00500BDC">
        <w:t xml:space="preserve">Vadoties pēc </w:t>
      </w:r>
      <w:r w:rsidR="00783911">
        <w:t>novērojumiem</w:t>
      </w:r>
      <w:r w:rsidR="00500BDC">
        <w:t xml:space="preserve">, </w:t>
      </w:r>
      <w:r w:rsidR="00783911">
        <w:t>k</w:t>
      </w:r>
      <w:r w:rsidR="00500BDC">
        <w:t xml:space="preserve">a ekonomisko ciklu garums parasti tiek novērots 10-15 gadu mērogā, var uzskatīt, ka 2020.gads ir periods, kurš ir tuvs cikla atkārtojumam. </w:t>
      </w:r>
      <w:r w:rsidR="008453E4">
        <w:t>Atšķirībā no iepriekšējās lejupslīdes, šoreiz tautsaimniecību negatīvi ietekmēja glo</w:t>
      </w:r>
      <w:r w:rsidR="00AF4BF6">
        <w:t>bālā pandēmija un ar tās apkarošanu saistīto pasākumu izraisītās sekas.</w:t>
      </w:r>
      <w:r w:rsidR="00957F83">
        <w:t xml:space="preserve"> </w:t>
      </w:r>
    </w:p>
    <w:p w14:paraId="0A06DD56" w14:textId="1D27841B" w:rsidR="00521832" w:rsidRDefault="00521832" w:rsidP="00521832">
      <w:r w:rsidRPr="00521832">
        <w:t xml:space="preserve">Pētnieki, kā vienu no risku identifikatoriem, pieņem attiecību starp būvniecības produkciju un izmaksām. </w:t>
      </w:r>
      <w:r w:rsidRPr="00EE6380">
        <w:rPr>
          <w:b/>
          <w:bCs/>
        </w:rPr>
        <w:t>Gadījumā, ja tirgū pieaug kopējais pieprasījums pēc būvniecības produkcijas, tiek sagaidāms palielināts pieprasījums pēc darbaspēka, būvmateriāliem un citiem resursiem. Ja tirgus nespēj nodrošināt uzņēmējus ar nepieciešamajiem resursiem, iestājas situācija, kas izraisa piedāvājuma cenu pieaugumu.</w:t>
      </w:r>
      <w:r>
        <w:t xml:space="preserve"> Situācijā, ja izmaksas pieaug lēnāk, nekā produkcija, uzskatāma par normālu. Savukārt, ja izmaksu pieaugums sāk tuvoties produkciju apjoma pieaugumam vai to pat pārsniedz, tad tas var būt indikators </w:t>
      </w:r>
      <w:r w:rsidR="00D7665A">
        <w:t xml:space="preserve"> tirgus des</w:t>
      </w:r>
      <w:r w:rsidR="00A01DCA">
        <w:t>ta</w:t>
      </w:r>
      <w:r w:rsidR="00D7665A">
        <w:t>bilizācijas</w:t>
      </w:r>
      <w:r>
        <w:t xml:space="preserve"> risk</w:t>
      </w:r>
      <w:r w:rsidR="00EE6380">
        <w:t>iem</w:t>
      </w:r>
      <w:r>
        <w:t xml:space="preserve">. </w:t>
      </w:r>
    </w:p>
    <w:p w14:paraId="38512E49" w14:textId="4465DA2C" w:rsidR="00413BD9" w:rsidRDefault="00413BD9" w:rsidP="002B099B"/>
    <w:p w14:paraId="77DEC373" w14:textId="54911841" w:rsidR="00957F83" w:rsidRDefault="00801210" w:rsidP="00D66EAE">
      <w:pPr>
        <w:jc w:val="center"/>
      </w:pPr>
      <w:r>
        <w:rPr>
          <w:noProof/>
        </w:rPr>
        <w:drawing>
          <wp:inline distT="0" distB="0" distL="0" distR="0" wp14:anchorId="54CFB263" wp14:editId="58A6ADD5">
            <wp:extent cx="4707648" cy="2392424"/>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l="3535" t="941" r="3035" b="4330"/>
                    <a:stretch/>
                  </pic:blipFill>
                  <pic:spPr bwMode="auto">
                    <a:xfrm>
                      <a:off x="0" y="0"/>
                      <a:ext cx="4708874" cy="2393047"/>
                    </a:xfrm>
                    <a:prstGeom prst="rect">
                      <a:avLst/>
                    </a:prstGeom>
                    <a:noFill/>
                    <a:ln>
                      <a:noFill/>
                    </a:ln>
                    <a:extLst>
                      <a:ext uri="{53640926-AAD7-44D8-BBD7-CCE9431645EC}">
                        <a14:shadowObscured xmlns:a14="http://schemas.microsoft.com/office/drawing/2010/main"/>
                      </a:ext>
                    </a:extLst>
                  </pic:spPr>
                </pic:pic>
              </a:graphicData>
            </a:graphic>
          </wp:inline>
        </w:drawing>
      </w:r>
    </w:p>
    <w:p w14:paraId="0D799230" w14:textId="2E3ACE6B" w:rsidR="006B4954" w:rsidRDefault="006B4954" w:rsidP="00783911">
      <w:pPr>
        <w:pStyle w:val="Caption"/>
        <w:jc w:val="center"/>
      </w:pPr>
      <w:r>
        <w:t xml:space="preserve">Att. </w:t>
      </w:r>
      <w:r w:rsidR="00584BE1">
        <w:t>19</w:t>
      </w:r>
      <w:r>
        <w:t xml:space="preserve">. Būvniecības izmaksu izmaiņu un produkcijas apjoma </w:t>
      </w:r>
      <w:r w:rsidR="00342579">
        <w:t>at</w:t>
      </w:r>
      <w:r>
        <w:t>t</w:t>
      </w:r>
      <w:r w:rsidR="00342579">
        <w:t>i</w:t>
      </w:r>
      <w:r>
        <w:t>ecība 2006.-2019.gadā</w:t>
      </w:r>
      <w:r w:rsidR="00397964">
        <w:t xml:space="preserve"> un to prognoze 2020.-2024.gadam</w:t>
      </w:r>
      <w:r>
        <w:t xml:space="preserve"> un kritiskās robežas pārkāršanas riskam.</w:t>
      </w:r>
    </w:p>
    <w:p w14:paraId="7560FF06" w14:textId="68C2AF42" w:rsidR="006F5FBD" w:rsidRPr="006367F8" w:rsidRDefault="00642D0D" w:rsidP="002B099B">
      <w:pPr>
        <w:rPr>
          <w:sz w:val="24"/>
          <w:szCs w:val="24"/>
        </w:rPr>
      </w:pPr>
      <w:r w:rsidRPr="006367F8">
        <w:rPr>
          <w:sz w:val="24"/>
          <w:szCs w:val="24"/>
        </w:rPr>
        <w:t>Pētnieki pamatojoties uz statistikas datiem par l</w:t>
      </w:r>
      <w:r w:rsidR="00341B8B" w:rsidRPr="006367F8">
        <w:rPr>
          <w:sz w:val="24"/>
          <w:szCs w:val="24"/>
        </w:rPr>
        <w:t>aika period</w:t>
      </w:r>
      <w:r w:rsidRPr="006367F8">
        <w:rPr>
          <w:sz w:val="24"/>
          <w:szCs w:val="24"/>
        </w:rPr>
        <w:t>u</w:t>
      </w:r>
      <w:r w:rsidR="00341B8B" w:rsidRPr="006367F8">
        <w:rPr>
          <w:sz w:val="24"/>
          <w:szCs w:val="24"/>
        </w:rPr>
        <w:t xml:space="preserve"> 2006.-2019.gad</w:t>
      </w:r>
      <w:r w:rsidRPr="006367F8">
        <w:rPr>
          <w:sz w:val="24"/>
          <w:szCs w:val="24"/>
        </w:rPr>
        <w:t xml:space="preserve">am, </w:t>
      </w:r>
      <w:r w:rsidR="00341B8B" w:rsidRPr="006367F8">
        <w:rPr>
          <w:sz w:val="24"/>
          <w:szCs w:val="24"/>
        </w:rPr>
        <w:t>notei</w:t>
      </w:r>
      <w:r w:rsidRPr="006367F8">
        <w:rPr>
          <w:sz w:val="24"/>
          <w:szCs w:val="24"/>
        </w:rPr>
        <w:t>ca</w:t>
      </w:r>
      <w:r w:rsidR="00341B8B" w:rsidRPr="006367F8">
        <w:rPr>
          <w:sz w:val="24"/>
          <w:szCs w:val="24"/>
        </w:rPr>
        <w:t xml:space="preserve"> </w:t>
      </w:r>
      <w:r w:rsidR="006A1224" w:rsidRPr="006367F8">
        <w:rPr>
          <w:sz w:val="24"/>
          <w:szCs w:val="24"/>
        </w:rPr>
        <w:t>kritisk</w:t>
      </w:r>
      <w:r w:rsidRPr="006367F8">
        <w:rPr>
          <w:sz w:val="24"/>
          <w:szCs w:val="24"/>
        </w:rPr>
        <w:t>o</w:t>
      </w:r>
      <w:r w:rsidR="006A1224" w:rsidRPr="006367F8">
        <w:rPr>
          <w:sz w:val="24"/>
          <w:szCs w:val="24"/>
        </w:rPr>
        <w:t xml:space="preserve"> robež</w:t>
      </w:r>
      <w:r w:rsidRPr="006367F8">
        <w:rPr>
          <w:sz w:val="24"/>
          <w:szCs w:val="24"/>
        </w:rPr>
        <w:t>u</w:t>
      </w:r>
      <w:r w:rsidR="003C3173" w:rsidRPr="006367F8">
        <w:rPr>
          <w:sz w:val="24"/>
          <w:szCs w:val="24"/>
        </w:rPr>
        <w:t xml:space="preserve">, kas liecina par </w:t>
      </w:r>
      <w:r w:rsidR="00F4084A" w:rsidRPr="006367F8">
        <w:rPr>
          <w:sz w:val="24"/>
          <w:szCs w:val="24"/>
        </w:rPr>
        <w:t xml:space="preserve">iespējami neadekvātu būvniecības izmaksu pieaugumu </w:t>
      </w:r>
      <w:r w:rsidR="003C3173" w:rsidRPr="006367F8">
        <w:rPr>
          <w:sz w:val="24"/>
          <w:szCs w:val="24"/>
        </w:rPr>
        <w:t xml:space="preserve">un </w:t>
      </w:r>
      <w:r w:rsidR="00B90FF8" w:rsidRPr="006367F8">
        <w:rPr>
          <w:sz w:val="24"/>
          <w:szCs w:val="24"/>
        </w:rPr>
        <w:t>kombinējot to ar ekspertu sniegtajām prognozēm</w:t>
      </w:r>
      <w:r w:rsidR="00143721" w:rsidRPr="006367F8">
        <w:rPr>
          <w:sz w:val="24"/>
          <w:szCs w:val="24"/>
        </w:rPr>
        <w:t>,</w:t>
      </w:r>
      <w:r w:rsidR="00B90FF8" w:rsidRPr="006367F8">
        <w:rPr>
          <w:sz w:val="24"/>
          <w:szCs w:val="24"/>
        </w:rPr>
        <w:t xml:space="preserve"> prognozēja iespējamos būvniecības nozares</w:t>
      </w:r>
      <w:r w:rsidR="00F4084A" w:rsidRPr="006367F8">
        <w:rPr>
          <w:sz w:val="24"/>
          <w:szCs w:val="24"/>
        </w:rPr>
        <w:t xml:space="preserve"> attīstības traucējumus</w:t>
      </w:r>
      <w:r w:rsidR="006367F8">
        <w:rPr>
          <w:sz w:val="24"/>
          <w:szCs w:val="24"/>
        </w:rPr>
        <w:t xml:space="preserve"> </w:t>
      </w:r>
      <w:r w:rsidR="006367F8" w:rsidRPr="00490706">
        <w:rPr>
          <w:rFonts w:cstheme="minorHAnsi"/>
          <w:sz w:val="24"/>
          <w:szCs w:val="24"/>
        </w:rPr>
        <w:t>(</w:t>
      </w:r>
      <w:r w:rsidR="006367F8" w:rsidRPr="00490706">
        <w:rPr>
          <w:rFonts w:cstheme="minorHAnsi"/>
          <w:sz w:val="24"/>
          <w:szCs w:val="24"/>
        </w:rPr>
        <w:fldChar w:fldCharType="begin"/>
      </w:r>
      <w:r w:rsidR="006367F8" w:rsidRPr="00490706">
        <w:rPr>
          <w:rFonts w:cstheme="minorHAnsi"/>
          <w:sz w:val="24"/>
          <w:szCs w:val="24"/>
        </w:rPr>
        <w:instrText xml:space="preserve"> REF _Ref522228417 \h  \* MERGEFORMAT </w:instrText>
      </w:r>
      <w:r w:rsidR="006367F8" w:rsidRPr="00490706">
        <w:rPr>
          <w:rFonts w:cstheme="minorHAnsi"/>
          <w:sz w:val="24"/>
          <w:szCs w:val="24"/>
        </w:rPr>
      </w:r>
      <w:r w:rsidR="006367F8" w:rsidRPr="00490706">
        <w:rPr>
          <w:rFonts w:cstheme="minorHAnsi"/>
          <w:sz w:val="24"/>
          <w:szCs w:val="24"/>
        </w:rPr>
        <w:fldChar w:fldCharType="separate"/>
      </w:r>
      <w:r w:rsidR="006367F8" w:rsidRPr="00490706">
        <w:rPr>
          <w:rFonts w:cstheme="minorHAnsi"/>
        </w:rPr>
        <w:t>Att</w:t>
      </w:r>
      <w:r w:rsidR="006367F8" w:rsidRPr="00490706">
        <w:rPr>
          <w:rFonts w:cstheme="minorHAnsi"/>
          <w:sz w:val="24"/>
          <w:szCs w:val="24"/>
        </w:rPr>
        <w:t>.</w:t>
      </w:r>
      <w:r w:rsidR="006367F8" w:rsidRPr="00490706">
        <w:rPr>
          <w:rFonts w:cstheme="minorHAnsi"/>
        </w:rPr>
        <w:t>1</w:t>
      </w:r>
      <w:r w:rsidR="006367F8">
        <w:rPr>
          <w:rFonts w:cstheme="minorHAnsi"/>
        </w:rPr>
        <w:t>9</w:t>
      </w:r>
      <w:r w:rsidR="006367F8" w:rsidRPr="00490706">
        <w:rPr>
          <w:rFonts w:cstheme="minorHAnsi"/>
          <w:sz w:val="24"/>
          <w:szCs w:val="24"/>
        </w:rPr>
        <w:t>.</w:t>
      </w:r>
      <w:r w:rsidR="006367F8" w:rsidRPr="00490706">
        <w:rPr>
          <w:rFonts w:cstheme="minorHAnsi"/>
          <w:sz w:val="24"/>
          <w:szCs w:val="24"/>
        </w:rPr>
        <w:fldChar w:fldCharType="end"/>
      </w:r>
      <w:r w:rsidR="006367F8" w:rsidRPr="00490706">
        <w:rPr>
          <w:rFonts w:cstheme="minorHAnsi"/>
          <w:sz w:val="24"/>
          <w:szCs w:val="24"/>
        </w:rPr>
        <w:t>)</w:t>
      </w:r>
      <w:r w:rsidR="00F4084A" w:rsidRPr="006367F8">
        <w:rPr>
          <w:sz w:val="24"/>
          <w:szCs w:val="24"/>
        </w:rPr>
        <w:t>.</w:t>
      </w:r>
      <w:r w:rsidR="00B90FF8" w:rsidRPr="006367F8">
        <w:rPr>
          <w:sz w:val="24"/>
          <w:szCs w:val="24"/>
        </w:rPr>
        <w:t xml:space="preserve"> </w:t>
      </w:r>
    </w:p>
    <w:p w14:paraId="606B0072" w14:textId="7B0775FF" w:rsidR="00856626" w:rsidRPr="006367F8" w:rsidRDefault="00D62A31" w:rsidP="00856626">
      <w:pPr>
        <w:rPr>
          <w:b/>
          <w:bCs/>
          <w:sz w:val="24"/>
          <w:szCs w:val="24"/>
        </w:rPr>
      </w:pPr>
      <w:r w:rsidRPr="006367F8">
        <w:rPr>
          <w:sz w:val="24"/>
          <w:szCs w:val="24"/>
        </w:rPr>
        <w:t xml:space="preserve">Ņemot vērā to, ka </w:t>
      </w:r>
      <w:r w:rsidR="00856626" w:rsidRPr="006367F8">
        <w:rPr>
          <w:sz w:val="24"/>
          <w:szCs w:val="24"/>
        </w:rPr>
        <w:t xml:space="preserve">šī </w:t>
      </w:r>
      <w:r w:rsidRPr="006367F8">
        <w:rPr>
          <w:sz w:val="24"/>
          <w:szCs w:val="24"/>
        </w:rPr>
        <w:t xml:space="preserve">prognoze </w:t>
      </w:r>
      <w:r w:rsidR="00856626" w:rsidRPr="006367F8">
        <w:rPr>
          <w:sz w:val="24"/>
          <w:szCs w:val="24"/>
        </w:rPr>
        <w:t>tika balstīta</w:t>
      </w:r>
      <w:r w:rsidRPr="006367F8">
        <w:rPr>
          <w:sz w:val="24"/>
          <w:szCs w:val="24"/>
        </w:rPr>
        <w:t xml:space="preserve"> uz ekspertu prognozi, </w:t>
      </w:r>
      <w:r w:rsidR="006B2D17" w:rsidRPr="006367F8">
        <w:rPr>
          <w:sz w:val="24"/>
          <w:szCs w:val="24"/>
        </w:rPr>
        <w:t>p</w:t>
      </w:r>
      <w:r w:rsidR="0074462F" w:rsidRPr="006367F8">
        <w:rPr>
          <w:sz w:val="24"/>
          <w:szCs w:val="24"/>
        </w:rPr>
        <w:t>astāv iespēja, ka ekspertu sniegtās prognozes bija pārāk zemas</w:t>
      </w:r>
      <w:r w:rsidR="006B2D17" w:rsidRPr="006367F8">
        <w:rPr>
          <w:sz w:val="24"/>
          <w:szCs w:val="24"/>
        </w:rPr>
        <w:t>, l</w:t>
      </w:r>
      <w:r w:rsidR="0074462F" w:rsidRPr="006367F8">
        <w:rPr>
          <w:sz w:val="24"/>
          <w:szCs w:val="24"/>
        </w:rPr>
        <w:t xml:space="preserve">īdz ar to tika izmantoti ekspertu sniegtie </w:t>
      </w:r>
      <w:r w:rsidR="0074462F" w:rsidRPr="006367F8">
        <w:rPr>
          <w:sz w:val="24"/>
          <w:szCs w:val="24"/>
        </w:rPr>
        <w:lastRenderedPageBreak/>
        <w:t xml:space="preserve">hipotētiskie scenāriji, kas </w:t>
      </w:r>
      <w:r w:rsidR="00856626" w:rsidRPr="006367F8">
        <w:rPr>
          <w:sz w:val="24"/>
          <w:szCs w:val="24"/>
        </w:rPr>
        <w:t xml:space="preserve">nebija </w:t>
      </w:r>
      <w:r w:rsidR="0074462F" w:rsidRPr="006367F8">
        <w:rPr>
          <w:sz w:val="24"/>
          <w:szCs w:val="24"/>
        </w:rPr>
        <w:t xml:space="preserve">piesaistīti </w:t>
      </w:r>
      <w:r w:rsidR="00C23EDD" w:rsidRPr="006367F8">
        <w:rPr>
          <w:sz w:val="24"/>
          <w:szCs w:val="24"/>
        </w:rPr>
        <w:t>prognozējamajam periodam</w:t>
      </w:r>
      <w:r w:rsidR="006B2D17" w:rsidRPr="006367F8">
        <w:rPr>
          <w:sz w:val="24"/>
          <w:szCs w:val="24"/>
        </w:rPr>
        <w:t xml:space="preserve"> p</w:t>
      </w:r>
      <w:r w:rsidR="00736AD0" w:rsidRPr="006367F8">
        <w:rPr>
          <w:sz w:val="24"/>
          <w:szCs w:val="24"/>
        </w:rPr>
        <w:t>ie dažādiem būvniecības produkcijas apjomu scenārijiem</w:t>
      </w:r>
      <w:r w:rsidR="006367F8">
        <w:rPr>
          <w:sz w:val="24"/>
          <w:szCs w:val="24"/>
        </w:rPr>
        <w:t xml:space="preserve"> </w:t>
      </w:r>
      <w:r w:rsidR="006367F8" w:rsidRPr="00490706">
        <w:rPr>
          <w:rFonts w:cstheme="minorHAnsi"/>
          <w:sz w:val="24"/>
          <w:szCs w:val="24"/>
        </w:rPr>
        <w:t>(</w:t>
      </w:r>
      <w:r w:rsidR="006367F8" w:rsidRPr="00490706">
        <w:rPr>
          <w:rFonts w:cstheme="minorHAnsi"/>
          <w:sz w:val="24"/>
          <w:szCs w:val="24"/>
        </w:rPr>
        <w:fldChar w:fldCharType="begin"/>
      </w:r>
      <w:r w:rsidR="006367F8" w:rsidRPr="00490706">
        <w:rPr>
          <w:rFonts w:cstheme="minorHAnsi"/>
          <w:sz w:val="24"/>
          <w:szCs w:val="24"/>
        </w:rPr>
        <w:instrText xml:space="preserve"> REF _Ref522228417 \h  \* MERGEFORMAT </w:instrText>
      </w:r>
      <w:r w:rsidR="006367F8" w:rsidRPr="00490706">
        <w:rPr>
          <w:rFonts w:cstheme="minorHAnsi"/>
          <w:sz w:val="24"/>
          <w:szCs w:val="24"/>
        </w:rPr>
      </w:r>
      <w:r w:rsidR="006367F8" w:rsidRPr="00490706">
        <w:rPr>
          <w:rFonts w:cstheme="minorHAnsi"/>
          <w:sz w:val="24"/>
          <w:szCs w:val="24"/>
        </w:rPr>
        <w:fldChar w:fldCharType="separate"/>
      </w:r>
      <w:r w:rsidR="006367F8" w:rsidRPr="00490706">
        <w:rPr>
          <w:rFonts w:cstheme="minorHAnsi"/>
        </w:rPr>
        <w:t>Att</w:t>
      </w:r>
      <w:r w:rsidR="006367F8" w:rsidRPr="00490706">
        <w:rPr>
          <w:rFonts w:cstheme="minorHAnsi"/>
          <w:sz w:val="24"/>
          <w:szCs w:val="24"/>
        </w:rPr>
        <w:t>.</w:t>
      </w:r>
      <w:r w:rsidR="006367F8">
        <w:rPr>
          <w:rFonts w:cstheme="minorHAnsi"/>
        </w:rPr>
        <w:t>20</w:t>
      </w:r>
      <w:r w:rsidR="006367F8" w:rsidRPr="00490706">
        <w:rPr>
          <w:rFonts w:cstheme="minorHAnsi"/>
          <w:sz w:val="24"/>
          <w:szCs w:val="24"/>
        </w:rPr>
        <w:t>.</w:t>
      </w:r>
      <w:r w:rsidR="006367F8" w:rsidRPr="00490706">
        <w:rPr>
          <w:rFonts w:cstheme="minorHAnsi"/>
          <w:sz w:val="24"/>
          <w:szCs w:val="24"/>
        </w:rPr>
        <w:fldChar w:fldCharType="end"/>
      </w:r>
      <w:r w:rsidR="006367F8" w:rsidRPr="00490706">
        <w:rPr>
          <w:rFonts w:cstheme="minorHAnsi"/>
          <w:sz w:val="24"/>
          <w:szCs w:val="24"/>
        </w:rPr>
        <w:t>)</w:t>
      </w:r>
      <w:r w:rsidR="006B2D17" w:rsidRPr="006367F8">
        <w:rPr>
          <w:sz w:val="24"/>
          <w:szCs w:val="24"/>
        </w:rPr>
        <w:t>.</w:t>
      </w:r>
      <w:r w:rsidR="00736AD0" w:rsidRPr="006367F8">
        <w:rPr>
          <w:sz w:val="24"/>
          <w:szCs w:val="24"/>
        </w:rPr>
        <w:t xml:space="preserve"> </w:t>
      </w:r>
    </w:p>
    <w:p w14:paraId="2D1388E6" w14:textId="34B0D7C2" w:rsidR="005B1C28" w:rsidRDefault="00D41453" w:rsidP="002B099B">
      <w:r>
        <w:rPr>
          <w:noProof/>
          <w:lang w:val="en-US"/>
        </w:rPr>
        <w:drawing>
          <wp:inline distT="0" distB="0" distL="0" distR="0" wp14:anchorId="1D64445E" wp14:editId="26DEEA33">
            <wp:extent cx="4483100" cy="2139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
                      <a:extLst>
                        <a:ext uri="{28A0092B-C50C-407E-A947-70E740481C1C}">
                          <a14:useLocalDpi xmlns:a14="http://schemas.microsoft.com/office/drawing/2010/main" val="0"/>
                        </a:ext>
                      </a:extLst>
                    </a:blip>
                    <a:srcRect l="2450" t="1948" r="1483" b="4255"/>
                    <a:stretch/>
                  </pic:blipFill>
                  <pic:spPr bwMode="auto">
                    <a:xfrm>
                      <a:off x="0" y="0"/>
                      <a:ext cx="4489951" cy="2143220"/>
                    </a:xfrm>
                    <a:prstGeom prst="rect">
                      <a:avLst/>
                    </a:prstGeom>
                    <a:noFill/>
                    <a:ln>
                      <a:noFill/>
                    </a:ln>
                    <a:extLst>
                      <a:ext uri="{53640926-AAD7-44D8-BBD7-CCE9431645EC}">
                        <a14:shadowObscured xmlns:a14="http://schemas.microsoft.com/office/drawing/2010/main"/>
                      </a:ext>
                    </a:extLst>
                  </pic:spPr>
                </pic:pic>
              </a:graphicData>
            </a:graphic>
          </wp:inline>
        </w:drawing>
      </w:r>
    </w:p>
    <w:p w14:paraId="04AE111E" w14:textId="24EA2182" w:rsidR="00D41453" w:rsidRDefault="00D41453" w:rsidP="00D41453">
      <w:pPr>
        <w:pStyle w:val="Caption"/>
      </w:pPr>
      <w:r>
        <w:t xml:space="preserve">Att. </w:t>
      </w:r>
      <w:r>
        <w:rPr>
          <w:noProof/>
        </w:rPr>
        <w:fldChar w:fldCharType="begin"/>
      </w:r>
      <w:r>
        <w:rPr>
          <w:noProof/>
        </w:rPr>
        <w:instrText xml:space="preserve"> SEQ Att. \* ARABIC </w:instrText>
      </w:r>
      <w:r>
        <w:rPr>
          <w:noProof/>
        </w:rPr>
        <w:fldChar w:fldCharType="separate"/>
      </w:r>
      <w:r w:rsidR="00363B39">
        <w:rPr>
          <w:noProof/>
        </w:rPr>
        <w:t>2</w:t>
      </w:r>
      <w:r>
        <w:rPr>
          <w:noProof/>
        </w:rPr>
        <w:fldChar w:fldCharType="end"/>
      </w:r>
      <w:r w:rsidR="00584BE1">
        <w:rPr>
          <w:noProof/>
        </w:rPr>
        <w:t>0</w:t>
      </w:r>
      <w:r>
        <w:t xml:space="preserve">. Būvniecības izmaksu izmaiņu un produkcijas apjoma </w:t>
      </w:r>
      <w:r w:rsidR="00EE4A63">
        <w:t xml:space="preserve">attiecības pēc ekspertu </w:t>
      </w:r>
      <w:r w:rsidR="00061133">
        <w:t>scenāriju</w:t>
      </w:r>
      <w:r w:rsidR="00EE4A63">
        <w:t xml:space="preserve"> novērtējuma</w:t>
      </w:r>
      <w:r>
        <w:t>.</w:t>
      </w:r>
    </w:p>
    <w:p w14:paraId="7514D4C8" w14:textId="748990BF" w:rsidR="00D41453" w:rsidRPr="006367F8" w:rsidRDefault="009A218B" w:rsidP="00D41453">
      <w:pPr>
        <w:rPr>
          <w:b/>
          <w:bCs/>
          <w:sz w:val="24"/>
          <w:szCs w:val="24"/>
        </w:rPr>
      </w:pPr>
      <w:r w:rsidRPr="006367F8">
        <w:rPr>
          <w:sz w:val="24"/>
          <w:szCs w:val="24"/>
        </w:rPr>
        <w:t xml:space="preserve">Iepriekšējās krīzes gados būvniecības nozares pārkāršanu pavadīja </w:t>
      </w:r>
      <w:r w:rsidR="00E926DF" w:rsidRPr="006367F8">
        <w:rPr>
          <w:sz w:val="24"/>
          <w:szCs w:val="24"/>
        </w:rPr>
        <w:t>būvniecības izmaksu pieaugums virs 20%</w:t>
      </w:r>
      <w:r w:rsidR="00856626" w:rsidRPr="006367F8">
        <w:rPr>
          <w:sz w:val="24"/>
          <w:szCs w:val="24"/>
        </w:rPr>
        <w:t xml:space="preserve">. </w:t>
      </w:r>
      <w:r w:rsidR="00E926DF" w:rsidRPr="006367F8">
        <w:rPr>
          <w:sz w:val="24"/>
          <w:szCs w:val="24"/>
        </w:rPr>
        <w:t xml:space="preserve">Pēc </w:t>
      </w:r>
      <w:proofErr w:type="spellStart"/>
      <w:r w:rsidR="00856626" w:rsidRPr="006367F8">
        <w:rPr>
          <w:sz w:val="24"/>
          <w:szCs w:val="24"/>
        </w:rPr>
        <w:t>ekspertvērtējuma</w:t>
      </w:r>
      <w:proofErr w:type="spellEnd"/>
      <w:r w:rsidR="00143721" w:rsidRPr="006367F8">
        <w:rPr>
          <w:sz w:val="24"/>
          <w:szCs w:val="24"/>
        </w:rPr>
        <w:t>,</w:t>
      </w:r>
      <w:r w:rsidR="00856626" w:rsidRPr="006367F8">
        <w:rPr>
          <w:sz w:val="24"/>
          <w:szCs w:val="24"/>
        </w:rPr>
        <w:t xml:space="preserve"> </w:t>
      </w:r>
      <w:r w:rsidR="00E926DF" w:rsidRPr="006367F8">
        <w:rPr>
          <w:sz w:val="24"/>
          <w:szCs w:val="24"/>
        </w:rPr>
        <w:t xml:space="preserve">kura standartnovirzes apgabals pārsniedz šo robežu, ir pie būvniecības apjoma izmaiņām straujākām par 20% pret iepriekšējo gadu. </w:t>
      </w:r>
      <w:r w:rsidR="00E926DF" w:rsidRPr="006367F8">
        <w:rPr>
          <w:b/>
          <w:bCs/>
          <w:sz w:val="24"/>
          <w:szCs w:val="24"/>
        </w:rPr>
        <w:t xml:space="preserve">Līdz ar to </w:t>
      </w:r>
      <w:r w:rsidR="000A340E" w:rsidRPr="006367F8">
        <w:rPr>
          <w:b/>
          <w:bCs/>
          <w:sz w:val="24"/>
          <w:szCs w:val="24"/>
        </w:rPr>
        <w:t>pēc šādas pieejas 2020.-2024.gad</w:t>
      </w:r>
      <w:r w:rsidR="00143721" w:rsidRPr="006367F8">
        <w:rPr>
          <w:b/>
          <w:bCs/>
          <w:sz w:val="24"/>
          <w:szCs w:val="24"/>
        </w:rPr>
        <w:t>os</w:t>
      </w:r>
      <w:r w:rsidR="000A340E" w:rsidRPr="006367F8">
        <w:rPr>
          <w:b/>
          <w:bCs/>
          <w:sz w:val="24"/>
          <w:szCs w:val="24"/>
        </w:rPr>
        <w:t xml:space="preserve"> ir zems pārkāršanas risks. </w:t>
      </w:r>
    </w:p>
    <w:p w14:paraId="2FC41031" w14:textId="38DAAD9A" w:rsidR="00981B93" w:rsidRPr="006367F8" w:rsidRDefault="006D001B" w:rsidP="00981B93">
      <w:pPr>
        <w:rPr>
          <w:sz w:val="24"/>
          <w:szCs w:val="24"/>
        </w:rPr>
      </w:pPr>
      <w:r w:rsidRPr="006367F8">
        <w:rPr>
          <w:sz w:val="24"/>
          <w:szCs w:val="24"/>
        </w:rPr>
        <w:t xml:space="preserve">Papildus </w:t>
      </w:r>
      <w:r w:rsidR="006B2D17" w:rsidRPr="006367F8">
        <w:rPr>
          <w:sz w:val="24"/>
          <w:szCs w:val="24"/>
        </w:rPr>
        <w:t>Pētnieki, veica</w:t>
      </w:r>
      <w:r w:rsidR="00B0011C" w:rsidRPr="006367F8">
        <w:rPr>
          <w:sz w:val="24"/>
          <w:szCs w:val="24"/>
        </w:rPr>
        <w:t xml:space="preserve"> būvniecības nozares pārkaršanas iespējamības simulāciju</w:t>
      </w:r>
      <w:r w:rsidR="006B2D17" w:rsidRPr="006367F8">
        <w:rPr>
          <w:sz w:val="24"/>
          <w:szCs w:val="24"/>
        </w:rPr>
        <w:t xml:space="preserve">. Kā </w:t>
      </w:r>
      <w:r w:rsidR="00DF1F5B" w:rsidRPr="006367F8">
        <w:rPr>
          <w:sz w:val="24"/>
          <w:szCs w:val="24"/>
        </w:rPr>
        <w:t xml:space="preserve">teorētiskais ietvars </w:t>
      </w:r>
      <w:r w:rsidR="006B2D17" w:rsidRPr="006367F8">
        <w:rPr>
          <w:sz w:val="24"/>
          <w:szCs w:val="24"/>
        </w:rPr>
        <w:t>tika izmantots</w:t>
      </w:r>
      <w:r w:rsidR="00DF1F5B" w:rsidRPr="006367F8">
        <w:rPr>
          <w:sz w:val="24"/>
          <w:szCs w:val="24"/>
        </w:rPr>
        <w:t xml:space="preserve"> pieņēmums, ka tirgus pārkaršanu izraisa izmaksu straujāks augšanas temps nekā produkcijas augšanas temps</w:t>
      </w:r>
      <w:r w:rsidRPr="006367F8">
        <w:rPr>
          <w:sz w:val="24"/>
          <w:szCs w:val="24"/>
        </w:rPr>
        <w:t xml:space="preserve">. </w:t>
      </w:r>
      <w:r w:rsidR="00981B93" w:rsidRPr="006367F8">
        <w:rPr>
          <w:b/>
          <w:bCs/>
          <w:sz w:val="24"/>
          <w:szCs w:val="24"/>
        </w:rPr>
        <w:t>Simulācijā var novērot, ka paaugstināts risks nonākt ekonomikas pārkaršanas zonā ir 2024.gadā.</w:t>
      </w:r>
      <w:r w:rsidR="00981B93" w:rsidRPr="006367F8">
        <w:rPr>
          <w:sz w:val="24"/>
          <w:szCs w:val="24"/>
        </w:rPr>
        <w:t xml:space="preserve"> </w:t>
      </w:r>
      <w:r w:rsidR="00981B93" w:rsidRPr="006367F8">
        <w:rPr>
          <w:b/>
          <w:bCs/>
          <w:sz w:val="24"/>
          <w:szCs w:val="24"/>
        </w:rPr>
        <w:t xml:space="preserve">Parējos gados, kas tika prognozēti, situācija </w:t>
      </w:r>
      <w:r w:rsidR="00134253">
        <w:rPr>
          <w:b/>
          <w:bCs/>
          <w:sz w:val="24"/>
          <w:szCs w:val="24"/>
        </w:rPr>
        <w:t>tuvojas</w:t>
      </w:r>
      <w:r w:rsidR="00981B93" w:rsidRPr="006367F8">
        <w:rPr>
          <w:b/>
          <w:bCs/>
          <w:sz w:val="24"/>
          <w:szCs w:val="24"/>
        </w:rPr>
        <w:t>, bet vēl nav uzskatāma par pārkarstošu</w:t>
      </w:r>
      <w:r w:rsidR="00134253">
        <w:rPr>
          <w:b/>
          <w:bCs/>
          <w:sz w:val="24"/>
          <w:szCs w:val="24"/>
        </w:rPr>
        <w:t xml:space="preserve"> </w:t>
      </w:r>
      <w:r w:rsidR="00134253" w:rsidRPr="006367F8">
        <w:rPr>
          <w:rFonts w:cstheme="minorHAnsi"/>
        </w:rPr>
        <w:t>(</w:t>
      </w:r>
      <w:r w:rsidR="00134253" w:rsidRPr="006367F8">
        <w:rPr>
          <w:rFonts w:cstheme="minorHAnsi"/>
        </w:rPr>
        <w:fldChar w:fldCharType="begin"/>
      </w:r>
      <w:r w:rsidR="00134253" w:rsidRPr="006367F8">
        <w:rPr>
          <w:rFonts w:cstheme="minorHAnsi"/>
        </w:rPr>
        <w:instrText xml:space="preserve"> REF _Ref522228454 \h  \* MERGEFORMAT </w:instrText>
      </w:r>
      <w:r w:rsidR="00134253" w:rsidRPr="006367F8">
        <w:rPr>
          <w:rFonts w:cstheme="minorHAnsi"/>
        </w:rPr>
      </w:r>
      <w:r w:rsidR="00134253" w:rsidRPr="006367F8">
        <w:rPr>
          <w:rFonts w:cstheme="minorHAnsi"/>
        </w:rPr>
        <w:fldChar w:fldCharType="separate"/>
      </w:r>
      <w:r w:rsidR="00134253" w:rsidRPr="006367F8">
        <w:rPr>
          <w:rFonts w:cstheme="minorHAnsi"/>
        </w:rPr>
        <w:t xml:space="preserve">Att. </w:t>
      </w:r>
      <w:r w:rsidR="00134253">
        <w:rPr>
          <w:rFonts w:cstheme="minorHAnsi"/>
          <w:noProof/>
        </w:rPr>
        <w:t>21</w:t>
      </w:r>
      <w:r w:rsidR="00134253" w:rsidRPr="006367F8">
        <w:rPr>
          <w:rFonts w:cstheme="minorHAnsi"/>
        </w:rPr>
        <w:fldChar w:fldCharType="end"/>
      </w:r>
      <w:r w:rsidR="00134253" w:rsidRPr="006367F8">
        <w:rPr>
          <w:rFonts w:cstheme="minorHAnsi"/>
        </w:rPr>
        <w:t>).</w:t>
      </w:r>
      <w:r w:rsidR="00981B93" w:rsidRPr="006367F8">
        <w:rPr>
          <w:b/>
          <w:bCs/>
          <w:sz w:val="24"/>
          <w:szCs w:val="24"/>
        </w:rPr>
        <w:t>.</w:t>
      </w:r>
      <w:r w:rsidR="00981B93" w:rsidRPr="006367F8">
        <w:rPr>
          <w:sz w:val="24"/>
          <w:szCs w:val="24"/>
        </w:rPr>
        <w:t xml:space="preserve"> Jāņem vērā, ka būtisks faktors, ko nav iespējams kvantitatīvi novērtēt, ir ēnu ekonomikas īpatsvars būvniecības nozarē. Tomēr pastāvot iespējamībai, ka ēnu ekonomika ir pietiekami būtiska komponente, tas pēc būtības nozīmē simulācijas pārbīdi pa labi pa horizontālo asi pie jebkādas būvniecības izmaksu izmaiņas, jo pastāv datos neieskaitītās izmaksas. </w:t>
      </w:r>
    </w:p>
    <w:p w14:paraId="1925F891" w14:textId="2B298448" w:rsidR="007C50C7" w:rsidRDefault="007C50C7" w:rsidP="00981B93"/>
    <w:p w14:paraId="60343D06" w14:textId="5480DB88" w:rsidR="000C7F13" w:rsidRDefault="00CB5C1E" w:rsidP="00D66EAE">
      <w:pPr>
        <w:ind w:firstLine="0"/>
        <w:jc w:val="center"/>
      </w:pPr>
      <w:r w:rsidRPr="009F0E29">
        <w:rPr>
          <w:noProof/>
        </w:rPr>
        <w:lastRenderedPageBreak/>
        <w:drawing>
          <wp:inline distT="0" distB="0" distL="0" distR="0" wp14:anchorId="6E72C12D" wp14:editId="59E8FD14">
            <wp:extent cx="5732145" cy="516064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2145" cy="5160645"/>
                    </a:xfrm>
                    <a:prstGeom prst="rect">
                      <a:avLst/>
                    </a:prstGeom>
                  </pic:spPr>
                </pic:pic>
              </a:graphicData>
            </a:graphic>
          </wp:inline>
        </w:drawing>
      </w:r>
    </w:p>
    <w:p w14:paraId="2974BA83" w14:textId="178613BC" w:rsidR="000C7F13" w:rsidRDefault="000C7F13" w:rsidP="00D66EAE">
      <w:pPr>
        <w:pStyle w:val="Caption"/>
        <w:jc w:val="center"/>
      </w:pPr>
      <w:r>
        <w:t>Att.</w:t>
      </w:r>
      <w:r w:rsidR="00584BE1">
        <w:t>21</w:t>
      </w:r>
      <w:r>
        <w:t xml:space="preserve">. Būvniecības nozares pārkaršanas simulācija pie dažādiem būvniecības produkcijas apjoma un izmaksu izmaiņu variantiem </w:t>
      </w:r>
      <w:proofErr w:type="spellStart"/>
      <w:r>
        <w:t>ekstrapolējot</w:t>
      </w:r>
      <w:proofErr w:type="spellEnd"/>
      <w:r>
        <w:t xml:space="preserve"> ekspertu novērtējumus un prognozes un iepriekšējās recesijas situāciju.</w:t>
      </w:r>
      <w:r w:rsidR="000B235A">
        <w:t xml:space="preserve"> Gadi norādīti atbilstoši kombinētajai prognozei.</w:t>
      </w:r>
    </w:p>
    <w:p w14:paraId="7F51EAEA" w14:textId="6AE32DF4" w:rsidR="00D41453" w:rsidRPr="00134253" w:rsidRDefault="00D07152" w:rsidP="002B099B">
      <w:pPr>
        <w:rPr>
          <w:b/>
          <w:bCs/>
          <w:color w:val="2F5496" w:themeColor="accent1" w:themeShade="BF"/>
          <w:sz w:val="24"/>
          <w:szCs w:val="24"/>
        </w:rPr>
      </w:pPr>
      <w:r w:rsidRPr="00134253">
        <w:rPr>
          <w:b/>
          <w:bCs/>
          <w:color w:val="2F5496" w:themeColor="accent1" w:themeShade="BF"/>
          <w:sz w:val="24"/>
          <w:szCs w:val="24"/>
        </w:rPr>
        <w:t>Kopēj</w:t>
      </w:r>
      <w:r w:rsidR="00134253">
        <w:rPr>
          <w:b/>
          <w:bCs/>
          <w:color w:val="2F5496" w:themeColor="accent1" w:themeShade="BF"/>
          <w:sz w:val="24"/>
          <w:szCs w:val="24"/>
        </w:rPr>
        <w:t>ais</w:t>
      </w:r>
      <w:r w:rsidRPr="00134253">
        <w:rPr>
          <w:b/>
          <w:bCs/>
          <w:color w:val="2F5496" w:themeColor="accent1" w:themeShade="BF"/>
          <w:sz w:val="24"/>
          <w:szCs w:val="24"/>
        </w:rPr>
        <w:t xml:space="preserve"> darbaspēka izmaksu īpatsvars būvniecības produkcijas apjomā un tā dinamika</w:t>
      </w:r>
    </w:p>
    <w:p w14:paraId="04C86220" w14:textId="0DAFCF51" w:rsidR="006F3E25" w:rsidRPr="00134253" w:rsidRDefault="00386B95" w:rsidP="006F3E25">
      <w:pPr>
        <w:rPr>
          <w:sz w:val="24"/>
          <w:szCs w:val="24"/>
        </w:rPr>
      </w:pPr>
      <w:r w:rsidRPr="00134253">
        <w:rPr>
          <w:sz w:val="24"/>
          <w:szCs w:val="24"/>
        </w:rPr>
        <w:t xml:space="preserve">Pētnieki būvniecības nozares pārkaršanu aplūkoja arī no darbaspēka izmaksu dinamikas, salīdzinot ar būvniecības produkcijas apjoma dinamiku, laika periodā no 2015.-2020.gadam. Pieejamā datu nogrieznī, pētnieki situāciju raksturo kā samērā stabilu. </w:t>
      </w:r>
      <w:r w:rsidR="006F3E25" w:rsidRPr="00134253">
        <w:rPr>
          <w:sz w:val="24"/>
          <w:szCs w:val="24"/>
        </w:rPr>
        <w:t>No produktivitātes viedokļa ekonomikā vēlama tendence būtu darbaspēka izmaksu mazāks īpatsvars kopējā saražotās produkcijas apjomā. Tāda sakarība norādītu uz augstāku darbaspēka produktivitāti, pretēja situācij</w:t>
      </w:r>
      <w:r w:rsidR="004C1DA7" w:rsidRPr="00134253">
        <w:rPr>
          <w:sz w:val="24"/>
          <w:szCs w:val="24"/>
        </w:rPr>
        <w:t>a</w:t>
      </w:r>
      <w:r w:rsidR="006F3E25" w:rsidRPr="00134253">
        <w:rPr>
          <w:sz w:val="24"/>
          <w:szCs w:val="24"/>
        </w:rPr>
        <w:t xml:space="preserve"> būtu pārkāršanas pazīme.</w:t>
      </w:r>
    </w:p>
    <w:p w14:paraId="6F88A03E" w14:textId="16691D4D" w:rsidR="00386B95" w:rsidRPr="00134253" w:rsidRDefault="00386B95" w:rsidP="00386B95">
      <w:pPr>
        <w:rPr>
          <w:sz w:val="24"/>
          <w:szCs w:val="24"/>
          <w:u w:val="single"/>
        </w:rPr>
      </w:pPr>
      <w:r w:rsidRPr="00134253">
        <w:rPr>
          <w:sz w:val="24"/>
          <w:szCs w:val="24"/>
        </w:rPr>
        <w:t xml:space="preserve">Aplūkojot darbaspēka izmaksas īpatsvaru būvniecības produkcijas apjomā faktiskajās cenās, </w:t>
      </w:r>
      <w:r w:rsidRPr="00134253">
        <w:rPr>
          <w:sz w:val="24"/>
          <w:szCs w:val="24"/>
          <w:u w:val="single"/>
        </w:rPr>
        <w:t>kopējā tendence vērojamas ir lejupejoša, un tas var tikt interpretēts kā arvien mazāks darbaspēka izmaksu īpatsvars kopējā būvniecības produkcijas apjomā.</w:t>
      </w:r>
      <w:r w:rsidRPr="00134253">
        <w:rPr>
          <w:sz w:val="24"/>
          <w:szCs w:val="24"/>
        </w:rPr>
        <w:t xml:space="preserve"> </w:t>
      </w:r>
      <w:r w:rsidRPr="00134253">
        <w:rPr>
          <w:sz w:val="24"/>
          <w:szCs w:val="24"/>
          <w:u w:val="single"/>
        </w:rPr>
        <w:t xml:space="preserve">To var uzskatīt par </w:t>
      </w:r>
      <w:r w:rsidRPr="00134253">
        <w:rPr>
          <w:sz w:val="24"/>
          <w:szCs w:val="24"/>
          <w:u w:val="single"/>
        </w:rPr>
        <w:lastRenderedPageBreak/>
        <w:t>labu signālu, kas liecina, ka nav nepamatota, uzņēmumu reālajam apgrozījumam neatbilstoša</w:t>
      </w:r>
      <w:r w:rsidR="008900D1" w:rsidRPr="00134253">
        <w:rPr>
          <w:sz w:val="24"/>
          <w:szCs w:val="24"/>
          <w:u w:val="single"/>
        </w:rPr>
        <w:t>,</w:t>
      </w:r>
      <w:r w:rsidRPr="00134253">
        <w:rPr>
          <w:sz w:val="24"/>
          <w:szCs w:val="24"/>
          <w:u w:val="single"/>
        </w:rPr>
        <w:t xml:space="preserve"> darbaspēka izmaksu dinamika.</w:t>
      </w:r>
    </w:p>
    <w:p w14:paraId="2D4DAE74" w14:textId="181DFB35" w:rsidR="005C441D" w:rsidRPr="00134253" w:rsidRDefault="00123E27" w:rsidP="0066486A">
      <w:pPr>
        <w:rPr>
          <w:sz w:val="24"/>
          <w:szCs w:val="24"/>
        </w:rPr>
      </w:pPr>
      <w:r w:rsidRPr="00134253">
        <w:rPr>
          <w:sz w:val="24"/>
          <w:szCs w:val="24"/>
        </w:rPr>
        <w:t>Viens no ierobežojošiem faktoriem būvniecības nozares izaugsmē ir darbaspēka pieejamība. Augstāks būvniecības produkcijas apjoms pie nosacījuma, ka nav būtisks automatizācijas un produktivitātes pieaugums, pieprasa noteiktu darba vietu skaitu</w:t>
      </w:r>
      <w:r w:rsidR="00134253">
        <w:rPr>
          <w:sz w:val="24"/>
          <w:szCs w:val="24"/>
        </w:rPr>
        <w:t xml:space="preserve"> </w:t>
      </w:r>
      <w:r w:rsidR="00134253" w:rsidRPr="006367F8">
        <w:rPr>
          <w:rFonts w:cstheme="minorHAnsi"/>
        </w:rPr>
        <w:t>(</w:t>
      </w:r>
      <w:r w:rsidR="00134253" w:rsidRPr="006367F8">
        <w:rPr>
          <w:rFonts w:cstheme="minorHAnsi"/>
        </w:rPr>
        <w:fldChar w:fldCharType="begin"/>
      </w:r>
      <w:r w:rsidR="00134253" w:rsidRPr="006367F8">
        <w:rPr>
          <w:rFonts w:cstheme="minorHAnsi"/>
        </w:rPr>
        <w:instrText xml:space="preserve"> REF _Ref522228454 \h  \* MERGEFORMAT </w:instrText>
      </w:r>
      <w:r w:rsidR="00134253" w:rsidRPr="006367F8">
        <w:rPr>
          <w:rFonts w:cstheme="minorHAnsi"/>
        </w:rPr>
      </w:r>
      <w:r w:rsidR="00134253" w:rsidRPr="006367F8">
        <w:rPr>
          <w:rFonts w:cstheme="minorHAnsi"/>
        </w:rPr>
        <w:fldChar w:fldCharType="separate"/>
      </w:r>
      <w:r w:rsidR="00134253" w:rsidRPr="006367F8">
        <w:rPr>
          <w:rFonts w:cstheme="minorHAnsi"/>
        </w:rPr>
        <w:t xml:space="preserve">Att. </w:t>
      </w:r>
      <w:r w:rsidR="00134253">
        <w:rPr>
          <w:rFonts w:cstheme="minorHAnsi"/>
          <w:noProof/>
        </w:rPr>
        <w:t>22</w:t>
      </w:r>
      <w:r w:rsidR="00134253" w:rsidRPr="006367F8">
        <w:rPr>
          <w:rFonts w:cstheme="minorHAnsi"/>
        </w:rPr>
        <w:fldChar w:fldCharType="end"/>
      </w:r>
      <w:r w:rsidR="00134253" w:rsidRPr="006367F8">
        <w:rPr>
          <w:rFonts w:cstheme="minorHAnsi"/>
        </w:rPr>
        <w:t>)</w:t>
      </w:r>
      <w:r w:rsidRPr="00134253">
        <w:rPr>
          <w:sz w:val="24"/>
          <w:szCs w:val="24"/>
        </w:rPr>
        <w:t xml:space="preserve">. </w:t>
      </w:r>
    </w:p>
    <w:tbl>
      <w:tblPr>
        <w:tblStyle w:val="TableGrid"/>
        <w:tblW w:w="9067" w:type="dxa"/>
        <w:tblLayout w:type="fixed"/>
        <w:tblLook w:val="04A0" w:firstRow="1" w:lastRow="0" w:firstColumn="1" w:lastColumn="0" w:noHBand="0" w:noVBand="1"/>
      </w:tblPr>
      <w:tblGrid>
        <w:gridCol w:w="2122"/>
        <w:gridCol w:w="631"/>
        <w:gridCol w:w="631"/>
        <w:gridCol w:w="632"/>
        <w:gridCol w:w="631"/>
        <w:gridCol w:w="631"/>
        <w:gridCol w:w="632"/>
        <w:gridCol w:w="631"/>
        <w:gridCol w:w="631"/>
        <w:gridCol w:w="632"/>
        <w:gridCol w:w="631"/>
        <w:gridCol w:w="632"/>
      </w:tblGrid>
      <w:tr w:rsidR="0092779E" w:rsidRPr="0092779E" w14:paraId="55EDC71F" w14:textId="77777777" w:rsidTr="009E0930">
        <w:trPr>
          <w:trHeight w:val="970"/>
        </w:trPr>
        <w:tc>
          <w:tcPr>
            <w:tcW w:w="2122" w:type="dxa"/>
            <w:noWrap/>
            <w:hideMark/>
          </w:tcPr>
          <w:p w14:paraId="1B4BAA78" w14:textId="77777777" w:rsidR="0092779E" w:rsidRPr="0092779E" w:rsidRDefault="0092779E" w:rsidP="0092779E">
            <w:pPr>
              <w:spacing w:line="240" w:lineRule="auto"/>
              <w:ind w:firstLine="0"/>
              <w:jc w:val="left"/>
              <w:rPr>
                <w:rFonts w:ascii="Calibri" w:eastAsia="Times New Roman" w:hAnsi="Calibri" w:cs="Calibri"/>
                <w:color w:val="000000"/>
                <w:lang w:eastAsia="lv-LV"/>
              </w:rPr>
            </w:pPr>
            <w:r w:rsidRPr="0092779E">
              <w:rPr>
                <w:rFonts w:ascii="Calibri" w:eastAsia="Times New Roman" w:hAnsi="Calibri" w:cs="Calibri"/>
                <w:color w:val="000000"/>
                <w:lang w:eastAsia="lv-LV"/>
              </w:rPr>
              <w:t>Būvniecības apjoms faktiskās cenās, mljrd. eiro</w:t>
            </w:r>
          </w:p>
        </w:tc>
        <w:tc>
          <w:tcPr>
            <w:tcW w:w="631" w:type="dxa"/>
            <w:noWrap/>
            <w:vAlign w:val="center"/>
            <w:hideMark/>
          </w:tcPr>
          <w:p w14:paraId="40D78B12"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2,0</w:t>
            </w:r>
          </w:p>
        </w:tc>
        <w:tc>
          <w:tcPr>
            <w:tcW w:w="631" w:type="dxa"/>
            <w:noWrap/>
            <w:vAlign w:val="center"/>
            <w:hideMark/>
          </w:tcPr>
          <w:p w14:paraId="27FF0456"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2,1</w:t>
            </w:r>
          </w:p>
        </w:tc>
        <w:tc>
          <w:tcPr>
            <w:tcW w:w="632" w:type="dxa"/>
            <w:noWrap/>
            <w:vAlign w:val="center"/>
            <w:hideMark/>
          </w:tcPr>
          <w:p w14:paraId="7D562610"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2,2</w:t>
            </w:r>
          </w:p>
        </w:tc>
        <w:tc>
          <w:tcPr>
            <w:tcW w:w="631" w:type="dxa"/>
            <w:noWrap/>
            <w:vAlign w:val="center"/>
            <w:hideMark/>
          </w:tcPr>
          <w:p w14:paraId="6CFF374F"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2,3</w:t>
            </w:r>
          </w:p>
        </w:tc>
        <w:tc>
          <w:tcPr>
            <w:tcW w:w="631" w:type="dxa"/>
            <w:noWrap/>
            <w:vAlign w:val="center"/>
            <w:hideMark/>
          </w:tcPr>
          <w:p w14:paraId="15F9C983"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2,4</w:t>
            </w:r>
          </w:p>
        </w:tc>
        <w:tc>
          <w:tcPr>
            <w:tcW w:w="632" w:type="dxa"/>
            <w:noWrap/>
            <w:vAlign w:val="center"/>
            <w:hideMark/>
          </w:tcPr>
          <w:p w14:paraId="2AB46B27"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2,5</w:t>
            </w:r>
          </w:p>
        </w:tc>
        <w:tc>
          <w:tcPr>
            <w:tcW w:w="631" w:type="dxa"/>
            <w:noWrap/>
            <w:vAlign w:val="center"/>
            <w:hideMark/>
          </w:tcPr>
          <w:p w14:paraId="667F725C"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2,6</w:t>
            </w:r>
          </w:p>
        </w:tc>
        <w:tc>
          <w:tcPr>
            <w:tcW w:w="631" w:type="dxa"/>
            <w:noWrap/>
            <w:vAlign w:val="center"/>
            <w:hideMark/>
          </w:tcPr>
          <w:p w14:paraId="4253204B"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2,7</w:t>
            </w:r>
          </w:p>
        </w:tc>
        <w:tc>
          <w:tcPr>
            <w:tcW w:w="632" w:type="dxa"/>
            <w:noWrap/>
            <w:vAlign w:val="center"/>
            <w:hideMark/>
          </w:tcPr>
          <w:p w14:paraId="0A0AB42B"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2,8</w:t>
            </w:r>
          </w:p>
        </w:tc>
        <w:tc>
          <w:tcPr>
            <w:tcW w:w="631" w:type="dxa"/>
            <w:noWrap/>
            <w:vAlign w:val="center"/>
            <w:hideMark/>
          </w:tcPr>
          <w:p w14:paraId="57AE7DB5"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2,9</w:t>
            </w:r>
          </w:p>
        </w:tc>
        <w:tc>
          <w:tcPr>
            <w:tcW w:w="632" w:type="dxa"/>
            <w:noWrap/>
            <w:vAlign w:val="center"/>
            <w:hideMark/>
          </w:tcPr>
          <w:p w14:paraId="5C196969"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3,0</w:t>
            </w:r>
          </w:p>
        </w:tc>
      </w:tr>
      <w:tr w:rsidR="0092779E" w:rsidRPr="0092779E" w14:paraId="56B7F79F" w14:textId="77777777" w:rsidTr="009E0930">
        <w:trPr>
          <w:trHeight w:val="1140"/>
        </w:trPr>
        <w:tc>
          <w:tcPr>
            <w:tcW w:w="2122" w:type="dxa"/>
            <w:noWrap/>
            <w:hideMark/>
          </w:tcPr>
          <w:p w14:paraId="1DFCD245" w14:textId="4DF25806" w:rsidR="0092779E" w:rsidRPr="0092779E" w:rsidRDefault="0092779E" w:rsidP="0092779E">
            <w:pPr>
              <w:spacing w:line="240" w:lineRule="auto"/>
              <w:ind w:firstLine="0"/>
              <w:jc w:val="left"/>
              <w:rPr>
                <w:rFonts w:ascii="Calibri" w:eastAsia="Times New Roman" w:hAnsi="Calibri" w:cs="Calibri"/>
                <w:color w:val="000000"/>
                <w:lang w:eastAsia="lv-LV"/>
              </w:rPr>
            </w:pPr>
            <w:r>
              <w:rPr>
                <w:rFonts w:ascii="Calibri" w:eastAsia="Times New Roman" w:hAnsi="Calibri" w:cs="Calibri"/>
                <w:color w:val="000000"/>
                <w:lang w:eastAsia="lv-LV"/>
              </w:rPr>
              <w:t xml:space="preserve">Prognozētās nepieciešamās </w:t>
            </w:r>
            <w:r w:rsidRPr="0092779E">
              <w:rPr>
                <w:rFonts w:ascii="Calibri" w:eastAsia="Times New Roman" w:hAnsi="Calibri" w:cs="Calibri"/>
                <w:color w:val="000000"/>
                <w:lang w:eastAsia="lv-LV"/>
              </w:rPr>
              <w:t>darba vietas būvniecībā, tūkst.</w:t>
            </w:r>
          </w:p>
        </w:tc>
        <w:tc>
          <w:tcPr>
            <w:tcW w:w="631" w:type="dxa"/>
            <w:noWrap/>
            <w:vAlign w:val="center"/>
            <w:hideMark/>
          </w:tcPr>
          <w:p w14:paraId="071B6B06"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60</w:t>
            </w:r>
          </w:p>
        </w:tc>
        <w:tc>
          <w:tcPr>
            <w:tcW w:w="631" w:type="dxa"/>
            <w:noWrap/>
            <w:vAlign w:val="center"/>
            <w:hideMark/>
          </w:tcPr>
          <w:p w14:paraId="41E5835F"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62</w:t>
            </w:r>
          </w:p>
        </w:tc>
        <w:tc>
          <w:tcPr>
            <w:tcW w:w="632" w:type="dxa"/>
            <w:noWrap/>
            <w:vAlign w:val="center"/>
            <w:hideMark/>
          </w:tcPr>
          <w:p w14:paraId="1CEDA436"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63</w:t>
            </w:r>
          </w:p>
        </w:tc>
        <w:tc>
          <w:tcPr>
            <w:tcW w:w="631" w:type="dxa"/>
            <w:noWrap/>
            <w:vAlign w:val="center"/>
            <w:hideMark/>
          </w:tcPr>
          <w:p w14:paraId="63C17725"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65</w:t>
            </w:r>
          </w:p>
        </w:tc>
        <w:tc>
          <w:tcPr>
            <w:tcW w:w="631" w:type="dxa"/>
            <w:noWrap/>
            <w:vAlign w:val="center"/>
            <w:hideMark/>
          </w:tcPr>
          <w:p w14:paraId="1004A3E1"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67</w:t>
            </w:r>
          </w:p>
        </w:tc>
        <w:tc>
          <w:tcPr>
            <w:tcW w:w="632" w:type="dxa"/>
            <w:noWrap/>
            <w:vAlign w:val="center"/>
            <w:hideMark/>
          </w:tcPr>
          <w:p w14:paraId="1D0FB59F"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68</w:t>
            </w:r>
          </w:p>
        </w:tc>
        <w:tc>
          <w:tcPr>
            <w:tcW w:w="631" w:type="dxa"/>
            <w:noWrap/>
            <w:vAlign w:val="center"/>
            <w:hideMark/>
          </w:tcPr>
          <w:p w14:paraId="7EB76827"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70</w:t>
            </w:r>
          </w:p>
        </w:tc>
        <w:tc>
          <w:tcPr>
            <w:tcW w:w="631" w:type="dxa"/>
            <w:noWrap/>
            <w:vAlign w:val="center"/>
            <w:hideMark/>
          </w:tcPr>
          <w:p w14:paraId="5D23A6BD"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72</w:t>
            </w:r>
          </w:p>
        </w:tc>
        <w:tc>
          <w:tcPr>
            <w:tcW w:w="632" w:type="dxa"/>
            <w:noWrap/>
            <w:vAlign w:val="center"/>
            <w:hideMark/>
          </w:tcPr>
          <w:p w14:paraId="3BC08331"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74</w:t>
            </w:r>
          </w:p>
        </w:tc>
        <w:tc>
          <w:tcPr>
            <w:tcW w:w="631" w:type="dxa"/>
            <w:noWrap/>
            <w:vAlign w:val="center"/>
            <w:hideMark/>
          </w:tcPr>
          <w:p w14:paraId="6375C32B"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76</w:t>
            </w:r>
          </w:p>
        </w:tc>
        <w:tc>
          <w:tcPr>
            <w:tcW w:w="632" w:type="dxa"/>
            <w:noWrap/>
            <w:vAlign w:val="center"/>
            <w:hideMark/>
          </w:tcPr>
          <w:p w14:paraId="37CD36B1" w14:textId="77777777" w:rsidR="0092779E" w:rsidRPr="0092779E" w:rsidRDefault="0092779E" w:rsidP="0092779E">
            <w:pPr>
              <w:spacing w:line="240" w:lineRule="auto"/>
              <w:ind w:firstLine="0"/>
              <w:jc w:val="center"/>
              <w:rPr>
                <w:rFonts w:ascii="Calibri" w:eastAsia="Times New Roman" w:hAnsi="Calibri" w:cs="Calibri"/>
                <w:color w:val="000000"/>
                <w:lang w:eastAsia="lv-LV"/>
              </w:rPr>
            </w:pPr>
            <w:r w:rsidRPr="0092779E">
              <w:rPr>
                <w:rFonts w:ascii="Calibri" w:eastAsia="Times New Roman" w:hAnsi="Calibri" w:cs="Calibri"/>
                <w:color w:val="000000"/>
                <w:lang w:eastAsia="lv-LV"/>
              </w:rPr>
              <w:t>78</w:t>
            </w:r>
          </w:p>
        </w:tc>
      </w:tr>
    </w:tbl>
    <w:p w14:paraId="4D9E84FE" w14:textId="78D5A738" w:rsidR="009E0930" w:rsidRDefault="009E0930" w:rsidP="0019317A">
      <w:pPr>
        <w:pStyle w:val="Caption"/>
        <w:jc w:val="center"/>
      </w:pPr>
      <w:r>
        <w:t xml:space="preserve">Att. </w:t>
      </w:r>
      <w:r>
        <w:rPr>
          <w:noProof/>
        </w:rPr>
        <w:fldChar w:fldCharType="begin"/>
      </w:r>
      <w:r>
        <w:rPr>
          <w:noProof/>
        </w:rPr>
        <w:instrText xml:space="preserve"> SEQ Att. \* ARABIC </w:instrText>
      </w:r>
      <w:r>
        <w:rPr>
          <w:noProof/>
        </w:rPr>
        <w:fldChar w:fldCharType="separate"/>
      </w:r>
      <w:r w:rsidR="00363B39">
        <w:rPr>
          <w:noProof/>
        </w:rPr>
        <w:t>2</w:t>
      </w:r>
      <w:r w:rsidR="00134253">
        <w:rPr>
          <w:noProof/>
        </w:rPr>
        <w:t>2</w:t>
      </w:r>
      <w:r>
        <w:rPr>
          <w:noProof/>
        </w:rPr>
        <w:fldChar w:fldCharType="end"/>
      </w:r>
      <w:r>
        <w:t>. Būvniecības produkcijas un darba vietu skaita prognozes pie dažādiem scenārijiem</w:t>
      </w:r>
      <w:r w:rsidR="0019317A">
        <w:t>,</w:t>
      </w:r>
      <w:r>
        <w:t xml:space="preserve"> balstoties uz </w:t>
      </w:r>
      <w:r w:rsidR="005C441D">
        <w:t>2009.-2019.g. datiem un nelineāru attīstību</w:t>
      </w:r>
      <w:r>
        <w:t>.</w:t>
      </w:r>
    </w:p>
    <w:p w14:paraId="6255FA7A" w14:textId="77777777" w:rsidR="000C22C6" w:rsidRDefault="000C22C6" w:rsidP="005D01B6">
      <w:pPr>
        <w:pStyle w:val="Heading1"/>
      </w:pPr>
    </w:p>
    <w:p w14:paraId="595622FE" w14:textId="6A47DF7F" w:rsidR="005D01B6" w:rsidRDefault="005D01B6" w:rsidP="005D01B6">
      <w:pPr>
        <w:pStyle w:val="Heading1"/>
      </w:pPr>
      <w:bookmarkStart w:id="44" w:name="_Toc54287922"/>
      <w:r>
        <w:t>Pētījuma secinājumi</w:t>
      </w:r>
      <w:bookmarkEnd w:id="44"/>
    </w:p>
    <w:p w14:paraId="58895366" w14:textId="77777777" w:rsidR="005D01B6" w:rsidRPr="000433E6" w:rsidRDefault="005D01B6" w:rsidP="005D01B6">
      <w:pPr>
        <w:pStyle w:val="Default"/>
        <w:rPr>
          <w:rFonts w:ascii="Times New Roman" w:hAnsi="Times New Roman" w:cs="Times New Roman"/>
          <w:sz w:val="22"/>
          <w:szCs w:val="22"/>
        </w:rPr>
      </w:pPr>
    </w:p>
    <w:p w14:paraId="275143D4" w14:textId="77777777" w:rsidR="005D01B6" w:rsidRPr="001536BB" w:rsidRDefault="005D01B6" w:rsidP="005D01B6">
      <w:pPr>
        <w:pStyle w:val="Default"/>
        <w:numPr>
          <w:ilvl w:val="0"/>
          <w:numId w:val="7"/>
        </w:numPr>
        <w:spacing w:after="131" w:line="360" w:lineRule="auto"/>
        <w:jc w:val="both"/>
        <w:rPr>
          <w:rFonts w:ascii="Times New Roman" w:hAnsi="Times New Roman" w:cs="Times New Roman"/>
          <w:sz w:val="22"/>
          <w:szCs w:val="20"/>
        </w:rPr>
      </w:pPr>
      <w:r>
        <w:rPr>
          <w:rFonts w:ascii="Times New Roman" w:hAnsi="Times New Roman" w:cs="Times New Roman"/>
          <w:sz w:val="22"/>
          <w:szCs w:val="22"/>
        </w:rPr>
        <w:t>Pēc k</w:t>
      </w:r>
      <w:r w:rsidRPr="00A12F2B">
        <w:rPr>
          <w:rFonts w:ascii="Times New Roman" w:hAnsi="Times New Roman" w:cs="Times New Roman"/>
          <w:sz w:val="22"/>
          <w:szCs w:val="22"/>
        </w:rPr>
        <w:t>ombinētās statisti</w:t>
      </w:r>
      <w:r>
        <w:rPr>
          <w:rFonts w:ascii="Times New Roman" w:hAnsi="Times New Roman" w:cs="Times New Roman"/>
          <w:sz w:val="22"/>
          <w:szCs w:val="22"/>
        </w:rPr>
        <w:t>s</w:t>
      </w:r>
      <w:r w:rsidRPr="00A12F2B">
        <w:rPr>
          <w:rFonts w:ascii="Times New Roman" w:hAnsi="Times New Roman" w:cs="Times New Roman"/>
          <w:sz w:val="22"/>
          <w:szCs w:val="22"/>
        </w:rPr>
        <w:t>k</w:t>
      </w:r>
      <w:r>
        <w:rPr>
          <w:rFonts w:ascii="Times New Roman" w:hAnsi="Times New Roman" w:cs="Times New Roman"/>
          <w:sz w:val="22"/>
          <w:szCs w:val="22"/>
        </w:rPr>
        <w:t>ā</w:t>
      </w:r>
      <w:r w:rsidRPr="00A12F2B">
        <w:rPr>
          <w:rFonts w:ascii="Times New Roman" w:hAnsi="Times New Roman" w:cs="Times New Roman"/>
          <w:sz w:val="22"/>
          <w:szCs w:val="22"/>
        </w:rPr>
        <w:t>s un ekspertu novērtējuma prognozes</w:t>
      </w:r>
      <w:r>
        <w:rPr>
          <w:rFonts w:ascii="Times New Roman" w:hAnsi="Times New Roman" w:cs="Times New Roman"/>
          <w:sz w:val="22"/>
          <w:szCs w:val="22"/>
        </w:rPr>
        <w:t xml:space="preserve">, </w:t>
      </w:r>
      <w:r w:rsidRPr="00A12F2B">
        <w:rPr>
          <w:rFonts w:ascii="Times New Roman" w:hAnsi="Times New Roman" w:cs="Times New Roman"/>
          <w:sz w:val="22"/>
          <w:szCs w:val="22"/>
        </w:rPr>
        <w:t xml:space="preserve">ka </w:t>
      </w:r>
      <w:r w:rsidRPr="00624DEB">
        <w:rPr>
          <w:rFonts w:ascii="Times New Roman" w:hAnsi="Times New Roman" w:cs="Times New Roman"/>
          <w:sz w:val="22"/>
          <w:szCs w:val="22"/>
        </w:rPr>
        <w:t>kopējais būvniecības produkcijas apjoms 2020. gadā varētu pieaugt par 3,07%, 2021. gadā par 3,25%, tomēr</w:t>
      </w:r>
      <w:r>
        <w:rPr>
          <w:rFonts w:ascii="Times New Roman" w:hAnsi="Times New Roman" w:cs="Times New Roman"/>
          <w:sz w:val="22"/>
          <w:szCs w:val="22"/>
        </w:rPr>
        <w:t>,</w:t>
      </w:r>
      <w:r w:rsidRPr="00624DEB">
        <w:rPr>
          <w:rFonts w:ascii="Times New Roman" w:hAnsi="Times New Roman" w:cs="Times New Roman"/>
          <w:sz w:val="22"/>
          <w:szCs w:val="22"/>
        </w:rPr>
        <w:t xml:space="preserve"> </w:t>
      </w:r>
      <w:r>
        <w:rPr>
          <w:rFonts w:ascii="Times New Roman" w:hAnsi="Times New Roman" w:cs="Times New Roman"/>
          <w:sz w:val="22"/>
          <w:szCs w:val="20"/>
        </w:rPr>
        <w:t xml:space="preserve">vadoties pēc pašreizējās lejupslīdes Latvijas tautsaimniecībā, un ņemot vērā COVID 19 pandēmijas izplatību pasaulē un it īpaši Eiropas valstīs, pētījuma autori par ticamāku uzskata ekspertu novērtējumu, ka </w:t>
      </w:r>
      <w:r w:rsidRPr="00A12F2B">
        <w:rPr>
          <w:rFonts w:ascii="Times New Roman" w:hAnsi="Times New Roman" w:cs="Times New Roman"/>
          <w:sz w:val="22"/>
          <w:szCs w:val="20"/>
        </w:rPr>
        <w:t>kopējais būvniecības produkcijas apjoms</w:t>
      </w:r>
      <w:r>
        <w:rPr>
          <w:rFonts w:ascii="Times New Roman" w:hAnsi="Times New Roman" w:cs="Times New Roman"/>
          <w:sz w:val="22"/>
          <w:szCs w:val="20"/>
        </w:rPr>
        <w:t xml:space="preserve"> </w:t>
      </w:r>
      <w:r w:rsidRPr="00A12F2B">
        <w:rPr>
          <w:rFonts w:ascii="Times New Roman" w:hAnsi="Times New Roman" w:cs="Times New Roman"/>
          <w:sz w:val="22"/>
          <w:szCs w:val="20"/>
        </w:rPr>
        <w:t>2020.</w:t>
      </w:r>
      <w:r w:rsidRPr="001536BB">
        <w:rPr>
          <w:rFonts w:ascii="Times New Roman" w:hAnsi="Times New Roman" w:cs="Times New Roman"/>
          <w:sz w:val="22"/>
          <w:szCs w:val="20"/>
        </w:rPr>
        <w:t xml:space="preserve"> gadā palielin</w:t>
      </w:r>
      <w:r>
        <w:rPr>
          <w:rFonts w:ascii="Times New Roman" w:hAnsi="Times New Roman" w:cs="Times New Roman"/>
          <w:sz w:val="22"/>
          <w:szCs w:val="20"/>
        </w:rPr>
        <w:t>āsies</w:t>
      </w:r>
      <w:r w:rsidRPr="001536BB">
        <w:rPr>
          <w:rFonts w:ascii="Times New Roman" w:hAnsi="Times New Roman" w:cs="Times New Roman"/>
          <w:sz w:val="22"/>
          <w:szCs w:val="20"/>
        </w:rPr>
        <w:t xml:space="preserve"> par </w:t>
      </w:r>
      <w:r>
        <w:rPr>
          <w:rFonts w:ascii="Times New Roman" w:hAnsi="Times New Roman" w:cs="Times New Roman"/>
          <w:sz w:val="22"/>
          <w:szCs w:val="20"/>
        </w:rPr>
        <w:t>0,41</w:t>
      </w:r>
      <w:r w:rsidRPr="001536BB">
        <w:rPr>
          <w:rFonts w:ascii="Times New Roman" w:hAnsi="Times New Roman" w:cs="Times New Roman"/>
          <w:sz w:val="22"/>
          <w:szCs w:val="20"/>
        </w:rPr>
        <w:t>%, 20</w:t>
      </w:r>
      <w:r>
        <w:rPr>
          <w:rFonts w:ascii="Times New Roman" w:hAnsi="Times New Roman" w:cs="Times New Roman"/>
          <w:sz w:val="22"/>
          <w:szCs w:val="20"/>
        </w:rPr>
        <w:t>21</w:t>
      </w:r>
      <w:r w:rsidRPr="001536BB">
        <w:rPr>
          <w:rFonts w:ascii="Times New Roman" w:hAnsi="Times New Roman" w:cs="Times New Roman"/>
          <w:sz w:val="22"/>
          <w:szCs w:val="20"/>
        </w:rPr>
        <w:t xml:space="preserve">. gadā </w:t>
      </w:r>
      <w:r>
        <w:rPr>
          <w:rFonts w:ascii="Times New Roman" w:hAnsi="Times New Roman" w:cs="Times New Roman"/>
          <w:sz w:val="22"/>
          <w:szCs w:val="20"/>
        </w:rPr>
        <w:t xml:space="preserve">varētu </w:t>
      </w:r>
      <w:r w:rsidRPr="001536BB">
        <w:rPr>
          <w:rFonts w:ascii="Times New Roman" w:hAnsi="Times New Roman" w:cs="Times New Roman"/>
          <w:sz w:val="22"/>
          <w:szCs w:val="20"/>
        </w:rPr>
        <w:t>palielin</w:t>
      </w:r>
      <w:r>
        <w:rPr>
          <w:rFonts w:ascii="Times New Roman" w:hAnsi="Times New Roman" w:cs="Times New Roman"/>
          <w:sz w:val="22"/>
          <w:szCs w:val="20"/>
        </w:rPr>
        <w:t>āties</w:t>
      </w:r>
      <w:r w:rsidRPr="001536BB">
        <w:rPr>
          <w:rFonts w:ascii="Times New Roman" w:hAnsi="Times New Roman" w:cs="Times New Roman"/>
          <w:sz w:val="22"/>
          <w:szCs w:val="20"/>
        </w:rPr>
        <w:t xml:space="preserve"> par </w:t>
      </w:r>
      <w:r>
        <w:rPr>
          <w:rFonts w:ascii="Times New Roman" w:hAnsi="Times New Roman" w:cs="Times New Roman"/>
          <w:sz w:val="22"/>
          <w:szCs w:val="20"/>
        </w:rPr>
        <w:t>1,04</w:t>
      </w:r>
      <w:r w:rsidRPr="001536BB">
        <w:rPr>
          <w:rFonts w:ascii="Times New Roman" w:hAnsi="Times New Roman" w:cs="Times New Roman"/>
          <w:sz w:val="22"/>
          <w:szCs w:val="20"/>
        </w:rPr>
        <w:t xml:space="preserve">%. </w:t>
      </w:r>
    </w:p>
    <w:p w14:paraId="73A3D256" w14:textId="77777777" w:rsidR="005D01B6" w:rsidRPr="00BE1AD2" w:rsidRDefault="005D01B6" w:rsidP="005D01B6">
      <w:pPr>
        <w:pStyle w:val="Default"/>
        <w:numPr>
          <w:ilvl w:val="0"/>
          <w:numId w:val="7"/>
        </w:numPr>
        <w:spacing w:after="131" w:line="360" w:lineRule="auto"/>
        <w:jc w:val="both"/>
        <w:rPr>
          <w:rFonts w:ascii="Times New Roman" w:hAnsi="Times New Roman" w:cs="Times New Roman"/>
          <w:sz w:val="22"/>
          <w:szCs w:val="20"/>
        </w:rPr>
      </w:pPr>
      <w:r>
        <w:rPr>
          <w:rFonts w:ascii="Times New Roman" w:hAnsi="Times New Roman" w:cs="Times New Roman"/>
          <w:sz w:val="22"/>
          <w:szCs w:val="22"/>
        </w:rPr>
        <w:t>K</w:t>
      </w:r>
      <w:r w:rsidRPr="009C4A4A">
        <w:rPr>
          <w:rFonts w:ascii="Times New Roman" w:hAnsi="Times New Roman" w:cs="Times New Roman"/>
          <w:sz w:val="22"/>
          <w:szCs w:val="22"/>
        </w:rPr>
        <w:t xml:space="preserve">ombinētās </w:t>
      </w:r>
      <w:r>
        <w:rPr>
          <w:rFonts w:ascii="Times New Roman" w:hAnsi="Times New Roman" w:cs="Times New Roman"/>
          <w:sz w:val="22"/>
          <w:szCs w:val="22"/>
        </w:rPr>
        <w:t xml:space="preserve">statistiskās </w:t>
      </w:r>
      <w:r w:rsidRPr="009C4A4A">
        <w:rPr>
          <w:rFonts w:ascii="Times New Roman" w:hAnsi="Times New Roman" w:cs="Times New Roman"/>
          <w:sz w:val="22"/>
          <w:szCs w:val="22"/>
        </w:rPr>
        <w:t xml:space="preserve">un ekspertu novērtējuma prognozes rezultātā tika iegūts secinājums, ka kopējās  būvniecības izmaksas laika periodā no 2020.- 2024. gadam vidēji palielināsies par </w:t>
      </w:r>
      <w:r>
        <w:rPr>
          <w:rFonts w:ascii="Times New Roman" w:hAnsi="Times New Roman" w:cs="Times New Roman"/>
          <w:sz w:val="22"/>
          <w:szCs w:val="22"/>
        </w:rPr>
        <w:t>4,6%</w:t>
      </w:r>
      <w:r w:rsidRPr="009C4A4A">
        <w:rPr>
          <w:rFonts w:ascii="Times New Roman" w:hAnsi="Times New Roman" w:cs="Times New Roman"/>
          <w:sz w:val="22"/>
          <w:szCs w:val="22"/>
        </w:rPr>
        <w:t xml:space="preserve"> gadā, attiecīgi 2020. gadā palielinoties par </w:t>
      </w:r>
      <w:r>
        <w:rPr>
          <w:rFonts w:ascii="Times New Roman" w:hAnsi="Times New Roman" w:cs="Times New Roman"/>
          <w:sz w:val="22"/>
          <w:szCs w:val="22"/>
        </w:rPr>
        <w:t>2,69</w:t>
      </w:r>
      <w:r w:rsidRPr="009C4A4A">
        <w:rPr>
          <w:rFonts w:ascii="Times New Roman" w:hAnsi="Times New Roman" w:cs="Times New Roman"/>
          <w:sz w:val="22"/>
          <w:szCs w:val="22"/>
        </w:rPr>
        <w:t xml:space="preserve">%, 2021. gadā palielinoties par </w:t>
      </w:r>
      <w:r>
        <w:rPr>
          <w:rFonts w:ascii="Times New Roman" w:hAnsi="Times New Roman" w:cs="Times New Roman"/>
          <w:sz w:val="22"/>
          <w:szCs w:val="22"/>
        </w:rPr>
        <w:t>3,41</w:t>
      </w:r>
      <w:r w:rsidRPr="009C4A4A">
        <w:rPr>
          <w:rFonts w:ascii="Times New Roman" w:hAnsi="Times New Roman" w:cs="Times New Roman"/>
          <w:sz w:val="22"/>
          <w:szCs w:val="22"/>
        </w:rPr>
        <w:t xml:space="preserve">%. </w:t>
      </w:r>
    </w:p>
    <w:p w14:paraId="6EC92187" w14:textId="77777777" w:rsidR="005D01B6" w:rsidRPr="00FC2C91" w:rsidRDefault="005D01B6" w:rsidP="005D01B6">
      <w:pPr>
        <w:pStyle w:val="Default"/>
        <w:spacing w:after="131" w:line="360" w:lineRule="auto"/>
        <w:ind w:left="720"/>
        <w:jc w:val="both"/>
        <w:rPr>
          <w:rFonts w:ascii="Times New Roman" w:hAnsi="Times New Roman" w:cs="Times New Roman"/>
          <w:sz w:val="22"/>
          <w:szCs w:val="20"/>
        </w:rPr>
      </w:pPr>
      <w:r>
        <w:rPr>
          <w:rFonts w:ascii="Times New Roman" w:hAnsi="Times New Roman" w:cs="Times New Roman"/>
          <w:sz w:val="22"/>
          <w:szCs w:val="20"/>
        </w:rPr>
        <w:t xml:space="preserve">Pēc ekspertu novērtējuma, kopējās būvniecības izmaksas vidēji palielināsies par 3,6% gadā laika periodā no 2020. līdz 2024.gadam. </w:t>
      </w:r>
    </w:p>
    <w:p w14:paraId="351834A6" w14:textId="77777777" w:rsidR="005D01B6" w:rsidRPr="00FC2C91" w:rsidRDefault="005D01B6" w:rsidP="005D01B6">
      <w:pPr>
        <w:pStyle w:val="Default"/>
        <w:numPr>
          <w:ilvl w:val="0"/>
          <w:numId w:val="7"/>
        </w:numPr>
        <w:spacing w:after="131" w:line="360" w:lineRule="auto"/>
        <w:jc w:val="both"/>
        <w:rPr>
          <w:rFonts w:ascii="Times New Roman" w:hAnsi="Times New Roman" w:cs="Times New Roman"/>
          <w:sz w:val="22"/>
          <w:szCs w:val="20"/>
        </w:rPr>
      </w:pPr>
      <w:r w:rsidRPr="00784A74">
        <w:rPr>
          <w:rFonts w:ascii="Times New Roman" w:hAnsi="Times New Roman" w:cs="Times New Roman"/>
          <w:sz w:val="22"/>
          <w:szCs w:val="20"/>
        </w:rPr>
        <w:t xml:space="preserve">Darba samaksa ir būvniecības izmaksu pozīcija ar augstāko prognozēto sadārdzinājumu pētāmajā </w:t>
      </w:r>
      <w:r w:rsidRPr="00FC2C91">
        <w:rPr>
          <w:rFonts w:ascii="Times New Roman" w:hAnsi="Times New Roman" w:cs="Times New Roman"/>
          <w:sz w:val="22"/>
          <w:szCs w:val="20"/>
        </w:rPr>
        <w:t>laika periodā. Prognozētajā periodā darbaspēka izmaksu pieaugums ir prognozēts vidēji 9,2% gadā, tam seko  arhitektūras un inženiertehnisko pakalpojumu</w:t>
      </w:r>
      <w:r>
        <w:rPr>
          <w:rFonts w:ascii="Times New Roman" w:hAnsi="Times New Roman" w:cs="Times New Roman"/>
          <w:sz w:val="22"/>
          <w:szCs w:val="20"/>
        </w:rPr>
        <w:t xml:space="preserve"> un</w:t>
      </w:r>
      <w:r w:rsidRPr="00FC2C91">
        <w:rPr>
          <w:rFonts w:ascii="Times New Roman" w:hAnsi="Times New Roman" w:cs="Times New Roman"/>
          <w:sz w:val="22"/>
          <w:szCs w:val="20"/>
        </w:rPr>
        <w:t xml:space="preserve"> tehnisk</w:t>
      </w:r>
      <w:r>
        <w:rPr>
          <w:rFonts w:ascii="Times New Roman" w:hAnsi="Times New Roman" w:cs="Times New Roman"/>
          <w:sz w:val="22"/>
          <w:szCs w:val="20"/>
        </w:rPr>
        <w:t>o</w:t>
      </w:r>
      <w:r w:rsidRPr="00FC2C91">
        <w:rPr>
          <w:rFonts w:ascii="Times New Roman" w:hAnsi="Times New Roman" w:cs="Times New Roman"/>
          <w:sz w:val="22"/>
          <w:szCs w:val="20"/>
        </w:rPr>
        <w:t xml:space="preserve"> pārbau</w:t>
      </w:r>
      <w:r>
        <w:rPr>
          <w:rFonts w:ascii="Times New Roman" w:hAnsi="Times New Roman" w:cs="Times New Roman"/>
          <w:sz w:val="22"/>
          <w:szCs w:val="20"/>
        </w:rPr>
        <w:t>žu</w:t>
      </w:r>
      <w:r w:rsidRPr="00FC2C91">
        <w:rPr>
          <w:rFonts w:ascii="Times New Roman" w:hAnsi="Times New Roman" w:cs="Times New Roman"/>
          <w:sz w:val="22"/>
          <w:szCs w:val="20"/>
        </w:rPr>
        <w:t xml:space="preserve"> un analī</w:t>
      </w:r>
      <w:r>
        <w:rPr>
          <w:rFonts w:ascii="Times New Roman" w:hAnsi="Times New Roman" w:cs="Times New Roman"/>
          <w:sz w:val="22"/>
          <w:szCs w:val="20"/>
        </w:rPr>
        <w:t>žu</w:t>
      </w:r>
      <w:r w:rsidRPr="00FC2C91">
        <w:rPr>
          <w:rFonts w:ascii="Times New Roman" w:hAnsi="Times New Roman" w:cs="Times New Roman"/>
          <w:sz w:val="22"/>
          <w:szCs w:val="20"/>
        </w:rPr>
        <w:t xml:space="preserve"> izmaksas ar vidējo gada pieaugumu 4,9%</w:t>
      </w:r>
      <w:r>
        <w:rPr>
          <w:rFonts w:ascii="Times New Roman" w:hAnsi="Times New Roman" w:cs="Times New Roman"/>
          <w:sz w:val="22"/>
          <w:szCs w:val="20"/>
        </w:rPr>
        <w:t>.</w:t>
      </w:r>
    </w:p>
    <w:p w14:paraId="7CA8A0D6" w14:textId="77777777" w:rsidR="005D01B6" w:rsidRPr="009D7D08" w:rsidRDefault="005D01B6" w:rsidP="005D01B6">
      <w:pPr>
        <w:pStyle w:val="Default"/>
        <w:spacing w:after="131" w:line="360" w:lineRule="auto"/>
        <w:ind w:left="720"/>
        <w:jc w:val="both"/>
        <w:rPr>
          <w:rFonts w:ascii="Times New Roman" w:hAnsi="Times New Roman" w:cs="Times New Roman"/>
          <w:sz w:val="22"/>
          <w:szCs w:val="20"/>
        </w:rPr>
      </w:pPr>
      <w:r w:rsidRPr="00FC2C91">
        <w:rPr>
          <w:rFonts w:ascii="Times New Roman" w:hAnsi="Times New Roman" w:cs="Times New Roman"/>
          <w:sz w:val="22"/>
          <w:szCs w:val="20"/>
        </w:rPr>
        <w:t>Būvmateriālu izmaksām tiek prognozēts vidējs ikgadējs pieaugums par 3,1% un mašīnu un mehānismu uzturēšanas un ekspluatācijas izmaksām vidējais ikgadējais pieaugums par 2,4%</w:t>
      </w:r>
      <w:r w:rsidRPr="009D7D08">
        <w:rPr>
          <w:rFonts w:ascii="Times New Roman" w:hAnsi="Times New Roman" w:cs="Times New Roman"/>
          <w:sz w:val="22"/>
          <w:szCs w:val="20"/>
        </w:rPr>
        <w:t>.</w:t>
      </w:r>
    </w:p>
    <w:p w14:paraId="6C2F3E75" w14:textId="77777777" w:rsidR="005D01B6" w:rsidRPr="00A12E46" w:rsidRDefault="005D01B6" w:rsidP="005D01B6">
      <w:pPr>
        <w:pStyle w:val="Default"/>
        <w:numPr>
          <w:ilvl w:val="0"/>
          <w:numId w:val="7"/>
        </w:numPr>
        <w:spacing w:after="131"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Gan vispārējo, gan </w:t>
      </w:r>
      <w:proofErr w:type="spellStart"/>
      <w:r>
        <w:rPr>
          <w:rFonts w:ascii="Times New Roman" w:hAnsi="Times New Roman" w:cs="Times New Roman"/>
          <w:sz w:val="22"/>
          <w:szCs w:val="22"/>
        </w:rPr>
        <w:t>apakšnozaru</w:t>
      </w:r>
      <w:proofErr w:type="spellEnd"/>
      <w:r w:rsidRPr="00A12E46">
        <w:rPr>
          <w:rFonts w:ascii="Times New Roman" w:hAnsi="Times New Roman" w:cs="Times New Roman"/>
          <w:sz w:val="22"/>
          <w:szCs w:val="22"/>
        </w:rPr>
        <w:t xml:space="preserve"> ekspertu vērtējumā </w:t>
      </w:r>
      <w:r>
        <w:rPr>
          <w:rFonts w:ascii="Times New Roman" w:hAnsi="Times New Roman" w:cs="Times New Roman"/>
          <w:sz w:val="22"/>
          <w:szCs w:val="22"/>
        </w:rPr>
        <w:t xml:space="preserve">valda vienprātība par </w:t>
      </w:r>
      <w:r w:rsidRPr="00A12E46">
        <w:rPr>
          <w:rFonts w:ascii="Times New Roman" w:hAnsi="Times New Roman" w:cs="Times New Roman"/>
          <w:sz w:val="22"/>
          <w:szCs w:val="22"/>
        </w:rPr>
        <w:t>būtisk</w:t>
      </w:r>
      <w:r>
        <w:rPr>
          <w:rFonts w:ascii="Times New Roman" w:hAnsi="Times New Roman" w:cs="Times New Roman"/>
          <w:sz w:val="22"/>
          <w:szCs w:val="22"/>
        </w:rPr>
        <w:t>ajiem</w:t>
      </w:r>
      <w:r w:rsidRPr="00A12E46">
        <w:rPr>
          <w:rFonts w:ascii="Times New Roman" w:hAnsi="Times New Roman" w:cs="Times New Roman"/>
          <w:sz w:val="22"/>
          <w:szCs w:val="22"/>
        </w:rPr>
        <w:t xml:space="preserve"> faktori</w:t>
      </w:r>
      <w:r>
        <w:rPr>
          <w:rFonts w:ascii="Times New Roman" w:hAnsi="Times New Roman" w:cs="Times New Roman"/>
          <w:sz w:val="22"/>
          <w:szCs w:val="22"/>
        </w:rPr>
        <w:t>em</w:t>
      </w:r>
      <w:r w:rsidRPr="00A12E46">
        <w:rPr>
          <w:rFonts w:ascii="Times New Roman" w:hAnsi="Times New Roman" w:cs="Times New Roman"/>
          <w:sz w:val="22"/>
          <w:szCs w:val="22"/>
        </w:rPr>
        <w:t>, kas ie</w:t>
      </w:r>
      <w:r w:rsidRPr="00B57ACA">
        <w:rPr>
          <w:rFonts w:ascii="Times New Roman" w:hAnsi="Times New Roman" w:cs="Times New Roman"/>
          <w:sz w:val="22"/>
          <w:szCs w:val="22"/>
        </w:rPr>
        <w:t>tekmēs darbaspēka izmaksas būvniecības nozarē 2020. – 2024. gadam Latvijā</w:t>
      </w:r>
      <w:r>
        <w:rPr>
          <w:rFonts w:ascii="Times New Roman" w:hAnsi="Times New Roman" w:cs="Times New Roman"/>
          <w:sz w:val="22"/>
          <w:szCs w:val="22"/>
        </w:rPr>
        <w:t>, tie</w:t>
      </w:r>
      <w:r w:rsidRPr="00B57ACA">
        <w:rPr>
          <w:rFonts w:ascii="Times New Roman" w:hAnsi="Times New Roman" w:cs="Times New Roman"/>
          <w:sz w:val="22"/>
          <w:szCs w:val="22"/>
        </w:rPr>
        <w:t xml:space="preserve"> ir:</w:t>
      </w:r>
      <w:r w:rsidRPr="00A12E46">
        <w:rPr>
          <w:rFonts w:ascii="Times New Roman" w:hAnsi="Times New Roman" w:cs="Times New Roman"/>
          <w:sz w:val="22"/>
          <w:szCs w:val="22"/>
        </w:rPr>
        <w:t xml:space="preserve"> </w:t>
      </w:r>
    </w:p>
    <w:p w14:paraId="6B7BED23" w14:textId="77777777" w:rsidR="005D01B6" w:rsidRPr="00DE5934" w:rsidRDefault="005D01B6" w:rsidP="005D01B6">
      <w:pPr>
        <w:pStyle w:val="Default"/>
        <w:numPr>
          <w:ilvl w:val="0"/>
          <w:numId w:val="8"/>
        </w:numPr>
        <w:spacing w:after="131"/>
        <w:rPr>
          <w:rFonts w:ascii="Times New Roman" w:hAnsi="Times New Roman" w:cs="Times New Roman"/>
          <w:bCs/>
          <w:sz w:val="22"/>
          <w:szCs w:val="22"/>
        </w:rPr>
      </w:pPr>
      <w:r>
        <w:rPr>
          <w:rFonts w:ascii="Times New Roman" w:hAnsi="Times New Roman" w:cs="Times New Roman"/>
          <w:bCs/>
          <w:sz w:val="22"/>
          <w:szCs w:val="22"/>
        </w:rPr>
        <w:t>d</w:t>
      </w:r>
      <w:r w:rsidRPr="00DE5934">
        <w:rPr>
          <w:rFonts w:ascii="Times New Roman" w:hAnsi="Times New Roman" w:cs="Times New Roman"/>
          <w:bCs/>
          <w:sz w:val="22"/>
          <w:szCs w:val="22"/>
        </w:rPr>
        <w:t>arbaspēka nodokļu līmenis Latvijā</w:t>
      </w:r>
      <w:r>
        <w:rPr>
          <w:rFonts w:ascii="Times New Roman" w:hAnsi="Times New Roman" w:cs="Times New Roman"/>
          <w:bCs/>
          <w:sz w:val="22"/>
          <w:szCs w:val="22"/>
        </w:rPr>
        <w:t xml:space="preserve">;    </w:t>
      </w:r>
    </w:p>
    <w:p w14:paraId="0C454171" w14:textId="77777777" w:rsidR="005D01B6" w:rsidRPr="005D01B6" w:rsidRDefault="005D01B6" w:rsidP="005D01B6">
      <w:pPr>
        <w:pStyle w:val="Default"/>
        <w:numPr>
          <w:ilvl w:val="0"/>
          <w:numId w:val="8"/>
        </w:numPr>
        <w:spacing w:after="131"/>
        <w:rPr>
          <w:rFonts w:ascii="Times New Roman" w:hAnsi="Times New Roman" w:cs="Times New Roman"/>
          <w:bCs/>
          <w:sz w:val="22"/>
          <w:szCs w:val="22"/>
        </w:rPr>
      </w:pPr>
      <w:r w:rsidRPr="005D01B6">
        <w:rPr>
          <w:rFonts w:ascii="Times New Roman" w:hAnsi="Times New Roman" w:cs="Times New Roman"/>
          <w:bCs/>
          <w:sz w:val="22"/>
          <w:szCs w:val="22"/>
        </w:rPr>
        <w:t>būvniecības apjoms Latvijā;</w:t>
      </w:r>
    </w:p>
    <w:p w14:paraId="57EC4AEA" w14:textId="77777777" w:rsidR="005D01B6" w:rsidRDefault="005D01B6" w:rsidP="005D01B6">
      <w:pPr>
        <w:pStyle w:val="Default"/>
        <w:spacing w:after="131" w:line="360" w:lineRule="auto"/>
        <w:ind w:left="567"/>
        <w:jc w:val="both"/>
        <w:rPr>
          <w:rFonts w:ascii="Times New Roman" w:hAnsi="Times New Roman" w:cs="Times New Roman"/>
          <w:sz w:val="22"/>
          <w:szCs w:val="22"/>
        </w:rPr>
      </w:pPr>
      <w:r>
        <w:rPr>
          <w:rFonts w:ascii="Times New Roman" w:hAnsi="Times New Roman" w:cs="Times New Roman"/>
          <w:bCs/>
          <w:sz w:val="22"/>
          <w:szCs w:val="22"/>
        </w:rPr>
        <w:t xml:space="preserve">Savukārt par pārējiem darbaspēka izmaksas ietekmējošiem faktoriem domas dalās. </w:t>
      </w:r>
      <w:r>
        <w:rPr>
          <w:rFonts w:ascii="Times New Roman" w:hAnsi="Times New Roman" w:cs="Times New Roman"/>
          <w:sz w:val="22"/>
          <w:szCs w:val="22"/>
        </w:rPr>
        <w:t xml:space="preserve"> Vispārējie eksperti uzskata, ka darbaspēka izmaksas var ietekmēt p</w:t>
      </w:r>
      <w:r w:rsidRPr="00DE5934">
        <w:rPr>
          <w:rFonts w:ascii="Times New Roman" w:hAnsi="Times New Roman" w:cs="Times New Roman"/>
          <w:bCs/>
          <w:sz w:val="22"/>
          <w:szCs w:val="22"/>
        </w:rPr>
        <w:t>ar publiskiem līdzekļiem īstenoto būvniecības ieceru apjoms</w:t>
      </w:r>
      <w:r>
        <w:rPr>
          <w:rFonts w:ascii="Times New Roman" w:hAnsi="Times New Roman" w:cs="Times New Roman"/>
          <w:bCs/>
          <w:sz w:val="22"/>
          <w:szCs w:val="22"/>
        </w:rPr>
        <w:t xml:space="preserve"> un ē</w:t>
      </w:r>
      <w:r w:rsidRPr="00DE5934">
        <w:rPr>
          <w:rFonts w:ascii="Times New Roman" w:hAnsi="Times New Roman" w:cs="Times New Roman"/>
          <w:bCs/>
          <w:sz w:val="22"/>
          <w:szCs w:val="22"/>
        </w:rPr>
        <w:t>nu ekonomikas apkarošanas pasākum</w:t>
      </w:r>
      <w:r>
        <w:rPr>
          <w:rFonts w:ascii="Times New Roman" w:hAnsi="Times New Roman" w:cs="Times New Roman"/>
          <w:bCs/>
          <w:sz w:val="22"/>
          <w:szCs w:val="22"/>
        </w:rPr>
        <w:t xml:space="preserve">i, toties </w:t>
      </w:r>
      <w:proofErr w:type="spellStart"/>
      <w:r>
        <w:rPr>
          <w:rFonts w:ascii="Times New Roman" w:hAnsi="Times New Roman" w:cs="Times New Roman"/>
          <w:bCs/>
          <w:sz w:val="22"/>
          <w:szCs w:val="22"/>
        </w:rPr>
        <w:t>apakšnozaru</w:t>
      </w:r>
      <w:proofErr w:type="spellEnd"/>
      <w:r>
        <w:rPr>
          <w:rFonts w:ascii="Times New Roman" w:hAnsi="Times New Roman" w:cs="Times New Roman"/>
          <w:bCs/>
          <w:sz w:val="22"/>
          <w:szCs w:val="22"/>
        </w:rPr>
        <w:t xml:space="preserve"> eksperti lielāku ietekmi saskata </w:t>
      </w:r>
      <w:r w:rsidRPr="00DF4ADB">
        <w:rPr>
          <w:rFonts w:ascii="Times New Roman" w:hAnsi="Times New Roman" w:cs="Times New Roman"/>
          <w:bCs/>
          <w:sz w:val="22"/>
          <w:szCs w:val="22"/>
        </w:rPr>
        <w:t>darbaspēka pieprasījum</w:t>
      </w:r>
      <w:r>
        <w:rPr>
          <w:rFonts w:ascii="Times New Roman" w:hAnsi="Times New Roman" w:cs="Times New Roman"/>
          <w:bCs/>
          <w:sz w:val="22"/>
          <w:szCs w:val="22"/>
        </w:rPr>
        <w:t xml:space="preserve">ā </w:t>
      </w:r>
      <w:r w:rsidRPr="00DF4ADB">
        <w:rPr>
          <w:rFonts w:ascii="Times New Roman" w:hAnsi="Times New Roman" w:cs="Times New Roman"/>
          <w:bCs/>
          <w:sz w:val="22"/>
          <w:szCs w:val="22"/>
        </w:rPr>
        <w:t xml:space="preserve"> </w:t>
      </w:r>
      <w:r>
        <w:rPr>
          <w:rFonts w:ascii="Times New Roman" w:hAnsi="Times New Roman" w:cs="Times New Roman"/>
          <w:bCs/>
          <w:sz w:val="22"/>
          <w:szCs w:val="22"/>
        </w:rPr>
        <w:t xml:space="preserve">un </w:t>
      </w:r>
      <w:r w:rsidRPr="00DF4ADB">
        <w:rPr>
          <w:rFonts w:ascii="Times New Roman" w:hAnsi="Times New Roman" w:cs="Times New Roman"/>
          <w:bCs/>
          <w:sz w:val="22"/>
          <w:szCs w:val="22"/>
        </w:rPr>
        <w:t>samaksas līmenis būvniecības nozarē ES</w:t>
      </w:r>
      <w:r>
        <w:rPr>
          <w:rFonts w:ascii="Times New Roman" w:hAnsi="Times New Roman" w:cs="Times New Roman"/>
          <w:bCs/>
          <w:sz w:val="22"/>
          <w:szCs w:val="22"/>
        </w:rPr>
        <w:t>.</w:t>
      </w:r>
    </w:p>
    <w:p w14:paraId="1F02DC0F" w14:textId="77777777" w:rsidR="005D01B6" w:rsidRDefault="005D01B6" w:rsidP="005D01B6">
      <w:pPr>
        <w:pStyle w:val="Default"/>
        <w:spacing w:after="131" w:line="360" w:lineRule="auto"/>
        <w:ind w:left="567"/>
        <w:jc w:val="both"/>
        <w:rPr>
          <w:rFonts w:ascii="Times New Roman" w:hAnsi="Times New Roman" w:cs="Times New Roman"/>
          <w:bCs/>
          <w:sz w:val="22"/>
          <w:szCs w:val="22"/>
        </w:rPr>
      </w:pPr>
      <w:r w:rsidRPr="00802C32">
        <w:rPr>
          <w:rFonts w:ascii="Times New Roman" w:hAnsi="Times New Roman" w:cs="Times New Roman"/>
          <w:sz w:val="22"/>
          <w:szCs w:val="22"/>
        </w:rPr>
        <w:t>Vērtējot faktorus, kas ietekmēs būvmateriālu izmaksas būvniecības nozarē 2020.- 2024. gadam Latvijā, gan  vispārējie ekspert</w:t>
      </w:r>
      <w:r>
        <w:rPr>
          <w:rFonts w:ascii="Times New Roman" w:hAnsi="Times New Roman" w:cs="Times New Roman"/>
          <w:sz w:val="22"/>
          <w:szCs w:val="22"/>
        </w:rPr>
        <w:t>i</w:t>
      </w:r>
      <w:r w:rsidRPr="00802C32">
        <w:rPr>
          <w:rFonts w:ascii="Times New Roman" w:hAnsi="Times New Roman" w:cs="Times New Roman"/>
          <w:sz w:val="22"/>
          <w:szCs w:val="22"/>
        </w:rPr>
        <w:t xml:space="preserve">, gan </w:t>
      </w:r>
      <w:proofErr w:type="spellStart"/>
      <w:r w:rsidRPr="00802C32">
        <w:rPr>
          <w:rFonts w:ascii="Times New Roman" w:hAnsi="Times New Roman" w:cs="Times New Roman"/>
          <w:sz w:val="22"/>
          <w:szCs w:val="22"/>
        </w:rPr>
        <w:t>apakšnozaru</w:t>
      </w:r>
      <w:proofErr w:type="spellEnd"/>
      <w:r w:rsidRPr="00802C32">
        <w:rPr>
          <w:rFonts w:ascii="Times New Roman" w:hAnsi="Times New Roman" w:cs="Times New Roman"/>
          <w:sz w:val="22"/>
          <w:szCs w:val="22"/>
        </w:rPr>
        <w:t xml:space="preserve"> eksperti kā būtiskāko norāda - </w:t>
      </w:r>
      <w:r w:rsidRPr="00584BE1">
        <w:rPr>
          <w:rFonts w:ascii="Times New Roman" w:hAnsi="Times New Roman" w:cs="Times New Roman"/>
          <w:b/>
          <w:bCs/>
          <w:sz w:val="22"/>
          <w:szCs w:val="22"/>
        </w:rPr>
        <w:t>būvniecības apjomu Latvijā</w:t>
      </w:r>
      <w:r>
        <w:rPr>
          <w:rFonts w:ascii="Times New Roman" w:hAnsi="Times New Roman" w:cs="Times New Roman"/>
          <w:bCs/>
          <w:sz w:val="22"/>
          <w:szCs w:val="22"/>
        </w:rPr>
        <w:t>.</w:t>
      </w:r>
    </w:p>
    <w:p w14:paraId="4BC0F840" w14:textId="77777777" w:rsidR="005D01B6" w:rsidRDefault="005D01B6" w:rsidP="005D01B6">
      <w:pPr>
        <w:pStyle w:val="Default"/>
        <w:spacing w:after="131" w:line="360" w:lineRule="auto"/>
        <w:ind w:left="567"/>
        <w:jc w:val="both"/>
        <w:rPr>
          <w:rFonts w:ascii="Times New Roman" w:hAnsi="Times New Roman" w:cs="Times New Roman"/>
          <w:sz w:val="22"/>
          <w:szCs w:val="22"/>
        </w:rPr>
      </w:pPr>
      <w:r>
        <w:rPr>
          <w:rFonts w:ascii="Times New Roman" w:hAnsi="Times New Roman" w:cs="Times New Roman"/>
          <w:bCs/>
          <w:sz w:val="22"/>
          <w:szCs w:val="22"/>
        </w:rPr>
        <w:t xml:space="preserve">Par pārējiem </w:t>
      </w:r>
      <w:r w:rsidRPr="00802C32">
        <w:rPr>
          <w:rFonts w:ascii="Times New Roman" w:hAnsi="Times New Roman" w:cs="Times New Roman"/>
          <w:sz w:val="22"/>
          <w:szCs w:val="22"/>
        </w:rPr>
        <w:t>būvmateriālu izmaksas</w:t>
      </w:r>
      <w:r>
        <w:rPr>
          <w:rFonts w:ascii="Times New Roman" w:hAnsi="Times New Roman" w:cs="Times New Roman"/>
          <w:sz w:val="22"/>
          <w:szCs w:val="22"/>
        </w:rPr>
        <w:t xml:space="preserve"> ietekmējošiem faktoriem domas dalās.</w:t>
      </w:r>
    </w:p>
    <w:p w14:paraId="4500900F" w14:textId="77777777" w:rsidR="005D01B6" w:rsidRPr="00F72337" w:rsidRDefault="005D01B6" w:rsidP="005D01B6">
      <w:pPr>
        <w:pStyle w:val="Default"/>
        <w:numPr>
          <w:ilvl w:val="0"/>
          <w:numId w:val="7"/>
        </w:numPr>
        <w:spacing w:after="131" w:line="360" w:lineRule="auto"/>
        <w:jc w:val="both"/>
        <w:rPr>
          <w:rFonts w:ascii="Times New Roman" w:hAnsi="Times New Roman" w:cs="Times New Roman"/>
          <w:b/>
          <w:sz w:val="22"/>
          <w:szCs w:val="22"/>
        </w:rPr>
      </w:pPr>
      <w:r w:rsidRPr="00F72337">
        <w:rPr>
          <w:rFonts w:ascii="Times New Roman" w:hAnsi="Times New Roman" w:cs="Times New Roman"/>
          <w:sz w:val="22"/>
          <w:szCs w:val="22"/>
        </w:rPr>
        <w:t xml:space="preserve">Dzīvojamo un nedzīvojamu ēku būvniecības </w:t>
      </w:r>
      <w:proofErr w:type="spellStart"/>
      <w:r w:rsidRPr="00F72337">
        <w:rPr>
          <w:rFonts w:ascii="Times New Roman" w:hAnsi="Times New Roman" w:cs="Times New Roman"/>
          <w:sz w:val="22"/>
          <w:szCs w:val="22"/>
        </w:rPr>
        <w:t>apakšnozares</w:t>
      </w:r>
      <w:proofErr w:type="spellEnd"/>
      <w:r w:rsidRPr="00F72337">
        <w:rPr>
          <w:rFonts w:ascii="Times New Roman" w:hAnsi="Times New Roman" w:cs="Times New Roman"/>
          <w:sz w:val="22"/>
          <w:szCs w:val="22"/>
        </w:rPr>
        <w:t xml:space="preserve"> ekspertu vērtējumā būtiskākais no pētīt</w:t>
      </w:r>
      <w:r>
        <w:rPr>
          <w:rFonts w:ascii="Times New Roman" w:hAnsi="Times New Roman" w:cs="Times New Roman"/>
          <w:sz w:val="22"/>
          <w:szCs w:val="22"/>
        </w:rPr>
        <w:t>a</w:t>
      </w:r>
      <w:r w:rsidRPr="00F72337">
        <w:rPr>
          <w:rFonts w:ascii="Times New Roman" w:hAnsi="Times New Roman" w:cs="Times New Roman"/>
          <w:sz w:val="22"/>
          <w:szCs w:val="22"/>
        </w:rPr>
        <w:t xml:space="preserve">jiem faktoriem, kas ietekmē </w:t>
      </w:r>
      <w:r>
        <w:rPr>
          <w:rFonts w:ascii="Times New Roman" w:hAnsi="Times New Roman" w:cs="Times New Roman"/>
          <w:sz w:val="22"/>
          <w:szCs w:val="22"/>
        </w:rPr>
        <w:t xml:space="preserve">gan </w:t>
      </w:r>
      <w:r w:rsidRPr="00F72337">
        <w:rPr>
          <w:rFonts w:ascii="Times New Roman" w:hAnsi="Times New Roman" w:cs="Times New Roman"/>
          <w:sz w:val="22"/>
          <w:szCs w:val="22"/>
        </w:rPr>
        <w:t>darbaspēka</w:t>
      </w:r>
      <w:r>
        <w:rPr>
          <w:rFonts w:ascii="Times New Roman" w:hAnsi="Times New Roman" w:cs="Times New Roman"/>
          <w:sz w:val="22"/>
          <w:szCs w:val="22"/>
        </w:rPr>
        <w:t>, gan būvmateriālu</w:t>
      </w:r>
      <w:r w:rsidRPr="00F72337">
        <w:rPr>
          <w:rFonts w:ascii="Times New Roman" w:hAnsi="Times New Roman" w:cs="Times New Roman"/>
          <w:sz w:val="22"/>
          <w:szCs w:val="22"/>
        </w:rPr>
        <w:t xml:space="preserve"> izmaksas, </w:t>
      </w:r>
      <w:r w:rsidRPr="00584BE1">
        <w:rPr>
          <w:rFonts w:ascii="Times New Roman" w:hAnsi="Times New Roman" w:cs="Times New Roman"/>
          <w:b/>
          <w:bCs/>
          <w:sz w:val="22"/>
          <w:szCs w:val="22"/>
        </w:rPr>
        <w:t>ir būvniecības apjoms Latvijā</w:t>
      </w:r>
      <w:r w:rsidRPr="00F72337">
        <w:rPr>
          <w:rFonts w:ascii="Times New Roman" w:hAnsi="Times New Roman" w:cs="Times New Roman"/>
          <w:sz w:val="22"/>
          <w:szCs w:val="22"/>
        </w:rPr>
        <w:t xml:space="preserve">. </w:t>
      </w:r>
    </w:p>
    <w:p w14:paraId="41A35D00" w14:textId="77777777" w:rsidR="005D01B6" w:rsidRPr="00F72337" w:rsidRDefault="005D01B6" w:rsidP="005D01B6">
      <w:pPr>
        <w:pStyle w:val="Default"/>
        <w:numPr>
          <w:ilvl w:val="0"/>
          <w:numId w:val="7"/>
        </w:numPr>
        <w:spacing w:after="131" w:line="360" w:lineRule="auto"/>
        <w:jc w:val="both"/>
        <w:rPr>
          <w:rFonts w:ascii="Times New Roman" w:hAnsi="Times New Roman" w:cs="Times New Roman"/>
          <w:b/>
          <w:sz w:val="22"/>
          <w:szCs w:val="22"/>
        </w:rPr>
      </w:pPr>
      <w:r>
        <w:rPr>
          <w:rFonts w:ascii="Times New Roman" w:hAnsi="Times New Roman" w:cs="Times New Roman"/>
          <w:sz w:val="22"/>
          <w:szCs w:val="22"/>
        </w:rPr>
        <w:t>Transporta objektu</w:t>
      </w:r>
      <w:r w:rsidRPr="00F72337">
        <w:rPr>
          <w:rFonts w:ascii="Times New Roman" w:hAnsi="Times New Roman" w:cs="Times New Roman"/>
          <w:sz w:val="22"/>
          <w:szCs w:val="22"/>
        </w:rPr>
        <w:t xml:space="preserve"> būvniecības </w:t>
      </w:r>
      <w:proofErr w:type="spellStart"/>
      <w:r w:rsidRPr="00F72337">
        <w:rPr>
          <w:rFonts w:ascii="Times New Roman" w:hAnsi="Times New Roman" w:cs="Times New Roman"/>
          <w:sz w:val="22"/>
          <w:szCs w:val="22"/>
        </w:rPr>
        <w:t>apakšnozares</w:t>
      </w:r>
      <w:proofErr w:type="spellEnd"/>
      <w:r w:rsidRPr="00F72337">
        <w:rPr>
          <w:rFonts w:ascii="Times New Roman" w:hAnsi="Times New Roman" w:cs="Times New Roman"/>
          <w:sz w:val="22"/>
          <w:szCs w:val="22"/>
        </w:rPr>
        <w:t xml:space="preserve"> ekspertu vērtējumā būtiskākais no pētītājiem faktoriem, kas ietekmē darbaspēka</w:t>
      </w:r>
      <w:r>
        <w:rPr>
          <w:rFonts w:ascii="Times New Roman" w:hAnsi="Times New Roman" w:cs="Times New Roman"/>
          <w:sz w:val="22"/>
          <w:szCs w:val="22"/>
        </w:rPr>
        <w:t xml:space="preserve"> izmaksas, ir n</w:t>
      </w:r>
      <w:r w:rsidRPr="00DC3C82">
        <w:rPr>
          <w:rFonts w:ascii="Times New Roman" w:hAnsi="Times New Roman" w:cs="Times New Roman"/>
          <w:sz w:val="22"/>
          <w:szCs w:val="22"/>
        </w:rPr>
        <w:t>evienmērīga ES līdzekļu piesaiste</w:t>
      </w:r>
      <w:r>
        <w:rPr>
          <w:rFonts w:ascii="Times New Roman" w:hAnsi="Times New Roman" w:cs="Times New Roman"/>
          <w:sz w:val="22"/>
          <w:szCs w:val="22"/>
        </w:rPr>
        <w:t xml:space="preserve">, </w:t>
      </w:r>
      <w:r w:rsidRPr="00DC3C82">
        <w:rPr>
          <w:rFonts w:ascii="Times New Roman" w:hAnsi="Times New Roman" w:cs="Times New Roman"/>
          <w:sz w:val="22"/>
          <w:szCs w:val="22"/>
        </w:rPr>
        <w:t>plānošana</w:t>
      </w:r>
      <w:r>
        <w:rPr>
          <w:rFonts w:ascii="Times New Roman" w:hAnsi="Times New Roman" w:cs="Times New Roman"/>
          <w:sz w:val="22"/>
          <w:szCs w:val="22"/>
        </w:rPr>
        <w:t xml:space="preserve"> un </w:t>
      </w:r>
      <w:r w:rsidRPr="00DC3C82">
        <w:rPr>
          <w:rFonts w:ascii="Times New Roman" w:hAnsi="Times New Roman" w:cs="Times New Roman"/>
          <w:sz w:val="22"/>
          <w:szCs w:val="22"/>
        </w:rPr>
        <w:t>izmantošana būvniecības nozarē plānošanas perioda ietvaros</w:t>
      </w:r>
      <w:r>
        <w:rPr>
          <w:rFonts w:ascii="Times New Roman" w:hAnsi="Times New Roman" w:cs="Times New Roman"/>
          <w:sz w:val="22"/>
          <w:szCs w:val="22"/>
        </w:rPr>
        <w:t xml:space="preserve">. Kā būvmateriālu izmaksas būtiskāk ietekmējošais faktors tika atzīts </w:t>
      </w:r>
      <w:r w:rsidRPr="00FB3228">
        <w:rPr>
          <w:rFonts w:ascii="Times New Roman" w:hAnsi="Times New Roman" w:cs="Times New Roman"/>
          <w:sz w:val="22"/>
          <w:szCs w:val="22"/>
        </w:rPr>
        <w:t>saskaņots pieejamā finansējuma izlietojums</w:t>
      </w:r>
      <w:r>
        <w:rPr>
          <w:rFonts w:ascii="Times New Roman" w:hAnsi="Times New Roman" w:cs="Times New Roman"/>
          <w:sz w:val="22"/>
          <w:szCs w:val="22"/>
        </w:rPr>
        <w:t xml:space="preserve"> un </w:t>
      </w:r>
      <w:r w:rsidRPr="00FB3228">
        <w:rPr>
          <w:rFonts w:ascii="Times New Roman" w:hAnsi="Times New Roman" w:cs="Times New Roman"/>
          <w:sz w:val="22"/>
          <w:szCs w:val="22"/>
        </w:rPr>
        <w:t xml:space="preserve"> nevienmērīgs apgūstamā finansējuma apjoms konkrētā laika periodā</w:t>
      </w:r>
      <w:r w:rsidRPr="00F72337">
        <w:rPr>
          <w:rFonts w:ascii="Times New Roman" w:hAnsi="Times New Roman" w:cs="Times New Roman"/>
          <w:sz w:val="22"/>
          <w:szCs w:val="22"/>
        </w:rPr>
        <w:t xml:space="preserve">. </w:t>
      </w:r>
    </w:p>
    <w:p w14:paraId="3333A2C4" w14:textId="77777777" w:rsidR="005D01B6" w:rsidRPr="00F72337" w:rsidRDefault="005D01B6" w:rsidP="005D01B6">
      <w:pPr>
        <w:pStyle w:val="Default"/>
        <w:numPr>
          <w:ilvl w:val="0"/>
          <w:numId w:val="7"/>
        </w:numPr>
        <w:spacing w:after="131" w:line="360" w:lineRule="auto"/>
        <w:jc w:val="both"/>
        <w:rPr>
          <w:rFonts w:ascii="Times New Roman" w:hAnsi="Times New Roman" w:cs="Times New Roman"/>
          <w:b/>
          <w:sz w:val="22"/>
          <w:szCs w:val="22"/>
        </w:rPr>
      </w:pPr>
      <w:r>
        <w:rPr>
          <w:rFonts w:ascii="Times New Roman" w:hAnsi="Times New Roman" w:cs="Times New Roman"/>
          <w:sz w:val="22"/>
          <w:szCs w:val="22"/>
        </w:rPr>
        <w:t xml:space="preserve">Pilsētu infrastruktūras objektu </w:t>
      </w:r>
      <w:r w:rsidRPr="00F72337">
        <w:rPr>
          <w:rFonts w:ascii="Times New Roman" w:hAnsi="Times New Roman" w:cs="Times New Roman"/>
          <w:sz w:val="22"/>
          <w:szCs w:val="22"/>
        </w:rPr>
        <w:t xml:space="preserve">būvniecības </w:t>
      </w:r>
      <w:proofErr w:type="spellStart"/>
      <w:r w:rsidRPr="00F72337">
        <w:rPr>
          <w:rFonts w:ascii="Times New Roman" w:hAnsi="Times New Roman" w:cs="Times New Roman"/>
          <w:sz w:val="22"/>
          <w:szCs w:val="22"/>
        </w:rPr>
        <w:t>apakšnozares</w:t>
      </w:r>
      <w:proofErr w:type="spellEnd"/>
      <w:r w:rsidRPr="00F72337">
        <w:rPr>
          <w:rFonts w:ascii="Times New Roman" w:hAnsi="Times New Roman" w:cs="Times New Roman"/>
          <w:sz w:val="22"/>
          <w:szCs w:val="22"/>
        </w:rPr>
        <w:t xml:space="preserve"> ekspertu vērtējumā būtiskākais no pētīt</w:t>
      </w:r>
      <w:r>
        <w:rPr>
          <w:rFonts w:ascii="Times New Roman" w:hAnsi="Times New Roman" w:cs="Times New Roman"/>
          <w:sz w:val="22"/>
          <w:szCs w:val="22"/>
        </w:rPr>
        <w:t>a</w:t>
      </w:r>
      <w:r w:rsidRPr="00F72337">
        <w:rPr>
          <w:rFonts w:ascii="Times New Roman" w:hAnsi="Times New Roman" w:cs="Times New Roman"/>
          <w:sz w:val="22"/>
          <w:szCs w:val="22"/>
        </w:rPr>
        <w:t>jiem faktoriem, kas ietekmē</w:t>
      </w:r>
      <w:r>
        <w:rPr>
          <w:rFonts w:ascii="Times New Roman" w:hAnsi="Times New Roman" w:cs="Times New Roman"/>
          <w:sz w:val="22"/>
          <w:szCs w:val="22"/>
        </w:rPr>
        <w:t xml:space="preserve"> </w:t>
      </w:r>
      <w:r w:rsidRPr="00F72337">
        <w:rPr>
          <w:rFonts w:ascii="Times New Roman" w:hAnsi="Times New Roman" w:cs="Times New Roman"/>
          <w:sz w:val="22"/>
          <w:szCs w:val="22"/>
        </w:rPr>
        <w:t>darbaspēka</w:t>
      </w:r>
      <w:r>
        <w:rPr>
          <w:rFonts w:ascii="Times New Roman" w:hAnsi="Times New Roman" w:cs="Times New Roman"/>
          <w:sz w:val="22"/>
          <w:szCs w:val="22"/>
        </w:rPr>
        <w:t xml:space="preserve"> izmaksas, ir darbaspēka trūkums. Savukārt būvmateriālu</w:t>
      </w:r>
      <w:r w:rsidRPr="00F72337">
        <w:rPr>
          <w:rFonts w:ascii="Times New Roman" w:hAnsi="Times New Roman" w:cs="Times New Roman"/>
          <w:sz w:val="22"/>
          <w:szCs w:val="22"/>
        </w:rPr>
        <w:t xml:space="preserve"> izmaksas</w:t>
      </w:r>
      <w:r>
        <w:rPr>
          <w:rFonts w:ascii="Times New Roman" w:hAnsi="Times New Roman" w:cs="Times New Roman"/>
          <w:sz w:val="22"/>
          <w:szCs w:val="22"/>
        </w:rPr>
        <w:t xml:space="preserve"> visbūtiskāk ietekmē tērauda cauruļu un veidgabalu pieejamība un to cenu līmenis ES tirgū</w:t>
      </w:r>
      <w:r w:rsidRPr="00F72337">
        <w:rPr>
          <w:rFonts w:ascii="Times New Roman" w:hAnsi="Times New Roman" w:cs="Times New Roman"/>
          <w:sz w:val="22"/>
          <w:szCs w:val="22"/>
        </w:rPr>
        <w:t xml:space="preserve">. </w:t>
      </w:r>
    </w:p>
    <w:p w14:paraId="5EF803E8" w14:textId="77777777" w:rsidR="005D01B6" w:rsidRPr="00F72337" w:rsidRDefault="005D01B6" w:rsidP="005D01B6">
      <w:pPr>
        <w:pStyle w:val="Default"/>
        <w:numPr>
          <w:ilvl w:val="0"/>
          <w:numId w:val="7"/>
        </w:numPr>
        <w:spacing w:after="131" w:line="360" w:lineRule="auto"/>
        <w:jc w:val="both"/>
        <w:rPr>
          <w:rFonts w:ascii="Times New Roman" w:hAnsi="Times New Roman" w:cs="Times New Roman"/>
          <w:b/>
          <w:sz w:val="22"/>
          <w:szCs w:val="22"/>
        </w:rPr>
      </w:pPr>
      <w:r>
        <w:rPr>
          <w:rFonts w:ascii="Times New Roman" w:hAnsi="Times New Roman" w:cs="Times New Roman"/>
          <w:sz w:val="22"/>
          <w:szCs w:val="22"/>
        </w:rPr>
        <w:t xml:space="preserve">Pārējās </w:t>
      </w:r>
      <w:proofErr w:type="spellStart"/>
      <w:r>
        <w:rPr>
          <w:rFonts w:ascii="Times New Roman" w:hAnsi="Times New Roman" w:cs="Times New Roman"/>
          <w:sz w:val="22"/>
          <w:szCs w:val="22"/>
        </w:rPr>
        <w:t>inženierbūvniecības</w:t>
      </w:r>
      <w:proofErr w:type="spellEnd"/>
      <w:r>
        <w:rPr>
          <w:rFonts w:ascii="Times New Roman" w:hAnsi="Times New Roman" w:cs="Times New Roman"/>
          <w:sz w:val="22"/>
          <w:szCs w:val="22"/>
        </w:rPr>
        <w:t xml:space="preserve"> </w:t>
      </w:r>
      <w:proofErr w:type="spellStart"/>
      <w:r w:rsidRPr="00F72337">
        <w:rPr>
          <w:rFonts w:ascii="Times New Roman" w:hAnsi="Times New Roman" w:cs="Times New Roman"/>
          <w:sz w:val="22"/>
          <w:szCs w:val="22"/>
        </w:rPr>
        <w:t>apakšnozares</w:t>
      </w:r>
      <w:proofErr w:type="spellEnd"/>
      <w:r w:rsidRPr="00F72337">
        <w:rPr>
          <w:rFonts w:ascii="Times New Roman" w:hAnsi="Times New Roman" w:cs="Times New Roman"/>
          <w:sz w:val="22"/>
          <w:szCs w:val="22"/>
        </w:rPr>
        <w:t xml:space="preserve"> ekspertu vērtējumā būtiskākais no pētītājiem faktoriem, kas ietekmē</w:t>
      </w:r>
      <w:r>
        <w:rPr>
          <w:rFonts w:ascii="Times New Roman" w:hAnsi="Times New Roman" w:cs="Times New Roman"/>
          <w:sz w:val="22"/>
          <w:szCs w:val="22"/>
        </w:rPr>
        <w:t xml:space="preserve"> </w:t>
      </w:r>
      <w:r w:rsidRPr="00F72337">
        <w:rPr>
          <w:rFonts w:ascii="Times New Roman" w:hAnsi="Times New Roman" w:cs="Times New Roman"/>
          <w:sz w:val="22"/>
          <w:szCs w:val="22"/>
        </w:rPr>
        <w:t>darbaspēka</w:t>
      </w:r>
      <w:r>
        <w:rPr>
          <w:rFonts w:ascii="Times New Roman" w:hAnsi="Times New Roman" w:cs="Times New Roman"/>
          <w:sz w:val="22"/>
          <w:szCs w:val="22"/>
        </w:rPr>
        <w:t xml:space="preserve"> izmaksas, ir gan kvalificēta darbaspēka trūkums, gan darba devēju konkurence šo kvalificēto darbinieku piesaistīšanā. Būvmateriālu</w:t>
      </w:r>
      <w:r w:rsidRPr="00F72337">
        <w:rPr>
          <w:rFonts w:ascii="Times New Roman" w:hAnsi="Times New Roman" w:cs="Times New Roman"/>
          <w:sz w:val="22"/>
          <w:szCs w:val="22"/>
        </w:rPr>
        <w:t xml:space="preserve"> izmaksas</w:t>
      </w:r>
      <w:r>
        <w:rPr>
          <w:rFonts w:ascii="Times New Roman" w:hAnsi="Times New Roman" w:cs="Times New Roman"/>
          <w:sz w:val="22"/>
          <w:szCs w:val="22"/>
        </w:rPr>
        <w:t xml:space="preserve"> visbūtiskāk no piedāvātājiem ietekmē </w:t>
      </w:r>
      <w:r w:rsidRPr="00584BE1">
        <w:rPr>
          <w:rFonts w:ascii="Times New Roman" w:hAnsi="Times New Roman" w:cs="Times New Roman"/>
          <w:b/>
          <w:bCs/>
          <w:sz w:val="22"/>
          <w:szCs w:val="22"/>
        </w:rPr>
        <w:t>būvniecības produkcijas apjoms</w:t>
      </w:r>
      <w:r>
        <w:rPr>
          <w:rFonts w:ascii="Times New Roman" w:hAnsi="Times New Roman" w:cs="Times New Roman"/>
          <w:sz w:val="22"/>
          <w:szCs w:val="22"/>
        </w:rPr>
        <w:t xml:space="preserve"> valstī</w:t>
      </w:r>
      <w:r w:rsidRPr="00F72337">
        <w:rPr>
          <w:rFonts w:ascii="Times New Roman" w:hAnsi="Times New Roman" w:cs="Times New Roman"/>
          <w:sz w:val="22"/>
          <w:szCs w:val="22"/>
        </w:rPr>
        <w:t xml:space="preserve">. </w:t>
      </w:r>
    </w:p>
    <w:p w14:paraId="6BBAB8CA" w14:textId="77777777" w:rsidR="005D01B6" w:rsidRDefault="005D01B6" w:rsidP="005D01B6">
      <w:pPr>
        <w:pStyle w:val="Default"/>
        <w:numPr>
          <w:ilvl w:val="0"/>
          <w:numId w:val="7"/>
        </w:numPr>
        <w:spacing w:after="131" w:line="360" w:lineRule="auto"/>
        <w:jc w:val="both"/>
        <w:rPr>
          <w:rFonts w:ascii="Times New Roman" w:hAnsi="Times New Roman" w:cs="Times New Roman"/>
          <w:bCs/>
          <w:sz w:val="22"/>
          <w:szCs w:val="22"/>
        </w:rPr>
      </w:pPr>
      <w:r w:rsidRPr="008F0079">
        <w:rPr>
          <w:rFonts w:ascii="Times New Roman" w:hAnsi="Times New Roman" w:cs="Times New Roman"/>
          <w:bCs/>
          <w:sz w:val="22"/>
          <w:szCs w:val="22"/>
        </w:rPr>
        <w:t xml:space="preserve">Kombinētās prognozes </w:t>
      </w:r>
      <w:r w:rsidRPr="008F0079">
        <w:rPr>
          <w:rFonts w:ascii="Times New Roman" w:hAnsi="Times New Roman" w:cs="Times New Roman"/>
          <w:bCs/>
          <w:sz w:val="22"/>
          <w:szCs w:val="22"/>
          <w:u w:val="single"/>
        </w:rPr>
        <w:t>pa objektu grupām</w:t>
      </w:r>
      <w:r w:rsidRPr="008F0079">
        <w:rPr>
          <w:rFonts w:ascii="Times New Roman" w:hAnsi="Times New Roman" w:cs="Times New Roman"/>
          <w:bCs/>
          <w:sz w:val="22"/>
          <w:szCs w:val="22"/>
        </w:rPr>
        <w:t xml:space="preserve"> identificē būvniecības izmaksu pieaugumu visos resursu veidos līdz 2024.gadam, bet agrākos periodos vairākās </w:t>
      </w:r>
      <w:proofErr w:type="spellStart"/>
      <w:r w:rsidRPr="008F0079">
        <w:rPr>
          <w:rFonts w:ascii="Times New Roman" w:hAnsi="Times New Roman" w:cs="Times New Roman"/>
          <w:bCs/>
          <w:sz w:val="22"/>
          <w:szCs w:val="22"/>
        </w:rPr>
        <w:t>apakšnozarēs</w:t>
      </w:r>
      <w:proofErr w:type="spellEnd"/>
      <w:r w:rsidRPr="008F0079">
        <w:rPr>
          <w:rFonts w:ascii="Times New Roman" w:hAnsi="Times New Roman" w:cs="Times New Roman"/>
          <w:bCs/>
          <w:sz w:val="22"/>
          <w:szCs w:val="22"/>
        </w:rPr>
        <w:t xml:space="preserve"> tiek prognozēts īslaicīgs izmaksu samazinājums. </w:t>
      </w:r>
    </w:p>
    <w:p w14:paraId="75501198" w14:textId="77777777" w:rsidR="005D01B6" w:rsidRDefault="005D01B6" w:rsidP="005D01B6">
      <w:pPr>
        <w:pStyle w:val="Default"/>
        <w:numPr>
          <w:ilvl w:val="0"/>
          <w:numId w:val="7"/>
        </w:numPr>
        <w:spacing w:after="131" w:line="360" w:lineRule="auto"/>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Aplūkojot katras </w:t>
      </w:r>
      <w:proofErr w:type="spellStart"/>
      <w:r>
        <w:rPr>
          <w:rFonts w:ascii="Times New Roman" w:hAnsi="Times New Roman" w:cs="Times New Roman"/>
          <w:bCs/>
          <w:sz w:val="22"/>
          <w:szCs w:val="22"/>
        </w:rPr>
        <w:t>apakšnozares</w:t>
      </w:r>
      <w:proofErr w:type="spellEnd"/>
      <w:r>
        <w:rPr>
          <w:rFonts w:ascii="Times New Roman" w:hAnsi="Times New Roman" w:cs="Times New Roman"/>
          <w:bCs/>
          <w:sz w:val="22"/>
          <w:szCs w:val="22"/>
        </w:rPr>
        <w:t xml:space="preserve"> būtiskākas izmaksu komponentes, tiek secināts, ka vairumā gadījumu periodā 2020.-2024. lielākais izmaksu pieaugums būs arhitektūras un inženiertehnisko pakalpojumu jomā.</w:t>
      </w:r>
    </w:p>
    <w:p w14:paraId="1BBFE9EF" w14:textId="77777777" w:rsidR="005D01B6" w:rsidRPr="00802C32" w:rsidRDefault="005D01B6" w:rsidP="005D01B6">
      <w:pPr>
        <w:pStyle w:val="Default"/>
        <w:numPr>
          <w:ilvl w:val="0"/>
          <w:numId w:val="7"/>
        </w:numPr>
        <w:spacing w:after="131" w:line="360" w:lineRule="auto"/>
        <w:jc w:val="both"/>
        <w:rPr>
          <w:rFonts w:ascii="Times New Roman" w:hAnsi="Times New Roman" w:cs="Times New Roman"/>
          <w:sz w:val="22"/>
          <w:szCs w:val="22"/>
        </w:rPr>
      </w:pPr>
      <w:r w:rsidRPr="00802C32">
        <w:rPr>
          <w:rFonts w:ascii="Times New Roman" w:hAnsi="Times New Roman" w:cs="Times New Roman"/>
          <w:sz w:val="22"/>
          <w:szCs w:val="22"/>
        </w:rPr>
        <w:t xml:space="preserve">Pie dažādiem būvniecības apjoma izmaiņu scenārijiem, vērtējot būvniecības izmaksas eksperti secina, ka pie negatīva scenārija, kad būvniecības produkcija samazinātos par -20% līdz -10%, ekspertu vidējais novērtējums ir kopējās būvniecības izmaksu izmaiņas -8,23% apmērā. </w:t>
      </w:r>
    </w:p>
    <w:p w14:paraId="2C7E3717" w14:textId="77777777" w:rsidR="005D01B6" w:rsidRPr="00584BE1" w:rsidRDefault="005D01B6" w:rsidP="005D01B6">
      <w:pPr>
        <w:pStyle w:val="Default"/>
        <w:spacing w:after="131" w:line="360" w:lineRule="auto"/>
        <w:ind w:left="720"/>
        <w:jc w:val="both"/>
        <w:rPr>
          <w:rFonts w:ascii="Times New Roman" w:hAnsi="Times New Roman" w:cs="Times New Roman"/>
          <w:b/>
          <w:bCs/>
          <w:sz w:val="22"/>
          <w:szCs w:val="22"/>
        </w:rPr>
      </w:pPr>
      <w:r w:rsidRPr="00584BE1">
        <w:rPr>
          <w:rFonts w:ascii="Times New Roman" w:hAnsi="Times New Roman" w:cs="Times New Roman"/>
          <w:b/>
          <w:bCs/>
          <w:sz w:val="22"/>
          <w:szCs w:val="22"/>
        </w:rPr>
        <w:t xml:space="preserve">Savukārt pie visoptimistiskākā būvniecības attīstības scenārija, kas paredz +20% līdz +30% izaugsmi gadā, kopējās būvniecības izmaksu izmaiņas tiek novērtētas vidēji kā 11,47%. </w:t>
      </w:r>
    </w:p>
    <w:p w14:paraId="011428DA" w14:textId="77777777" w:rsidR="005D01B6" w:rsidRPr="00802C32" w:rsidRDefault="005D01B6" w:rsidP="005D01B6">
      <w:pPr>
        <w:pStyle w:val="Default"/>
        <w:numPr>
          <w:ilvl w:val="0"/>
          <w:numId w:val="7"/>
        </w:numPr>
        <w:spacing w:after="131" w:line="360" w:lineRule="auto"/>
        <w:jc w:val="both"/>
        <w:rPr>
          <w:rFonts w:ascii="Times New Roman" w:hAnsi="Times New Roman" w:cs="Times New Roman"/>
          <w:sz w:val="22"/>
          <w:szCs w:val="22"/>
        </w:rPr>
      </w:pPr>
      <w:r w:rsidRPr="00802C32">
        <w:rPr>
          <w:rFonts w:ascii="Times New Roman" w:hAnsi="Times New Roman" w:cs="Times New Roman"/>
          <w:sz w:val="22"/>
          <w:szCs w:val="22"/>
        </w:rPr>
        <w:t>Kopumā eksperti nesaskata būtisku COVID-19 pandēmijas ietekmi uz būvniecības izmaksām, Tiek novērtēts, ka ietekme būs augstāka uz būvmateriālu izmaksām, nekā uz darbaspēka izmaksām.</w:t>
      </w:r>
    </w:p>
    <w:p w14:paraId="7D6FEF36" w14:textId="2F7EA150" w:rsidR="005D01B6" w:rsidRPr="0042102A" w:rsidRDefault="005D01B6" w:rsidP="005D01B6">
      <w:pPr>
        <w:pStyle w:val="Default"/>
        <w:numPr>
          <w:ilvl w:val="0"/>
          <w:numId w:val="7"/>
        </w:numPr>
        <w:spacing w:after="131" w:line="360" w:lineRule="auto"/>
        <w:jc w:val="both"/>
        <w:rPr>
          <w:rFonts w:asciiTheme="minorHAnsi" w:hAnsiTheme="minorHAnsi" w:cstheme="minorHAnsi"/>
          <w:bCs/>
          <w:sz w:val="22"/>
          <w:szCs w:val="22"/>
        </w:rPr>
      </w:pPr>
      <w:r w:rsidRPr="00802C32">
        <w:rPr>
          <w:rFonts w:asciiTheme="minorHAnsi" w:hAnsiTheme="minorHAnsi" w:cstheme="minorHAnsi"/>
        </w:rPr>
        <w:t>Apkopojot secinājumus, pētnieki uzskata, ka laika periodā no 2020. līdz 2024. gadam nav viennozīmīgas informācijas, kas ļautu apgalvot, ka pastāv augsts būvniecības nozares pārkaršanas risks. Tomēr kā gads, kas ir vistuvāk riska zonai, tiek norādīts 2021.gads, kad būtu sagaidāms straujš būvniecības produkcijas apjoma lēciens pēc pandēmijas ietekmes mazināšanas un stimulējošo pasākumu uzsākšanās pie darba tirgus, kas nav vēl tik elastīgs un spējīgs nodrošināt jaunu personāla piedāvājumu.</w:t>
      </w:r>
      <w:r w:rsidRPr="00802C32">
        <w:rPr>
          <w:rFonts w:asciiTheme="minorHAnsi" w:hAnsiTheme="minorHAnsi" w:cstheme="minorHAnsi"/>
          <w:b/>
          <w:color w:val="FF0000"/>
          <w:sz w:val="22"/>
          <w:szCs w:val="22"/>
        </w:rPr>
        <w:t xml:space="preserve"> </w:t>
      </w:r>
    </w:p>
    <w:p w14:paraId="27FF4C43" w14:textId="77777777" w:rsidR="0042102A" w:rsidRPr="00802C32" w:rsidRDefault="0042102A" w:rsidP="0042102A">
      <w:pPr>
        <w:pStyle w:val="Default"/>
        <w:spacing w:after="131" w:line="360" w:lineRule="auto"/>
        <w:ind w:left="720"/>
        <w:jc w:val="both"/>
        <w:rPr>
          <w:rFonts w:asciiTheme="minorHAnsi" w:hAnsiTheme="minorHAnsi" w:cstheme="minorHAnsi"/>
          <w:bCs/>
          <w:sz w:val="22"/>
          <w:szCs w:val="22"/>
        </w:rPr>
      </w:pPr>
    </w:p>
    <w:p w14:paraId="50C18465" w14:textId="54AC4AD6" w:rsidR="004C1DA7" w:rsidRPr="000C22C6" w:rsidRDefault="003B0107" w:rsidP="000C22C6">
      <w:pPr>
        <w:pStyle w:val="Heading1"/>
      </w:pPr>
      <w:r w:rsidRPr="00A47703">
        <w:rPr>
          <w:rFonts w:ascii="Times New Roman" w:hAnsi="Times New Roman" w:cs="Times New Roman"/>
          <w:b/>
          <w:color w:val="FF0000"/>
          <w:sz w:val="22"/>
          <w:szCs w:val="22"/>
        </w:rPr>
        <w:t xml:space="preserve"> </w:t>
      </w:r>
      <w:bookmarkStart w:id="45" w:name="_Toc54287923"/>
      <w:r w:rsidR="004C1DA7" w:rsidRPr="000C22C6">
        <w:t>Pētījuma saskaņošana un būvniecības nozares viedoklis</w:t>
      </w:r>
      <w:bookmarkEnd w:id="45"/>
    </w:p>
    <w:p w14:paraId="05584110" w14:textId="47C50DE4" w:rsidR="007A68D0" w:rsidRPr="009C3D4C" w:rsidRDefault="007A68D0" w:rsidP="005D01B6">
      <w:pPr>
        <w:pStyle w:val="Default"/>
        <w:spacing w:after="131" w:line="360" w:lineRule="auto"/>
        <w:ind w:firstLine="567"/>
        <w:jc w:val="both"/>
        <w:rPr>
          <w:rFonts w:ascii="Times New Roman" w:hAnsi="Times New Roman" w:cs="Times New Roman"/>
          <w:bCs/>
          <w:color w:val="auto"/>
        </w:rPr>
      </w:pPr>
      <w:r w:rsidRPr="009C3D4C">
        <w:rPr>
          <w:rFonts w:ascii="Times New Roman" w:hAnsi="Times New Roman" w:cs="Times New Roman"/>
          <w:bCs/>
          <w:color w:val="auto"/>
        </w:rPr>
        <w:t>Pētījums tika prezentēts Latvijas Būvniecības padomes</w:t>
      </w:r>
      <w:r w:rsidR="005D01B6" w:rsidRPr="009C3D4C">
        <w:rPr>
          <w:rFonts w:ascii="Times New Roman" w:hAnsi="Times New Roman" w:cs="Times New Roman"/>
          <w:bCs/>
          <w:color w:val="auto"/>
        </w:rPr>
        <w:t xml:space="preserve"> šī gada</w:t>
      </w:r>
      <w:r w:rsidRPr="009C3D4C">
        <w:rPr>
          <w:rFonts w:ascii="Times New Roman" w:hAnsi="Times New Roman" w:cs="Times New Roman"/>
          <w:bCs/>
          <w:color w:val="auto"/>
        </w:rPr>
        <w:t xml:space="preserve"> 8.oktobra sēdē. Latvijas Būvniecības padome uzskata, ka pēc publiski pieejamās informācijas</w:t>
      </w:r>
      <w:r w:rsidR="005D01B6" w:rsidRPr="009C3D4C">
        <w:rPr>
          <w:rFonts w:ascii="Times New Roman" w:hAnsi="Times New Roman" w:cs="Times New Roman"/>
          <w:bCs/>
          <w:color w:val="auto"/>
        </w:rPr>
        <w:t>,</w:t>
      </w:r>
      <w:r w:rsidRPr="009C3D4C">
        <w:rPr>
          <w:rFonts w:ascii="Times New Roman" w:hAnsi="Times New Roman" w:cs="Times New Roman"/>
          <w:bCs/>
          <w:color w:val="auto"/>
        </w:rPr>
        <w:t xml:space="preserve"> tuvāk</w:t>
      </w:r>
      <w:r w:rsidR="005D01B6" w:rsidRPr="009C3D4C">
        <w:rPr>
          <w:rFonts w:ascii="Times New Roman" w:hAnsi="Times New Roman" w:cs="Times New Roman"/>
          <w:bCs/>
          <w:color w:val="auto"/>
        </w:rPr>
        <w:t>os</w:t>
      </w:r>
      <w:r w:rsidRPr="009C3D4C">
        <w:rPr>
          <w:rFonts w:ascii="Times New Roman" w:hAnsi="Times New Roman" w:cs="Times New Roman"/>
          <w:bCs/>
          <w:color w:val="auto"/>
        </w:rPr>
        <w:t xml:space="preserve"> </w:t>
      </w:r>
      <w:r w:rsidR="005D01B6" w:rsidRPr="009C3D4C">
        <w:rPr>
          <w:rFonts w:ascii="Times New Roman" w:hAnsi="Times New Roman" w:cs="Times New Roman"/>
          <w:bCs/>
          <w:color w:val="auto"/>
        </w:rPr>
        <w:t>septiņus</w:t>
      </w:r>
      <w:r w:rsidRPr="009C3D4C">
        <w:rPr>
          <w:rFonts w:ascii="Times New Roman" w:hAnsi="Times New Roman" w:cs="Times New Roman"/>
          <w:bCs/>
          <w:color w:val="auto"/>
        </w:rPr>
        <w:t xml:space="preserve"> gadus plānojas vērienīgas ES fondu investīcijas publiskos nekustāmos īpašumos un infrastruktūrā. Kopējais apjoms varētu sasniegt 7 miljardus </w:t>
      </w:r>
      <w:r w:rsidR="009C3D4C" w:rsidRPr="009C3D4C">
        <w:rPr>
          <w:rFonts w:ascii="Times New Roman" w:hAnsi="Times New Roman" w:cs="Times New Roman"/>
          <w:bCs/>
          <w:color w:val="auto"/>
        </w:rPr>
        <w:t>EUR</w:t>
      </w:r>
      <w:r w:rsidRPr="009C3D4C">
        <w:rPr>
          <w:rFonts w:ascii="Times New Roman" w:hAnsi="Times New Roman" w:cs="Times New Roman"/>
          <w:bCs/>
          <w:color w:val="auto"/>
        </w:rPr>
        <w:t xml:space="preserve">. Savukārt </w:t>
      </w:r>
      <w:proofErr w:type="spellStart"/>
      <w:r w:rsidRPr="009C3D4C">
        <w:rPr>
          <w:rFonts w:ascii="Times New Roman" w:hAnsi="Times New Roman" w:cs="Times New Roman"/>
          <w:bCs/>
          <w:color w:val="auto"/>
        </w:rPr>
        <w:t>komercsektorā</w:t>
      </w:r>
      <w:proofErr w:type="spellEnd"/>
      <w:r w:rsidRPr="009C3D4C">
        <w:rPr>
          <w:rFonts w:ascii="Times New Roman" w:hAnsi="Times New Roman" w:cs="Times New Roman"/>
          <w:bCs/>
          <w:color w:val="auto"/>
        </w:rPr>
        <w:t xml:space="preserve"> banku kreditēšanas, Covid19 un citu risku rezultātā plānoto nekustāmo īpašumu investīciju apjoms samazināsies</w:t>
      </w:r>
      <w:r w:rsidR="009C3D4C" w:rsidRPr="009C3D4C">
        <w:rPr>
          <w:rFonts w:ascii="Times New Roman" w:hAnsi="Times New Roman" w:cs="Times New Roman"/>
          <w:bCs/>
          <w:color w:val="auto"/>
        </w:rPr>
        <w:t>, it sevišķi dzīvokļu un biroju būvniecībā</w:t>
      </w:r>
      <w:r w:rsidRPr="009C3D4C">
        <w:rPr>
          <w:rFonts w:ascii="Times New Roman" w:hAnsi="Times New Roman" w:cs="Times New Roman"/>
          <w:bCs/>
          <w:color w:val="auto"/>
        </w:rPr>
        <w:t>.</w:t>
      </w:r>
    </w:p>
    <w:p w14:paraId="25C4C354" w14:textId="06B51E73" w:rsidR="007A68D0" w:rsidRPr="009C3D4C" w:rsidRDefault="007A68D0" w:rsidP="005D01B6">
      <w:pPr>
        <w:pStyle w:val="Default"/>
        <w:spacing w:after="131" w:line="360" w:lineRule="auto"/>
        <w:ind w:firstLine="567"/>
        <w:jc w:val="both"/>
        <w:rPr>
          <w:rFonts w:ascii="Times New Roman" w:hAnsi="Times New Roman" w:cs="Times New Roman"/>
          <w:bCs/>
          <w:color w:val="auto"/>
        </w:rPr>
      </w:pPr>
      <w:r w:rsidRPr="009C3D4C">
        <w:rPr>
          <w:rFonts w:ascii="Times New Roman" w:hAnsi="Times New Roman" w:cs="Times New Roman"/>
          <w:bCs/>
          <w:color w:val="auto"/>
        </w:rPr>
        <w:t xml:space="preserve">Būvniecības nozares vidēja termiņa apgrozījuma mērķis ir noteikts 3 miljardi eiro gadā, jeb ap 10% no IKP, kur, visticamāk, ap 60% no nākotnes apjomiem veidos publiskais pasūtījums. </w:t>
      </w:r>
    </w:p>
    <w:p w14:paraId="0886300E" w14:textId="0BAF0A4A" w:rsidR="007A68D0" w:rsidRPr="009C3D4C" w:rsidRDefault="007A68D0" w:rsidP="005D01B6">
      <w:pPr>
        <w:pStyle w:val="Default"/>
        <w:spacing w:after="131" w:line="360" w:lineRule="auto"/>
        <w:ind w:firstLine="567"/>
        <w:jc w:val="both"/>
        <w:rPr>
          <w:rFonts w:ascii="Times New Roman" w:hAnsi="Times New Roman" w:cs="Times New Roman"/>
          <w:bCs/>
          <w:color w:val="auto"/>
        </w:rPr>
      </w:pPr>
      <w:r w:rsidRPr="009C3D4C">
        <w:rPr>
          <w:rFonts w:ascii="Times New Roman" w:hAnsi="Times New Roman" w:cs="Times New Roman"/>
          <w:bCs/>
          <w:color w:val="auto"/>
        </w:rPr>
        <w:lastRenderedPageBreak/>
        <w:t>Būvniecības padomes pārstāvji vēlreiz apliecin</w:t>
      </w:r>
      <w:r w:rsidR="009C3D4C" w:rsidRPr="009C3D4C">
        <w:rPr>
          <w:rFonts w:ascii="Times New Roman" w:hAnsi="Times New Roman" w:cs="Times New Roman"/>
          <w:bCs/>
          <w:color w:val="auto"/>
        </w:rPr>
        <w:t>āja</w:t>
      </w:r>
      <w:r w:rsidRPr="009C3D4C">
        <w:rPr>
          <w:rFonts w:ascii="Times New Roman" w:hAnsi="Times New Roman" w:cs="Times New Roman"/>
          <w:bCs/>
          <w:color w:val="auto"/>
        </w:rPr>
        <w:t xml:space="preserve">, ja kopējais vidējais gada apgrozījums </w:t>
      </w:r>
      <w:r w:rsidR="009C3D4C" w:rsidRPr="009C3D4C">
        <w:rPr>
          <w:rFonts w:ascii="Times New Roman" w:hAnsi="Times New Roman" w:cs="Times New Roman"/>
          <w:bCs/>
          <w:color w:val="auto"/>
        </w:rPr>
        <w:t xml:space="preserve">būvniecības nozarē </w:t>
      </w:r>
      <w:r w:rsidRPr="009C3D4C">
        <w:rPr>
          <w:rFonts w:ascii="Times New Roman" w:hAnsi="Times New Roman" w:cs="Times New Roman"/>
          <w:bCs/>
          <w:color w:val="auto"/>
        </w:rPr>
        <w:t xml:space="preserve">ir 2,5 miljardi </w:t>
      </w:r>
      <w:r w:rsidR="009C3D4C" w:rsidRPr="009C3D4C">
        <w:rPr>
          <w:rFonts w:ascii="Times New Roman" w:hAnsi="Times New Roman" w:cs="Times New Roman"/>
          <w:bCs/>
          <w:color w:val="auto"/>
        </w:rPr>
        <w:t>EUR</w:t>
      </w:r>
      <w:r w:rsidRPr="009C3D4C">
        <w:rPr>
          <w:rFonts w:ascii="Times New Roman" w:hAnsi="Times New Roman" w:cs="Times New Roman"/>
          <w:bCs/>
          <w:color w:val="auto"/>
        </w:rPr>
        <w:t xml:space="preserve"> robežās, tas neliecina par būv</w:t>
      </w:r>
      <w:r w:rsidR="009C3D4C" w:rsidRPr="009C3D4C">
        <w:rPr>
          <w:rFonts w:ascii="Times New Roman" w:hAnsi="Times New Roman" w:cs="Times New Roman"/>
          <w:bCs/>
          <w:color w:val="auto"/>
        </w:rPr>
        <w:t xml:space="preserve">niecības </w:t>
      </w:r>
      <w:r w:rsidRPr="009C3D4C">
        <w:rPr>
          <w:rFonts w:ascii="Times New Roman" w:hAnsi="Times New Roman" w:cs="Times New Roman"/>
          <w:bCs/>
          <w:color w:val="auto"/>
        </w:rPr>
        <w:t>nozares pārkāršanu.</w:t>
      </w:r>
    </w:p>
    <w:p w14:paraId="3150C434" w14:textId="77777777" w:rsidR="007A68D0" w:rsidRPr="009C3D4C" w:rsidRDefault="007A68D0" w:rsidP="005D01B6">
      <w:pPr>
        <w:pStyle w:val="Default"/>
        <w:spacing w:after="131" w:line="360" w:lineRule="auto"/>
        <w:ind w:firstLine="567"/>
        <w:jc w:val="both"/>
        <w:rPr>
          <w:rFonts w:ascii="Times New Roman" w:hAnsi="Times New Roman" w:cs="Times New Roman"/>
          <w:bCs/>
          <w:color w:val="auto"/>
        </w:rPr>
      </w:pPr>
      <w:r w:rsidRPr="009C3D4C">
        <w:rPr>
          <w:rFonts w:ascii="Times New Roman" w:hAnsi="Times New Roman" w:cs="Times New Roman"/>
          <w:bCs/>
          <w:color w:val="auto"/>
        </w:rPr>
        <w:t>Būvniecības padome atgādina, ka būvniecības pakalpojumu izmaksu līmeni galvenokārt ietekmē:</w:t>
      </w:r>
    </w:p>
    <w:p w14:paraId="1EEE47F4" w14:textId="451C2B8D" w:rsidR="007A68D0" w:rsidRPr="009C3D4C" w:rsidRDefault="007A68D0" w:rsidP="009C3D4C">
      <w:pPr>
        <w:pStyle w:val="Default"/>
        <w:numPr>
          <w:ilvl w:val="1"/>
          <w:numId w:val="22"/>
        </w:numPr>
        <w:spacing w:after="131" w:line="360" w:lineRule="auto"/>
        <w:ind w:left="1134"/>
        <w:rPr>
          <w:rFonts w:ascii="Times New Roman" w:hAnsi="Times New Roman" w:cs="Times New Roman"/>
          <w:bCs/>
          <w:color w:val="auto"/>
        </w:rPr>
      </w:pPr>
      <w:r w:rsidRPr="009C3D4C">
        <w:rPr>
          <w:rFonts w:ascii="Times New Roman" w:hAnsi="Times New Roman" w:cs="Times New Roman"/>
          <w:bCs/>
          <w:color w:val="auto"/>
        </w:rPr>
        <w:t>būvniecības apjoms kalendārā gada ietvaros</w:t>
      </w:r>
      <w:r w:rsidR="009C3D4C" w:rsidRPr="009C3D4C">
        <w:rPr>
          <w:rFonts w:ascii="Times New Roman" w:hAnsi="Times New Roman" w:cs="Times New Roman"/>
          <w:bCs/>
          <w:color w:val="auto"/>
        </w:rPr>
        <w:t>;</w:t>
      </w:r>
      <w:r w:rsidRPr="009C3D4C">
        <w:rPr>
          <w:rFonts w:ascii="Times New Roman" w:hAnsi="Times New Roman" w:cs="Times New Roman"/>
          <w:bCs/>
          <w:color w:val="auto"/>
        </w:rPr>
        <w:t xml:space="preserve"> </w:t>
      </w:r>
    </w:p>
    <w:p w14:paraId="35EE6BEC" w14:textId="71CBB12D" w:rsidR="007A68D0" w:rsidRPr="009C3D4C" w:rsidRDefault="007A68D0" w:rsidP="009C3D4C">
      <w:pPr>
        <w:pStyle w:val="Default"/>
        <w:numPr>
          <w:ilvl w:val="1"/>
          <w:numId w:val="22"/>
        </w:numPr>
        <w:spacing w:after="131" w:line="360" w:lineRule="auto"/>
        <w:ind w:left="1134"/>
        <w:rPr>
          <w:rFonts w:ascii="Times New Roman" w:hAnsi="Times New Roman" w:cs="Times New Roman"/>
          <w:bCs/>
          <w:color w:val="auto"/>
        </w:rPr>
      </w:pPr>
      <w:r w:rsidRPr="009C3D4C">
        <w:rPr>
          <w:rFonts w:ascii="Times New Roman" w:hAnsi="Times New Roman" w:cs="Times New Roman"/>
          <w:bCs/>
          <w:color w:val="auto"/>
        </w:rPr>
        <w:t>darba spēka resursu pieejamība</w:t>
      </w:r>
      <w:r w:rsidR="009C3D4C" w:rsidRPr="009C3D4C">
        <w:rPr>
          <w:rFonts w:ascii="Times New Roman" w:hAnsi="Times New Roman" w:cs="Times New Roman"/>
          <w:bCs/>
          <w:color w:val="auto"/>
        </w:rPr>
        <w:t xml:space="preserve"> un </w:t>
      </w:r>
      <w:r w:rsidRPr="009C3D4C">
        <w:rPr>
          <w:rFonts w:ascii="Times New Roman" w:hAnsi="Times New Roman" w:cs="Times New Roman"/>
          <w:bCs/>
          <w:color w:val="auto"/>
        </w:rPr>
        <w:t>atalgojums</w:t>
      </w:r>
      <w:r w:rsidR="009C3D4C" w:rsidRPr="009C3D4C">
        <w:rPr>
          <w:rFonts w:ascii="Times New Roman" w:hAnsi="Times New Roman" w:cs="Times New Roman"/>
          <w:bCs/>
          <w:color w:val="auto"/>
        </w:rPr>
        <w:t>;</w:t>
      </w:r>
    </w:p>
    <w:p w14:paraId="364B1E54" w14:textId="743B43A3" w:rsidR="007A68D0" w:rsidRPr="009C3D4C" w:rsidRDefault="007A68D0" w:rsidP="009C3D4C">
      <w:pPr>
        <w:pStyle w:val="Default"/>
        <w:numPr>
          <w:ilvl w:val="1"/>
          <w:numId w:val="22"/>
        </w:numPr>
        <w:spacing w:after="131" w:line="360" w:lineRule="auto"/>
        <w:ind w:left="1134"/>
        <w:rPr>
          <w:rFonts w:ascii="Times New Roman" w:hAnsi="Times New Roman" w:cs="Times New Roman"/>
          <w:bCs/>
          <w:color w:val="auto"/>
        </w:rPr>
      </w:pPr>
      <w:r w:rsidRPr="009C3D4C">
        <w:rPr>
          <w:rFonts w:ascii="Times New Roman" w:hAnsi="Times New Roman" w:cs="Times New Roman"/>
          <w:bCs/>
          <w:color w:val="auto"/>
        </w:rPr>
        <w:t>vietējo būvmateriālu pieejamība, ražošanas izmaksas.</w:t>
      </w:r>
    </w:p>
    <w:p w14:paraId="24DE62DB" w14:textId="77777777" w:rsidR="009C3D4C" w:rsidRDefault="007A68D0" w:rsidP="005D01B6">
      <w:pPr>
        <w:pStyle w:val="Default"/>
        <w:spacing w:after="131" w:line="360" w:lineRule="auto"/>
        <w:ind w:firstLine="567"/>
        <w:jc w:val="both"/>
        <w:rPr>
          <w:rFonts w:ascii="Times New Roman" w:hAnsi="Times New Roman" w:cs="Times New Roman"/>
          <w:bCs/>
          <w:color w:val="auto"/>
          <w:u w:val="single"/>
        </w:rPr>
      </w:pPr>
      <w:r w:rsidRPr="009C3D4C">
        <w:rPr>
          <w:rFonts w:ascii="Times New Roman" w:hAnsi="Times New Roman" w:cs="Times New Roman"/>
          <w:bCs/>
          <w:color w:val="auto"/>
          <w:u w:val="single"/>
        </w:rPr>
        <w:t xml:space="preserve">Ņemot vērā Latvijas būvniecības nozares specifiku un attīstības virzienus (atalgojumu līmeņa kāpuma virziens uz ES vidējo, darba spēka iztrūkuma pieaugums, darba spēka nodokļu līmenis, ēnu ekonomikas samazinājums, elektroenerģijas izmaksu līmenis) būvniecības izmaksu kāpums tuvākos gadus ~3% gadā ir dabisks process. </w:t>
      </w:r>
    </w:p>
    <w:p w14:paraId="7FBF9A98" w14:textId="77777777" w:rsidR="009C3D4C" w:rsidRDefault="007A68D0" w:rsidP="005D01B6">
      <w:pPr>
        <w:pStyle w:val="Default"/>
        <w:spacing w:after="131" w:line="360" w:lineRule="auto"/>
        <w:ind w:firstLine="567"/>
        <w:jc w:val="both"/>
        <w:rPr>
          <w:rFonts w:ascii="Times New Roman" w:hAnsi="Times New Roman" w:cs="Times New Roman"/>
          <w:bCs/>
          <w:color w:val="auto"/>
          <w:u w:val="single"/>
        </w:rPr>
      </w:pPr>
      <w:r w:rsidRPr="009C3D4C">
        <w:rPr>
          <w:rFonts w:ascii="Times New Roman" w:hAnsi="Times New Roman" w:cs="Times New Roman"/>
          <w:bCs/>
          <w:color w:val="auto"/>
          <w:u w:val="single"/>
        </w:rPr>
        <w:t>Savukārt nozares produktivitāti ietekmē speciālistu kompetenču līmenis, pakalpojumu un ražošanas tehnoloģiju modernizācija, kur nepārtraukti nepieciešamas investīcijas, taču ņemot vērā publiskā pasūtītāja akcentu uz zemāko cenu, būvniecības nozares uzņēmumu peļņas līmeņi turpina krist un investīcijas lielajiem uzņēmumiem ir ierobežotas un ES investīciju pieejamība šajā jomā ir vēl neskaidra.</w:t>
      </w:r>
    </w:p>
    <w:p w14:paraId="3B90ED09" w14:textId="77777777" w:rsidR="008F3BD1" w:rsidRPr="008F3BD1" w:rsidRDefault="007A68D0" w:rsidP="005D01B6">
      <w:pPr>
        <w:pStyle w:val="Default"/>
        <w:spacing w:after="131" w:line="360" w:lineRule="auto"/>
        <w:ind w:firstLine="567"/>
        <w:jc w:val="both"/>
        <w:rPr>
          <w:rFonts w:ascii="Times New Roman" w:hAnsi="Times New Roman" w:cs="Times New Roman"/>
          <w:bCs/>
          <w:color w:val="auto"/>
          <w:u w:val="single"/>
        </w:rPr>
      </w:pPr>
      <w:r w:rsidRPr="008F3BD1">
        <w:rPr>
          <w:rFonts w:ascii="Times New Roman" w:hAnsi="Times New Roman" w:cs="Times New Roman"/>
          <w:bCs/>
          <w:color w:val="auto"/>
          <w:u w:val="single"/>
        </w:rPr>
        <w:t xml:space="preserve"> Lai neveidotos straujas apjomu un cenu svārstības publiskā sektora pasūtītājiem ir īpaša loma un instrumenti, lai kopējo apjomu līdzsvarotu tuvākos </w:t>
      </w:r>
      <w:r w:rsidR="008F3BD1" w:rsidRPr="008F3BD1">
        <w:rPr>
          <w:rFonts w:ascii="Times New Roman" w:hAnsi="Times New Roman" w:cs="Times New Roman"/>
          <w:bCs/>
          <w:color w:val="auto"/>
          <w:u w:val="single"/>
        </w:rPr>
        <w:t>septiņus</w:t>
      </w:r>
      <w:r w:rsidRPr="008F3BD1">
        <w:rPr>
          <w:rFonts w:ascii="Times New Roman" w:hAnsi="Times New Roman" w:cs="Times New Roman"/>
          <w:bCs/>
          <w:color w:val="auto"/>
          <w:u w:val="single"/>
        </w:rPr>
        <w:t xml:space="preserve"> gadus, lai neatkārtojas iepriekšējo ES fondu cikla plānošanas un izpildes defekti, kad pirm</w:t>
      </w:r>
      <w:r w:rsidR="008F3BD1" w:rsidRPr="008F3BD1">
        <w:rPr>
          <w:rFonts w:ascii="Times New Roman" w:hAnsi="Times New Roman" w:cs="Times New Roman"/>
          <w:bCs/>
          <w:color w:val="auto"/>
          <w:u w:val="single"/>
        </w:rPr>
        <w:t xml:space="preserve">ajos divos gados </w:t>
      </w:r>
      <w:r w:rsidRPr="008F3BD1">
        <w:rPr>
          <w:rFonts w:ascii="Times New Roman" w:hAnsi="Times New Roman" w:cs="Times New Roman"/>
          <w:bCs/>
          <w:color w:val="auto"/>
          <w:u w:val="single"/>
        </w:rPr>
        <w:t xml:space="preserve">ir mazi apjomi, tad </w:t>
      </w:r>
      <w:r w:rsidR="008F3BD1" w:rsidRPr="008F3BD1">
        <w:rPr>
          <w:rFonts w:ascii="Times New Roman" w:hAnsi="Times New Roman" w:cs="Times New Roman"/>
          <w:bCs/>
          <w:color w:val="auto"/>
          <w:u w:val="single"/>
        </w:rPr>
        <w:t>trīs</w:t>
      </w:r>
      <w:r w:rsidRPr="008F3BD1">
        <w:rPr>
          <w:rFonts w:ascii="Times New Roman" w:hAnsi="Times New Roman" w:cs="Times New Roman"/>
          <w:bCs/>
          <w:color w:val="auto"/>
          <w:u w:val="single"/>
        </w:rPr>
        <w:t xml:space="preserve"> gadi ir straujš kāpums un </w:t>
      </w:r>
      <w:r w:rsidR="008F3BD1" w:rsidRPr="008F3BD1">
        <w:rPr>
          <w:rFonts w:ascii="Times New Roman" w:hAnsi="Times New Roman" w:cs="Times New Roman"/>
          <w:bCs/>
          <w:color w:val="auto"/>
          <w:u w:val="single"/>
        </w:rPr>
        <w:t>atkal divi</w:t>
      </w:r>
      <w:r w:rsidRPr="008F3BD1">
        <w:rPr>
          <w:rFonts w:ascii="Times New Roman" w:hAnsi="Times New Roman" w:cs="Times New Roman"/>
          <w:bCs/>
          <w:color w:val="auto"/>
          <w:u w:val="single"/>
        </w:rPr>
        <w:t xml:space="preserve"> gadi ir straujš kritums.</w:t>
      </w:r>
    </w:p>
    <w:p w14:paraId="41B87FBC" w14:textId="44C102B0" w:rsidR="007A68D0" w:rsidRPr="008F3BD1" w:rsidRDefault="007A68D0" w:rsidP="005D01B6">
      <w:pPr>
        <w:pStyle w:val="Default"/>
        <w:spacing w:after="131" w:line="360" w:lineRule="auto"/>
        <w:ind w:firstLine="567"/>
        <w:jc w:val="both"/>
        <w:rPr>
          <w:rFonts w:ascii="Times New Roman" w:hAnsi="Times New Roman" w:cs="Times New Roman"/>
          <w:bCs/>
          <w:color w:val="auto"/>
          <w:u w:val="single"/>
        </w:rPr>
      </w:pPr>
      <w:r w:rsidRPr="008F3BD1">
        <w:rPr>
          <w:rFonts w:ascii="Times New Roman" w:hAnsi="Times New Roman" w:cs="Times New Roman"/>
          <w:bCs/>
          <w:color w:val="auto"/>
          <w:u w:val="single"/>
        </w:rPr>
        <w:t xml:space="preserve"> Attiecīgi, Būvniecības padome aicina publisko sektoru 2021. gadā un 2022.gadā būvprojektu uzsākšanai un būvdarbiem vairāk ieguldīt valsts un pašvaldību pašu līdzekļus, bet daļu 2023.gada un 2024.gada gada projektiem pārcelt uz 2025.-2027. gadiem. </w:t>
      </w:r>
    </w:p>
    <w:p w14:paraId="74B26487" w14:textId="4A3C0788" w:rsidR="003B0107" w:rsidRPr="00987745" w:rsidRDefault="007A68D0" w:rsidP="005D01B6">
      <w:pPr>
        <w:pStyle w:val="Default"/>
        <w:spacing w:after="131" w:line="360" w:lineRule="auto"/>
        <w:ind w:firstLine="567"/>
        <w:jc w:val="both"/>
        <w:rPr>
          <w:rFonts w:ascii="Times New Roman" w:hAnsi="Times New Roman" w:cs="Times New Roman"/>
          <w:bCs/>
          <w:color w:val="auto"/>
        </w:rPr>
      </w:pPr>
      <w:r w:rsidRPr="00987745">
        <w:rPr>
          <w:rFonts w:ascii="Times New Roman" w:hAnsi="Times New Roman" w:cs="Times New Roman"/>
          <w:bCs/>
          <w:color w:val="auto"/>
        </w:rPr>
        <w:t>Būvniecības padome atkārtoti aicina Finanšu ministriju izveidot visaptverošu, centralizētu un ticamu 1+2 gadi būv</w:t>
      </w:r>
      <w:r w:rsidR="00987745" w:rsidRPr="00987745">
        <w:rPr>
          <w:rFonts w:ascii="Times New Roman" w:hAnsi="Times New Roman" w:cs="Times New Roman"/>
          <w:bCs/>
          <w:color w:val="auto"/>
        </w:rPr>
        <w:t xml:space="preserve">niecības </w:t>
      </w:r>
      <w:r w:rsidRPr="00987745">
        <w:rPr>
          <w:rFonts w:ascii="Times New Roman" w:hAnsi="Times New Roman" w:cs="Times New Roman"/>
          <w:bCs/>
          <w:color w:val="auto"/>
        </w:rPr>
        <w:t>nozares publisko investīciju apjomu un projektu prognozēšanas sistēmu, lai turpmāk dažādi pētījumi un sarunas par pieprasījuma un piedāvājumu līdzsvarošanu būtu konstruktīvas un balstītas uz skaitļiem nevis uz pieņēmumiem. Būvniecības padome aicina Finanšu ministriju arī pārskatīt principus un metodes</w:t>
      </w:r>
      <w:r w:rsidR="00553FE8" w:rsidRPr="00987745">
        <w:rPr>
          <w:rFonts w:ascii="Times New Roman" w:hAnsi="Times New Roman" w:cs="Times New Roman"/>
          <w:bCs/>
          <w:color w:val="auto"/>
        </w:rPr>
        <w:t>,</w:t>
      </w:r>
      <w:r w:rsidRPr="00987745">
        <w:rPr>
          <w:rFonts w:ascii="Times New Roman" w:hAnsi="Times New Roman" w:cs="Times New Roman"/>
          <w:bCs/>
          <w:color w:val="auto"/>
        </w:rPr>
        <w:t xml:space="preserve"> pēc kuriem notiek </w:t>
      </w:r>
      <w:r w:rsidR="00987745" w:rsidRPr="00987745">
        <w:rPr>
          <w:rFonts w:ascii="Times New Roman" w:hAnsi="Times New Roman" w:cs="Times New Roman"/>
          <w:bCs/>
          <w:color w:val="auto"/>
        </w:rPr>
        <w:t xml:space="preserve">budžeta piešķiršana </w:t>
      </w:r>
      <w:r w:rsidRPr="00987745">
        <w:rPr>
          <w:rFonts w:ascii="Times New Roman" w:hAnsi="Times New Roman" w:cs="Times New Roman"/>
          <w:bCs/>
          <w:color w:val="auto"/>
        </w:rPr>
        <w:t>dažād</w:t>
      </w:r>
      <w:r w:rsidR="00987745" w:rsidRPr="00987745">
        <w:rPr>
          <w:rFonts w:ascii="Times New Roman" w:hAnsi="Times New Roman" w:cs="Times New Roman"/>
          <w:bCs/>
          <w:color w:val="auto"/>
        </w:rPr>
        <w:t>iem</w:t>
      </w:r>
      <w:r w:rsidRPr="00987745">
        <w:rPr>
          <w:rFonts w:ascii="Times New Roman" w:hAnsi="Times New Roman" w:cs="Times New Roman"/>
          <w:bCs/>
          <w:color w:val="auto"/>
        </w:rPr>
        <w:t xml:space="preserve"> publisko nekustāmo īpašumu attīstības projekt</w:t>
      </w:r>
      <w:r w:rsidR="00987745" w:rsidRPr="00987745">
        <w:rPr>
          <w:rFonts w:ascii="Times New Roman" w:hAnsi="Times New Roman" w:cs="Times New Roman"/>
          <w:bCs/>
          <w:color w:val="auto"/>
        </w:rPr>
        <w:t>iem</w:t>
      </w:r>
      <w:r w:rsidR="00553FE8" w:rsidRPr="00987745">
        <w:rPr>
          <w:rFonts w:ascii="Times New Roman" w:hAnsi="Times New Roman" w:cs="Times New Roman"/>
          <w:bCs/>
          <w:color w:val="auto"/>
        </w:rPr>
        <w:t>.</w:t>
      </w:r>
    </w:p>
    <w:p w14:paraId="18769150" w14:textId="38B49442" w:rsidR="00553FE8" w:rsidRDefault="00553FE8" w:rsidP="005D01B6">
      <w:pPr>
        <w:pStyle w:val="Default"/>
        <w:spacing w:after="131" w:line="360" w:lineRule="auto"/>
        <w:ind w:firstLine="567"/>
        <w:jc w:val="both"/>
        <w:rPr>
          <w:rFonts w:ascii="Times New Roman" w:hAnsi="Times New Roman" w:cs="Times New Roman"/>
          <w:bCs/>
          <w:color w:val="auto"/>
        </w:rPr>
      </w:pPr>
      <w:r w:rsidRPr="00987745">
        <w:rPr>
          <w:rFonts w:ascii="Times New Roman" w:hAnsi="Times New Roman" w:cs="Times New Roman"/>
          <w:bCs/>
          <w:color w:val="auto"/>
        </w:rPr>
        <w:lastRenderedPageBreak/>
        <w:t xml:space="preserve">Par Pētījumu ir saņemts arī biedrības “Latvijas </w:t>
      </w:r>
      <w:bookmarkStart w:id="46" w:name="_GoBack"/>
      <w:bookmarkEnd w:id="46"/>
      <w:r w:rsidRPr="00987745">
        <w:rPr>
          <w:rFonts w:ascii="Times New Roman" w:hAnsi="Times New Roman" w:cs="Times New Roman"/>
          <w:bCs/>
          <w:color w:val="auto"/>
        </w:rPr>
        <w:t xml:space="preserve">Ceļa Būvētājs” viedoklis. Biedrība uzskata, ka prognozētais vispārējais apjomu un būvniecības izmaksu pieaugums ceļu būvniecības nozarē (tuneļi un tilti) ir apšaubāms, jo tas būtu attiecināms tikai uz dzelzceļa jomu, kur apjomu straujš pieaugumu nodrošina </w:t>
      </w:r>
      <w:r w:rsidRPr="00987745">
        <w:rPr>
          <w:rFonts w:ascii="Times New Roman" w:hAnsi="Times New Roman" w:cs="Times New Roman"/>
          <w:bCs/>
          <w:i/>
          <w:iCs/>
          <w:color w:val="auto"/>
        </w:rPr>
        <w:t xml:space="preserve">Rail </w:t>
      </w:r>
      <w:proofErr w:type="spellStart"/>
      <w:r w:rsidRPr="00987745">
        <w:rPr>
          <w:rFonts w:ascii="Times New Roman" w:hAnsi="Times New Roman" w:cs="Times New Roman"/>
          <w:bCs/>
          <w:i/>
          <w:iCs/>
          <w:color w:val="auto"/>
        </w:rPr>
        <w:t>Baltica</w:t>
      </w:r>
      <w:proofErr w:type="spellEnd"/>
      <w:r w:rsidRPr="00987745">
        <w:rPr>
          <w:rFonts w:ascii="Times New Roman" w:hAnsi="Times New Roman" w:cs="Times New Roman"/>
          <w:bCs/>
          <w:i/>
          <w:iCs/>
          <w:color w:val="auto"/>
        </w:rPr>
        <w:t xml:space="preserve"> </w:t>
      </w:r>
      <w:r w:rsidRPr="00987745">
        <w:rPr>
          <w:rFonts w:ascii="Times New Roman" w:hAnsi="Times New Roman" w:cs="Times New Roman"/>
          <w:bCs/>
          <w:color w:val="auto"/>
        </w:rPr>
        <w:t xml:space="preserve">projekta veiksmīga īstenošana. Savukārt ceļu būvniecības nozarē tuvākajos gados ir prognozējams straujš apjomu un līdz ar to, arī izmaksu samazinājums, ņemot vērā valsts investīciju plānoto strauju sarukumu. </w:t>
      </w:r>
    </w:p>
    <w:p w14:paraId="77839D81" w14:textId="6DCA5ACA" w:rsidR="00AB47B2" w:rsidRDefault="00987745" w:rsidP="0042102A">
      <w:pPr>
        <w:pStyle w:val="Default"/>
        <w:spacing w:after="131" w:line="360" w:lineRule="auto"/>
        <w:ind w:firstLine="567"/>
        <w:jc w:val="both"/>
        <w:rPr>
          <w:rFonts w:ascii="Times New Roman" w:hAnsi="Times New Roman" w:cs="Times New Roman"/>
          <w:bCs/>
          <w:color w:val="auto"/>
        </w:rPr>
      </w:pPr>
      <w:r w:rsidRPr="0042102A">
        <w:rPr>
          <w:rFonts w:ascii="Times New Roman" w:hAnsi="Times New Roman" w:cs="Times New Roman"/>
          <w:bCs/>
          <w:color w:val="auto"/>
        </w:rPr>
        <w:t xml:space="preserve">Kopumā būtiskākais ir nodrošināt vienmērīgu finansējuma pieejamību, plānojot valsts pasūtījumu būvniecībā, kas nodrošinātu būvniecības nozare attīstību ilgtermiņā. Tas veicinātu </w:t>
      </w:r>
      <w:r w:rsidR="007275D6" w:rsidRPr="0042102A">
        <w:rPr>
          <w:rFonts w:ascii="Times New Roman" w:hAnsi="Times New Roman" w:cs="Times New Roman"/>
          <w:bCs/>
          <w:color w:val="auto"/>
        </w:rPr>
        <w:t>ieguldījumus būvniecības uzņēmumu produktivitātes celšanā un inovācijās, kā arī darbaspēka kvalifikācijas celšanā. Būvniecības nozares vienmērīga attīstība ļautu arī privātajiem investoriem plānot savas investīcijas būvniecībā.</w:t>
      </w:r>
    </w:p>
    <w:p w14:paraId="0709FC29" w14:textId="251B5F47" w:rsidR="0042102A" w:rsidRDefault="0042102A" w:rsidP="0042102A">
      <w:pPr>
        <w:pStyle w:val="Default"/>
        <w:spacing w:after="131" w:line="360" w:lineRule="auto"/>
        <w:ind w:firstLine="567"/>
        <w:jc w:val="both"/>
        <w:rPr>
          <w:rFonts w:ascii="Times New Roman" w:hAnsi="Times New Roman" w:cs="Times New Roman"/>
          <w:bCs/>
          <w:color w:val="auto"/>
        </w:rPr>
      </w:pPr>
    </w:p>
    <w:p w14:paraId="2622EAFB" w14:textId="249D5DE7" w:rsidR="0042102A" w:rsidRDefault="0042102A" w:rsidP="0042102A">
      <w:pPr>
        <w:pStyle w:val="Default"/>
        <w:spacing w:after="131" w:line="360" w:lineRule="auto"/>
        <w:ind w:firstLine="567"/>
        <w:jc w:val="both"/>
        <w:rPr>
          <w:rFonts w:ascii="Times New Roman" w:hAnsi="Times New Roman" w:cs="Times New Roman"/>
          <w:bCs/>
          <w:color w:val="auto"/>
        </w:rPr>
      </w:pPr>
    </w:p>
    <w:p w14:paraId="44281BAB" w14:textId="77777777" w:rsidR="0042102A" w:rsidRDefault="0042102A" w:rsidP="0042102A">
      <w:pPr>
        <w:pStyle w:val="Default"/>
        <w:spacing w:after="131" w:line="360" w:lineRule="auto"/>
        <w:ind w:firstLine="567"/>
        <w:jc w:val="both"/>
        <w:rPr>
          <w:rFonts w:ascii="Times New Roman" w:hAnsi="Times New Roman" w:cs="Times New Roman"/>
          <w:bCs/>
          <w:color w:val="auto"/>
        </w:rPr>
      </w:pPr>
    </w:p>
    <w:sectPr w:rsidR="0042102A" w:rsidSect="008A2DDD">
      <w:headerReference w:type="default" r:id="rId33"/>
      <w:footerReference w:type="default" r:id="rId34"/>
      <w:headerReference w:type="first" r:id="rId35"/>
      <w:footnotePr>
        <w:numRestart w:val="eachPage"/>
      </w:footnotePr>
      <w:pgSz w:w="11907" w:h="16840" w:code="9"/>
      <w:pgMar w:top="426" w:right="1440" w:bottom="1440" w:left="156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90E4B" w14:textId="77777777" w:rsidR="00747ECB" w:rsidRDefault="00747ECB" w:rsidP="00505AF8">
      <w:pPr>
        <w:spacing w:line="240" w:lineRule="auto"/>
      </w:pPr>
      <w:r>
        <w:separator/>
      </w:r>
    </w:p>
  </w:endnote>
  <w:endnote w:type="continuationSeparator" w:id="0">
    <w:p w14:paraId="73EA0EEB" w14:textId="77777777" w:rsidR="00747ECB" w:rsidRDefault="00747ECB" w:rsidP="00505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A9A6" w14:textId="6AFF8DEA" w:rsidR="00692C3D" w:rsidRDefault="00692C3D">
    <w:pPr>
      <w:pStyle w:val="Footer"/>
      <w:jc w:val="right"/>
    </w:pPr>
  </w:p>
  <w:p w14:paraId="41311CD0" w14:textId="45494B39" w:rsidR="00692C3D" w:rsidRDefault="00692C3D" w:rsidP="00CA6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80A9" w14:textId="77777777" w:rsidR="00747ECB" w:rsidRDefault="00747ECB" w:rsidP="00505AF8">
      <w:pPr>
        <w:spacing w:line="240" w:lineRule="auto"/>
      </w:pPr>
      <w:r>
        <w:separator/>
      </w:r>
    </w:p>
  </w:footnote>
  <w:footnote w:type="continuationSeparator" w:id="0">
    <w:p w14:paraId="4F3B1640" w14:textId="77777777" w:rsidR="00747ECB" w:rsidRDefault="00747ECB" w:rsidP="00505AF8">
      <w:pPr>
        <w:spacing w:line="240" w:lineRule="auto"/>
      </w:pPr>
      <w:r>
        <w:continuationSeparator/>
      </w:r>
    </w:p>
  </w:footnote>
  <w:footnote w:id="1">
    <w:p w14:paraId="11E12666" w14:textId="022050B2" w:rsidR="00692C3D" w:rsidRPr="0033788E" w:rsidRDefault="00692C3D" w:rsidP="0033788E">
      <w:pPr>
        <w:pStyle w:val="FootnoteText"/>
        <w:ind w:left="567" w:firstLine="0"/>
      </w:pPr>
      <w:r>
        <w:rPr>
          <w:rStyle w:val="FootnoteReference"/>
        </w:rPr>
        <w:footnoteRef/>
      </w:r>
      <w:r>
        <w:t xml:space="preserve"> </w:t>
      </w:r>
      <w:hyperlink r:id="rId1" w:history="1">
        <w:r w:rsidRPr="0033788E">
          <w:rPr>
            <w:rStyle w:val="Hyperlink"/>
            <w:color w:val="auto"/>
            <w:u w:val="none"/>
            <w:shd w:val="clear" w:color="auto" w:fill="FFFFFF"/>
          </w:rPr>
          <w:t>Informatīvais ziņojums "Par prognozētām izmaiņām darba spēka un būvmateriālu izmaksās būvniecības nozarē un to ietekmi uz tautsaimniecību"</w:t>
        </w:r>
      </w:hyperlink>
      <w:r w:rsidRPr="0033788E">
        <w:t xml:space="preserve">, izskatīts MK 03.09.2019. sēdē (prot. Nr. </w:t>
      </w:r>
      <w:hyperlink r:id="rId2" w:anchor="28" w:history="1">
        <w:r w:rsidRPr="0033788E">
          <w:rPr>
            <w:rStyle w:val="Hyperlink"/>
            <w:color w:val="auto"/>
            <w:u w:val="none"/>
            <w:shd w:val="clear" w:color="auto" w:fill="FFFFFF"/>
          </w:rPr>
          <w:t>37#28</w:t>
        </w:r>
      </w:hyperlink>
      <w:r w:rsidRPr="003378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02257"/>
      <w:docPartObj>
        <w:docPartGallery w:val="Page Numbers (Top of Page)"/>
        <w:docPartUnique/>
      </w:docPartObj>
    </w:sdtPr>
    <w:sdtEndPr>
      <w:rPr>
        <w:noProof/>
      </w:rPr>
    </w:sdtEndPr>
    <w:sdtContent>
      <w:p w14:paraId="5C3D2655" w14:textId="2F520445" w:rsidR="00692C3D" w:rsidRDefault="00692C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697BF20" w14:textId="10D75602" w:rsidR="00692C3D" w:rsidRDefault="00692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BD2A" w14:textId="4A079F17" w:rsidR="00692C3D" w:rsidRDefault="00692C3D">
    <w:pPr>
      <w:pStyle w:val="Header"/>
    </w:pPr>
  </w:p>
  <w:p w14:paraId="216F03A8" w14:textId="77777777" w:rsidR="00692C3D" w:rsidRDefault="00692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133"/>
    <w:multiLevelType w:val="hybridMultilevel"/>
    <w:tmpl w:val="1214DC82"/>
    <w:lvl w:ilvl="0" w:tplc="40846B54">
      <w:numFmt w:val="bullet"/>
      <w:lvlText w:val="-"/>
      <w:lvlJc w:val="left"/>
      <w:pPr>
        <w:ind w:left="1069" w:hanging="360"/>
      </w:pPr>
      <w:rPr>
        <w:rFonts w:ascii="Times New Roman" w:eastAsiaTheme="minorEastAsia"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03255B3F"/>
    <w:multiLevelType w:val="hybridMultilevel"/>
    <w:tmpl w:val="8B56D47C"/>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FD80FE1"/>
    <w:multiLevelType w:val="hybridMultilevel"/>
    <w:tmpl w:val="B4DAA340"/>
    <w:lvl w:ilvl="0" w:tplc="04260001">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1C321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C0C02"/>
    <w:multiLevelType w:val="hybridMultilevel"/>
    <w:tmpl w:val="86FCD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4E124D"/>
    <w:multiLevelType w:val="hybridMultilevel"/>
    <w:tmpl w:val="8D9E51A2"/>
    <w:lvl w:ilvl="0" w:tplc="04260001">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B5A705A"/>
    <w:multiLevelType w:val="hybridMultilevel"/>
    <w:tmpl w:val="E472876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C6F4B1A"/>
    <w:multiLevelType w:val="hybridMultilevel"/>
    <w:tmpl w:val="B4B030C0"/>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26A4161"/>
    <w:multiLevelType w:val="hybridMultilevel"/>
    <w:tmpl w:val="B1569E7E"/>
    <w:lvl w:ilvl="0" w:tplc="04260001">
      <w:start w:val="1"/>
      <w:numFmt w:val="bullet"/>
      <w:lvlText w:val=""/>
      <w:lvlJc w:val="left"/>
      <w:pPr>
        <w:ind w:left="1287" w:hanging="360"/>
      </w:pPr>
      <w:rPr>
        <w:rFonts w:ascii="Symbol" w:hAnsi="Symbol" w:hint="default"/>
      </w:rPr>
    </w:lvl>
    <w:lvl w:ilvl="1" w:tplc="04260001">
      <w:start w:val="1"/>
      <w:numFmt w:val="bullet"/>
      <w:lvlText w:val=""/>
      <w:lvlJc w:val="left"/>
      <w:pPr>
        <w:ind w:left="2007" w:hanging="360"/>
      </w:pPr>
      <w:rPr>
        <w:rFonts w:ascii="Symbol" w:hAnsi="Symbol"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336B55F6"/>
    <w:multiLevelType w:val="hybridMultilevel"/>
    <w:tmpl w:val="9CD2C36E"/>
    <w:lvl w:ilvl="0" w:tplc="0426000F">
      <w:start w:val="1"/>
      <w:numFmt w:val="decimal"/>
      <w:lvlText w:val="%1."/>
      <w:lvlJc w:val="left"/>
      <w:pPr>
        <w:ind w:left="1440" w:hanging="360"/>
      </w:pPr>
    </w:lvl>
    <w:lvl w:ilvl="1" w:tplc="EFA8ACE0">
      <w:start w:val="1"/>
      <w:numFmt w:val="lowerLetter"/>
      <w:lvlText w:val="(%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9510574"/>
    <w:multiLevelType w:val="hybridMultilevel"/>
    <w:tmpl w:val="BD5C05C6"/>
    <w:lvl w:ilvl="0" w:tplc="0809000F">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AB746BA"/>
    <w:multiLevelType w:val="hybridMultilevel"/>
    <w:tmpl w:val="D362E6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223DD6"/>
    <w:multiLevelType w:val="hybridMultilevel"/>
    <w:tmpl w:val="F28A24D4"/>
    <w:lvl w:ilvl="0" w:tplc="1ACA06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7E779E"/>
    <w:multiLevelType w:val="hybridMultilevel"/>
    <w:tmpl w:val="E8C20E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861D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9575C"/>
    <w:multiLevelType w:val="hybridMultilevel"/>
    <w:tmpl w:val="6D941F68"/>
    <w:lvl w:ilvl="0" w:tplc="0426000F">
      <w:start w:val="1"/>
      <w:numFmt w:val="decimal"/>
      <w:lvlText w:val="%1."/>
      <w:lvlJc w:val="left"/>
      <w:pPr>
        <w:ind w:left="1353"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8835D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B561BA"/>
    <w:multiLevelType w:val="hybridMultilevel"/>
    <w:tmpl w:val="CCCC23DA"/>
    <w:lvl w:ilvl="0" w:tplc="3DDA41C0">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45E2D88"/>
    <w:multiLevelType w:val="hybridMultilevel"/>
    <w:tmpl w:val="33B4E1CA"/>
    <w:lvl w:ilvl="0" w:tplc="8B8CEF7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8E60D04"/>
    <w:multiLevelType w:val="hybridMultilevel"/>
    <w:tmpl w:val="C818F3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4FF3AC7"/>
    <w:multiLevelType w:val="hybridMultilevel"/>
    <w:tmpl w:val="588A18A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83B503C"/>
    <w:multiLevelType w:val="hybridMultilevel"/>
    <w:tmpl w:val="8566287C"/>
    <w:lvl w:ilvl="0" w:tplc="0809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4"/>
  </w:num>
  <w:num w:numId="2">
    <w:abstractNumId w:val="9"/>
  </w:num>
  <w:num w:numId="3">
    <w:abstractNumId w:val="6"/>
  </w:num>
  <w:num w:numId="4">
    <w:abstractNumId w:val="15"/>
  </w:num>
  <w:num w:numId="5">
    <w:abstractNumId w:val="20"/>
  </w:num>
  <w:num w:numId="6">
    <w:abstractNumId w:val="11"/>
  </w:num>
  <w:num w:numId="7">
    <w:abstractNumId w:val="19"/>
  </w:num>
  <w:num w:numId="8">
    <w:abstractNumId w:val="2"/>
  </w:num>
  <w:num w:numId="9">
    <w:abstractNumId w:val="21"/>
  </w:num>
  <w:num w:numId="10">
    <w:abstractNumId w:val="10"/>
  </w:num>
  <w:num w:numId="11">
    <w:abstractNumId w:val="12"/>
  </w:num>
  <w:num w:numId="12">
    <w:abstractNumId w:val="3"/>
  </w:num>
  <w:num w:numId="13">
    <w:abstractNumId w:val="5"/>
  </w:num>
  <w:num w:numId="14">
    <w:abstractNumId w:val="7"/>
  </w:num>
  <w:num w:numId="15">
    <w:abstractNumId w:val="18"/>
  </w:num>
  <w:num w:numId="16">
    <w:abstractNumId w:val="0"/>
  </w:num>
  <w:num w:numId="17">
    <w:abstractNumId w:val="13"/>
  </w:num>
  <w:num w:numId="18">
    <w:abstractNumId w:val="4"/>
  </w:num>
  <w:num w:numId="19">
    <w:abstractNumId w:val="17"/>
  </w:num>
  <w:num w:numId="20">
    <w:abstractNumId w:val="16"/>
  </w:num>
  <w:num w:numId="21">
    <w:abstractNumId w:val="1"/>
  </w:num>
  <w:num w:numId="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66"/>
    <w:rsid w:val="0000418A"/>
    <w:rsid w:val="0000450F"/>
    <w:rsid w:val="000052A2"/>
    <w:rsid w:val="000054CD"/>
    <w:rsid w:val="0000619E"/>
    <w:rsid w:val="00007835"/>
    <w:rsid w:val="000117B5"/>
    <w:rsid w:val="00011834"/>
    <w:rsid w:val="00011FD4"/>
    <w:rsid w:val="0001271C"/>
    <w:rsid w:val="00012748"/>
    <w:rsid w:val="000127BE"/>
    <w:rsid w:val="00025BCB"/>
    <w:rsid w:val="00026FD2"/>
    <w:rsid w:val="000279CB"/>
    <w:rsid w:val="000308D9"/>
    <w:rsid w:val="000311DF"/>
    <w:rsid w:val="00031776"/>
    <w:rsid w:val="00031E66"/>
    <w:rsid w:val="000324E8"/>
    <w:rsid w:val="00034514"/>
    <w:rsid w:val="00035DC0"/>
    <w:rsid w:val="00035DF1"/>
    <w:rsid w:val="00044904"/>
    <w:rsid w:val="000450FC"/>
    <w:rsid w:val="00047FCF"/>
    <w:rsid w:val="000515F0"/>
    <w:rsid w:val="0005328F"/>
    <w:rsid w:val="000543B9"/>
    <w:rsid w:val="00056B45"/>
    <w:rsid w:val="000609F9"/>
    <w:rsid w:val="00061133"/>
    <w:rsid w:val="00063CF5"/>
    <w:rsid w:val="00066560"/>
    <w:rsid w:val="000722D8"/>
    <w:rsid w:val="00077097"/>
    <w:rsid w:val="00077212"/>
    <w:rsid w:val="000801DB"/>
    <w:rsid w:val="0008095B"/>
    <w:rsid w:val="000846BB"/>
    <w:rsid w:val="00086B5B"/>
    <w:rsid w:val="00090154"/>
    <w:rsid w:val="00091189"/>
    <w:rsid w:val="0009313D"/>
    <w:rsid w:val="000938E3"/>
    <w:rsid w:val="00094DE7"/>
    <w:rsid w:val="00095908"/>
    <w:rsid w:val="00096B19"/>
    <w:rsid w:val="00097397"/>
    <w:rsid w:val="0009792E"/>
    <w:rsid w:val="000A1412"/>
    <w:rsid w:val="000A276E"/>
    <w:rsid w:val="000A340E"/>
    <w:rsid w:val="000B235A"/>
    <w:rsid w:val="000B3507"/>
    <w:rsid w:val="000B461C"/>
    <w:rsid w:val="000B5468"/>
    <w:rsid w:val="000B5CA0"/>
    <w:rsid w:val="000B785B"/>
    <w:rsid w:val="000C0308"/>
    <w:rsid w:val="000C0E92"/>
    <w:rsid w:val="000C20D5"/>
    <w:rsid w:val="000C22C6"/>
    <w:rsid w:val="000C3069"/>
    <w:rsid w:val="000C3FE4"/>
    <w:rsid w:val="000C6767"/>
    <w:rsid w:val="000C7F13"/>
    <w:rsid w:val="000D24BB"/>
    <w:rsid w:val="000D66AC"/>
    <w:rsid w:val="000D772D"/>
    <w:rsid w:val="000E175F"/>
    <w:rsid w:val="000E23CA"/>
    <w:rsid w:val="000E3E96"/>
    <w:rsid w:val="000E6C7D"/>
    <w:rsid w:val="000E7A3D"/>
    <w:rsid w:val="000F0D08"/>
    <w:rsid w:val="000F38C4"/>
    <w:rsid w:val="000F6088"/>
    <w:rsid w:val="000F7BEF"/>
    <w:rsid w:val="00103293"/>
    <w:rsid w:val="0010785C"/>
    <w:rsid w:val="00112A3F"/>
    <w:rsid w:val="00115931"/>
    <w:rsid w:val="00115A4A"/>
    <w:rsid w:val="0011681B"/>
    <w:rsid w:val="001203C9"/>
    <w:rsid w:val="001205DA"/>
    <w:rsid w:val="001206C4"/>
    <w:rsid w:val="0012141D"/>
    <w:rsid w:val="001216C4"/>
    <w:rsid w:val="00121EA6"/>
    <w:rsid w:val="001223A6"/>
    <w:rsid w:val="0012332B"/>
    <w:rsid w:val="00123E27"/>
    <w:rsid w:val="001267AE"/>
    <w:rsid w:val="00131641"/>
    <w:rsid w:val="00134253"/>
    <w:rsid w:val="00137231"/>
    <w:rsid w:val="00140313"/>
    <w:rsid w:val="001403EB"/>
    <w:rsid w:val="00141217"/>
    <w:rsid w:val="00142ED1"/>
    <w:rsid w:val="00143721"/>
    <w:rsid w:val="00144024"/>
    <w:rsid w:val="001447A9"/>
    <w:rsid w:val="00145292"/>
    <w:rsid w:val="00145C51"/>
    <w:rsid w:val="0014710E"/>
    <w:rsid w:val="00150E77"/>
    <w:rsid w:val="001536BB"/>
    <w:rsid w:val="00153C84"/>
    <w:rsid w:val="00154B44"/>
    <w:rsid w:val="001555E9"/>
    <w:rsid w:val="00155DA8"/>
    <w:rsid w:val="0015684B"/>
    <w:rsid w:val="001568E4"/>
    <w:rsid w:val="001605D6"/>
    <w:rsid w:val="0016126C"/>
    <w:rsid w:val="001641C6"/>
    <w:rsid w:val="001657F3"/>
    <w:rsid w:val="00165802"/>
    <w:rsid w:val="00167BB5"/>
    <w:rsid w:val="001704C2"/>
    <w:rsid w:val="0017231B"/>
    <w:rsid w:val="00173B3D"/>
    <w:rsid w:val="0017621D"/>
    <w:rsid w:val="001810BF"/>
    <w:rsid w:val="0018196A"/>
    <w:rsid w:val="00182056"/>
    <w:rsid w:val="001833B6"/>
    <w:rsid w:val="00183757"/>
    <w:rsid w:val="00184675"/>
    <w:rsid w:val="00186AC2"/>
    <w:rsid w:val="00190774"/>
    <w:rsid w:val="00191197"/>
    <w:rsid w:val="00191FB4"/>
    <w:rsid w:val="00193082"/>
    <w:rsid w:val="0019317A"/>
    <w:rsid w:val="00194720"/>
    <w:rsid w:val="001A12F6"/>
    <w:rsid w:val="001A2641"/>
    <w:rsid w:val="001A4AFF"/>
    <w:rsid w:val="001A72D7"/>
    <w:rsid w:val="001B06AD"/>
    <w:rsid w:val="001B18DE"/>
    <w:rsid w:val="001B19EE"/>
    <w:rsid w:val="001B2AA5"/>
    <w:rsid w:val="001B2B9D"/>
    <w:rsid w:val="001B438E"/>
    <w:rsid w:val="001B78B1"/>
    <w:rsid w:val="001C0915"/>
    <w:rsid w:val="001C102E"/>
    <w:rsid w:val="001C13D1"/>
    <w:rsid w:val="001C3C48"/>
    <w:rsid w:val="001C3CAA"/>
    <w:rsid w:val="001C3E91"/>
    <w:rsid w:val="001C723F"/>
    <w:rsid w:val="001D0F7E"/>
    <w:rsid w:val="001D26CA"/>
    <w:rsid w:val="001D3DBE"/>
    <w:rsid w:val="001E16E3"/>
    <w:rsid w:val="001E1A18"/>
    <w:rsid w:val="001E1B79"/>
    <w:rsid w:val="001E1BCC"/>
    <w:rsid w:val="001E1C0A"/>
    <w:rsid w:val="001E4070"/>
    <w:rsid w:val="001E510D"/>
    <w:rsid w:val="001E52FF"/>
    <w:rsid w:val="001E5EEB"/>
    <w:rsid w:val="001E67FD"/>
    <w:rsid w:val="001F003C"/>
    <w:rsid w:val="001F087A"/>
    <w:rsid w:val="001F11E5"/>
    <w:rsid w:val="001F597D"/>
    <w:rsid w:val="001F6723"/>
    <w:rsid w:val="00200009"/>
    <w:rsid w:val="002040DC"/>
    <w:rsid w:val="00205D9D"/>
    <w:rsid w:val="002064A3"/>
    <w:rsid w:val="00207741"/>
    <w:rsid w:val="00207D2A"/>
    <w:rsid w:val="00210C71"/>
    <w:rsid w:val="0021382C"/>
    <w:rsid w:val="00213B73"/>
    <w:rsid w:val="00214E46"/>
    <w:rsid w:val="00220C18"/>
    <w:rsid w:val="00222929"/>
    <w:rsid w:val="002233C8"/>
    <w:rsid w:val="00226783"/>
    <w:rsid w:val="00226F31"/>
    <w:rsid w:val="00231DDE"/>
    <w:rsid w:val="002411A7"/>
    <w:rsid w:val="002419B4"/>
    <w:rsid w:val="00242532"/>
    <w:rsid w:val="00246BA3"/>
    <w:rsid w:val="00247627"/>
    <w:rsid w:val="00247FE2"/>
    <w:rsid w:val="00252A7E"/>
    <w:rsid w:val="00253C2C"/>
    <w:rsid w:val="00253CC9"/>
    <w:rsid w:val="00255298"/>
    <w:rsid w:val="0025596D"/>
    <w:rsid w:val="00255ED4"/>
    <w:rsid w:val="002564F9"/>
    <w:rsid w:val="00256D6B"/>
    <w:rsid w:val="00257C70"/>
    <w:rsid w:val="002671C4"/>
    <w:rsid w:val="00270F10"/>
    <w:rsid w:val="00276A35"/>
    <w:rsid w:val="00276B87"/>
    <w:rsid w:val="00276B8B"/>
    <w:rsid w:val="00284D51"/>
    <w:rsid w:val="00287701"/>
    <w:rsid w:val="002908F6"/>
    <w:rsid w:val="0029101C"/>
    <w:rsid w:val="00295264"/>
    <w:rsid w:val="00296249"/>
    <w:rsid w:val="002A2A72"/>
    <w:rsid w:val="002A6290"/>
    <w:rsid w:val="002A7B0D"/>
    <w:rsid w:val="002B05D7"/>
    <w:rsid w:val="002B099B"/>
    <w:rsid w:val="002B0C38"/>
    <w:rsid w:val="002B276F"/>
    <w:rsid w:val="002B440B"/>
    <w:rsid w:val="002B590E"/>
    <w:rsid w:val="002B7048"/>
    <w:rsid w:val="002B70F7"/>
    <w:rsid w:val="002C0191"/>
    <w:rsid w:val="002C180F"/>
    <w:rsid w:val="002C36A9"/>
    <w:rsid w:val="002C5CB3"/>
    <w:rsid w:val="002C6E59"/>
    <w:rsid w:val="002C7457"/>
    <w:rsid w:val="002D166D"/>
    <w:rsid w:val="002D486D"/>
    <w:rsid w:val="002E0A7F"/>
    <w:rsid w:val="002E3B92"/>
    <w:rsid w:val="002E7D89"/>
    <w:rsid w:val="002F1385"/>
    <w:rsid w:val="002F2A74"/>
    <w:rsid w:val="002F3014"/>
    <w:rsid w:val="002F371C"/>
    <w:rsid w:val="002F4E35"/>
    <w:rsid w:val="002F65DC"/>
    <w:rsid w:val="003000F3"/>
    <w:rsid w:val="0030151E"/>
    <w:rsid w:val="003034CC"/>
    <w:rsid w:val="00303B42"/>
    <w:rsid w:val="00303D73"/>
    <w:rsid w:val="00305422"/>
    <w:rsid w:val="0030707A"/>
    <w:rsid w:val="00307233"/>
    <w:rsid w:val="003104BF"/>
    <w:rsid w:val="00310CD4"/>
    <w:rsid w:val="00310D99"/>
    <w:rsid w:val="00311F49"/>
    <w:rsid w:val="00312AC2"/>
    <w:rsid w:val="0031378F"/>
    <w:rsid w:val="0031723D"/>
    <w:rsid w:val="00320C28"/>
    <w:rsid w:val="00326E0B"/>
    <w:rsid w:val="00331708"/>
    <w:rsid w:val="003323A2"/>
    <w:rsid w:val="0033446D"/>
    <w:rsid w:val="0033788E"/>
    <w:rsid w:val="00340790"/>
    <w:rsid w:val="00341B8B"/>
    <w:rsid w:val="00342579"/>
    <w:rsid w:val="00342850"/>
    <w:rsid w:val="00344136"/>
    <w:rsid w:val="0034754A"/>
    <w:rsid w:val="00351834"/>
    <w:rsid w:val="00351F20"/>
    <w:rsid w:val="00353447"/>
    <w:rsid w:val="003539A5"/>
    <w:rsid w:val="00354D15"/>
    <w:rsid w:val="0035523D"/>
    <w:rsid w:val="00361621"/>
    <w:rsid w:val="0036225E"/>
    <w:rsid w:val="00362E4B"/>
    <w:rsid w:val="00362ECC"/>
    <w:rsid w:val="00363B39"/>
    <w:rsid w:val="00364F6C"/>
    <w:rsid w:val="00364F80"/>
    <w:rsid w:val="00364F9D"/>
    <w:rsid w:val="0036632F"/>
    <w:rsid w:val="003734D7"/>
    <w:rsid w:val="00374F4D"/>
    <w:rsid w:val="00375CDD"/>
    <w:rsid w:val="00381ECB"/>
    <w:rsid w:val="00384727"/>
    <w:rsid w:val="00386B95"/>
    <w:rsid w:val="003879D7"/>
    <w:rsid w:val="00397160"/>
    <w:rsid w:val="00397964"/>
    <w:rsid w:val="00397F3D"/>
    <w:rsid w:val="003A0E1A"/>
    <w:rsid w:val="003A3E9C"/>
    <w:rsid w:val="003A4B7E"/>
    <w:rsid w:val="003A4F90"/>
    <w:rsid w:val="003A7FD9"/>
    <w:rsid w:val="003B0107"/>
    <w:rsid w:val="003B1458"/>
    <w:rsid w:val="003B5212"/>
    <w:rsid w:val="003B6F00"/>
    <w:rsid w:val="003C1627"/>
    <w:rsid w:val="003C3173"/>
    <w:rsid w:val="003D0639"/>
    <w:rsid w:val="003D3422"/>
    <w:rsid w:val="003D4559"/>
    <w:rsid w:val="003D6F5B"/>
    <w:rsid w:val="003E47C4"/>
    <w:rsid w:val="003E5514"/>
    <w:rsid w:val="003E57B5"/>
    <w:rsid w:val="003E5851"/>
    <w:rsid w:val="003E7E8A"/>
    <w:rsid w:val="003F1BB4"/>
    <w:rsid w:val="003F5647"/>
    <w:rsid w:val="003F6B25"/>
    <w:rsid w:val="00401047"/>
    <w:rsid w:val="004015B7"/>
    <w:rsid w:val="00405766"/>
    <w:rsid w:val="004064F7"/>
    <w:rsid w:val="004079E5"/>
    <w:rsid w:val="00410045"/>
    <w:rsid w:val="004100AD"/>
    <w:rsid w:val="00410A91"/>
    <w:rsid w:val="004122C4"/>
    <w:rsid w:val="004124F1"/>
    <w:rsid w:val="00412627"/>
    <w:rsid w:val="004139B6"/>
    <w:rsid w:val="00413BD9"/>
    <w:rsid w:val="00414C64"/>
    <w:rsid w:val="004158A1"/>
    <w:rsid w:val="0042102A"/>
    <w:rsid w:val="00421A86"/>
    <w:rsid w:val="00422624"/>
    <w:rsid w:val="00425180"/>
    <w:rsid w:val="004261CA"/>
    <w:rsid w:val="00427802"/>
    <w:rsid w:val="004310D5"/>
    <w:rsid w:val="00435DBD"/>
    <w:rsid w:val="00442AF3"/>
    <w:rsid w:val="004450AA"/>
    <w:rsid w:val="0044688C"/>
    <w:rsid w:val="00446D93"/>
    <w:rsid w:val="00450930"/>
    <w:rsid w:val="004527B3"/>
    <w:rsid w:val="004530E0"/>
    <w:rsid w:val="0045437C"/>
    <w:rsid w:val="00455B48"/>
    <w:rsid w:val="0045613C"/>
    <w:rsid w:val="0045738B"/>
    <w:rsid w:val="00461B39"/>
    <w:rsid w:val="00462162"/>
    <w:rsid w:val="00462243"/>
    <w:rsid w:val="0046494C"/>
    <w:rsid w:val="00464E05"/>
    <w:rsid w:val="0046649E"/>
    <w:rsid w:val="004713AC"/>
    <w:rsid w:val="0047275C"/>
    <w:rsid w:val="00475025"/>
    <w:rsid w:val="00475363"/>
    <w:rsid w:val="00476A99"/>
    <w:rsid w:val="0048080E"/>
    <w:rsid w:val="00480B14"/>
    <w:rsid w:val="00480B1F"/>
    <w:rsid w:val="00490706"/>
    <w:rsid w:val="00490847"/>
    <w:rsid w:val="004913D4"/>
    <w:rsid w:val="0049157E"/>
    <w:rsid w:val="00491ED8"/>
    <w:rsid w:val="004933CB"/>
    <w:rsid w:val="004948FB"/>
    <w:rsid w:val="00495BCC"/>
    <w:rsid w:val="00496AE9"/>
    <w:rsid w:val="00497031"/>
    <w:rsid w:val="004A0919"/>
    <w:rsid w:val="004A1609"/>
    <w:rsid w:val="004A5A44"/>
    <w:rsid w:val="004A6869"/>
    <w:rsid w:val="004A798D"/>
    <w:rsid w:val="004B5036"/>
    <w:rsid w:val="004B52BC"/>
    <w:rsid w:val="004B5DDA"/>
    <w:rsid w:val="004B5FC3"/>
    <w:rsid w:val="004B67C2"/>
    <w:rsid w:val="004B6867"/>
    <w:rsid w:val="004B68EC"/>
    <w:rsid w:val="004C074B"/>
    <w:rsid w:val="004C10FB"/>
    <w:rsid w:val="004C1919"/>
    <w:rsid w:val="004C1DA7"/>
    <w:rsid w:val="004C3684"/>
    <w:rsid w:val="004C59B6"/>
    <w:rsid w:val="004C5F9B"/>
    <w:rsid w:val="004C6224"/>
    <w:rsid w:val="004C645F"/>
    <w:rsid w:val="004D0736"/>
    <w:rsid w:val="004E0EF9"/>
    <w:rsid w:val="004E38AB"/>
    <w:rsid w:val="004E4647"/>
    <w:rsid w:val="004E5C5A"/>
    <w:rsid w:val="004E6DED"/>
    <w:rsid w:val="004F3F52"/>
    <w:rsid w:val="004F6540"/>
    <w:rsid w:val="005000B6"/>
    <w:rsid w:val="00500BDC"/>
    <w:rsid w:val="00501534"/>
    <w:rsid w:val="005025D1"/>
    <w:rsid w:val="00505AF8"/>
    <w:rsid w:val="00506186"/>
    <w:rsid w:val="00506328"/>
    <w:rsid w:val="00507C21"/>
    <w:rsid w:val="005119F4"/>
    <w:rsid w:val="00512F51"/>
    <w:rsid w:val="00516ADE"/>
    <w:rsid w:val="005177A3"/>
    <w:rsid w:val="005204FF"/>
    <w:rsid w:val="00521832"/>
    <w:rsid w:val="00524222"/>
    <w:rsid w:val="00526E59"/>
    <w:rsid w:val="00527879"/>
    <w:rsid w:val="00530D33"/>
    <w:rsid w:val="0053150B"/>
    <w:rsid w:val="00532E0F"/>
    <w:rsid w:val="005337BF"/>
    <w:rsid w:val="00533C93"/>
    <w:rsid w:val="00535808"/>
    <w:rsid w:val="00535ACE"/>
    <w:rsid w:val="0054123E"/>
    <w:rsid w:val="00542B21"/>
    <w:rsid w:val="0054619D"/>
    <w:rsid w:val="00550A38"/>
    <w:rsid w:val="00551B4E"/>
    <w:rsid w:val="00552482"/>
    <w:rsid w:val="00553156"/>
    <w:rsid w:val="00553FE8"/>
    <w:rsid w:val="00554373"/>
    <w:rsid w:val="0055494D"/>
    <w:rsid w:val="00560FF3"/>
    <w:rsid w:val="00561AA8"/>
    <w:rsid w:val="00562372"/>
    <w:rsid w:val="00562D05"/>
    <w:rsid w:val="00562EC7"/>
    <w:rsid w:val="00566539"/>
    <w:rsid w:val="0056681F"/>
    <w:rsid w:val="00574A21"/>
    <w:rsid w:val="00575925"/>
    <w:rsid w:val="00575F10"/>
    <w:rsid w:val="00577228"/>
    <w:rsid w:val="005773F8"/>
    <w:rsid w:val="00577BC4"/>
    <w:rsid w:val="00582B4B"/>
    <w:rsid w:val="00582C0D"/>
    <w:rsid w:val="00582CB0"/>
    <w:rsid w:val="00583291"/>
    <w:rsid w:val="00584BE1"/>
    <w:rsid w:val="00587531"/>
    <w:rsid w:val="00587921"/>
    <w:rsid w:val="005904E9"/>
    <w:rsid w:val="00590FBD"/>
    <w:rsid w:val="005919C3"/>
    <w:rsid w:val="005920E7"/>
    <w:rsid w:val="0059323A"/>
    <w:rsid w:val="005933C9"/>
    <w:rsid w:val="0059518C"/>
    <w:rsid w:val="0059682D"/>
    <w:rsid w:val="00597608"/>
    <w:rsid w:val="005A3473"/>
    <w:rsid w:val="005A544A"/>
    <w:rsid w:val="005A6A14"/>
    <w:rsid w:val="005A7B25"/>
    <w:rsid w:val="005B0DF0"/>
    <w:rsid w:val="005B1C28"/>
    <w:rsid w:val="005B2752"/>
    <w:rsid w:val="005B535C"/>
    <w:rsid w:val="005C0CB5"/>
    <w:rsid w:val="005C24A7"/>
    <w:rsid w:val="005C441D"/>
    <w:rsid w:val="005C4705"/>
    <w:rsid w:val="005D01B6"/>
    <w:rsid w:val="005D07D0"/>
    <w:rsid w:val="005D0C15"/>
    <w:rsid w:val="005D0CF4"/>
    <w:rsid w:val="005D0D35"/>
    <w:rsid w:val="005D0F17"/>
    <w:rsid w:val="005D0FA0"/>
    <w:rsid w:val="005D12B5"/>
    <w:rsid w:val="005E00E6"/>
    <w:rsid w:val="005E1E2E"/>
    <w:rsid w:val="005E2ABD"/>
    <w:rsid w:val="005E7FED"/>
    <w:rsid w:val="005F08A2"/>
    <w:rsid w:val="005F09B4"/>
    <w:rsid w:val="005F1E93"/>
    <w:rsid w:val="005F2007"/>
    <w:rsid w:val="005F216D"/>
    <w:rsid w:val="005F3CD9"/>
    <w:rsid w:val="005F3E1C"/>
    <w:rsid w:val="005F5AE8"/>
    <w:rsid w:val="005F5D0D"/>
    <w:rsid w:val="005F6596"/>
    <w:rsid w:val="005F6CA8"/>
    <w:rsid w:val="00603649"/>
    <w:rsid w:val="006076ED"/>
    <w:rsid w:val="0061010F"/>
    <w:rsid w:val="00612D93"/>
    <w:rsid w:val="00613F48"/>
    <w:rsid w:val="00616557"/>
    <w:rsid w:val="0061794C"/>
    <w:rsid w:val="00620EE9"/>
    <w:rsid w:val="0062327B"/>
    <w:rsid w:val="00624DEB"/>
    <w:rsid w:val="00627851"/>
    <w:rsid w:val="00630126"/>
    <w:rsid w:val="00631B24"/>
    <w:rsid w:val="00631EDB"/>
    <w:rsid w:val="006326BD"/>
    <w:rsid w:val="00632B0B"/>
    <w:rsid w:val="006367F8"/>
    <w:rsid w:val="00637B4C"/>
    <w:rsid w:val="00637E7D"/>
    <w:rsid w:val="006403D5"/>
    <w:rsid w:val="00642A5A"/>
    <w:rsid w:val="00642C3C"/>
    <w:rsid w:val="00642D0D"/>
    <w:rsid w:val="0064366A"/>
    <w:rsid w:val="00643E5D"/>
    <w:rsid w:val="00647AA5"/>
    <w:rsid w:val="006516F2"/>
    <w:rsid w:val="00652937"/>
    <w:rsid w:val="00657B0F"/>
    <w:rsid w:val="00662C04"/>
    <w:rsid w:val="0066486A"/>
    <w:rsid w:val="00667DC1"/>
    <w:rsid w:val="00671B2E"/>
    <w:rsid w:val="00671ED2"/>
    <w:rsid w:val="00672C48"/>
    <w:rsid w:val="00673815"/>
    <w:rsid w:val="00674C12"/>
    <w:rsid w:val="006755FA"/>
    <w:rsid w:val="00675F66"/>
    <w:rsid w:val="00675FDD"/>
    <w:rsid w:val="00677DFB"/>
    <w:rsid w:val="00682DCA"/>
    <w:rsid w:val="00682EB3"/>
    <w:rsid w:val="00684234"/>
    <w:rsid w:val="00684F10"/>
    <w:rsid w:val="00690648"/>
    <w:rsid w:val="00692C3D"/>
    <w:rsid w:val="00693ED7"/>
    <w:rsid w:val="006948F1"/>
    <w:rsid w:val="00695B07"/>
    <w:rsid w:val="00696FBC"/>
    <w:rsid w:val="00697666"/>
    <w:rsid w:val="00697FD2"/>
    <w:rsid w:val="006A0783"/>
    <w:rsid w:val="006A1224"/>
    <w:rsid w:val="006A21DE"/>
    <w:rsid w:val="006A6479"/>
    <w:rsid w:val="006A7017"/>
    <w:rsid w:val="006B18E6"/>
    <w:rsid w:val="006B1CA7"/>
    <w:rsid w:val="006B2D17"/>
    <w:rsid w:val="006B32A0"/>
    <w:rsid w:val="006B4602"/>
    <w:rsid w:val="006B4954"/>
    <w:rsid w:val="006B55BF"/>
    <w:rsid w:val="006C0205"/>
    <w:rsid w:val="006C0D22"/>
    <w:rsid w:val="006C1231"/>
    <w:rsid w:val="006C1FD9"/>
    <w:rsid w:val="006C28B0"/>
    <w:rsid w:val="006C412A"/>
    <w:rsid w:val="006C7DB5"/>
    <w:rsid w:val="006D001B"/>
    <w:rsid w:val="006D1669"/>
    <w:rsid w:val="006D4495"/>
    <w:rsid w:val="006D4DCA"/>
    <w:rsid w:val="006D5464"/>
    <w:rsid w:val="006D6C5A"/>
    <w:rsid w:val="006D780C"/>
    <w:rsid w:val="006E09BF"/>
    <w:rsid w:val="006E16EC"/>
    <w:rsid w:val="006E2787"/>
    <w:rsid w:val="006E4EC4"/>
    <w:rsid w:val="006E5433"/>
    <w:rsid w:val="006E7849"/>
    <w:rsid w:val="006E7D50"/>
    <w:rsid w:val="006F2C3E"/>
    <w:rsid w:val="006F3E25"/>
    <w:rsid w:val="006F5077"/>
    <w:rsid w:val="006F5C66"/>
    <w:rsid w:val="006F5FBD"/>
    <w:rsid w:val="006F75AD"/>
    <w:rsid w:val="007008C8"/>
    <w:rsid w:val="00703EDA"/>
    <w:rsid w:val="00704C70"/>
    <w:rsid w:val="00705A9F"/>
    <w:rsid w:val="0070673F"/>
    <w:rsid w:val="00706904"/>
    <w:rsid w:val="00707EB4"/>
    <w:rsid w:val="007108A9"/>
    <w:rsid w:val="007109D0"/>
    <w:rsid w:val="00711352"/>
    <w:rsid w:val="00711727"/>
    <w:rsid w:val="00715774"/>
    <w:rsid w:val="0071794F"/>
    <w:rsid w:val="00720321"/>
    <w:rsid w:val="007275D6"/>
    <w:rsid w:val="00730D30"/>
    <w:rsid w:val="00731DC0"/>
    <w:rsid w:val="007340F4"/>
    <w:rsid w:val="00734E4F"/>
    <w:rsid w:val="00734F6F"/>
    <w:rsid w:val="00736AD0"/>
    <w:rsid w:val="00740514"/>
    <w:rsid w:val="0074129D"/>
    <w:rsid w:val="00741948"/>
    <w:rsid w:val="0074462F"/>
    <w:rsid w:val="00745ADB"/>
    <w:rsid w:val="00746B6C"/>
    <w:rsid w:val="00747D98"/>
    <w:rsid w:val="00747ECB"/>
    <w:rsid w:val="00751BAC"/>
    <w:rsid w:val="007539B6"/>
    <w:rsid w:val="007635AC"/>
    <w:rsid w:val="007656B2"/>
    <w:rsid w:val="00773220"/>
    <w:rsid w:val="007741A5"/>
    <w:rsid w:val="00774A69"/>
    <w:rsid w:val="00774E56"/>
    <w:rsid w:val="00782411"/>
    <w:rsid w:val="00783911"/>
    <w:rsid w:val="00784105"/>
    <w:rsid w:val="00784A74"/>
    <w:rsid w:val="0078500F"/>
    <w:rsid w:val="00787C1E"/>
    <w:rsid w:val="00787C49"/>
    <w:rsid w:val="007902D6"/>
    <w:rsid w:val="0079034C"/>
    <w:rsid w:val="00790E2C"/>
    <w:rsid w:val="007948D5"/>
    <w:rsid w:val="007950BA"/>
    <w:rsid w:val="00797116"/>
    <w:rsid w:val="007A45FA"/>
    <w:rsid w:val="007A527F"/>
    <w:rsid w:val="007A593F"/>
    <w:rsid w:val="007A5FD1"/>
    <w:rsid w:val="007A68D0"/>
    <w:rsid w:val="007B10F2"/>
    <w:rsid w:val="007B1587"/>
    <w:rsid w:val="007B2776"/>
    <w:rsid w:val="007B339E"/>
    <w:rsid w:val="007B36E2"/>
    <w:rsid w:val="007B4A04"/>
    <w:rsid w:val="007B4BAB"/>
    <w:rsid w:val="007B594D"/>
    <w:rsid w:val="007C07D7"/>
    <w:rsid w:val="007C0F36"/>
    <w:rsid w:val="007C4405"/>
    <w:rsid w:val="007C4D39"/>
    <w:rsid w:val="007C50C7"/>
    <w:rsid w:val="007C6083"/>
    <w:rsid w:val="007C759D"/>
    <w:rsid w:val="007D196F"/>
    <w:rsid w:val="007D3FA6"/>
    <w:rsid w:val="007D53BF"/>
    <w:rsid w:val="007E01AC"/>
    <w:rsid w:val="007E365D"/>
    <w:rsid w:val="007E36E8"/>
    <w:rsid w:val="007E40F3"/>
    <w:rsid w:val="007E5358"/>
    <w:rsid w:val="007E6529"/>
    <w:rsid w:val="007F0095"/>
    <w:rsid w:val="007F16BD"/>
    <w:rsid w:val="007F1D41"/>
    <w:rsid w:val="007F24D1"/>
    <w:rsid w:val="007F3895"/>
    <w:rsid w:val="007F5883"/>
    <w:rsid w:val="00801210"/>
    <w:rsid w:val="00802C32"/>
    <w:rsid w:val="008056B1"/>
    <w:rsid w:val="00807AFD"/>
    <w:rsid w:val="008105A1"/>
    <w:rsid w:val="0081380E"/>
    <w:rsid w:val="008152C2"/>
    <w:rsid w:val="00820654"/>
    <w:rsid w:val="008220AF"/>
    <w:rsid w:val="00825C36"/>
    <w:rsid w:val="008263B6"/>
    <w:rsid w:val="00826DB2"/>
    <w:rsid w:val="00827BEF"/>
    <w:rsid w:val="00827E78"/>
    <w:rsid w:val="00832F0D"/>
    <w:rsid w:val="00833047"/>
    <w:rsid w:val="00835C58"/>
    <w:rsid w:val="00836202"/>
    <w:rsid w:val="00837E25"/>
    <w:rsid w:val="00843B02"/>
    <w:rsid w:val="00844660"/>
    <w:rsid w:val="008453E4"/>
    <w:rsid w:val="008461D8"/>
    <w:rsid w:val="00850AB2"/>
    <w:rsid w:val="00851AE5"/>
    <w:rsid w:val="00856626"/>
    <w:rsid w:val="00857091"/>
    <w:rsid w:val="00860AFE"/>
    <w:rsid w:val="00861601"/>
    <w:rsid w:val="00862706"/>
    <w:rsid w:val="0086498A"/>
    <w:rsid w:val="00865E7E"/>
    <w:rsid w:val="0086770E"/>
    <w:rsid w:val="00870966"/>
    <w:rsid w:val="00872126"/>
    <w:rsid w:val="00873D5F"/>
    <w:rsid w:val="00875D0A"/>
    <w:rsid w:val="008760D3"/>
    <w:rsid w:val="008768B9"/>
    <w:rsid w:val="0088023F"/>
    <w:rsid w:val="008845B8"/>
    <w:rsid w:val="00885A02"/>
    <w:rsid w:val="008900D1"/>
    <w:rsid w:val="00893879"/>
    <w:rsid w:val="00896608"/>
    <w:rsid w:val="0089784F"/>
    <w:rsid w:val="0089788F"/>
    <w:rsid w:val="008A03DA"/>
    <w:rsid w:val="008A2DDD"/>
    <w:rsid w:val="008A34D7"/>
    <w:rsid w:val="008A3887"/>
    <w:rsid w:val="008A3D3F"/>
    <w:rsid w:val="008A4196"/>
    <w:rsid w:val="008B3AC0"/>
    <w:rsid w:val="008B5231"/>
    <w:rsid w:val="008C34EA"/>
    <w:rsid w:val="008C5710"/>
    <w:rsid w:val="008D1BFF"/>
    <w:rsid w:val="008D2342"/>
    <w:rsid w:val="008D5648"/>
    <w:rsid w:val="008D5AA3"/>
    <w:rsid w:val="008D7864"/>
    <w:rsid w:val="008D7E64"/>
    <w:rsid w:val="008E1069"/>
    <w:rsid w:val="008E31E2"/>
    <w:rsid w:val="008E3913"/>
    <w:rsid w:val="008E4DC5"/>
    <w:rsid w:val="008E56A0"/>
    <w:rsid w:val="008E6C06"/>
    <w:rsid w:val="008F0079"/>
    <w:rsid w:val="008F0662"/>
    <w:rsid w:val="008F3BD1"/>
    <w:rsid w:val="008F43AB"/>
    <w:rsid w:val="008F4518"/>
    <w:rsid w:val="0090028F"/>
    <w:rsid w:val="00900A7F"/>
    <w:rsid w:val="009018BD"/>
    <w:rsid w:val="009022F5"/>
    <w:rsid w:val="00904EB6"/>
    <w:rsid w:val="00905AD2"/>
    <w:rsid w:val="009071AE"/>
    <w:rsid w:val="00907814"/>
    <w:rsid w:val="009105D7"/>
    <w:rsid w:val="00910C79"/>
    <w:rsid w:val="009113A4"/>
    <w:rsid w:val="00911DFC"/>
    <w:rsid w:val="0091405E"/>
    <w:rsid w:val="009150F5"/>
    <w:rsid w:val="00916DB1"/>
    <w:rsid w:val="00920C72"/>
    <w:rsid w:val="00923C04"/>
    <w:rsid w:val="00925806"/>
    <w:rsid w:val="0092779E"/>
    <w:rsid w:val="00930A93"/>
    <w:rsid w:val="0093148A"/>
    <w:rsid w:val="009321CA"/>
    <w:rsid w:val="00932277"/>
    <w:rsid w:val="00934279"/>
    <w:rsid w:val="009367A1"/>
    <w:rsid w:val="00941719"/>
    <w:rsid w:val="00942DA1"/>
    <w:rsid w:val="0094432B"/>
    <w:rsid w:val="009506A0"/>
    <w:rsid w:val="00950820"/>
    <w:rsid w:val="00951B26"/>
    <w:rsid w:val="00952063"/>
    <w:rsid w:val="00955F8C"/>
    <w:rsid w:val="00956957"/>
    <w:rsid w:val="00957712"/>
    <w:rsid w:val="00957D2A"/>
    <w:rsid w:val="00957F83"/>
    <w:rsid w:val="009608CD"/>
    <w:rsid w:val="00962BBB"/>
    <w:rsid w:val="009659FB"/>
    <w:rsid w:val="00971EBE"/>
    <w:rsid w:val="0097326D"/>
    <w:rsid w:val="00973628"/>
    <w:rsid w:val="00975786"/>
    <w:rsid w:val="00977EFF"/>
    <w:rsid w:val="00980A62"/>
    <w:rsid w:val="009814BD"/>
    <w:rsid w:val="0098171B"/>
    <w:rsid w:val="00981B93"/>
    <w:rsid w:val="0098291F"/>
    <w:rsid w:val="00983AE6"/>
    <w:rsid w:val="00985696"/>
    <w:rsid w:val="009859AD"/>
    <w:rsid w:val="00987745"/>
    <w:rsid w:val="00990193"/>
    <w:rsid w:val="00990480"/>
    <w:rsid w:val="00991310"/>
    <w:rsid w:val="009922B0"/>
    <w:rsid w:val="009939A3"/>
    <w:rsid w:val="00995412"/>
    <w:rsid w:val="0099736F"/>
    <w:rsid w:val="00997975"/>
    <w:rsid w:val="009A218B"/>
    <w:rsid w:val="009A2F7A"/>
    <w:rsid w:val="009A4466"/>
    <w:rsid w:val="009A44D2"/>
    <w:rsid w:val="009A487C"/>
    <w:rsid w:val="009A4DA9"/>
    <w:rsid w:val="009B285B"/>
    <w:rsid w:val="009B4B5B"/>
    <w:rsid w:val="009B5ECD"/>
    <w:rsid w:val="009C2807"/>
    <w:rsid w:val="009C3D4C"/>
    <w:rsid w:val="009C4A4A"/>
    <w:rsid w:val="009C4B59"/>
    <w:rsid w:val="009C4F60"/>
    <w:rsid w:val="009C696A"/>
    <w:rsid w:val="009C6B94"/>
    <w:rsid w:val="009C745B"/>
    <w:rsid w:val="009D06D4"/>
    <w:rsid w:val="009D1586"/>
    <w:rsid w:val="009D7C4D"/>
    <w:rsid w:val="009D7D08"/>
    <w:rsid w:val="009E0930"/>
    <w:rsid w:val="009E4D5E"/>
    <w:rsid w:val="009E5AE2"/>
    <w:rsid w:val="009F0E29"/>
    <w:rsid w:val="009F63E0"/>
    <w:rsid w:val="00A00135"/>
    <w:rsid w:val="00A001AB"/>
    <w:rsid w:val="00A00519"/>
    <w:rsid w:val="00A01DCA"/>
    <w:rsid w:val="00A02B64"/>
    <w:rsid w:val="00A03B6A"/>
    <w:rsid w:val="00A064E8"/>
    <w:rsid w:val="00A12E46"/>
    <w:rsid w:val="00A12F2B"/>
    <w:rsid w:val="00A17F8B"/>
    <w:rsid w:val="00A21968"/>
    <w:rsid w:val="00A2279C"/>
    <w:rsid w:val="00A229E5"/>
    <w:rsid w:val="00A23B75"/>
    <w:rsid w:val="00A25DEA"/>
    <w:rsid w:val="00A27853"/>
    <w:rsid w:val="00A334EF"/>
    <w:rsid w:val="00A34146"/>
    <w:rsid w:val="00A44443"/>
    <w:rsid w:val="00A46AB2"/>
    <w:rsid w:val="00A47703"/>
    <w:rsid w:val="00A51324"/>
    <w:rsid w:val="00A5176F"/>
    <w:rsid w:val="00A51771"/>
    <w:rsid w:val="00A519AF"/>
    <w:rsid w:val="00A51CBC"/>
    <w:rsid w:val="00A521F1"/>
    <w:rsid w:val="00A5496C"/>
    <w:rsid w:val="00A551D3"/>
    <w:rsid w:val="00A553DA"/>
    <w:rsid w:val="00A564DB"/>
    <w:rsid w:val="00A57667"/>
    <w:rsid w:val="00A617AF"/>
    <w:rsid w:val="00A648ED"/>
    <w:rsid w:val="00A65CFF"/>
    <w:rsid w:val="00A71CB9"/>
    <w:rsid w:val="00A74511"/>
    <w:rsid w:val="00A77534"/>
    <w:rsid w:val="00A77F97"/>
    <w:rsid w:val="00A80376"/>
    <w:rsid w:val="00A812FE"/>
    <w:rsid w:val="00A81808"/>
    <w:rsid w:val="00A8237D"/>
    <w:rsid w:val="00A8357B"/>
    <w:rsid w:val="00A87804"/>
    <w:rsid w:val="00A87AE8"/>
    <w:rsid w:val="00A87BD7"/>
    <w:rsid w:val="00A90D0F"/>
    <w:rsid w:val="00A938E0"/>
    <w:rsid w:val="00AA1C9D"/>
    <w:rsid w:val="00AA213E"/>
    <w:rsid w:val="00AA4F3E"/>
    <w:rsid w:val="00AA5145"/>
    <w:rsid w:val="00AA6F32"/>
    <w:rsid w:val="00AA72FF"/>
    <w:rsid w:val="00AA78E9"/>
    <w:rsid w:val="00AB3491"/>
    <w:rsid w:val="00AB36B4"/>
    <w:rsid w:val="00AB4334"/>
    <w:rsid w:val="00AB47B2"/>
    <w:rsid w:val="00AB553A"/>
    <w:rsid w:val="00AB6E86"/>
    <w:rsid w:val="00AB765C"/>
    <w:rsid w:val="00AC068F"/>
    <w:rsid w:val="00AC0983"/>
    <w:rsid w:val="00AC2425"/>
    <w:rsid w:val="00AC413A"/>
    <w:rsid w:val="00AC47BD"/>
    <w:rsid w:val="00AC4C85"/>
    <w:rsid w:val="00AC4E75"/>
    <w:rsid w:val="00AC4EC4"/>
    <w:rsid w:val="00AC59AC"/>
    <w:rsid w:val="00AD04D9"/>
    <w:rsid w:val="00AD6AE2"/>
    <w:rsid w:val="00AE09FB"/>
    <w:rsid w:val="00AE22FA"/>
    <w:rsid w:val="00AE2ED2"/>
    <w:rsid w:val="00AE374A"/>
    <w:rsid w:val="00AE3836"/>
    <w:rsid w:val="00AF4BF6"/>
    <w:rsid w:val="00AF58DB"/>
    <w:rsid w:val="00AF5DFC"/>
    <w:rsid w:val="00AF6B0C"/>
    <w:rsid w:val="00B0011C"/>
    <w:rsid w:val="00B0294C"/>
    <w:rsid w:val="00B0349D"/>
    <w:rsid w:val="00B04715"/>
    <w:rsid w:val="00B04B01"/>
    <w:rsid w:val="00B04EF3"/>
    <w:rsid w:val="00B11F65"/>
    <w:rsid w:val="00B139BF"/>
    <w:rsid w:val="00B13B0A"/>
    <w:rsid w:val="00B1617A"/>
    <w:rsid w:val="00B21C2D"/>
    <w:rsid w:val="00B22907"/>
    <w:rsid w:val="00B244B8"/>
    <w:rsid w:val="00B264CD"/>
    <w:rsid w:val="00B269C1"/>
    <w:rsid w:val="00B27FBF"/>
    <w:rsid w:val="00B34B49"/>
    <w:rsid w:val="00B36BF3"/>
    <w:rsid w:val="00B37AA7"/>
    <w:rsid w:val="00B40AA8"/>
    <w:rsid w:val="00B41FBB"/>
    <w:rsid w:val="00B46F74"/>
    <w:rsid w:val="00B54B7D"/>
    <w:rsid w:val="00B5766D"/>
    <w:rsid w:val="00B57ACA"/>
    <w:rsid w:val="00B60022"/>
    <w:rsid w:val="00B6469B"/>
    <w:rsid w:val="00B66232"/>
    <w:rsid w:val="00B6750A"/>
    <w:rsid w:val="00B7025A"/>
    <w:rsid w:val="00B70C1D"/>
    <w:rsid w:val="00B70C5A"/>
    <w:rsid w:val="00B717AF"/>
    <w:rsid w:val="00B7192C"/>
    <w:rsid w:val="00B72883"/>
    <w:rsid w:val="00B7731E"/>
    <w:rsid w:val="00B85184"/>
    <w:rsid w:val="00B8710B"/>
    <w:rsid w:val="00B90FF8"/>
    <w:rsid w:val="00B91289"/>
    <w:rsid w:val="00B91DC7"/>
    <w:rsid w:val="00B92DFB"/>
    <w:rsid w:val="00B930CE"/>
    <w:rsid w:val="00B94B20"/>
    <w:rsid w:val="00B957CC"/>
    <w:rsid w:val="00B96CC5"/>
    <w:rsid w:val="00BA1A0E"/>
    <w:rsid w:val="00BA3392"/>
    <w:rsid w:val="00BA4D26"/>
    <w:rsid w:val="00BA55E5"/>
    <w:rsid w:val="00BA700F"/>
    <w:rsid w:val="00BB2050"/>
    <w:rsid w:val="00BB2B3E"/>
    <w:rsid w:val="00BB4156"/>
    <w:rsid w:val="00BB5A2F"/>
    <w:rsid w:val="00BC1A29"/>
    <w:rsid w:val="00BC631D"/>
    <w:rsid w:val="00BC66BD"/>
    <w:rsid w:val="00BC75F7"/>
    <w:rsid w:val="00BD148E"/>
    <w:rsid w:val="00BD273D"/>
    <w:rsid w:val="00BD507D"/>
    <w:rsid w:val="00BD7053"/>
    <w:rsid w:val="00BE1AD2"/>
    <w:rsid w:val="00BE35FE"/>
    <w:rsid w:val="00BE4436"/>
    <w:rsid w:val="00BE511E"/>
    <w:rsid w:val="00BF0B08"/>
    <w:rsid w:val="00BF1733"/>
    <w:rsid w:val="00BF191D"/>
    <w:rsid w:val="00BF3947"/>
    <w:rsid w:val="00BF3FAE"/>
    <w:rsid w:val="00BF6A7C"/>
    <w:rsid w:val="00BF7996"/>
    <w:rsid w:val="00C004AC"/>
    <w:rsid w:val="00C011CD"/>
    <w:rsid w:val="00C0213F"/>
    <w:rsid w:val="00C064D5"/>
    <w:rsid w:val="00C06B9C"/>
    <w:rsid w:val="00C1099B"/>
    <w:rsid w:val="00C14512"/>
    <w:rsid w:val="00C16B5E"/>
    <w:rsid w:val="00C20F1D"/>
    <w:rsid w:val="00C21337"/>
    <w:rsid w:val="00C21590"/>
    <w:rsid w:val="00C21DCF"/>
    <w:rsid w:val="00C2282C"/>
    <w:rsid w:val="00C22F2A"/>
    <w:rsid w:val="00C239AF"/>
    <w:rsid w:val="00C23EDD"/>
    <w:rsid w:val="00C2402A"/>
    <w:rsid w:val="00C25736"/>
    <w:rsid w:val="00C31507"/>
    <w:rsid w:val="00C33A3B"/>
    <w:rsid w:val="00C3579C"/>
    <w:rsid w:val="00C3615C"/>
    <w:rsid w:val="00C3681F"/>
    <w:rsid w:val="00C37172"/>
    <w:rsid w:val="00C41FA4"/>
    <w:rsid w:val="00C462D8"/>
    <w:rsid w:val="00C510A1"/>
    <w:rsid w:val="00C52AB6"/>
    <w:rsid w:val="00C54135"/>
    <w:rsid w:val="00C601EA"/>
    <w:rsid w:val="00C6478E"/>
    <w:rsid w:val="00C656B0"/>
    <w:rsid w:val="00C6681F"/>
    <w:rsid w:val="00C67035"/>
    <w:rsid w:val="00C678E4"/>
    <w:rsid w:val="00C67C69"/>
    <w:rsid w:val="00C67CB0"/>
    <w:rsid w:val="00C706F5"/>
    <w:rsid w:val="00C70934"/>
    <w:rsid w:val="00C72495"/>
    <w:rsid w:val="00C72565"/>
    <w:rsid w:val="00C752CE"/>
    <w:rsid w:val="00C815B2"/>
    <w:rsid w:val="00C82D82"/>
    <w:rsid w:val="00C8462B"/>
    <w:rsid w:val="00C856E6"/>
    <w:rsid w:val="00C90E56"/>
    <w:rsid w:val="00C9158F"/>
    <w:rsid w:val="00C9344B"/>
    <w:rsid w:val="00C96811"/>
    <w:rsid w:val="00C96A0B"/>
    <w:rsid w:val="00CA17E5"/>
    <w:rsid w:val="00CA21FE"/>
    <w:rsid w:val="00CA2782"/>
    <w:rsid w:val="00CA3746"/>
    <w:rsid w:val="00CA586F"/>
    <w:rsid w:val="00CA5957"/>
    <w:rsid w:val="00CA604F"/>
    <w:rsid w:val="00CB2B13"/>
    <w:rsid w:val="00CB4ED2"/>
    <w:rsid w:val="00CB547F"/>
    <w:rsid w:val="00CB5C1E"/>
    <w:rsid w:val="00CC2DD9"/>
    <w:rsid w:val="00CC3477"/>
    <w:rsid w:val="00CC3D1D"/>
    <w:rsid w:val="00CC4B97"/>
    <w:rsid w:val="00CC694D"/>
    <w:rsid w:val="00CC73E1"/>
    <w:rsid w:val="00CD0762"/>
    <w:rsid w:val="00CD3272"/>
    <w:rsid w:val="00CD3818"/>
    <w:rsid w:val="00CD3A86"/>
    <w:rsid w:val="00CE1B8F"/>
    <w:rsid w:val="00CE234B"/>
    <w:rsid w:val="00CF01A3"/>
    <w:rsid w:val="00CF05BC"/>
    <w:rsid w:val="00CF0628"/>
    <w:rsid w:val="00CF06AE"/>
    <w:rsid w:val="00CF1365"/>
    <w:rsid w:val="00CF143A"/>
    <w:rsid w:val="00CF2612"/>
    <w:rsid w:val="00CF26E4"/>
    <w:rsid w:val="00CF72A7"/>
    <w:rsid w:val="00CF7A1A"/>
    <w:rsid w:val="00D00280"/>
    <w:rsid w:val="00D0421A"/>
    <w:rsid w:val="00D050C9"/>
    <w:rsid w:val="00D05850"/>
    <w:rsid w:val="00D07152"/>
    <w:rsid w:val="00D114C8"/>
    <w:rsid w:val="00D12B2B"/>
    <w:rsid w:val="00D175B7"/>
    <w:rsid w:val="00D17BB1"/>
    <w:rsid w:val="00D20DDC"/>
    <w:rsid w:val="00D2384B"/>
    <w:rsid w:val="00D23AEC"/>
    <w:rsid w:val="00D2568F"/>
    <w:rsid w:val="00D25872"/>
    <w:rsid w:val="00D25D93"/>
    <w:rsid w:val="00D25DFE"/>
    <w:rsid w:val="00D27711"/>
    <w:rsid w:val="00D36580"/>
    <w:rsid w:val="00D41453"/>
    <w:rsid w:val="00D41C51"/>
    <w:rsid w:val="00D42060"/>
    <w:rsid w:val="00D45CD6"/>
    <w:rsid w:val="00D45FCF"/>
    <w:rsid w:val="00D4684C"/>
    <w:rsid w:val="00D47EEF"/>
    <w:rsid w:val="00D56D1A"/>
    <w:rsid w:val="00D56F32"/>
    <w:rsid w:val="00D62A31"/>
    <w:rsid w:val="00D63160"/>
    <w:rsid w:val="00D639DC"/>
    <w:rsid w:val="00D64271"/>
    <w:rsid w:val="00D66EAE"/>
    <w:rsid w:val="00D678FC"/>
    <w:rsid w:val="00D713C8"/>
    <w:rsid w:val="00D7196F"/>
    <w:rsid w:val="00D734D5"/>
    <w:rsid w:val="00D73604"/>
    <w:rsid w:val="00D74528"/>
    <w:rsid w:val="00D75CDF"/>
    <w:rsid w:val="00D7665A"/>
    <w:rsid w:val="00D76B07"/>
    <w:rsid w:val="00D800C6"/>
    <w:rsid w:val="00D85B17"/>
    <w:rsid w:val="00D90279"/>
    <w:rsid w:val="00D915DF"/>
    <w:rsid w:val="00D92FF2"/>
    <w:rsid w:val="00D9418F"/>
    <w:rsid w:val="00D95233"/>
    <w:rsid w:val="00D97E08"/>
    <w:rsid w:val="00DA08A4"/>
    <w:rsid w:val="00DA0D08"/>
    <w:rsid w:val="00DA10BB"/>
    <w:rsid w:val="00DA1AFE"/>
    <w:rsid w:val="00DB2270"/>
    <w:rsid w:val="00DB365E"/>
    <w:rsid w:val="00DB3933"/>
    <w:rsid w:val="00DB56CA"/>
    <w:rsid w:val="00DC0126"/>
    <w:rsid w:val="00DC076B"/>
    <w:rsid w:val="00DC0F5A"/>
    <w:rsid w:val="00DC1F16"/>
    <w:rsid w:val="00DC3C82"/>
    <w:rsid w:val="00DC4AB6"/>
    <w:rsid w:val="00DC4AEC"/>
    <w:rsid w:val="00DC55D5"/>
    <w:rsid w:val="00DC5DC0"/>
    <w:rsid w:val="00DC6235"/>
    <w:rsid w:val="00DC7459"/>
    <w:rsid w:val="00DC7D70"/>
    <w:rsid w:val="00DD4C81"/>
    <w:rsid w:val="00DD573C"/>
    <w:rsid w:val="00DD6255"/>
    <w:rsid w:val="00DD66CE"/>
    <w:rsid w:val="00DD699A"/>
    <w:rsid w:val="00DE1949"/>
    <w:rsid w:val="00DE25CF"/>
    <w:rsid w:val="00DE3120"/>
    <w:rsid w:val="00DE5934"/>
    <w:rsid w:val="00DF1F5B"/>
    <w:rsid w:val="00DF2BFE"/>
    <w:rsid w:val="00DF2DA4"/>
    <w:rsid w:val="00DF40AF"/>
    <w:rsid w:val="00DF4ADB"/>
    <w:rsid w:val="00DF669B"/>
    <w:rsid w:val="00E02DDA"/>
    <w:rsid w:val="00E0478E"/>
    <w:rsid w:val="00E04C87"/>
    <w:rsid w:val="00E07605"/>
    <w:rsid w:val="00E07976"/>
    <w:rsid w:val="00E07992"/>
    <w:rsid w:val="00E14DCE"/>
    <w:rsid w:val="00E200DE"/>
    <w:rsid w:val="00E224C1"/>
    <w:rsid w:val="00E23191"/>
    <w:rsid w:val="00E27244"/>
    <w:rsid w:val="00E31501"/>
    <w:rsid w:val="00E35CA2"/>
    <w:rsid w:val="00E36EA7"/>
    <w:rsid w:val="00E376D6"/>
    <w:rsid w:val="00E37D9A"/>
    <w:rsid w:val="00E37FE7"/>
    <w:rsid w:val="00E4117B"/>
    <w:rsid w:val="00E43C83"/>
    <w:rsid w:val="00E43D08"/>
    <w:rsid w:val="00E452F9"/>
    <w:rsid w:val="00E45355"/>
    <w:rsid w:val="00E465B7"/>
    <w:rsid w:val="00E51849"/>
    <w:rsid w:val="00E52ABB"/>
    <w:rsid w:val="00E5395F"/>
    <w:rsid w:val="00E55A1B"/>
    <w:rsid w:val="00E55CAB"/>
    <w:rsid w:val="00E55E8C"/>
    <w:rsid w:val="00E5771E"/>
    <w:rsid w:val="00E61642"/>
    <w:rsid w:val="00E66F42"/>
    <w:rsid w:val="00E67E49"/>
    <w:rsid w:val="00E70317"/>
    <w:rsid w:val="00E741D4"/>
    <w:rsid w:val="00E80587"/>
    <w:rsid w:val="00E8273E"/>
    <w:rsid w:val="00E84B02"/>
    <w:rsid w:val="00E8732B"/>
    <w:rsid w:val="00E91959"/>
    <w:rsid w:val="00E91F46"/>
    <w:rsid w:val="00E926DF"/>
    <w:rsid w:val="00E955F2"/>
    <w:rsid w:val="00E95D4A"/>
    <w:rsid w:val="00EA010B"/>
    <w:rsid w:val="00EA4EFA"/>
    <w:rsid w:val="00EA5C9E"/>
    <w:rsid w:val="00EA6759"/>
    <w:rsid w:val="00EB1D94"/>
    <w:rsid w:val="00EB3330"/>
    <w:rsid w:val="00EB559D"/>
    <w:rsid w:val="00EC2FD4"/>
    <w:rsid w:val="00EC53A7"/>
    <w:rsid w:val="00EC58AB"/>
    <w:rsid w:val="00EC6DD2"/>
    <w:rsid w:val="00EC7A9B"/>
    <w:rsid w:val="00EC7F89"/>
    <w:rsid w:val="00ED061A"/>
    <w:rsid w:val="00ED1E8F"/>
    <w:rsid w:val="00ED3EFC"/>
    <w:rsid w:val="00ED406B"/>
    <w:rsid w:val="00ED5A38"/>
    <w:rsid w:val="00EE0034"/>
    <w:rsid w:val="00EE1303"/>
    <w:rsid w:val="00EE2AB8"/>
    <w:rsid w:val="00EE4A63"/>
    <w:rsid w:val="00EE52F2"/>
    <w:rsid w:val="00EE551F"/>
    <w:rsid w:val="00EE5B9F"/>
    <w:rsid w:val="00EE6380"/>
    <w:rsid w:val="00EE6462"/>
    <w:rsid w:val="00EE78BA"/>
    <w:rsid w:val="00EE79B7"/>
    <w:rsid w:val="00EF08A4"/>
    <w:rsid w:val="00EF0A1A"/>
    <w:rsid w:val="00EF4072"/>
    <w:rsid w:val="00EF4170"/>
    <w:rsid w:val="00EF6000"/>
    <w:rsid w:val="00EF65D2"/>
    <w:rsid w:val="00EF7B9F"/>
    <w:rsid w:val="00F01260"/>
    <w:rsid w:val="00F016B1"/>
    <w:rsid w:val="00F0175E"/>
    <w:rsid w:val="00F01C50"/>
    <w:rsid w:val="00F021AB"/>
    <w:rsid w:val="00F0587D"/>
    <w:rsid w:val="00F0727D"/>
    <w:rsid w:val="00F10734"/>
    <w:rsid w:val="00F125CB"/>
    <w:rsid w:val="00F12E1F"/>
    <w:rsid w:val="00F138E3"/>
    <w:rsid w:val="00F156B6"/>
    <w:rsid w:val="00F16581"/>
    <w:rsid w:val="00F203BD"/>
    <w:rsid w:val="00F22E77"/>
    <w:rsid w:val="00F23457"/>
    <w:rsid w:val="00F2367B"/>
    <w:rsid w:val="00F27E99"/>
    <w:rsid w:val="00F34B6A"/>
    <w:rsid w:val="00F4084A"/>
    <w:rsid w:val="00F418FF"/>
    <w:rsid w:val="00F42F40"/>
    <w:rsid w:val="00F43CEA"/>
    <w:rsid w:val="00F45564"/>
    <w:rsid w:val="00F501F8"/>
    <w:rsid w:val="00F50B48"/>
    <w:rsid w:val="00F50DD8"/>
    <w:rsid w:val="00F518CC"/>
    <w:rsid w:val="00F51A8C"/>
    <w:rsid w:val="00F523D4"/>
    <w:rsid w:val="00F52588"/>
    <w:rsid w:val="00F5396C"/>
    <w:rsid w:val="00F56D9E"/>
    <w:rsid w:val="00F644F6"/>
    <w:rsid w:val="00F6473F"/>
    <w:rsid w:val="00F64F53"/>
    <w:rsid w:val="00F722CA"/>
    <w:rsid w:val="00F72337"/>
    <w:rsid w:val="00F73737"/>
    <w:rsid w:val="00F80ECF"/>
    <w:rsid w:val="00F86115"/>
    <w:rsid w:val="00F902A7"/>
    <w:rsid w:val="00F90676"/>
    <w:rsid w:val="00F943DD"/>
    <w:rsid w:val="00F94F6A"/>
    <w:rsid w:val="00F95E29"/>
    <w:rsid w:val="00F9706F"/>
    <w:rsid w:val="00F97F70"/>
    <w:rsid w:val="00FA294B"/>
    <w:rsid w:val="00FA3CA3"/>
    <w:rsid w:val="00FA5E82"/>
    <w:rsid w:val="00FA6B1B"/>
    <w:rsid w:val="00FA6B66"/>
    <w:rsid w:val="00FA7495"/>
    <w:rsid w:val="00FA7519"/>
    <w:rsid w:val="00FA7BDC"/>
    <w:rsid w:val="00FB0ECE"/>
    <w:rsid w:val="00FB2306"/>
    <w:rsid w:val="00FB3228"/>
    <w:rsid w:val="00FB49EF"/>
    <w:rsid w:val="00FB566B"/>
    <w:rsid w:val="00FB5E87"/>
    <w:rsid w:val="00FB6CFD"/>
    <w:rsid w:val="00FB79D9"/>
    <w:rsid w:val="00FC269F"/>
    <w:rsid w:val="00FC2907"/>
    <w:rsid w:val="00FC2C91"/>
    <w:rsid w:val="00FC37C1"/>
    <w:rsid w:val="00FC49D0"/>
    <w:rsid w:val="00FC4D22"/>
    <w:rsid w:val="00FC58FD"/>
    <w:rsid w:val="00FC7849"/>
    <w:rsid w:val="00FD0F83"/>
    <w:rsid w:val="00FD1BBB"/>
    <w:rsid w:val="00FD1E8E"/>
    <w:rsid w:val="00FD1EB0"/>
    <w:rsid w:val="00FD6718"/>
    <w:rsid w:val="00FD7C3A"/>
    <w:rsid w:val="00FE3666"/>
    <w:rsid w:val="00FE4563"/>
    <w:rsid w:val="00FE51C1"/>
    <w:rsid w:val="00FE7F3D"/>
    <w:rsid w:val="00FF46A3"/>
    <w:rsid w:val="00FF4BEE"/>
    <w:rsid w:val="00FF599A"/>
    <w:rsid w:val="00FF643E"/>
    <w:rsid w:val="00FF6BD6"/>
    <w:rsid w:val="00FF7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FC20D"/>
  <w15:docId w15:val="{443BADBA-DE7A-468E-9DD0-DB172597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68"/>
    <w:pPr>
      <w:spacing w:after="0" w:line="360" w:lineRule="auto"/>
      <w:ind w:firstLine="720"/>
      <w:jc w:val="both"/>
    </w:pPr>
  </w:style>
  <w:style w:type="paragraph" w:styleId="Heading1">
    <w:name w:val="heading 1"/>
    <w:basedOn w:val="Normal"/>
    <w:next w:val="Normal"/>
    <w:link w:val="Heading1Char"/>
    <w:uiPriority w:val="9"/>
    <w:qFormat/>
    <w:rsid w:val="0059518C"/>
    <w:pPr>
      <w:keepNext/>
      <w:keepLines/>
      <w:spacing w:before="240"/>
      <w:ind w:firstLine="0"/>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1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414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5061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3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414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34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46"/>
    <w:rPr>
      <w:rFonts w:ascii="Segoe UI" w:hAnsi="Segoe UI" w:cs="Segoe UI"/>
      <w:sz w:val="18"/>
      <w:szCs w:val="18"/>
    </w:rPr>
  </w:style>
  <w:style w:type="character" w:customStyle="1" w:styleId="Heading3Char">
    <w:name w:val="Heading 3 Char"/>
    <w:basedOn w:val="DefaultParagraphFont"/>
    <w:link w:val="Heading3"/>
    <w:uiPriority w:val="9"/>
    <w:rsid w:val="00A3414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D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
    <w:name w:val="List Table 4 - Accent 31"/>
    <w:basedOn w:val="TableNormal"/>
    <w:uiPriority w:val="49"/>
    <w:rsid w:val="00582B4B"/>
    <w:pPr>
      <w:spacing w:after="0" w:line="240" w:lineRule="auto"/>
    </w:pPr>
    <w:rPr>
      <w:sz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CD3272"/>
    <w:pPr>
      <w:spacing w:after="200" w:line="240" w:lineRule="auto"/>
    </w:pPr>
    <w:rPr>
      <w:i/>
      <w:iCs/>
      <w:color w:val="44546A" w:themeColor="text2"/>
      <w:sz w:val="18"/>
      <w:szCs w:val="18"/>
    </w:rPr>
  </w:style>
  <w:style w:type="paragraph" w:styleId="NoSpacing">
    <w:name w:val="No Spacing"/>
    <w:link w:val="NoSpacingChar"/>
    <w:uiPriority w:val="1"/>
    <w:qFormat/>
    <w:rsid w:val="00353447"/>
    <w:pPr>
      <w:spacing w:after="0" w:line="240" w:lineRule="auto"/>
      <w:ind w:firstLine="720"/>
    </w:pPr>
  </w:style>
  <w:style w:type="paragraph" w:styleId="ListParagraph">
    <w:name w:val="List Paragraph"/>
    <w:aliases w:val="Strip,H&amp;P List Paragraph,2"/>
    <w:basedOn w:val="Normal"/>
    <w:link w:val="ListParagraphChar"/>
    <w:uiPriority w:val="34"/>
    <w:qFormat/>
    <w:rsid w:val="0015684B"/>
    <w:pPr>
      <w:ind w:left="720"/>
      <w:contextualSpacing/>
    </w:pPr>
  </w:style>
  <w:style w:type="character" w:styleId="PlaceholderText">
    <w:name w:val="Placeholder Text"/>
    <w:basedOn w:val="DefaultParagraphFont"/>
    <w:uiPriority w:val="99"/>
    <w:semiHidden/>
    <w:rsid w:val="00DB365E"/>
    <w:rPr>
      <w:color w:val="808080"/>
    </w:rPr>
  </w:style>
  <w:style w:type="paragraph" w:styleId="FootnoteText">
    <w:name w:val="footnote text"/>
    <w:basedOn w:val="Normal"/>
    <w:link w:val="FootnoteTextChar"/>
    <w:uiPriority w:val="99"/>
    <w:semiHidden/>
    <w:unhideWhenUsed/>
    <w:rsid w:val="00505AF8"/>
    <w:pPr>
      <w:spacing w:line="240" w:lineRule="auto"/>
    </w:pPr>
    <w:rPr>
      <w:sz w:val="20"/>
      <w:szCs w:val="20"/>
    </w:rPr>
  </w:style>
  <w:style w:type="character" w:customStyle="1" w:styleId="FootnoteTextChar">
    <w:name w:val="Footnote Text Char"/>
    <w:basedOn w:val="DefaultParagraphFont"/>
    <w:link w:val="FootnoteText"/>
    <w:uiPriority w:val="99"/>
    <w:semiHidden/>
    <w:rsid w:val="00505AF8"/>
    <w:rPr>
      <w:sz w:val="20"/>
      <w:szCs w:val="20"/>
    </w:rPr>
  </w:style>
  <w:style w:type="character" w:styleId="FootnoteReference">
    <w:name w:val="footnote reference"/>
    <w:basedOn w:val="DefaultParagraphFont"/>
    <w:uiPriority w:val="99"/>
    <w:semiHidden/>
    <w:unhideWhenUsed/>
    <w:rsid w:val="00505AF8"/>
    <w:rPr>
      <w:vertAlign w:val="superscript"/>
    </w:rPr>
  </w:style>
  <w:style w:type="character" w:styleId="Hyperlink">
    <w:name w:val="Hyperlink"/>
    <w:basedOn w:val="DefaultParagraphFont"/>
    <w:uiPriority w:val="99"/>
    <w:unhideWhenUsed/>
    <w:rsid w:val="00505AF8"/>
    <w:rPr>
      <w:color w:val="0563C1" w:themeColor="hyperlink"/>
      <w:u w:val="single"/>
    </w:rPr>
  </w:style>
  <w:style w:type="character" w:styleId="IntenseEmphasis">
    <w:name w:val="Intense Emphasis"/>
    <w:basedOn w:val="DefaultParagraphFont"/>
    <w:uiPriority w:val="21"/>
    <w:qFormat/>
    <w:rsid w:val="00DD573C"/>
    <w:rPr>
      <w:b/>
      <w:bCs/>
      <w:i/>
      <w:iCs/>
      <w:color w:val="4472C4" w:themeColor="accent1"/>
    </w:rPr>
  </w:style>
  <w:style w:type="character" w:customStyle="1" w:styleId="NoSpacingChar">
    <w:name w:val="No Spacing Char"/>
    <w:basedOn w:val="DefaultParagraphFont"/>
    <w:link w:val="NoSpacing"/>
    <w:uiPriority w:val="1"/>
    <w:rsid w:val="00FA5E82"/>
  </w:style>
  <w:style w:type="paragraph" w:styleId="Header">
    <w:name w:val="header"/>
    <w:basedOn w:val="Normal"/>
    <w:link w:val="HeaderChar"/>
    <w:uiPriority w:val="99"/>
    <w:unhideWhenUsed/>
    <w:rsid w:val="0091405E"/>
    <w:pPr>
      <w:tabs>
        <w:tab w:val="center" w:pos="4513"/>
        <w:tab w:val="right" w:pos="9026"/>
      </w:tabs>
      <w:spacing w:line="240" w:lineRule="auto"/>
    </w:pPr>
  </w:style>
  <w:style w:type="character" w:customStyle="1" w:styleId="HeaderChar">
    <w:name w:val="Header Char"/>
    <w:basedOn w:val="DefaultParagraphFont"/>
    <w:link w:val="Header"/>
    <w:uiPriority w:val="99"/>
    <w:rsid w:val="0091405E"/>
  </w:style>
  <w:style w:type="paragraph" w:styleId="Footer">
    <w:name w:val="footer"/>
    <w:basedOn w:val="Normal"/>
    <w:link w:val="FooterChar"/>
    <w:uiPriority w:val="99"/>
    <w:unhideWhenUsed/>
    <w:rsid w:val="0091405E"/>
    <w:pPr>
      <w:tabs>
        <w:tab w:val="center" w:pos="4513"/>
        <w:tab w:val="right" w:pos="9026"/>
      </w:tabs>
      <w:spacing w:line="240" w:lineRule="auto"/>
    </w:pPr>
  </w:style>
  <w:style w:type="character" w:customStyle="1" w:styleId="FooterChar">
    <w:name w:val="Footer Char"/>
    <w:basedOn w:val="DefaultParagraphFont"/>
    <w:link w:val="Footer"/>
    <w:uiPriority w:val="99"/>
    <w:rsid w:val="0091405E"/>
  </w:style>
  <w:style w:type="table" w:styleId="GridTable2">
    <w:name w:val="Grid Table 2"/>
    <w:basedOn w:val="TableNormal"/>
    <w:uiPriority w:val="47"/>
    <w:rsid w:val="00C81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C81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36225E"/>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OCHeading">
    <w:name w:val="TOC Heading"/>
    <w:basedOn w:val="Heading1"/>
    <w:next w:val="Normal"/>
    <w:uiPriority w:val="39"/>
    <w:unhideWhenUsed/>
    <w:qFormat/>
    <w:rsid w:val="00A617AF"/>
    <w:pPr>
      <w:spacing w:line="259" w:lineRule="auto"/>
      <w:outlineLvl w:val="9"/>
    </w:pPr>
    <w:rPr>
      <w:lang w:eastAsia="lv-LV"/>
    </w:rPr>
  </w:style>
  <w:style w:type="paragraph" w:styleId="TOC1">
    <w:name w:val="toc 1"/>
    <w:basedOn w:val="Normal"/>
    <w:next w:val="Normal"/>
    <w:autoRedefine/>
    <w:uiPriority w:val="39"/>
    <w:unhideWhenUsed/>
    <w:rsid w:val="000B785B"/>
    <w:pPr>
      <w:tabs>
        <w:tab w:val="left" w:pos="709"/>
        <w:tab w:val="right" w:leader="dot" w:pos="9474"/>
      </w:tabs>
      <w:spacing w:after="100"/>
      <w:ind w:firstLine="0"/>
    </w:pPr>
  </w:style>
  <w:style w:type="paragraph" w:styleId="TOC2">
    <w:name w:val="toc 2"/>
    <w:basedOn w:val="Normal"/>
    <w:next w:val="Normal"/>
    <w:autoRedefine/>
    <w:uiPriority w:val="39"/>
    <w:unhideWhenUsed/>
    <w:rsid w:val="002908F6"/>
    <w:pPr>
      <w:tabs>
        <w:tab w:val="left" w:pos="0"/>
        <w:tab w:val="right" w:leader="dot" w:pos="9474"/>
      </w:tabs>
      <w:spacing w:after="100"/>
      <w:ind w:firstLine="142"/>
    </w:pPr>
  </w:style>
  <w:style w:type="paragraph" w:styleId="TOC3">
    <w:name w:val="toc 3"/>
    <w:basedOn w:val="Normal"/>
    <w:next w:val="Normal"/>
    <w:autoRedefine/>
    <w:uiPriority w:val="39"/>
    <w:unhideWhenUsed/>
    <w:rsid w:val="00A617AF"/>
    <w:pPr>
      <w:spacing w:after="100"/>
      <w:ind w:left="440"/>
    </w:pPr>
  </w:style>
  <w:style w:type="character" w:styleId="CommentReference">
    <w:name w:val="annotation reference"/>
    <w:basedOn w:val="DefaultParagraphFont"/>
    <w:uiPriority w:val="99"/>
    <w:semiHidden/>
    <w:unhideWhenUsed/>
    <w:rsid w:val="004713AC"/>
    <w:rPr>
      <w:sz w:val="16"/>
      <w:szCs w:val="16"/>
    </w:rPr>
  </w:style>
  <w:style w:type="paragraph" w:styleId="CommentText">
    <w:name w:val="annotation text"/>
    <w:basedOn w:val="Normal"/>
    <w:link w:val="CommentTextChar"/>
    <w:uiPriority w:val="99"/>
    <w:semiHidden/>
    <w:unhideWhenUsed/>
    <w:rsid w:val="004713AC"/>
    <w:pPr>
      <w:spacing w:line="240" w:lineRule="auto"/>
    </w:pPr>
    <w:rPr>
      <w:sz w:val="20"/>
      <w:szCs w:val="20"/>
    </w:rPr>
  </w:style>
  <w:style w:type="character" w:customStyle="1" w:styleId="CommentTextChar">
    <w:name w:val="Comment Text Char"/>
    <w:basedOn w:val="DefaultParagraphFont"/>
    <w:link w:val="CommentText"/>
    <w:uiPriority w:val="99"/>
    <w:semiHidden/>
    <w:rsid w:val="004713AC"/>
    <w:rPr>
      <w:sz w:val="20"/>
      <w:szCs w:val="20"/>
    </w:rPr>
  </w:style>
  <w:style w:type="paragraph" w:styleId="CommentSubject">
    <w:name w:val="annotation subject"/>
    <w:basedOn w:val="CommentText"/>
    <w:next w:val="CommentText"/>
    <w:link w:val="CommentSubjectChar"/>
    <w:uiPriority w:val="99"/>
    <w:semiHidden/>
    <w:unhideWhenUsed/>
    <w:rsid w:val="004713AC"/>
    <w:rPr>
      <w:b/>
      <w:bCs/>
    </w:rPr>
  </w:style>
  <w:style w:type="character" w:customStyle="1" w:styleId="CommentSubjectChar">
    <w:name w:val="Comment Subject Char"/>
    <w:basedOn w:val="CommentTextChar"/>
    <w:link w:val="CommentSubject"/>
    <w:uiPriority w:val="99"/>
    <w:semiHidden/>
    <w:rsid w:val="004713AC"/>
    <w:rPr>
      <w:b/>
      <w:bCs/>
      <w:sz w:val="20"/>
      <w:szCs w:val="20"/>
    </w:rPr>
  </w:style>
  <w:style w:type="character" w:customStyle="1" w:styleId="Heading4Char">
    <w:name w:val="Heading 4 Char"/>
    <w:basedOn w:val="DefaultParagraphFont"/>
    <w:link w:val="Heading4"/>
    <w:uiPriority w:val="9"/>
    <w:rsid w:val="00506186"/>
    <w:rPr>
      <w:rFonts w:asciiTheme="majorHAnsi" w:eastAsiaTheme="majorEastAsia" w:hAnsiTheme="majorHAnsi" w:cstheme="majorBidi"/>
      <w:i/>
      <w:iCs/>
      <w:color w:val="2F5496" w:themeColor="accent1" w:themeShade="BF"/>
    </w:rPr>
  </w:style>
  <w:style w:type="table" w:styleId="GridTable3">
    <w:name w:val="Grid Table 3"/>
    <w:basedOn w:val="TableNormal"/>
    <w:uiPriority w:val="48"/>
    <w:rsid w:val="009901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3F6B2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19B4"/>
    <w:rPr>
      <w:color w:val="954F72" w:themeColor="followedHyperlink"/>
      <w:u w:val="single"/>
    </w:rPr>
  </w:style>
  <w:style w:type="table" w:styleId="PlainTable2">
    <w:name w:val="Plain Table 2"/>
    <w:basedOn w:val="TableNormal"/>
    <w:uiPriority w:val="42"/>
    <w:rsid w:val="00B21C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B4A04"/>
    <w:rPr>
      <w:color w:val="605E5C"/>
      <w:shd w:val="clear" w:color="auto" w:fill="E1DFDD"/>
    </w:rPr>
  </w:style>
  <w:style w:type="character" w:customStyle="1" w:styleId="ListParagraphChar">
    <w:name w:val="List Paragraph Char"/>
    <w:aliases w:val="Strip Char,H&amp;P List Paragraph Char,2 Char"/>
    <w:link w:val="ListParagraph"/>
    <w:uiPriority w:val="34"/>
    <w:qFormat/>
    <w:locked/>
    <w:rsid w:val="000B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6965">
      <w:bodyDiv w:val="1"/>
      <w:marLeft w:val="0"/>
      <w:marRight w:val="0"/>
      <w:marTop w:val="0"/>
      <w:marBottom w:val="0"/>
      <w:divBdr>
        <w:top w:val="none" w:sz="0" w:space="0" w:color="auto"/>
        <w:left w:val="none" w:sz="0" w:space="0" w:color="auto"/>
        <w:bottom w:val="none" w:sz="0" w:space="0" w:color="auto"/>
        <w:right w:val="none" w:sz="0" w:space="0" w:color="auto"/>
      </w:divBdr>
    </w:div>
    <w:div w:id="103809431">
      <w:bodyDiv w:val="1"/>
      <w:marLeft w:val="0"/>
      <w:marRight w:val="0"/>
      <w:marTop w:val="0"/>
      <w:marBottom w:val="0"/>
      <w:divBdr>
        <w:top w:val="none" w:sz="0" w:space="0" w:color="auto"/>
        <w:left w:val="none" w:sz="0" w:space="0" w:color="auto"/>
        <w:bottom w:val="none" w:sz="0" w:space="0" w:color="auto"/>
        <w:right w:val="none" w:sz="0" w:space="0" w:color="auto"/>
      </w:divBdr>
    </w:div>
    <w:div w:id="351878576">
      <w:bodyDiv w:val="1"/>
      <w:marLeft w:val="0"/>
      <w:marRight w:val="0"/>
      <w:marTop w:val="0"/>
      <w:marBottom w:val="0"/>
      <w:divBdr>
        <w:top w:val="none" w:sz="0" w:space="0" w:color="auto"/>
        <w:left w:val="none" w:sz="0" w:space="0" w:color="auto"/>
        <w:bottom w:val="none" w:sz="0" w:space="0" w:color="auto"/>
        <w:right w:val="none" w:sz="0" w:space="0" w:color="auto"/>
      </w:divBdr>
    </w:div>
    <w:div w:id="525291661">
      <w:bodyDiv w:val="1"/>
      <w:marLeft w:val="0"/>
      <w:marRight w:val="0"/>
      <w:marTop w:val="0"/>
      <w:marBottom w:val="0"/>
      <w:divBdr>
        <w:top w:val="none" w:sz="0" w:space="0" w:color="auto"/>
        <w:left w:val="none" w:sz="0" w:space="0" w:color="auto"/>
        <w:bottom w:val="none" w:sz="0" w:space="0" w:color="auto"/>
        <w:right w:val="none" w:sz="0" w:space="0" w:color="auto"/>
      </w:divBdr>
    </w:div>
    <w:div w:id="701326867">
      <w:bodyDiv w:val="1"/>
      <w:marLeft w:val="0"/>
      <w:marRight w:val="0"/>
      <w:marTop w:val="0"/>
      <w:marBottom w:val="0"/>
      <w:divBdr>
        <w:top w:val="none" w:sz="0" w:space="0" w:color="auto"/>
        <w:left w:val="none" w:sz="0" w:space="0" w:color="auto"/>
        <w:bottom w:val="none" w:sz="0" w:space="0" w:color="auto"/>
        <w:right w:val="none" w:sz="0" w:space="0" w:color="auto"/>
      </w:divBdr>
    </w:div>
    <w:div w:id="747775835">
      <w:bodyDiv w:val="1"/>
      <w:marLeft w:val="0"/>
      <w:marRight w:val="0"/>
      <w:marTop w:val="0"/>
      <w:marBottom w:val="0"/>
      <w:divBdr>
        <w:top w:val="none" w:sz="0" w:space="0" w:color="auto"/>
        <w:left w:val="none" w:sz="0" w:space="0" w:color="auto"/>
        <w:bottom w:val="none" w:sz="0" w:space="0" w:color="auto"/>
        <w:right w:val="none" w:sz="0" w:space="0" w:color="auto"/>
      </w:divBdr>
    </w:div>
    <w:div w:id="822890057">
      <w:bodyDiv w:val="1"/>
      <w:marLeft w:val="0"/>
      <w:marRight w:val="0"/>
      <w:marTop w:val="0"/>
      <w:marBottom w:val="0"/>
      <w:divBdr>
        <w:top w:val="none" w:sz="0" w:space="0" w:color="auto"/>
        <w:left w:val="none" w:sz="0" w:space="0" w:color="auto"/>
        <w:bottom w:val="none" w:sz="0" w:space="0" w:color="auto"/>
        <w:right w:val="none" w:sz="0" w:space="0" w:color="auto"/>
      </w:divBdr>
    </w:div>
    <w:div w:id="827553735">
      <w:bodyDiv w:val="1"/>
      <w:marLeft w:val="0"/>
      <w:marRight w:val="0"/>
      <w:marTop w:val="0"/>
      <w:marBottom w:val="0"/>
      <w:divBdr>
        <w:top w:val="none" w:sz="0" w:space="0" w:color="auto"/>
        <w:left w:val="none" w:sz="0" w:space="0" w:color="auto"/>
        <w:bottom w:val="none" w:sz="0" w:space="0" w:color="auto"/>
        <w:right w:val="none" w:sz="0" w:space="0" w:color="auto"/>
      </w:divBdr>
    </w:div>
    <w:div w:id="1007096501">
      <w:bodyDiv w:val="1"/>
      <w:marLeft w:val="0"/>
      <w:marRight w:val="0"/>
      <w:marTop w:val="0"/>
      <w:marBottom w:val="0"/>
      <w:divBdr>
        <w:top w:val="none" w:sz="0" w:space="0" w:color="auto"/>
        <w:left w:val="none" w:sz="0" w:space="0" w:color="auto"/>
        <w:bottom w:val="none" w:sz="0" w:space="0" w:color="auto"/>
        <w:right w:val="none" w:sz="0" w:space="0" w:color="auto"/>
      </w:divBdr>
    </w:div>
    <w:div w:id="1055467732">
      <w:bodyDiv w:val="1"/>
      <w:marLeft w:val="0"/>
      <w:marRight w:val="0"/>
      <w:marTop w:val="0"/>
      <w:marBottom w:val="0"/>
      <w:divBdr>
        <w:top w:val="none" w:sz="0" w:space="0" w:color="auto"/>
        <w:left w:val="none" w:sz="0" w:space="0" w:color="auto"/>
        <w:bottom w:val="none" w:sz="0" w:space="0" w:color="auto"/>
        <w:right w:val="none" w:sz="0" w:space="0" w:color="auto"/>
      </w:divBdr>
    </w:div>
    <w:div w:id="1116412288">
      <w:bodyDiv w:val="1"/>
      <w:marLeft w:val="0"/>
      <w:marRight w:val="0"/>
      <w:marTop w:val="0"/>
      <w:marBottom w:val="0"/>
      <w:divBdr>
        <w:top w:val="none" w:sz="0" w:space="0" w:color="auto"/>
        <w:left w:val="none" w:sz="0" w:space="0" w:color="auto"/>
        <w:bottom w:val="none" w:sz="0" w:space="0" w:color="auto"/>
        <w:right w:val="none" w:sz="0" w:space="0" w:color="auto"/>
      </w:divBdr>
    </w:div>
    <w:div w:id="1247885909">
      <w:bodyDiv w:val="1"/>
      <w:marLeft w:val="0"/>
      <w:marRight w:val="0"/>
      <w:marTop w:val="0"/>
      <w:marBottom w:val="0"/>
      <w:divBdr>
        <w:top w:val="none" w:sz="0" w:space="0" w:color="auto"/>
        <w:left w:val="none" w:sz="0" w:space="0" w:color="auto"/>
        <w:bottom w:val="none" w:sz="0" w:space="0" w:color="auto"/>
        <w:right w:val="none" w:sz="0" w:space="0" w:color="auto"/>
      </w:divBdr>
    </w:div>
    <w:div w:id="1335956201">
      <w:bodyDiv w:val="1"/>
      <w:marLeft w:val="0"/>
      <w:marRight w:val="0"/>
      <w:marTop w:val="0"/>
      <w:marBottom w:val="0"/>
      <w:divBdr>
        <w:top w:val="none" w:sz="0" w:space="0" w:color="auto"/>
        <w:left w:val="none" w:sz="0" w:space="0" w:color="auto"/>
        <w:bottom w:val="none" w:sz="0" w:space="0" w:color="auto"/>
        <w:right w:val="none" w:sz="0" w:space="0" w:color="auto"/>
      </w:divBdr>
    </w:div>
    <w:div w:id="1356036008">
      <w:bodyDiv w:val="1"/>
      <w:marLeft w:val="0"/>
      <w:marRight w:val="0"/>
      <w:marTop w:val="0"/>
      <w:marBottom w:val="0"/>
      <w:divBdr>
        <w:top w:val="none" w:sz="0" w:space="0" w:color="auto"/>
        <w:left w:val="none" w:sz="0" w:space="0" w:color="auto"/>
        <w:bottom w:val="none" w:sz="0" w:space="0" w:color="auto"/>
        <w:right w:val="none" w:sz="0" w:space="0" w:color="auto"/>
      </w:divBdr>
    </w:div>
    <w:div w:id="1488781965">
      <w:bodyDiv w:val="1"/>
      <w:marLeft w:val="0"/>
      <w:marRight w:val="0"/>
      <w:marTop w:val="0"/>
      <w:marBottom w:val="0"/>
      <w:divBdr>
        <w:top w:val="none" w:sz="0" w:space="0" w:color="auto"/>
        <w:left w:val="none" w:sz="0" w:space="0" w:color="auto"/>
        <w:bottom w:val="none" w:sz="0" w:space="0" w:color="auto"/>
        <w:right w:val="none" w:sz="0" w:space="0" w:color="auto"/>
      </w:divBdr>
    </w:div>
    <w:div w:id="1542209766">
      <w:bodyDiv w:val="1"/>
      <w:marLeft w:val="0"/>
      <w:marRight w:val="0"/>
      <w:marTop w:val="0"/>
      <w:marBottom w:val="0"/>
      <w:divBdr>
        <w:top w:val="none" w:sz="0" w:space="0" w:color="auto"/>
        <w:left w:val="none" w:sz="0" w:space="0" w:color="auto"/>
        <w:bottom w:val="none" w:sz="0" w:space="0" w:color="auto"/>
        <w:right w:val="none" w:sz="0" w:space="0" w:color="auto"/>
      </w:divBdr>
    </w:div>
    <w:div w:id="1569880215">
      <w:bodyDiv w:val="1"/>
      <w:marLeft w:val="0"/>
      <w:marRight w:val="0"/>
      <w:marTop w:val="0"/>
      <w:marBottom w:val="0"/>
      <w:divBdr>
        <w:top w:val="none" w:sz="0" w:space="0" w:color="auto"/>
        <w:left w:val="none" w:sz="0" w:space="0" w:color="auto"/>
        <w:bottom w:val="none" w:sz="0" w:space="0" w:color="auto"/>
        <w:right w:val="none" w:sz="0" w:space="0" w:color="auto"/>
      </w:divBdr>
    </w:div>
    <w:div w:id="1642417789">
      <w:bodyDiv w:val="1"/>
      <w:marLeft w:val="0"/>
      <w:marRight w:val="0"/>
      <w:marTop w:val="0"/>
      <w:marBottom w:val="0"/>
      <w:divBdr>
        <w:top w:val="none" w:sz="0" w:space="0" w:color="auto"/>
        <w:left w:val="none" w:sz="0" w:space="0" w:color="auto"/>
        <w:bottom w:val="none" w:sz="0" w:space="0" w:color="auto"/>
        <w:right w:val="none" w:sz="0" w:space="0" w:color="auto"/>
      </w:divBdr>
    </w:div>
    <w:div w:id="1657683667">
      <w:bodyDiv w:val="1"/>
      <w:marLeft w:val="0"/>
      <w:marRight w:val="0"/>
      <w:marTop w:val="0"/>
      <w:marBottom w:val="0"/>
      <w:divBdr>
        <w:top w:val="none" w:sz="0" w:space="0" w:color="auto"/>
        <w:left w:val="none" w:sz="0" w:space="0" w:color="auto"/>
        <w:bottom w:val="none" w:sz="0" w:space="0" w:color="auto"/>
        <w:right w:val="none" w:sz="0" w:space="0" w:color="auto"/>
      </w:divBdr>
    </w:div>
    <w:div w:id="1711875174">
      <w:bodyDiv w:val="1"/>
      <w:marLeft w:val="0"/>
      <w:marRight w:val="0"/>
      <w:marTop w:val="0"/>
      <w:marBottom w:val="0"/>
      <w:divBdr>
        <w:top w:val="none" w:sz="0" w:space="0" w:color="auto"/>
        <w:left w:val="none" w:sz="0" w:space="0" w:color="auto"/>
        <w:bottom w:val="none" w:sz="0" w:space="0" w:color="auto"/>
        <w:right w:val="none" w:sz="0" w:space="0" w:color="auto"/>
      </w:divBdr>
    </w:div>
    <w:div w:id="1741750340">
      <w:bodyDiv w:val="1"/>
      <w:marLeft w:val="0"/>
      <w:marRight w:val="0"/>
      <w:marTop w:val="0"/>
      <w:marBottom w:val="0"/>
      <w:divBdr>
        <w:top w:val="none" w:sz="0" w:space="0" w:color="auto"/>
        <w:left w:val="none" w:sz="0" w:space="0" w:color="auto"/>
        <w:bottom w:val="none" w:sz="0" w:space="0" w:color="auto"/>
        <w:right w:val="none" w:sz="0" w:space="0" w:color="auto"/>
      </w:divBdr>
    </w:div>
    <w:div w:id="1985815321">
      <w:bodyDiv w:val="1"/>
      <w:marLeft w:val="0"/>
      <w:marRight w:val="0"/>
      <w:marTop w:val="0"/>
      <w:marBottom w:val="0"/>
      <w:divBdr>
        <w:top w:val="none" w:sz="0" w:space="0" w:color="auto"/>
        <w:left w:val="none" w:sz="0" w:space="0" w:color="auto"/>
        <w:bottom w:val="none" w:sz="0" w:space="0" w:color="auto"/>
        <w:right w:val="none" w:sz="0" w:space="0" w:color="auto"/>
      </w:divBdr>
    </w:div>
    <w:div w:id="213794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9.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gov.lv/lv/nozares_politika/buvnieciba_/_buvniecibas_nozare__attistiba__strategija_un_petijumi/"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mk/mksedes/saraksts/protokols/?protokols=2019-09-03" TargetMode="External"/><Relationship Id="rId1" Type="http://schemas.openxmlformats.org/officeDocument/2006/relationships/hyperlink" Target="http://tap.mk.gov.lv/mk/tap/?pid=40476445"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80960583056535E-2"/>
          <c:y val="3.5638720882465898E-2"/>
          <c:w val="0.95295822178982303"/>
          <c:h val="0.88956798646614432"/>
        </c:manualLayout>
      </c:layout>
      <c:lineChart>
        <c:grouping val="standard"/>
        <c:varyColors val="0"/>
        <c:ser>
          <c:idx val="0"/>
          <c:order val="0"/>
          <c:tx>
            <c:strRef>
              <c:f>Sheet1!$A$6</c:f>
              <c:strCache>
                <c:ptCount val="1"/>
                <c:pt idx="0">
                  <c:v>Būvniecība</c:v>
                </c:pt>
              </c:strCache>
            </c:strRef>
          </c:tx>
          <c:spPr>
            <a:ln w="34925" cap="rnd" cmpd="sng" algn="ctr">
              <a:solidFill>
                <a:schemeClr val="accent1"/>
              </a:solidFill>
              <a:prstDash val="solid"/>
              <a:round/>
            </a:ln>
            <a:effectLst/>
          </c:spPr>
          <c:marker>
            <c:symbol val="none"/>
          </c:marker>
          <c:dLbls>
            <c:dLbl>
              <c:idx val="0"/>
              <c:layout>
                <c:manualLayout>
                  <c:x val="-3.8897887894303158E-2"/>
                  <c:y val="6.7006092891755131E-2"/>
                </c:manualLayout>
              </c:layout>
              <c:spPr>
                <a:solidFill>
                  <a:srgbClr val="4472C4"/>
                </a:solidFill>
                <a:ln>
                  <a:solidFill>
                    <a:prstClr val="black">
                      <a:lumMod val="65000"/>
                      <a:lumOff val="35000"/>
                    </a:prstClr>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Arial" panose="020B0604020202020204" pitchFamily="34" charset="0"/>
                      <a:ea typeface="Arial"/>
                      <a:cs typeface="Arial" panose="020B0604020202020204" pitchFamily="34" charset="0"/>
                    </a:defRPr>
                  </a:pPr>
                  <a:endParaRPr lang="lv-LV"/>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0-641B-4D26-8F74-200B7A887CBB}"/>
                </c:ext>
              </c:extLst>
            </c:dLbl>
            <c:dLbl>
              <c:idx val="7"/>
              <c:layout>
                <c:manualLayout>
                  <c:x val="-9.8276475269559377E-2"/>
                  <c:y val="-1.897479159428048E-2"/>
                </c:manualLayout>
              </c:layout>
              <c:spPr>
                <a:solidFill>
                  <a:srgbClr val="4472C4"/>
                </a:solidFill>
                <a:ln>
                  <a:solidFill>
                    <a:prstClr val="black">
                      <a:lumMod val="65000"/>
                      <a:lumOff val="35000"/>
                    </a:prstClr>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Arial" panose="020B0604020202020204" pitchFamily="34" charset="0"/>
                      <a:ea typeface="Arial"/>
                      <a:cs typeface="Arial" panose="020B0604020202020204" pitchFamily="34" charset="0"/>
                    </a:defRPr>
                  </a:pPr>
                  <a:endParaRPr lang="lv-LV"/>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641B-4D26-8F74-200B7A887CBB}"/>
                </c:ext>
              </c:extLst>
            </c:dLbl>
            <c:dLbl>
              <c:idx val="10"/>
              <c:layout>
                <c:manualLayout>
                  <c:x val="-4.4611102112105699E-2"/>
                  <c:y val="7.3147584640757685E-2"/>
                </c:manualLayout>
              </c:layout>
              <c:spPr>
                <a:solidFill>
                  <a:srgbClr val="4472C4"/>
                </a:solidFill>
                <a:ln>
                  <a:solidFill>
                    <a:prstClr val="black">
                      <a:lumMod val="65000"/>
                      <a:lumOff val="35000"/>
                    </a:prstClr>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Arial" panose="020B0604020202020204" pitchFamily="34" charset="0"/>
                      <a:ea typeface="Arial"/>
                      <a:cs typeface="Arial" panose="020B0604020202020204" pitchFamily="34" charset="0"/>
                    </a:defRPr>
                  </a:pPr>
                  <a:endParaRPr lang="lv-LV"/>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2-641B-4D26-8F74-200B7A887CBB}"/>
                </c:ext>
              </c:extLst>
            </c:dLbl>
            <c:dLbl>
              <c:idx val="14"/>
              <c:layout>
                <c:manualLayout>
                  <c:x val="-4.0138987682317974E-2"/>
                  <c:y val="8.2359822264261626E-2"/>
                </c:manualLayout>
              </c:layout>
              <c:spPr>
                <a:solidFill>
                  <a:srgbClr val="4472C4"/>
                </a:solidFill>
                <a:ln>
                  <a:solidFill>
                    <a:prstClr val="black">
                      <a:lumMod val="65000"/>
                      <a:lumOff val="35000"/>
                    </a:prstClr>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Arial" panose="020B0604020202020204" pitchFamily="34" charset="0"/>
                      <a:ea typeface="Arial"/>
                      <a:cs typeface="Arial" panose="020B0604020202020204" pitchFamily="34" charset="0"/>
                    </a:defRPr>
                  </a:pPr>
                  <a:endParaRPr lang="lv-LV"/>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641B-4D26-8F74-200B7A887CBB}"/>
                </c:ext>
              </c:extLst>
            </c:dLbl>
            <c:dLbl>
              <c:idx val="16"/>
              <c:layout>
                <c:manualLayout>
                  <c:x val="-3.119475882274245E-2"/>
                  <c:y val="9.1572059887765331E-2"/>
                </c:manualLayout>
              </c:layout>
              <c:spPr>
                <a:solidFill>
                  <a:srgbClr val="4472C4"/>
                </a:solidFill>
                <a:ln>
                  <a:solidFill>
                    <a:prstClr val="black">
                      <a:lumMod val="65000"/>
                      <a:lumOff val="35000"/>
                    </a:prstClr>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Arial" panose="020B0604020202020204" pitchFamily="34" charset="0"/>
                      <a:ea typeface="Arial"/>
                      <a:cs typeface="Arial" panose="020B0604020202020204" pitchFamily="34" charset="0"/>
                    </a:defRPr>
                  </a:pPr>
                  <a:endParaRPr lang="lv-LV"/>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4-641B-4D26-8F74-200B7A887CBB}"/>
                </c:ext>
              </c:extLst>
            </c:dLbl>
            <c:dLbl>
              <c:idx val="20"/>
              <c:layout>
                <c:manualLayout>
                  <c:x val="-1.3142382263664598E-2"/>
                  <c:y val="8.5430568138762833E-2"/>
                </c:manualLayout>
              </c:layout>
              <c:spPr>
                <a:solidFill>
                  <a:srgbClr val="4472C4"/>
                </a:solidFill>
                <a:ln>
                  <a:solidFill>
                    <a:prstClr val="black">
                      <a:lumMod val="65000"/>
                      <a:lumOff val="35000"/>
                    </a:prstClr>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Arial" panose="020B0604020202020204" pitchFamily="34" charset="0"/>
                      <a:ea typeface="Arial"/>
                      <a:cs typeface="Arial" panose="020B0604020202020204" pitchFamily="34" charset="0"/>
                    </a:defRPr>
                  </a:pPr>
                  <a:endParaRPr lang="lv-LV"/>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641B-4D26-8F74-200B7A887CBB}"/>
                </c:ext>
              </c:extLst>
            </c:dLbl>
            <c:spPr>
              <a:solidFill>
                <a:schemeClr val="accent1"/>
              </a:solid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Arial" panose="020B0604020202020204" pitchFamily="34" charset="0"/>
                    <a:ea typeface="Arial"/>
                    <a:cs typeface="Arial" panose="020B0604020202020204" pitchFamily="34" charset="0"/>
                  </a:defRPr>
                </a:pPr>
                <a:endParaRPr lang="lv-LV"/>
              </a:p>
            </c:txPr>
            <c:dLblPos val="b"/>
            <c:showLegendKey val="0"/>
            <c:showVal val="0"/>
            <c:showCatName val="0"/>
            <c:showSerName val="0"/>
            <c:showPercent val="0"/>
            <c:showBubbleSize val="0"/>
            <c:extLst>
              <c:ext xmlns:c15="http://schemas.microsoft.com/office/drawing/2012/chart" uri="{CE6537A1-D6FC-4f65-9D91-7224C49458BB}">
                <c15:showLeaderLines val="0"/>
              </c:ext>
            </c:extLst>
          </c:dLbls>
          <c:cat>
            <c:strRef>
              <c:f>Sheet1!$B$5:$V$5</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2020p</c:v>
                </c:pt>
              </c:strCache>
            </c:strRef>
          </c:cat>
          <c:val>
            <c:numRef>
              <c:f>Sheet1!$B$6:$V$6</c:f>
              <c:numCache>
                <c:formatCode>0</c:formatCode>
                <c:ptCount val="21"/>
                <c:pt idx="0">
                  <c:v>100</c:v>
                </c:pt>
                <c:pt idx="1">
                  <c:v>100.80923803293609</c:v>
                </c:pt>
                <c:pt idx="2">
                  <c:v>115.5533433829176</c:v>
                </c:pt>
                <c:pt idx="3">
                  <c:v>129.29127677123921</c:v>
                </c:pt>
                <c:pt idx="4">
                  <c:v>148.15848004778292</c:v>
                </c:pt>
                <c:pt idx="5">
                  <c:v>169.75613640888534</c:v>
                </c:pt>
                <c:pt idx="6">
                  <c:v>225.59981796979434</c:v>
                </c:pt>
                <c:pt idx="7">
                  <c:v>265.54555021473874</c:v>
                </c:pt>
                <c:pt idx="8">
                  <c:v>259.17938507921156</c:v>
                </c:pt>
                <c:pt idx="9">
                  <c:v>161.3043601922694</c:v>
                </c:pt>
                <c:pt idx="10">
                  <c:v>101.50072527660058</c:v>
                </c:pt>
                <c:pt idx="11">
                  <c:v>139.24070650473561</c:v>
                </c:pt>
                <c:pt idx="12">
                  <c:v>149.64942120083049</c:v>
                </c:pt>
                <c:pt idx="13">
                  <c:v>153.36147216928805</c:v>
                </c:pt>
                <c:pt idx="14">
                  <c:v>149.44372706846039</c:v>
                </c:pt>
                <c:pt idx="15">
                  <c:v>148.86828408088965</c:v>
                </c:pt>
                <c:pt idx="16">
                  <c:v>134.54387212378055</c:v>
                </c:pt>
                <c:pt idx="17">
                  <c:v>154.22782217924288</c:v>
                </c:pt>
                <c:pt idx="18">
                  <c:v>173.54168207286895</c:v>
                </c:pt>
                <c:pt idx="19">
                  <c:v>177.33189226087202</c:v>
                </c:pt>
                <c:pt idx="20">
                  <c:v>178.39588361443725</c:v>
                </c:pt>
              </c:numCache>
            </c:numRef>
          </c:val>
          <c:smooth val="0"/>
          <c:extLst>
            <c:ext xmlns:c16="http://schemas.microsoft.com/office/drawing/2014/chart" uri="{C3380CC4-5D6E-409C-BE32-E72D297353CC}">
              <c16:uniqueId val="{00000006-641B-4D26-8F74-200B7A887CBB}"/>
            </c:ext>
          </c:extLst>
        </c:ser>
        <c:ser>
          <c:idx val="1"/>
          <c:order val="1"/>
          <c:tx>
            <c:strRef>
              <c:f>Sheet1!$A$7</c:f>
              <c:strCache>
                <c:ptCount val="1"/>
                <c:pt idx="0">
                  <c:v>IKP</c:v>
                </c:pt>
              </c:strCache>
            </c:strRef>
          </c:tx>
          <c:spPr>
            <a:ln w="34925" cap="rnd" cmpd="sng" algn="ctr">
              <a:solidFill>
                <a:sysClr val="windowText" lastClr="000000">
                  <a:lumMod val="50000"/>
                  <a:lumOff val="50000"/>
                </a:sysClr>
              </a:solidFill>
              <a:prstDash val="solid"/>
              <a:round/>
            </a:ln>
            <a:effectLst/>
          </c:spPr>
          <c:marker>
            <c:symbol val="none"/>
          </c:marker>
          <c:dLbls>
            <c:dLbl>
              <c:idx val="0"/>
              <c:layout>
                <c:manualLayout>
                  <c:x val="-4.0249029868090237E-2"/>
                  <c:y val="-7.6768646862531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1B-4D26-8F74-200B7A887CBB}"/>
                </c:ext>
              </c:extLst>
            </c:dLbl>
            <c:dLbl>
              <c:idx val="7"/>
              <c:layout>
                <c:manualLayout>
                  <c:x val="-2.6832686578726821E-2"/>
                  <c:y val="-5.8344171615524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41B-4D26-8F74-200B7A887CBB}"/>
                </c:ext>
              </c:extLst>
            </c:dLbl>
            <c:dLbl>
              <c:idx val="10"/>
              <c:layout>
                <c:manualLayout>
                  <c:x val="-3.3540858223408528E-2"/>
                  <c:y val="-0.165820277223068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1B-4D26-8F74-200B7A887CBB}"/>
                </c:ext>
              </c:extLst>
            </c:dLbl>
            <c:dLbl>
              <c:idx val="20"/>
              <c:layout>
                <c:manualLayout>
                  <c:x val="-1.1180286074469673E-2"/>
                  <c:y val="-6.7556409239028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41B-4D26-8F74-200B7A887CBB}"/>
                </c:ext>
              </c:extLst>
            </c:dLbl>
            <c:spPr>
              <a:solidFill>
                <a:srgbClr val="E7E6E6"/>
              </a:solidFill>
              <a:ln>
                <a:solidFill>
                  <a:prstClr val="black">
                    <a:lumMod val="65000"/>
                    <a:lumOff val="35000"/>
                  </a:prstClr>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rgbClr val="000000"/>
                    </a:solidFill>
                    <a:latin typeface="Arial" panose="020B0604020202020204" pitchFamily="34" charset="0"/>
                    <a:ea typeface="Arial"/>
                    <a:cs typeface="Arial" panose="020B0604020202020204" pitchFamily="34" charset="0"/>
                  </a:defRPr>
                </a:pPr>
                <a:endParaRPr lang="lv-LV"/>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Sheet1!$B$5:$V$5</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2020p</c:v>
                </c:pt>
              </c:strCache>
            </c:strRef>
          </c:cat>
          <c:val>
            <c:numRef>
              <c:f>Sheet1!$B$7:$V$7</c:f>
              <c:numCache>
                <c:formatCode>0</c:formatCode>
                <c:ptCount val="21"/>
                <c:pt idx="0">
                  <c:v>100</c:v>
                </c:pt>
                <c:pt idx="1">
                  <c:v>106.32281134955647</c:v>
                </c:pt>
                <c:pt idx="2">
                  <c:v>113.85343113384009</c:v>
                </c:pt>
                <c:pt idx="3">
                  <c:v>123.45637035723776</c:v>
                </c:pt>
                <c:pt idx="4">
                  <c:v>133.9517266536879</c:v>
                </c:pt>
                <c:pt idx="5">
                  <c:v>148.31816493633789</c:v>
                </c:pt>
                <c:pt idx="6">
                  <c:v>166.09611835382486</c:v>
                </c:pt>
                <c:pt idx="7">
                  <c:v>182.7507416574403</c:v>
                </c:pt>
                <c:pt idx="8">
                  <c:v>176.67007615717461</c:v>
                </c:pt>
                <c:pt idx="9">
                  <c:v>151.47742047139934</c:v>
                </c:pt>
                <c:pt idx="10">
                  <c:v>144.80207770358606</c:v>
                </c:pt>
                <c:pt idx="11">
                  <c:v>154.1691068347769</c:v>
                </c:pt>
                <c:pt idx="12">
                  <c:v>160.72395028313929</c:v>
                </c:pt>
                <c:pt idx="13">
                  <c:v>164.4369565310723</c:v>
                </c:pt>
                <c:pt idx="14">
                  <c:v>166.20240774827309</c:v>
                </c:pt>
                <c:pt idx="15">
                  <c:v>172.86192886605858</c:v>
                </c:pt>
                <c:pt idx="16">
                  <c:v>176.96381128346874</c:v>
                </c:pt>
                <c:pt idx="17">
                  <c:v>182.71640980297616</c:v>
                </c:pt>
                <c:pt idx="18">
                  <c:v>190.06948646288225</c:v>
                </c:pt>
                <c:pt idx="19">
                  <c:v>193.9736686359507</c:v>
                </c:pt>
                <c:pt idx="20">
                  <c:v>186.21472189051266</c:v>
                </c:pt>
              </c:numCache>
            </c:numRef>
          </c:val>
          <c:smooth val="0"/>
          <c:extLst>
            <c:ext xmlns:c16="http://schemas.microsoft.com/office/drawing/2014/chart" uri="{C3380CC4-5D6E-409C-BE32-E72D297353CC}">
              <c16:uniqueId val="{0000000B-641B-4D26-8F74-200B7A887CBB}"/>
            </c:ext>
          </c:extLst>
        </c:ser>
        <c:dLbls>
          <c:showLegendKey val="0"/>
          <c:showVal val="0"/>
          <c:showCatName val="0"/>
          <c:showSerName val="0"/>
          <c:showPercent val="0"/>
          <c:showBubbleSize val="0"/>
        </c:dLbls>
        <c:smooth val="0"/>
        <c:axId val="275547144"/>
        <c:axId val="275547536"/>
      </c:lineChart>
      <c:catAx>
        <c:axId val="275547144"/>
        <c:scaling>
          <c:orientation val="minMax"/>
        </c:scaling>
        <c:delete val="0"/>
        <c:axPos val="b"/>
        <c:numFmt formatCode="General" sourceLinked="1"/>
        <c:majorTickMark val="out"/>
        <c:minorTickMark val="none"/>
        <c:tickLblPos val="low"/>
        <c:spPr>
          <a:noFill/>
          <a:ln w="3175" cap="flat" cmpd="sng" algn="ctr">
            <a:solidFill>
              <a:schemeClr val="tx1">
                <a:tint val="75000"/>
              </a:schemeClr>
            </a:solidFill>
            <a:prstDash val="solid"/>
            <a:round/>
          </a:ln>
          <a:effectLst/>
        </c:spPr>
        <c:txPr>
          <a:bodyPr rot="0" spcFirstLastPara="1" vertOverflow="ellipsis" wrap="square" anchor="ctr" anchorCtr="1"/>
          <a:lstStyle/>
          <a:p>
            <a:pPr>
              <a:defRPr sz="900" b="0" i="0" u="none" strike="noStrike" kern="1200" baseline="0">
                <a:solidFill>
                  <a:srgbClr val="000000"/>
                </a:solidFill>
                <a:latin typeface="Arial" panose="020B0604020202020204" pitchFamily="34" charset="0"/>
                <a:ea typeface="Arial"/>
                <a:cs typeface="Arial" panose="020B0604020202020204" pitchFamily="34" charset="0"/>
              </a:defRPr>
            </a:pPr>
            <a:endParaRPr lang="lv-LV"/>
          </a:p>
        </c:txPr>
        <c:crossAx val="275547536"/>
        <c:crosses val="autoZero"/>
        <c:auto val="1"/>
        <c:lblAlgn val="ctr"/>
        <c:lblOffset val="0"/>
        <c:noMultiLvlLbl val="0"/>
      </c:catAx>
      <c:valAx>
        <c:axId val="275547536"/>
        <c:scaling>
          <c:orientation val="minMax"/>
          <c:min val="50"/>
        </c:scaling>
        <c:delete val="0"/>
        <c:axPos val="l"/>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rgbClr val="000000"/>
                </a:solidFill>
                <a:latin typeface="Arial" panose="020B0604020202020204" pitchFamily="34" charset="0"/>
                <a:ea typeface="Arial"/>
                <a:cs typeface="Arial" panose="020B0604020202020204" pitchFamily="34" charset="0"/>
              </a:defRPr>
            </a:pPr>
            <a:endParaRPr lang="lv-LV"/>
          </a:p>
        </c:txPr>
        <c:crossAx val="275547144"/>
        <c:crosses val="autoZero"/>
        <c:crossBetween val="between"/>
        <c:majorUnit val="25"/>
      </c:valAx>
      <c:spPr>
        <a:noFill/>
        <a:ln w="6350">
          <a:noFill/>
        </a:ln>
        <a:effectLst/>
      </c:spPr>
    </c:plotArea>
    <c:legend>
      <c:legendPos val="r"/>
      <c:layout>
        <c:manualLayout>
          <c:xMode val="edge"/>
          <c:yMode val="edge"/>
          <c:x val="0.62552749822171827"/>
          <c:y val="6.6830552615779831E-2"/>
          <c:w val="0.26043358381869275"/>
          <c:h val="0.14778411834412811"/>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Arial" panose="020B0604020202020204" pitchFamily="34" charset="0"/>
              <a:ea typeface="Arial"/>
              <a:cs typeface="Arial" panose="020B0604020202020204" pitchFamily="34" charset="0"/>
            </a:defRPr>
          </a:pPr>
          <a:endParaRPr lang="lv-LV"/>
        </a:p>
      </c:txPr>
    </c:legend>
    <c:plotVisOnly val="1"/>
    <c:dispBlanksAs val="zero"/>
    <c:showDLblsOverMax val="0"/>
  </c:chart>
  <c:spPr>
    <a:solidFill>
      <a:schemeClr val="bg1"/>
    </a:solidFill>
    <a:ln w="6350" cap="flat" cmpd="sng" algn="ctr">
      <a:noFill/>
      <a:prstDash val="solid"/>
      <a:round/>
    </a:ln>
    <a:effectLst/>
  </c:spPr>
  <c:txPr>
    <a:bodyPr/>
    <a:lstStyle/>
    <a:p>
      <a:pPr>
        <a:defRPr sz="1000" b="0" i="0" u="none" strike="noStrike" baseline="0">
          <a:solidFill>
            <a:srgbClr val="000000"/>
          </a:solidFill>
          <a:latin typeface="Arial" panose="020B0604020202020204" pitchFamily="34" charset="0"/>
          <a:ea typeface="Arial"/>
          <a:cs typeface="Arial" panose="020B0604020202020204" pitchFamily="34" charset="0"/>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660379823855053E-2"/>
          <c:y val="1.7110621835777641E-2"/>
          <c:w val="0.95295822178982303"/>
          <c:h val="0.88218642792389779"/>
        </c:manualLayout>
      </c:layout>
      <c:barChart>
        <c:barDir val="col"/>
        <c:grouping val="clustered"/>
        <c:varyColors val="0"/>
        <c:ser>
          <c:idx val="0"/>
          <c:order val="1"/>
          <c:tx>
            <c:strRef>
              <c:f>Sheet1!$A$3</c:f>
              <c:strCache>
                <c:ptCount val="1"/>
                <c:pt idx="0">
                  <c:v>Būvniecība</c:v>
                </c:pt>
              </c:strCache>
            </c:strRef>
          </c:tx>
          <c:spPr>
            <a:ln w="6350">
              <a:noFill/>
              <a:prstDash val="solid"/>
            </a:ln>
          </c:spPr>
          <c:invertIfNegative val="0"/>
          <c:dLbls>
            <c:dLbl>
              <c:idx val="1"/>
              <c:layout>
                <c:manualLayout>
                  <c:x val="-4.3380724782605355E-3"/>
                  <c:y val="1.28205128205127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8E-4BC5-934A-621726030C84}"/>
                </c:ext>
              </c:extLst>
            </c:dLbl>
            <c:dLbl>
              <c:idx val="4"/>
              <c:tx>
                <c:rich>
                  <a:bodyPr/>
                  <a:lstStyle/>
                  <a:p>
                    <a:fld id="{B2522693-D911-4787-B25B-F4F3784E3A47}" type="VALUE">
                      <a:rPr lang="en-US"/>
                      <a:pPr/>
                      <a:t>[VALUE]</a:t>
                    </a:fld>
                    <a:endParaRPr lang="lv-L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38E-4BC5-934A-621726030C84}"/>
                </c:ext>
              </c:extLst>
            </c:dLbl>
            <c:numFmt formatCode="#,##0.0" sourceLinked="0"/>
            <c:spPr>
              <a:noFill/>
              <a:ln>
                <a:noFill/>
              </a:ln>
              <a:effectLst/>
            </c:spPr>
            <c:txPr>
              <a:bodyPr/>
              <a:lstStyle/>
              <a:p>
                <a:pPr>
                  <a:defRPr sz="900"/>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Sheet1!$B$1:$V$1</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2020p</c:v>
                </c:pt>
              </c:strCache>
            </c:strRef>
          </c:cat>
          <c:val>
            <c:numRef>
              <c:f>Sheet1!$B$3:$V$3</c:f>
              <c:numCache>
                <c:formatCode>0.0</c:formatCode>
                <c:ptCount val="21"/>
                <c:pt idx="0">
                  <c:v>8.0428446929049926</c:v>
                </c:pt>
                <c:pt idx="1">
                  <c:v>0.80923803293609353</c:v>
                </c:pt>
                <c:pt idx="2">
                  <c:v>14.625748232681161</c:v>
                </c:pt>
                <c:pt idx="3">
                  <c:v>11.888823798717112</c:v>
                </c:pt>
                <c:pt idx="4">
                  <c:v>14.592789047884708</c:v>
                </c:pt>
                <c:pt idx="5">
                  <c:v>14.577401411067996</c:v>
                </c:pt>
                <c:pt idx="6">
                  <c:v>32.896414080961648</c:v>
                </c:pt>
                <c:pt idx="7">
                  <c:v>17.706455884770605</c:v>
                </c:pt>
                <c:pt idx="8">
                  <c:v>-2.3973910051887799</c:v>
                </c:pt>
                <c:pt idx="9">
                  <c:v>-37.763429702184517</c:v>
                </c:pt>
                <c:pt idx="10">
                  <c:v>-37.075026889778364</c:v>
                </c:pt>
                <c:pt idx="11">
                  <c:v>37.181981828493804</c:v>
                </c:pt>
                <c:pt idx="12">
                  <c:v>7.4753388986437557</c:v>
                </c:pt>
                <c:pt idx="13">
                  <c:v>2.4804980458133343</c:v>
                </c:pt>
                <c:pt idx="14">
                  <c:v>-2.5545823507113141</c:v>
                </c:pt>
                <c:pt idx="15">
                  <c:v>-0.38505663560380299</c:v>
                </c:pt>
                <c:pt idx="16">
                  <c:v>-9.62220532435623</c:v>
                </c:pt>
                <c:pt idx="17">
                  <c:v>14.63013494761995</c:v>
                </c:pt>
                <c:pt idx="18">
                  <c:v>12.522941464594894</c:v>
                </c:pt>
                <c:pt idx="19">
                  <c:v>2.1840344882744631</c:v>
                </c:pt>
                <c:pt idx="20">
                  <c:v>0.6</c:v>
                </c:pt>
              </c:numCache>
            </c:numRef>
          </c:val>
          <c:extLst>
            <c:ext xmlns:c16="http://schemas.microsoft.com/office/drawing/2014/chart" uri="{C3380CC4-5D6E-409C-BE32-E72D297353CC}">
              <c16:uniqueId val="{00000002-938E-4BC5-934A-621726030C84}"/>
            </c:ext>
          </c:extLst>
        </c:ser>
        <c:dLbls>
          <c:showLegendKey val="0"/>
          <c:showVal val="0"/>
          <c:showCatName val="0"/>
          <c:showSerName val="0"/>
          <c:showPercent val="0"/>
          <c:showBubbleSize val="0"/>
        </c:dLbls>
        <c:gapWidth val="20"/>
        <c:overlap val="100"/>
        <c:axId val="275547144"/>
        <c:axId val="275547536"/>
      </c:barChart>
      <c:lineChart>
        <c:grouping val="standard"/>
        <c:varyColors val="0"/>
        <c:ser>
          <c:idx val="1"/>
          <c:order val="0"/>
          <c:tx>
            <c:strRef>
              <c:f>Sheet1!$A$2</c:f>
              <c:strCache>
                <c:ptCount val="1"/>
                <c:pt idx="0">
                  <c:v>IKP</c:v>
                </c:pt>
              </c:strCache>
            </c:strRef>
          </c:tx>
          <c:spPr>
            <a:ln w="69850">
              <a:noFill/>
              <a:prstDash val="solid"/>
            </a:ln>
          </c:spPr>
          <c:marker>
            <c:symbol val="diamond"/>
            <c:size val="11"/>
            <c:spPr>
              <a:solidFill>
                <a:srgbClr val="E7E6E6">
                  <a:lumMod val="50000"/>
                </a:srgbClr>
              </a:solidFill>
              <a:ln w="9525">
                <a:solidFill>
                  <a:sysClr val="window" lastClr="FFFFFF"/>
                </a:solidFill>
              </a:ln>
            </c:spPr>
          </c:marker>
          <c:cat>
            <c:strRef>
              <c:f>Sheet1!$B$1:$V$1</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2020p</c:v>
                </c:pt>
              </c:strCache>
            </c:strRef>
          </c:cat>
          <c:val>
            <c:numRef>
              <c:f>Sheet1!$B$2:$V$2</c:f>
              <c:numCache>
                <c:formatCode>0.0</c:formatCode>
                <c:ptCount val="21"/>
                <c:pt idx="0">
                  <c:v>5.67197491547509</c:v>
                </c:pt>
                <c:pt idx="1">
                  <c:v>6.3228113495564742</c:v>
                </c:pt>
                <c:pt idx="2">
                  <c:v>7.0827884333544091</c:v>
                </c:pt>
                <c:pt idx="3">
                  <c:v>8.4344750331757439</c:v>
                </c:pt>
                <c:pt idx="4">
                  <c:v>8.5012675053384328</c:v>
                </c:pt>
                <c:pt idx="5">
                  <c:v>10.725086299030878</c:v>
                </c:pt>
                <c:pt idx="6">
                  <c:v>11.986362847138608</c:v>
                </c:pt>
                <c:pt idx="7">
                  <c:v>10.027099650900368</c:v>
                </c:pt>
                <c:pt idx="8">
                  <c:v>-3.3273000399985762</c:v>
                </c:pt>
                <c:pt idx="9">
                  <c:v>-14.259718586051108</c:v>
                </c:pt>
                <c:pt idx="10">
                  <c:v>-4.4068236355224002</c:v>
                </c:pt>
                <c:pt idx="11">
                  <c:v>6.4688499500438184</c:v>
                </c:pt>
                <c:pt idx="12">
                  <c:v>4.251723048111856</c:v>
                </c:pt>
                <c:pt idx="13">
                  <c:v>2.3101760760558534</c:v>
                </c:pt>
                <c:pt idx="14">
                  <c:v>1.0736340871567904</c:v>
                </c:pt>
                <c:pt idx="15">
                  <c:v>4.0068740326986614</c:v>
                </c:pt>
                <c:pt idx="16">
                  <c:v>2.3729241275495099</c:v>
                </c:pt>
                <c:pt idx="17">
                  <c:v>3.2507202900895038</c:v>
                </c:pt>
                <c:pt idx="18">
                  <c:v>4.0243110445498331</c:v>
                </c:pt>
                <c:pt idx="19">
                  <c:v>2.0540815076232093</c:v>
                </c:pt>
                <c:pt idx="20">
                  <c:v>-4</c:v>
                </c:pt>
              </c:numCache>
            </c:numRef>
          </c:val>
          <c:smooth val="1"/>
          <c:extLst>
            <c:ext xmlns:c16="http://schemas.microsoft.com/office/drawing/2014/chart" uri="{C3380CC4-5D6E-409C-BE32-E72D297353CC}">
              <c16:uniqueId val="{00000003-938E-4BC5-934A-621726030C84}"/>
            </c:ext>
          </c:extLst>
        </c:ser>
        <c:dLbls>
          <c:showLegendKey val="0"/>
          <c:showVal val="0"/>
          <c:showCatName val="0"/>
          <c:showSerName val="0"/>
          <c:showPercent val="0"/>
          <c:showBubbleSize val="0"/>
        </c:dLbls>
        <c:marker val="1"/>
        <c:smooth val="0"/>
        <c:axId val="275547144"/>
        <c:axId val="275547536"/>
      </c:lineChart>
      <c:catAx>
        <c:axId val="275547144"/>
        <c:scaling>
          <c:orientation val="minMax"/>
        </c:scaling>
        <c:delete val="0"/>
        <c:axPos val="b"/>
        <c:numFmt formatCode="General" sourceLinked="1"/>
        <c:majorTickMark val="out"/>
        <c:minorTickMark val="none"/>
        <c:tickLblPos val="low"/>
        <c:spPr>
          <a:ln w="3175"/>
        </c:spPr>
        <c:txPr>
          <a:bodyPr rot="0" vert="horz"/>
          <a:lstStyle/>
          <a:p>
            <a:pPr>
              <a:defRPr sz="900"/>
            </a:pPr>
            <a:endParaRPr lang="lv-LV"/>
          </a:p>
        </c:txPr>
        <c:crossAx val="275547536"/>
        <c:crosses val="autoZero"/>
        <c:auto val="1"/>
        <c:lblAlgn val="ctr"/>
        <c:lblOffset val="400"/>
        <c:tickLblSkip val="2"/>
        <c:tickMarkSkip val="1"/>
        <c:noMultiLvlLbl val="0"/>
      </c:catAx>
      <c:valAx>
        <c:axId val="275547536"/>
        <c:scaling>
          <c:orientation val="minMax"/>
          <c:min val="-40"/>
        </c:scaling>
        <c:delete val="0"/>
        <c:axPos val="l"/>
        <c:numFmt formatCode="#,##0" sourceLinked="0"/>
        <c:majorTickMark val="out"/>
        <c:minorTickMark val="none"/>
        <c:tickLblPos val="nextTo"/>
        <c:txPr>
          <a:bodyPr/>
          <a:lstStyle/>
          <a:p>
            <a:pPr>
              <a:defRPr sz="700"/>
            </a:pPr>
            <a:endParaRPr lang="lv-LV"/>
          </a:p>
        </c:txPr>
        <c:crossAx val="275547144"/>
        <c:crosses val="autoZero"/>
        <c:crossBetween val="between"/>
        <c:majorUnit val="20"/>
      </c:valAx>
      <c:spPr>
        <a:noFill/>
        <a:ln w="6350">
          <a:noFill/>
        </a:ln>
      </c:spPr>
    </c:plotArea>
    <c:legend>
      <c:legendPos val="t"/>
      <c:layout>
        <c:manualLayout>
          <c:xMode val="edge"/>
          <c:yMode val="edge"/>
          <c:x val="7.5900726456349848E-2"/>
          <c:y val="0.6698607992194644"/>
          <c:w val="0.22568377713285229"/>
          <c:h val="0.14346895374183344"/>
        </c:manualLayout>
      </c:layout>
      <c:overlay val="0"/>
      <c:txPr>
        <a:bodyPr/>
        <a:lstStyle/>
        <a:p>
          <a:pPr>
            <a:defRPr sz="1000"/>
          </a:pPr>
          <a:endParaRPr lang="lv-LV"/>
        </a:p>
      </c:txPr>
    </c:legend>
    <c:plotVisOnly val="1"/>
    <c:dispBlanksAs val="zero"/>
    <c:showDLblsOverMax val="0"/>
  </c:chart>
  <c:spPr>
    <a:noFill/>
    <a:ln>
      <a:noFill/>
    </a:ln>
  </c:spPr>
  <c:txPr>
    <a:bodyPr/>
    <a:lstStyle/>
    <a:p>
      <a:pPr>
        <a:defRPr sz="1000" b="0" i="0" u="none" strike="noStrike" baseline="0">
          <a:solidFill>
            <a:srgbClr val="000000"/>
          </a:solidFill>
          <a:latin typeface="Arial" panose="020B0604020202020204" pitchFamily="34" charset="0"/>
          <a:ea typeface="Arial"/>
          <a:cs typeface="Arial" panose="020B0604020202020204" pitchFamily="34"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280275941523983E-2"/>
          <c:y val="3.0880555555555852E-2"/>
          <c:w val="0.84102426670350416"/>
          <c:h val="0.74090291857230428"/>
        </c:manualLayout>
      </c:layout>
      <c:lineChart>
        <c:grouping val="standard"/>
        <c:varyColors val="0"/>
        <c:ser>
          <c:idx val="0"/>
          <c:order val="0"/>
          <c:tx>
            <c:strRef>
              <c:f>Sheet1!$A$3</c:f>
              <c:strCache>
                <c:ptCount val="1"/>
                <c:pt idx="0">
                  <c:v>Ēku būvniecība</c:v>
                </c:pt>
              </c:strCache>
            </c:strRef>
          </c:tx>
          <c:marker>
            <c:symbol val="none"/>
          </c:marker>
          <c:cat>
            <c:strRef>
              <c:f>Sheet1!$B$1:$J$1</c:f>
              <c:strCache>
                <c:ptCount val="9"/>
                <c:pt idx="0">
                  <c:v>2012</c:v>
                </c:pt>
                <c:pt idx="1">
                  <c:v>2013</c:v>
                </c:pt>
                <c:pt idx="2">
                  <c:v>2014</c:v>
                </c:pt>
                <c:pt idx="3">
                  <c:v>2015</c:v>
                </c:pt>
                <c:pt idx="4">
                  <c:v>2016</c:v>
                </c:pt>
                <c:pt idx="5">
                  <c:v>2017</c:v>
                </c:pt>
                <c:pt idx="6">
                  <c:v>2018</c:v>
                </c:pt>
                <c:pt idx="7">
                  <c:v>2019</c:v>
                </c:pt>
                <c:pt idx="8">
                  <c:v>2020 Jan-Jūl</c:v>
                </c:pt>
              </c:strCache>
            </c:strRef>
          </c:cat>
          <c:val>
            <c:numRef>
              <c:f>Sheet1!$B$3:$J$3</c:f>
              <c:numCache>
                <c:formatCode>0</c:formatCode>
                <c:ptCount val="9"/>
                <c:pt idx="0">
                  <c:v>111.6</c:v>
                </c:pt>
                <c:pt idx="1">
                  <c:v>114.94799999999999</c:v>
                </c:pt>
                <c:pt idx="2">
                  <c:v>147.36333599999998</c:v>
                </c:pt>
                <c:pt idx="3">
                  <c:v>135.27954244799997</c:v>
                </c:pt>
                <c:pt idx="4">
                  <c:v>120.26351323627198</c:v>
                </c:pt>
                <c:pt idx="5">
                  <c:v>147.20254020119688</c:v>
                </c:pt>
                <c:pt idx="6">
                  <c:v>184.88639049270327</c:v>
                </c:pt>
                <c:pt idx="7">
                  <c:v>193.63568418974282</c:v>
                </c:pt>
                <c:pt idx="8">
                  <c:v>201.46399960288343</c:v>
                </c:pt>
              </c:numCache>
            </c:numRef>
          </c:val>
          <c:smooth val="0"/>
          <c:extLst>
            <c:ext xmlns:c16="http://schemas.microsoft.com/office/drawing/2014/chart" uri="{C3380CC4-5D6E-409C-BE32-E72D297353CC}">
              <c16:uniqueId val="{00000000-0938-4D71-807D-3EE863B7EBDA}"/>
            </c:ext>
          </c:extLst>
        </c:ser>
        <c:ser>
          <c:idx val="2"/>
          <c:order val="1"/>
          <c:tx>
            <c:strRef>
              <c:f>Sheet1!$A$5</c:f>
              <c:strCache>
                <c:ptCount val="1"/>
                <c:pt idx="0">
                  <c:v>Specializētie būvdarbi</c:v>
                </c:pt>
              </c:strCache>
            </c:strRef>
          </c:tx>
          <c:marker>
            <c:symbol val="none"/>
          </c:marker>
          <c:cat>
            <c:strRef>
              <c:f>Sheet1!$B$1:$J$1</c:f>
              <c:strCache>
                <c:ptCount val="9"/>
                <c:pt idx="0">
                  <c:v>2012</c:v>
                </c:pt>
                <c:pt idx="1">
                  <c:v>2013</c:v>
                </c:pt>
                <c:pt idx="2">
                  <c:v>2014</c:v>
                </c:pt>
                <c:pt idx="3">
                  <c:v>2015</c:v>
                </c:pt>
                <c:pt idx="4">
                  <c:v>2016</c:v>
                </c:pt>
                <c:pt idx="5">
                  <c:v>2017</c:v>
                </c:pt>
                <c:pt idx="6">
                  <c:v>2018</c:v>
                </c:pt>
                <c:pt idx="7">
                  <c:v>2019</c:v>
                </c:pt>
                <c:pt idx="8">
                  <c:v>2020 Jan-Jūl</c:v>
                </c:pt>
              </c:strCache>
            </c:strRef>
          </c:cat>
          <c:val>
            <c:numRef>
              <c:f>Sheet1!$B$5:$J$5</c:f>
              <c:numCache>
                <c:formatCode>0</c:formatCode>
                <c:ptCount val="9"/>
                <c:pt idx="0">
                  <c:v>116.40000000000002</c:v>
                </c:pt>
                <c:pt idx="1">
                  <c:v>134.7912</c:v>
                </c:pt>
                <c:pt idx="2">
                  <c:v>150.5617704</c:v>
                </c:pt>
                <c:pt idx="3">
                  <c:v>159.44491485360001</c:v>
                </c:pt>
                <c:pt idx="4">
                  <c:v>137.2820716889496</c:v>
                </c:pt>
                <c:pt idx="5">
                  <c:v>142.63607248481864</c:v>
                </c:pt>
                <c:pt idx="6">
                  <c:v>182.28890063559822</c:v>
                </c:pt>
                <c:pt idx="7">
                  <c:v>197.92616085808805</c:v>
                </c:pt>
                <c:pt idx="8">
                  <c:v>219.9058063456437</c:v>
                </c:pt>
              </c:numCache>
            </c:numRef>
          </c:val>
          <c:smooth val="0"/>
          <c:extLst>
            <c:ext xmlns:c16="http://schemas.microsoft.com/office/drawing/2014/chart" uri="{C3380CC4-5D6E-409C-BE32-E72D297353CC}">
              <c16:uniqueId val="{00000001-0938-4D71-807D-3EE863B7EBDA}"/>
            </c:ext>
          </c:extLst>
        </c:ser>
        <c:ser>
          <c:idx val="1"/>
          <c:order val="2"/>
          <c:tx>
            <c:strRef>
              <c:f>Sheet1!$A$2</c:f>
              <c:strCache>
                <c:ptCount val="1"/>
                <c:pt idx="0">
                  <c:v>Būvniecība pavisam</c:v>
                </c:pt>
              </c:strCache>
            </c:strRef>
          </c:tx>
          <c:marker>
            <c:symbol val="none"/>
          </c:marker>
          <c:cat>
            <c:strRef>
              <c:f>Sheet1!$B$1:$J$1</c:f>
              <c:strCache>
                <c:ptCount val="9"/>
                <c:pt idx="0">
                  <c:v>2012</c:v>
                </c:pt>
                <c:pt idx="1">
                  <c:v>2013</c:v>
                </c:pt>
                <c:pt idx="2">
                  <c:v>2014</c:v>
                </c:pt>
                <c:pt idx="3">
                  <c:v>2015</c:v>
                </c:pt>
                <c:pt idx="4">
                  <c:v>2016</c:v>
                </c:pt>
                <c:pt idx="5">
                  <c:v>2017</c:v>
                </c:pt>
                <c:pt idx="6">
                  <c:v>2018</c:v>
                </c:pt>
                <c:pt idx="7">
                  <c:v>2019</c:v>
                </c:pt>
                <c:pt idx="8">
                  <c:v>2020 Jan-Jūl</c:v>
                </c:pt>
              </c:strCache>
            </c:strRef>
          </c:cat>
          <c:val>
            <c:numRef>
              <c:f>Sheet1!$B$2:$J$2</c:f>
              <c:numCache>
                <c:formatCode>0</c:formatCode>
                <c:ptCount val="9"/>
                <c:pt idx="0">
                  <c:v>114.8</c:v>
                </c:pt>
                <c:pt idx="1">
                  <c:v>123.18039999999999</c:v>
                </c:pt>
                <c:pt idx="2">
                  <c:v>136.23752239999999</c:v>
                </c:pt>
                <c:pt idx="3">
                  <c:v>135.42009726559999</c:v>
                </c:pt>
                <c:pt idx="4">
                  <c:v>112.9403611195104</c:v>
                </c:pt>
                <c:pt idx="5">
                  <c:v>133.94726828773932</c:v>
                </c:pt>
                <c:pt idx="6">
                  <c:v>163.28172004275424</c:v>
                </c:pt>
                <c:pt idx="7">
                  <c:v>168.8550694202136</c:v>
                </c:pt>
                <c:pt idx="8">
                  <c:v>178.17301291065343</c:v>
                </c:pt>
              </c:numCache>
            </c:numRef>
          </c:val>
          <c:smooth val="0"/>
          <c:extLst>
            <c:ext xmlns:c16="http://schemas.microsoft.com/office/drawing/2014/chart" uri="{C3380CC4-5D6E-409C-BE32-E72D297353CC}">
              <c16:uniqueId val="{00000002-0938-4D71-807D-3EE863B7EBDA}"/>
            </c:ext>
          </c:extLst>
        </c:ser>
        <c:ser>
          <c:idx val="3"/>
          <c:order val="3"/>
          <c:tx>
            <c:strRef>
              <c:f>Sheet1!$A$4</c:f>
              <c:strCache>
                <c:ptCount val="1"/>
                <c:pt idx="0">
                  <c:v>Inženierbūves</c:v>
                </c:pt>
              </c:strCache>
            </c:strRef>
          </c:tx>
          <c:marker>
            <c:symbol val="none"/>
          </c:marker>
          <c:cat>
            <c:strRef>
              <c:f>Sheet1!$B$1:$J$1</c:f>
              <c:strCache>
                <c:ptCount val="9"/>
                <c:pt idx="0">
                  <c:v>2012</c:v>
                </c:pt>
                <c:pt idx="1">
                  <c:v>2013</c:v>
                </c:pt>
                <c:pt idx="2">
                  <c:v>2014</c:v>
                </c:pt>
                <c:pt idx="3">
                  <c:v>2015</c:v>
                </c:pt>
                <c:pt idx="4">
                  <c:v>2016</c:v>
                </c:pt>
                <c:pt idx="5">
                  <c:v>2017</c:v>
                </c:pt>
                <c:pt idx="6">
                  <c:v>2018</c:v>
                </c:pt>
                <c:pt idx="7">
                  <c:v>2019</c:v>
                </c:pt>
                <c:pt idx="8">
                  <c:v>2020 Jan-Jūl</c:v>
                </c:pt>
              </c:strCache>
            </c:strRef>
          </c:cat>
          <c:val>
            <c:numRef>
              <c:f>Sheet1!$B$4:$J$4</c:f>
              <c:numCache>
                <c:formatCode>0</c:formatCode>
                <c:ptCount val="9"/>
                <c:pt idx="0">
                  <c:v>115.9</c:v>
                </c:pt>
                <c:pt idx="1">
                  <c:v>120.99960000000002</c:v>
                </c:pt>
                <c:pt idx="2">
                  <c:v>112.77162720000003</c:v>
                </c:pt>
                <c:pt idx="3">
                  <c:v>113.22271370880003</c:v>
                </c:pt>
                <c:pt idx="4">
                  <c:v>84.124476285638423</c:v>
                </c:pt>
                <c:pt idx="5">
                  <c:v>109.36181917132996</c:v>
                </c:pt>
                <c:pt idx="6">
                  <c:v>122.04779019520421</c:v>
                </c:pt>
                <c:pt idx="7">
                  <c:v>117.97692099048928</c:v>
                </c:pt>
                <c:pt idx="8">
                  <c:v>116.88091774306604</c:v>
                </c:pt>
              </c:numCache>
            </c:numRef>
          </c:val>
          <c:smooth val="0"/>
          <c:extLst>
            <c:ext xmlns:c16="http://schemas.microsoft.com/office/drawing/2014/chart" uri="{C3380CC4-5D6E-409C-BE32-E72D297353CC}">
              <c16:uniqueId val="{00000003-0938-4D71-807D-3EE863B7EBDA}"/>
            </c:ext>
          </c:extLst>
        </c:ser>
        <c:dLbls>
          <c:showLegendKey val="0"/>
          <c:showVal val="0"/>
          <c:showCatName val="0"/>
          <c:showSerName val="0"/>
          <c:showPercent val="0"/>
          <c:showBubbleSize val="0"/>
        </c:dLbls>
        <c:smooth val="0"/>
        <c:axId val="345291216"/>
        <c:axId val="345291608"/>
      </c:lineChart>
      <c:catAx>
        <c:axId val="345291216"/>
        <c:scaling>
          <c:orientation val="minMax"/>
        </c:scaling>
        <c:delete val="0"/>
        <c:axPos val="b"/>
        <c:numFmt formatCode="General" sourceLinked="1"/>
        <c:majorTickMark val="out"/>
        <c:minorTickMark val="none"/>
        <c:tickLblPos val="nextTo"/>
        <c:spPr>
          <a:noFill/>
          <a:ln w="3175">
            <a:noFill/>
            <a:prstDash val="solid"/>
          </a:ln>
        </c:spPr>
        <c:txPr>
          <a:bodyPr rot="0" vert="horz"/>
          <a:lstStyle/>
          <a:p>
            <a:pPr>
              <a:defRPr/>
            </a:pPr>
            <a:endParaRPr lang="lv-LV"/>
          </a:p>
        </c:txPr>
        <c:crossAx val="345291608"/>
        <c:crosses val="autoZero"/>
        <c:auto val="1"/>
        <c:lblAlgn val="ctr"/>
        <c:lblOffset val="0"/>
        <c:tickLblSkip val="1"/>
        <c:tickMarkSkip val="1"/>
        <c:noMultiLvlLbl val="1"/>
      </c:catAx>
      <c:valAx>
        <c:axId val="345291608"/>
        <c:scaling>
          <c:orientation val="minMax"/>
          <c:max val="230"/>
          <c:min val="60"/>
        </c:scaling>
        <c:delete val="0"/>
        <c:axPos val="l"/>
        <c:numFmt formatCode="0" sourceLinked="0"/>
        <c:majorTickMark val="out"/>
        <c:minorTickMark val="none"/>
        <c:tickLblPos val="nextTo"/>
        <c:spPr>
          <a:ln w="3175">
            <a:noFill/>
          </a:ln>
        </c:spPr>
        <c:txPr>
          <a:bodyPr rot="0" vert="horz"/>
          <a:lstStyle/>
          <a:p>
            <a:pPr>
              <a:defRPr/>
            </a:pPr>
            <a:endParaRPr lang="lv-LV"/>
          </a:p>
        </c:txPr>
        <c:crossAx val="345291216"/>
        <c:crosses val="autoZero"/>
        <c:crossBetween val="between"/>
        <c:majorUnit val="30"/>
      </c:valAx>
      <c:spPr>
        <a:noFill/>
        <a:ln w="6350">
          <a:noFill/>
        </a:ln>
      </c:spPr>
    </c:plotArea>
    <c:legend>
      <c:legendPos val="t"/>
      <c:layout>
        <c:manualLayout>
          <c:xMode val="edge"/>
          <c:yMode val="edge"/>
          <c:x val="0.11197128174446308"/>
          <c:y val="3.680251523984374E-3"/>
          <c:w val="0.47699298781682142"/>
          <c:h val="0.26953628738189556"/>
        </c:manualLayout>
      </c:layout>
      <c:overlay val="0"/>
    </c:legend>
    <c:plotVisOnly val="1"/>
    <c:dispBlanksAs val="gap"/>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421072874710194"/>
          <c:y val="0.19729213501355555"/>
          <c:w val="0.39577132234318735"/>
          <c:h val="0.532269095925053"/>
        </c:manualLayout>
      </c:layout>
      <c:pieChart>
        <c:varyColors val="1"/>
        <c:ser>
          <c:idx val="10"/>
          <c:order val="0"/>
          <c:tx>
            <c:strRef>
              <c:f>Sheet1!$B$1</c:f>
              <c:strCache>
                <c:ptCount val="1"/>
                <c:pt idx="0">
                  <c:v>2020 I pusgads</c:v>
                </c:pt>
              </c:strCache>
            </c:strRef>
          </c:tx>
          <c:dPt>
            <c:idx val="0"/>
            <c:bubble3D val="0"/>
            <c:extLst>
              <c:ext xmlns:c16="http://schemas.microsoft.com/office/drawing/2014/chart" uri="{C3380CC4-5D6E-409C-BE32-E72D297353CC}">
                <c16:uniqueId val="{00000000-4A4B-44F0-A47E-4D127404DABC}"/>
              </c:ext>
            </c:extLst>
          </c:dPt>
          <c:dPt>
            <c:idx val="1"/>
            <c:bubble3D val="0"/>
            <c:spPr>
              <a:solidFill>
                <a:srgbClr val="C0504D">
                  <a:lumMod val="75000"/>
                </a:srgbClr>
              </a:solidFill>
            </c:spPr>
            <c:extLst>
              <c:ext xmlns:c16="http://schemas.microsoft.com/office/drawing/2014/chart" uri="{C3380CC4-5D6E-409C-BE32-E72D297353CC}">
                <c16:uniqueId val="{00000002-4A4B-44F0-A47E-4D127404DABC}"/>
              </c:ext>
            </c:extLst>
          </c:dPt>
          <c:dPt>
            <c:idx val="2"/>
            <c:bubble3D val="0"/>
            <c:spPr>
              <a:solidFill>
                <a:srgbClr val="C0504D">
                  <a:lumMod val="60000"/>
                  <a:lumOff val="40000"/>
                </a:srgbClr>
              </a:solidFill>
            </c:spPr>
            <c:extLst>
              <c:ext xmlns:c16="http://schemas.microsoft.com/office/drawing/2014/chart" uri="{C3380CC4-5D6E-409C-BE32-E72D297353CC}">
                <c16:uniqueId val="{00000004-4A4B-44F0-A47E-4D127404DABC}"/>
              </c:ext>
            </c:extLst>
          </c:dPt>
          <c:dPt>
            <c:idx val="3"/>
            <c:bubble3D val="0"/>
            <c:spPr>
              <a:solidFill>
                <a:srgbClr val="C0504D">
                  <a:lumMod val="40000"/>
                  <a:lumOff val="60000"/>
                </a:srgbClr>
              </a:solidFill>
            </c:spPr>
            <c:extLst>
              <c:ext xmlns:c16="http://schemas.microsoft.com/office/drawing/2014/chart" uri="{C3380CC4-5D6E-409C-BE32-E72D297353CC}">
                <c16:uniqueId val="{00000006-4A4B-44F0-A47E-4D127404DABC}"/>
              </c:ext>
            </c:extLst>
          </c:dPt>
          <c:dPt>
            <c:idx val="4"/>
            <c:bubble3D val="0"/>
            <c:spPr>
              <a:solidFill>
                <a:srgbClr val="9BBB59">
                  <a:lumMod val="75000"/>
                </a:srgbClr>
              </a:solidFill>
            </c:spPr>
            <c:extLst>
              <c:ext xmlns:c16="http://schemas.microsoft.com/office/drawing/2014/chart" uri="{C3380CC4-5D6E-409C-BE32-E72D297353CC}">
                <c16:uniqueId val="{00000008-4A4B-44F0-A47E-4D127404DABC}"/>
              </c:ext>
            </c:extLst>
          </c:dPt>
          <c:dPt>
            <c:idx val="5"/>
            <c:bubble3D val="0"/>
            <c:spPr>
              <a:solidFill>
                <a:srgbClr val="9BBB59">
                  <a:lumMod val="60000"/>
                  <a:lumOff val="40000"/>
                </a:srgbClr>
              </a:solidFill>
            </c:spPr>
            <c:extLst>
              <c:ext xmlns:c16="http://schemas.microsoft.com/office/drawing/2014/chart" uri="{C3380CC4-5D6E-409C-BE32-E72D297353CC}">
                <c16:uniqueId val="{0000000A-4A4B-44F0-A47E-4D127404DABC}"/>
              </c:ext>
            </c:extLst>
          </c:dPt>
          <c:dPt>
            <c:idx val="6"/>
            <c:bubble3D val="0"/>
            <c:spPr>
              <a:solidFill>
                <a:srgbClr val="9BBB59">
                  <a:lumMod val="40000"/>
                  <a:lumOff val="60000"/>
                </a:srgbClr>
              </a:solidFill>
            </c:spPr>
            <c:extLst>
              <c:ext xmlns:c16="http://schemas.microsoft.com/office/drawing/2014/chart" uri="{C3380CC4-5D6E-409C-BE32-E72D297353CC}">
                <c16:uniqueId val="{0000000C-4A4B-44F0-A47E-4D127404DABC}"/>
              </c:ext>
            </c:extLst>
          </c:dPt>
          <c:dPt>
            <c:idx val="7"/>
            <c:bubble3D val="0"/>
            <c:spPr>
              <a:solidFill>
                <a:sysClr val="window" lastClr="FFFFFF">
                  <a:lumMod val="95000"/>
                </a:sysClr>
              </a:solidFill>
            </c:spPr>
            <c:extLst>
              <c:ext xmlns:c16="http://schemas.microsoft.com/office/drawing/2014/chart" uri="{C3380CC4-5D6E-409C-BE32-E72D297353CC}">
                <c16:uniqueId val="{0000000E-4A4B-44F0-A47E-4D127404DABC}"/>
              </c:ext>
            </c:extLst>
          </c:dPt>
          <c:dPt>
            <c:idx val="8"/>
            <c:bubble3D val="0"/>
            <c:extLst>
              <c:ext xmlns:c16="http://schemas.microsoft.com/office/drawing/2014/chart" uri="{C3380CC4-5D6E-409C-BE32-E72D297353CC}">
                <c16:uniqueId val="{0000000F-4A4B-44F0-A47E-4D127404DABC}"/>
              </c:ext>
            </c:extLst>
          </c:dPt>
          <c:dLbls>
            <c:dLbl>
              <c:idx val="0"/>
              <c:layout>
                <c:manualLayout>
                  <c:x val="-2.7137042062415281E-2"/>
                  <c:y val="2.7978801973481626E-2"/>
                </c:manualLayout>
              </c:layout>
              <c:spPr>
                <a:noFill/>
                <a:ln>
                  <a:noFill/>
                </a:ln>
                <a:effectLst/>
              </c:spPr>
              <c:txPr>
                <a:bodyPr vertOverflow="overflow" horzOverflow="overflow" wrap="square" lIns="0" tIns="0" rIns="0" bIns="0" anchor="ctr">
                  <a:noAutofit/>
                </a:bodyPr>
                <a:lstStyle/>
                <a:p>
                  <a:pPr>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24536408864767073"/>
                      <c:h val="0.23874695863746956"/>
                    </c:manualLayout>
                  </c15:layout>
                </c:ext>
                <c:ext xmlns:c16="http://schemas.microsoft.com/office/drawing/2014/chart" uri="{C3380CC4-5D6E-409C-BE32-E72D297353CC}">
                  <c16:uniqueId val="{00000000-4A4B-44F0-A47E-4D127404DABC}"/>
                </c:ext>
              </c:extLst>
            </c:dLbl>
            <c:dLbl>
              <c:idx val="1"/>
              <c:layout>
                <c:manualLayout>
                  <c:x val="1.3568521031207516E-2"/>
                  <c:y val="-0.12467754967853364"/>
                </c:manualLayout>
              </c:layout>
              <c:spPr>
                <a:noFill/>
                <a:ln>
                  <a:noFill/>
                </a:ln>
                <a:effectLst/>
              </c:spPr>
              <c:txPr>
                <a:bodyPr vertOverflow="overflow" horzOverflow="overflow" wrap="none" lIns="0" tIns="0" rIns="0" bIns="0" anchor="ctr">
                  <a:noAutofit/>
                </a:bodyPr>
                <a:lstStyle/>
                <a:p>
                  <a:pPr>
                    <a:defRPr/>
                  </a:pPr>
                  <a:endParaRPr lang="lv-LV"/>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
                      <c:h val="0.13249044398706264"/>
                    </c:manualLayout>
                  </c15:layout>
                </c:ext>
                <c:ext xmlns:c16="http://schemas.microsoft.com/office/drawing/2014/chart" uri="{C3380CC4-5D6E-409C-BE32-E72D297353CC}">
                  <c16:uniqueId val="{00000002-4A4B-44F0-A47E-4D127404DABC}"/>
                </c:ext>
              </c:extLst>
            </c:dLbl>
            <c:dLbl>
              <c:idx val="2"/>
              <c:layout>
                <c:manualLayout>
                  <c:x val="0.13568521031207589"/>
                  <c:y val="-4.478256742458795E-2"/>
                </c:manualLayout>
              </c:layout>
              <c:showLegendKey val="0"/>
              <c:showVal val="0"/>
              <c:showCatName val="1"/>
              <c:showSerName val="0"/>
              <c:showPercent val="1"/>
              <c:showBubbleSize val="0"/>
              <c:extLst>
                <c:ext xmlns:c15="http://schemas.microsoft.com/office/drawing/2012/chart" uri="{CE6537A1-D6FC-4f65-9D91-7224C49458BB}">
                  <c15:layout>
                    <c:manualLayout>
                      <c:w val="0.30189959294436908"/>
                      <c:h val="0.24698618053513671"/>
                    </c:manualLayout>
                  </c15:layout>
                </c:ext>
                <c:ext xmlns:c16="http://schemas.microsoft.com/office/drawing/2014/chart" uri="{C3380CC4-5D6E-409C-BE32-E72D297353CC}">
                  <c16:uniqueId val="{00000004-4A4B-44F0-A47E-4D127404DABC}"/>
                </c:ext>
              </c:extLst>
            </c:dLbl>
            <c:dLbl>
              <c:idx val="3"/>
              <c:layout>
                <c:manualLayout>
                  <c:x val="6.2673746514385842E-2"/>
                  <c:y val="3.2912737569079961E-2"/>
                </c:manualLayout>
              </c:layout>
              <c:spPr>
                <a:noFill/>
                <a:ln>
                  <a:noFill/>
                </a:ln>
                <a:effectLst/>
              </c:spPr>
              <c:txPr>
                <a:bodyPr vertOverflow="overflow" horzOverflow="overflow" wrap="square" lIns="0" tIns="0" rIns="0" bIns="0" anchor="ctr">
                  <a:noAutofit/>
                </a:bodyPr>
                <a:lstStyle/>
                <a:p>
                  <a:pPr>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31886024423337855"/>
                      <c:h val="0.28558992607547101"/>
                    </c:manualLayout>
                  </c15:layout>
                </c:ext>
                <c:ext xmlns:c16="http://schemas.microsoft.com/office/drawing/2014/chart" uri="{C3380CC4-5D6E-409C-BE32-E72D297353CC}">
                  <c16:uniqueId val="{00000006-4A4B-44F0-A47E-4D127404DABC}"/>
                </c:ext>
              </c:extLst>
            </c:dLbl>
            <c:dLbl>
              <c:idx val="4"/>
              <c:layout>
                <c:manualLayout>
                  <c:x val="0"/>
                  <c:y val="-3.9550664811414893E-2"/>
                </c:manualLayout>
              </c:layout>
              <c:showLegendKey val="0"/>
              <c:showVal val="0"/>
              <c:showCatName val="1"/>
              <c:showSerName val="0"/>
              <c:showPercent val="1"/>
              <c:showBubbleSize val="0"/>
              <c:extLst>
                <c:ext xmlns:c15="http://schemas.microsoft.com/office/drawing/2012/chart" uri="{CE6537A1-D6FC-4f65-9D91-7224C49458BB}">
                  <c15:layout>
                    <c:manualLayout>
                      <c:w val="0.36182722749886931"/>
                      <c:h val="0.24698618053513671"/>
                    </c:manualLayout>
                  </c15:layout>
                </c:ext>
                <c:ext xmlns:c16="http://schemas.microsoft.com/office/drawing/2014/chart" uri="{C3380CC4-5D6E-409C-BE32-E72D297353CC}">
                  <c16:uniqueId val="{00000008-4A4B-44F0-A47E-4D127404DABC}"/>
                </c:ext>
              </c:extLst>
            </c:dLbl>
            <c:dLbl>
              <c:idx val="5"/>
              <c:layout>
                <c:manualLayout>
                  <c:x val="4.5228403437358664E-3"/>
                  <c:y val="-5.3885726060190729E-2"/>
                </c:manualLayout>
              </c:layout>
              <c:showLegendKey val="0"/>
              <c:showVal val="0"/>
              <c:showCatName val="1"/>
              <c:showSerName val="0"/>
              <c:showPercent val="1"/>
              <c:showBubbleSize val="0"/>
              <c:extLst>
                <c:ext xmlns:c15="http://schemas.microsoft.com/office/drawing/2012/chart" uri="{CE6537A1-D6FC-4f65-9D91-7224C49458BB}">
                  <c15:layout>
                    <c:manualLayout>
                      <c:w val="0.32903663500678432"/>
                      <c:h val="0.31478096993241911"/>
                    </c:manualLayout>
                  </c15:layout>
                </c:ext>
                <c:ext xmlns:c16="http://schemas.microsoft.com/office/drawing/2014/chart" uri="{C3380CC4-5D6E-409C-BE32-E72D297353CC}">
                  <c16:uniqueId val="{0000000A-4A4B-44F0-A47E-4D127404DABC}"/>
                </c:ext>
              </c:extLst>
            </c:dLbl>
            <c:dLbl>
              <c:idx val="6"/>
              <c:layout>
                <c:manualLayout>
                  <c:x val="0.15938524984241284"/>
                  <c:y val="3.9286731322654032E-3"/>
                </c:manualLayout>
              </c:layout>
              <c:spPr>
                <a:noFill/>
                <a:ln>
                  <a:noFill/>
                </a:ln>
                <a:effectLst/>
              </c:spPr>
              <c:txPr>
                <a:bodyPr vertOverflow="overflow" horzOverflow="overflow" wrap="square" lIns="0" tIns="0" rIns="0" bIns="0" anchor="ctr">
                  <a:noAutofit/>
                </a:bodyPr>
                <a:lstStyle/>
                <a:p>
                  <a:pPr>
                    <a:defRPr/>
                  </a:pPr>
                  <a:endParaRPr lang="lv-LV"/>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41659882406151061"/>
                      <c:h val="0.28850338135842396"/>
                    </c:manualLayout>
                  </c15:layout>
                </c:ext>
                <c:ext xmlns:c16="http://schemas.microsoft.com/office/drawing/2014/chart" uri="{C3380CC4-5D6E-409C-BE32-E72D297353CC}">
                  <c16:uniqueId val="{0000000C-4A4B-44F0-A47E-4D127404DABC}"/>
                </c:ext>
              </c:extLst>
            </c:dLbl>
            <c:dLbl>
              <c:idx val="7"/>
              <c:layout>
                <c:manualLayout>
                  <c:x val="9.8829047318881619E-2"/>
                  <c:y val="1.520681265206812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4A4B-44F0-A47E-4D127404DABC}"/>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ect">
                    <a:avLst/>
                  </a:prstGeom>
                </c15:spPr>
              </c:ext>
            </c:extLst>
          </c:dLbls>
          <c:cat>
            <c:strRef>
              <c:f>Sheet1!$A$2:$A$8</c:f>
              <c:strCache>
                <c:ptCount val="7"/>
                <c:pt idx="0">
                  <c:v>Dzīvojamās mājas</c:v>
                </c:pt>
                <c:pt idx="1">
                  <c:v>Nedzīvojamās ēkas</c:v>
                </c:pt>
                <c:pt idx="2">
                  <c:v>Ceļu un dzelzceļu būvniecība</c:v>
                </c:pt>
                <c:pt idx="3">
                  <c:v>Pilsētsaimniecības infrastruktūras objektu būvniecība</c:v>
                </c:pt>
                <c:pt idx="4">
                  <c:v>Pārējā inženierbūvniecība</c:v>
                </c:pt>
                <c:pt idx="5">
                  <c:v>Būvju inženiersistēmu montāžas darbi</c:v>
                </c:pt>
                <c:pt idx="6">
                  <c:v>Pārējie specializētie būvdarbi</c:v>
                </c:pt>
              </c:strCache>
            </c:strRef>
          </c:cat>
          <c:val>
            <c:numRef>
              <c:f>Sheet1!$B$2:$B$8</c:f>
              <c:numCache>
                <c:formatCode>0.0</c:formatCode>
                <c:ptCount val="7"/>
                <c:pt idx="0">
                  <c:v>91.542899999999989</c:v>
                </c:pt>
                <c:pt idx="1">
                  <c:v>296.75220000000002</c:v>
                </c:pt>
                <c:pt idx="2">
                  <c:v>142.84399999999999</c:v>
                </c:pt>
                <c:pt idx="3">
                  <c:v>109.7693</c:v>
                </c:pt>
                <c:pt idx="4">
                  <c:v>18.890400000000003</c:v>
                </c:pt>
                <c:pt idx="5">
                  <c:v>158.79890000000003</c:v>
                </c:pt>
                <c:pt idx="6">
                  <c:v>149.13979999999998</c:v>
                </c:pt>
              </c:numCache>
            </c:numRef>
          </c:val>
          <c:extLst>
            <c:ext xmlns:c16="http://schemas.microsoft.com/office/drawing/2014/chart" uri="{C3380CC4-5D6E-409C-BE32-E72D297353CC}">
              <c16:uniqueId val="{00000010-4A4B-44F0-A47E-4D127404DABC}"/>
            </c:ext>
          </c:extLst>
        </c:ser>
        <c:dLbls>
          <c:showLegendKey val="0"/>
          <c:showVal val="1"/>
          <c:showCatName val="0"/>
          <c:showSerName val="0"/>
          <c:showPercent val="0"/>
          <c:showBubbleSize val="0"/>
          <c:showLeaderLines val="0"/>
        </c:dLbls>
        <c:firstSliceAng val="0"/>
      </c:pieChart>
      <c:spPr>
        <a:noFill/>
        <a:ln w="24631">
          <a:noFill/>
        </a:ln>
      </c:spPr>
    </c:plotArea>
    <c:plotVisOnly val="1"/>
    <c:dispBlanksAs val="zero"/>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354822834645707E-2"/>
          <c:y val="5.4187037037039996E-2"/>
          <c:w val="0.8789631193571017"/>
          <c:h val="0.84682690397827365"/>
        </c:manualLayout>
      </c:layout>
      <c:lineChart>
        <c:grouping val="standard"/>
        <c:varyColors val="0"/>
        <c:ser>
          <c:idx val="9"/>
          <c:order val="0"/>
          <c:tx>
            <c:strRef>
              <c:f>Sheet1!$A$2</c:f>
              <c:strCache>
                <c:ptCount val="1"/>
                <c:pt idx="0">
                  <c:v>Būvniecība</c:v>
                </c:pt>
              </c:strCache>
            </c:strRef>
          </c:tx>
          <c:spPr>
            <a:ln w="28575" cap="rnd" cmpd="sng" algn="ctr">
              <a:solidFill>
                <a:schemeClr val="accent6">
                  <a:lumMod val="80000"/>
                  <a:shade val="95000"/>
                  <a:satMod val="105000"/>
                </a:schemeClr>
              </a:solidFill>
              <a:prstDash val="solid"/>
              <a:round/>
            </a:ln>
            <a:effectLst/>
          </c:spPr>
          <c:marker>
            <c:symbol val="none"/>
          </c:marker>
          <c:cat>
            <c:strRef>
              <c:f>Sheet1!$B$1:$Q$1</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 Jan-Jūl</c:v>
                </c:pt>
              </c:strCache>
            </c:strRef>
          </c:cat>
          <c:val>
            <c:numRef>
              <c:f>Sheet1!$B$2:$Q$2</c:f>
              <c:numCache>
                <c:formatCode>0.0</c:formatCode>
                <c:ptCount val="16"/>
                <c:pt idx="0">
                  <c:v>61.960999999999999</c:v>
                </c:pt>
                <c:pt idx="1">
                  <c:v>72.16</c:v>
                </c:pt>
                <c:pt idx="2">
                  <c:v>91.706999999999994</c:v>
                </c:pt>
                <c:pt idx="3">
                  <c:v>89.340999999999994</c:v>
                </c:pt>
                <c:pt idx="4">
                  <c:v>54.554000000000002</c:v>
                </c:pt>
                <c:pt idx="5">
                  <c:v>46.008000000000003</c:v>
                </c:pt>
                <c:pt idx="6">
                  <c:v>50.908000000000001</c:v>
                </c:pt>
                <c:pt idx="7" formatCode="#,##0.0">
                  <c:v>55.691000000000003</c:v>
                </c:pt>
                <c:pt idx="8" formatCode="#,##0.0">
                  <c:v>60.62</c:v>
                </c:pt>
                <c:pt idx="9" formatCode="#,##0.0">
                  <c:v>60.307000000000002</c:v>
                </c:pt>
                <c:pt idx="10" formatCode="#,##0.0">
                  <c:v>58.731000000000002</c:v>
                </c:pt>
                <c:pt idx="11" formatCode="#,##0.0">
                  <c:v>54.161999999999999</c:v>
                </c:pt>
                <c:pt idx="12" formatCode="#,##0.0">
                  <c:v>58.122999999999998</c:v>
                </c:pt>
                <c:pt idx="13" formatCode="#,##0.0">
                  <c:v>62.417999999999999</c:v>
                </c:pt>
                <c:pt idx="14" formatCode="#,##0.0">
                  <c:v>63.945</c:v>
                </c:pt>
                <c:pt idx="15" formatCode="#,##0.0">
                  <c:v>62.582500000000003</c:v>
                </c:pt>
              </c:numCache>
            </c:numRef>
          </c:val>
          <c:smooth val="0"/>
          <c:extLst>
            <c:ext xmlns:c16="http://schemas.microsoft.com/office/drawing/2014/chart" uri="{C3380CC4-5D6E-409C-BE32-E72D297353CC}">
              <c16:uniqueId val="{00000000-46B6-4989-B4E3-6B063A9A2026}"/>
            </c:ext>
          </c:extLst>
        </c:ser>
        <c:dLbls>
          <c:showLegendKey val="0"/>
          <c:showVal val="0"/>
          <c:showCatName val="0"/>
          <c:showSerName val="0"/>
          <c:showPercent val="0"/>
          <c:showBubbleSize val="0"/>
        </c:dLbls>
        <c:smooth val="0"/>
        <c:axId val="350765816"/>
        <c:axId val="274520776"/>
      </c:lineChart>
      <c:catAx>
        <c:axId val="350765816"/>
        <c:scaling>
          <c:orientation val="minMax"/>
        </c:scaling>
        <c:delete val="0"/>
        <c:axPos val="b"/>
        <c:numFmt formatCode="General" sourceLinked="1"/>
        <c:majorTickMark val="out"/>
        <c:minorTickMark val="none"/>
        <c:tickLblPos val="low"/>
        <c:spPr>
          <a:noFill/>
          <a:ln w="3175" cap="flat" cmpd="sng" algn="ctr">
            <a:noFill/>
            <a:prstDash val="solid"/>
            <a:round/>
          </a:ln>
          <a:effectLst/>
        </c:spPr>
        <c:txPr>
          <a:bodyPr rot="0" spcFirstLastPara="1" vertOverflow="ellipsis" wrap="square" anchor="ctr" anchorCtr="1"/>
          <a:lstStyle/>
          <a:p>
            <a:pPr>
              <a:defRPr sz="800" b="0" i="0" u="none" strike="noStrike" kern="1200" baseline="0">
                <a:solidFill>
                  <a:srgbClr val="000000"/>
                </a:solidFill>
                <a:latin typeface="Candara" panose="020E0502030303020204" pitchFamily="34" charset="0"/>
                <a:ea typeface="Arial"/>
                <a:cs typeface="Arial"/>
              </a:defRPr>
            </a:pPr>
            <a:endParaRPr lang="lv-LV"/>
          </a:p>
        </c:txPr>
        <c:crossAx val="274520776"/>
        <c:crosses val="autoZero"/>
        <c:auto val="0"/>
        <c:lblAlgn val="ctr"/>
        <c:lblOffset val="100"/>
        <c:noMultiLvlLbl val="0"/>
      </c:catAx>
      <c:valAx>
        <c:axId val="274520776"/>
        <c:scaling>
          <c:orientation val="minMax"/>
          <c:max val="100"/>
          <c:min val="40"/>
        </c:scaling>
        <c:delete val="0"/>
        <c:axPos val="l"/>
        <c:numFmt formatCode="0" sourceLinked="0"/>
        <c:majorTickMark val="out"/>
        <c:minorTickMark val="none"/>
        <c:tickLblPos val="nextTo"/>
        <c:spPr>
          <a:noFill/>
          <a:ln w="3175" cap="flat" cmpd="sng" algn="ctr">
            <a:noFill/>
            <a:prstDash val="solid"/>
            <a:round/>
          </a:ln>
          <a:effectLst/>
        </c:spPr>
        <c:txPr>
          <a:bodyPr rot="0" spcFirstLastPara="1" vertOverflow="ellipsis" wrap="square" anchor="ctr" anchorCtr="1"/>
          <a:lstStyle/>
          <a:p>
            <a:pPr>
              <a:defRPr sz="800" b="0" i="0" u="none" strike="noStrike" kern="1200" baseline="0">
                <a:solidFill>
                  <a:srgbClr val="000000"/>
                </a:solidFill>
                <a:latin typeface="Candara" panose="020E0502030303020204" pitchFamily="34" charset="0"/>
                <a:ea typeface="Arial"/>
                <a:cs typeface="Arial"/>
              </a:defRPr>
            </a:pPr>
            <a:endParaRPr lang="lv-LV"/>
          </a:p>
        </c:txPr>
        <c:crossAx val="350765816"/>
        <c:crosses val="autoZero"/>
        <c:crossBetween val="between"/>
        <c:majorUnit val="10"/>
      </c:valAx>
      <c:spPr>
        <a:noFill/>
        <a:ln w="24631">
          <a:noFill/>
        </a:ln>
        <a:effectLst/>
      </c:spPr>
    </c:plotArea>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5707836685794"/>
          <c:y val="7.0400480109358246E-2"/>
          <c:w val="0.83103501045420169"/>
          <c:h val="0.72330879986664409"/>
        </c:manualLayout>
      </c:layout>
      <c:lineChart>
        <c:grouping val="standard"/>
        <c:varyColors val="0"/>
        <c:ser>
          <c:idx val="9"/>
          <c:order val="0"/>
          <c:tx>
            <c:strRef>
              <c:f>Sheet1!$B$1</c:f>
              <c:strCache>
                <c:ptCount val="1"/>
                <c:pt idx="0">
                  <c:v>Būvniecība</c:v>
                </c:pt>
              </c:strCache>
            </c:strRef>
          </c:tx>
          <c:spPr>
            <a:ln>
              <a:solidFill>
                <a:srgbClr val="F79646"/>
              </a:solidFill>
            </a:ln>
          </c:spPr>
          <c:marker>
            <c:symbol val="none"/>
          </c:marker>
          <c:dPt>
            <c:idx val="14"/>
            <c:bubble3D val="0"/>
            <c:extLst>
              <c:ext xmlns:c16="http://schemas.microsoft.com/office/drawing/2014/chart" uri="{C3380CC4-5D6E-409C-BE32-E72D297353CC}">
                <c16:uniqueId val="{00000000-89EB-4BFB-B030-6C3FCBC2DD1B}"/>
              </c:ext>
            </c:extLst>
          </c:dPt>
          <c:cat>
            <c:strRef>
              <c:f>Sheet1!$A$2:$A$17</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                          Jan-Jūn</c:v>
                </c:pt>
              </c:strCache>
            </c:strRef>
          </c:cat>
          <c:val>
            <c:numRef>
              <c:f>Sheet1!$B$2:$B$17</c:f>
              <c:numCache>
                <c:formatCode>0</c:formatCode>
                <c:ptCount val="15"/>
                <c:pt idx="0">
                  <c:v>122.65191667693824</c:v>
                </c:pt>
                <c:pt idx="1">
                  <c:v>136.39221003327992</c:v>
                </c:pt>
                <c:pt idx="2">
                  <c:v>117.99580919511894</c:v>
                </c:pt>
                <c:pt idx="3">
                  <c:v>98.416122272895365</c:v>
                </c:pt>
                <c:pt idx="4">
                  <c:v>68.565881917909536</c:v>
                </c:pt>
                <c:pt idx="5">
                  <c:v>78.60840626155553</c:v>
                </c:pt>
                <c:pt idx="6">
                  <c:v>95.248366818686065</c:v>
                </c:pt>
                <c:pt idx="7">
                  <c:v>85.646493282386302</c:v>
                </c:pt>
                <c:pt idx="8">
                  <c:v>94.964871194379398</c:v>
                </c:pt>
                <c:pt idx="9">
                  <c:v>92.730802415875772</c:v>
                </c:pt>
                <c:pt idx="10">
                  <c:v>73.067915690866514</c:v>
                </c:pt>
                <c:pt idx="11">
                  <c:v>83.461728090718594</c:v>
                </c:pt>
                <c:pt idx="12">
                  <c:v>98.320596573400721</c:v>
                </c:pt>
                <c:pt idx="13">
                  <c:v>99.029335634167381</c:v>
                </c:pt>
                <c:pt idx="14">
                  <c:v>102.11885940036402</c:v>
                </c:pt>
              </c:numCache>
            </c:numRef>
          </c:val>
          <c:smooth val="0"/>
          <c:extLst>
            <c:ext xmlns:c16="http://schemas.microsoft.com/office/drawing/2014/chart" uri="{C3380CC4-5D6E-409C-BE32-E72D297353CC}">
              <c16:uniqueId val="{00000001-89EB-4BFB-B030-6C3FCBC2DD1B}"/>
            </c:ext>
          </c:extLst>
        </c:ser>
        <c:ser>
          <c:idx val="0"/>
          <c:order val="1"/>
          <c:tx>
            <c:strRef>
              <c:f>Sheet1!$C$1</c:f>
              <c:strCache>
                <c:ptCount val="1"/>
                <c:pt idx="0">
                  <c:v>Citi aktīvi</c:v>
                </c:pt>
              </c:strCache>
            </c:strRef>
          </c:tx>
          <c:marker>
            <c:symbol val="none"/>
          </c:marker>
          <c:cat>
            <c:strRef>
              <c:f>Sheet1!$A$2:$A$17</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                          Jan-Jūn</c:v>
                </c:pt>
              </c:strCache>
            </c:strRef>
          </c:cat>
          <c:val>
            <c:numRef>
              <c:f>Sheet1!$C$2:$C$17</c:f>
              <c:numCache>
                <c:formatCode>0</c:formatCode>
                <c:ptCount val="15"/>
                <c:pt idx="0">
                  <c:v>104.89314819348749</c:v>
                </c:pt>
                <c:pt idx="1">
                  <c:v>143.88094155503489</c:v>
                </c:pt>
                <c:pt idx="2">
                  <c:v>134.32898464551786</c:v>
                </c:pt>
                <c:pt idx="3">
                  <c:v>63.799797138959804</c:v>
                </c:pt>
                <c:pt idx="4">
                  <c:v>63.058305061033202</c:v>
                </c:pt>
                <c:pt idx="5">
                  <c:v>85.561890105277911</c:v>
                </c:pt>
                <c:pt idx="6">
                  <c:v>94.676646497149449</c:v>
                </c:pt>
                <c:pt idx="7">
                  <c:v>93.434997027036502</c:v>
                </c:pt>
                <c:pt idx="8">
                  <c:v>83.942499387919256</c:v>
                </c:pt>
                <c:pt idx="9">
                  <c:v>82.644888251547684</c:v>
                </c:pt>
                <c:pt idx="10">
                  <c:v>89.47570913923964</c:v>
                </c:pt>
                <c:pt idx="11">
                  <c:v>97.369801685845232</c:v>
                </c:pt>
                <c:pt idx="12">
                  <c:v>103.10237487321187</c:v>
                </c:pt>
                <c:pt idx="13">
                  <c:v>106.77485922143335</c:v>
                </c:pt>
                <c:pt idx="14">
                  <c:v>102.0524510680699</c:v>
                </c:pt>
              </c:numCache>
            </c:numRef>
          </c:val>
          <c:smooth val="0"/>
          <c:extLst>
            <c:ext xmlns:c16="http://schemas.microsoft.com/office/drawing/2014/chart" uri="{C3380CC4-5D6E-409C-BE32-E72D297353CC}">
              <c16:uniqueId val="{00000002-89EB-4BFB-B030-6C3FCBC2DD1B}"/>
            </c:ext>
          </c:extLst>
        </c:ser>
        <c:dLbls>
          <c:showLegendKey val="0"/>
          <c:showVal val="0"/>
          <c:showCatName val="0"/>
          <c:showSerName val="0"/>
          <c:showPercent val="0"/>
          <c:showBubbleSize val="0"/>
        </c:dLbls>
        <c:smooth val="0"/>
        <c:axId val="451606896"/>
        <c:axId val="452223504"/>
      </c:lineChart>
      <c:catAx>
        <c:axId val="451606896"/>
        <c:scaling>
          <c:orientation val="minMax"/>
        </c:scaling>
        <c:delete val="0"/>
        <c:axPos val="b"/>
        <c:numFmt formatCode="General" sourceLinked="1"/>
        <c:majorTickMark val="out"/>
        <c:minorTickMark val="none"/>
        <c:tickLblPos val="low"/>
        <c:spPr>
          <a:ln w="3175">
            <a:noFill/>
            <a:prstDash val="solid"/>
          </a:ln>
        </c:spPr>
        <c:txPr>
          <a:bodyPr rot="0" vert="horz"/>
          <a:lstStyle/>
          <a:p>
            <a:pPr>
              <a:defRPr sz="800"/>
            </a:pPr>
            <a:endParaRPr lang="lv-LV"/>
          </a:p>
        </c:txPr>
        <c:crossAx val="452223504"/>
        <c:crosses val="autoZero"/>
        <c:auto val="0"/>
        <c:lblAlgn val="ctr"/>
        <c:lblOffset val="0"/>
        <c:tickLblSkip val="1"/>
        <c:tickMarkSkip val="1"/>
        <c:noMultiLvlLbl val="1"/>
      </c:catAx>
      <c:valAx>
        <c:axId val="452223504"/>
        <c:scaling>
          <c:orientation val="minMax"/>
          <c:min val="50"/>
        </c:scaling>
        <c:delete val="0"/>
        <c:axPos val="l"/>
        <c:numFmt formatCode="0" sourceLinked="0"/>
        <c:majorTickMark val="out"/>
        <c:minorTickMark val="none"/>
        <c:tickLblPos val="nextTo"/>
        <c:spPr>
          <a:ln w="3175">
            <a:noFill/>
          </a:ln>
        </c:spPr>
        <c:txPr>
          <a:bodyPr rot="0" vert="horz"/>
          <a:lstStyle/>
          <a:p>
            <a:pPr>
              <a:defRPr/>
            </a:pPr>
            <a:endParaRPr lang="lv-LV"/>
          </a:p>
        </c:txPr>
        <c:crossAx val="451606896"/>
        <c:crosses val="autoZero"/>
        <c:crossBetween val="between"/>
        <c:majorUnit val="20"/>
      </c:valAx>
      <c:spPr>
        <a:noFill/>
        <a:ln w="24631">
          <a:noFill/>
        </a:ln>
      </c:spPr>
    </c:plotArea>
    <c:legend>
      <c:legendPos val="l"/>
      <c:layout>
        <c:manualLayout>
          <c:xMode val="edge"/>
          <c:yMode val="edge"/>
          <c:x val="0.52230775390364337"/>
          <c:y val="9.6310256131244401E-2"/>
          <c:w val="0.29424580472093692"/>
          <c:h val="0.18426724886381263"/>
        </c:manualLayout>
      </c:layout>
      <c:overlay val="0"/>
    </c:legend>
    <c:plotVisOnly val="1"/>
    <c:dispBlanksAs val="gap"/>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0960583056535E-2"/>
          <c:y val="3.5638720882465898E-2"/>
          <c:w val="0.95295822178982303"/>
          <c:h val="0.88956798646614432"/>
        </c:manualLayout>
      </c:layout>
      <c:lineChart>
        <c:grouping val="standard"/>
        <c:varyColors val="0"/>
        <c:ser>
          <c:idx val="0"/>
          <c:order val="0"/>
          <c:tx>
            <c:strRef>
              <c:f>Sheet1!$F$11</c:f>
              <c:strCache>
                <c:ptCount val="1"/>
                <c:pt idx="0">
                  <c:v>Latvia</c:v>
                </c:pt>
              </c:strCache>
            </c:strRef>
          </c:tx>
          <c:spPr>
            <a:ln w="34925" cap="rnd" cmpd="sng" algn="ctr">
              <a:solidFill>
                <a:schemeClr val="accent1"/>
              </a:solidFill>
              <a:prstDash val="solid"/>
              <a:round/>
            </a:ln>
            <a:effectLst/>
          </c:spPr>
          <c:marker>
            <c:symbol val="none"/>
          </c:marker>
          <c:cat>
            <c:numRef>
              <c:f>Sheet1!$E$12:$E$320</c:f>
              <c:numCache>
                <c:formatCode>General</c:formatCode>
                <c:ptCount val="309"/>
                <c:pt idx="0">
                  <c:v>1995</c:v>
                </c:pt>
                <c:pt idx="12">
                  <c:v>1996</c:v>
                </c:pt>
                <c:pt idx="24">
                  <c:v>1997</c:v>
                </c:pt>
                <c:pt idx="36">
                  <c:v>1998</c:v>
                </c:pt>
                <c:pt idx="48">
                  <c:v>1999</c:v>
                </c:pt>
                <c:pt idx="60">
                  <c:v>2000</c:v>
                </c:pt>
                <c:pt idx="72">
                  <c:v>2001</c:v>
                </c:pt>
                <c:pt idx="84">
                  <c:v>2002</c:v>
                </c:pt>
                <c:pt idx="96">
                  <c:v>2003</c:v>
                </c:pt>
                <c:pt idx="108">
                  <c:v>2004</c:v>
                </c:pt>
                <c:pt idx="120">
                  <c:v>2005</c:v>
                </c:pt>
                <c:pt idx="132">
                  <c:v>2006</c:v>
                </c:pt>
                <c:pt idx="144">
                  <c:v>2007</c:v>
                </c:pt>
                <c:pt idx="156">
                  <c:v>2008</c:v>
                </c:pt>
                <c:pt idx="168">
                  <c:v>2009</c:v>
                </c:pt>
                <c:pt idx="180">
                  <c:v>2010</c:v>
                </c:pt>
                <c:pt idx="192">
                  <c:v>2011</c:v>
                </c:pt>
                <c:pt idx="204">
                  <c:v>2012</c:v>
                </c:pt>
                <c:pt idx="216">
                  <c:v>2013</c:v>
                </c:pt>
                <c:pt idx="228">
                  <c:v>2014</c:v>
                </c:pt>
                <c:pt idx="240">
                  <c:v>2015</c:v>
                </c:pt>
                <c:pt idx="252">
                  <c:v>2016</c:v>
                </c:pt>
                <c:pt idx="264">
                  <c:v>2017</c:v>
                </c:pt>
                <c:pt idx="276">
                  <c:v>2018</c:v>
                </c:pt>
                <c:pt idx="288">
                  <c:v>2019</c:v>
                </c:pt>
                <c:pt idx="300">
                  <c:v>2020</c:v>
                </c:pt>
              </c:numCache>
            </c:numRef>
          </c:cat>
          <c:val>
            <c:numRef>
              <c:f>Sheet1!$F$12:$F$320</c:f>
              <c:numCache>
                <c:formatCode>General</c:formatCode>
                <c:ptCount val="309"/>
                <c:pt idx="0">
                  <c:v>-37.700000000000003</c:v>
                </c:pt>
                <c:pt idx="1">
                  <c:v>-37.200000000000003</c:v>
                </c:pt>
                <c:pt idx="2">
                  <c:v>-36.6</c:v>
                </c:pt>
                <c:pt idx="3">
                  <c:v>-39.1</c:v>
                </c:pt>
                <c:pt idx="4">
                  <c:v>-38.6</c:v>
                </c:pt>
                <c:pt idx="5">
                  <c:v>-38.299999999999997</c:v>
                </c:pt>
                <c:pt idx="6">
                  <c:v>-54.2</c:v>
                </c:pt>
                <c:pt idx="7">
                  <c:v>-53.4</c:v>
                </c:pt>
                <c:pt idx="8">
                  <c:v>-52.4</c:v>
                </c:pt>
                <c:pt idx="9">
                  <c:v>-44.8</c:v>
                </c:pt>
                <c:pt idx="10">
                  <c:v>-44.2</c:v>
                </c:pt>
                <c:pt idx="11">
                  <c:v>-43.6</c:v>
                </c:pt>
                <c:pt idx="12">
                  <c:v>-53</c:v>
                </c:pt>
                <c:pt idx="13">
                  <c:v>-52.5</c:v>
                </c:pt>
                <c:pt idx="14">
                  <c:v>-52.1</c:v>
                </c:pt>
                <c:pt idx="15">
                  <c:v>-56.9</c:v>
                </c:pt>
                <c:pt idx="16">
                  <c:v>-56.5</c:v>
                </c:pt>
                <c:pt idx="17">
                  <c:v>-56.1</c:v>
                </c:pt>
                <c:pt idx="18">
                  <c:v>-51.2</c:v>
                </c:pt>
                <c:pt idx="19">
                  <c:v>-50.8</c:v>
                </c:pt>
                <c:pt idx="20">
                  <c:v>-50</c:v>
                </c:pt>
                <c:pt idx="21">
                  <c:v>-61.6</c:v>
                </c:pt>
                <c:pt idx="22">
                  <c:v>-61.1</c:v>
                </c:pt>
                <c:pt idx="23">
                  <c:v>-60.4</c:v>
                </c:pt>
                <c:pt idx="24">
                  <c:v>-51.9</c:v>
                </c:pt>
                <c:pt idx="25">
                  <c:v>-51.3</c:v>
                </c:pt>
                <c:pt idx="26">
                  <c:v>-50.7</c:v>
                </c:pt>
                <c:pt idx="27">
                  <c:v>-40.700000000000003</c:v>
                </c:pt>
                <c:pt idx="28">
                  <c:v>-39.9</c:v>
                </c:pt>
                <c:pt idx="29">
                  <c:v>-39</c:v>
                </c:pt>
                <c:pt idx="30">
                  <c:v>-38.5</c:v>
                </c:pt>
                <c:pt idx="31">
                  <c:v>-38.1</c:v>
                </c:pt>
                <c:pt idx="32">
                  <c:v>-37.4</c:v>
                </c:pt>
                <c:pt idx="33">
                  <c:v>-33.200000000000003</c:v>
                </c:pt>
                <c:pt idx="34">
                  <c:v>-32.5</c:v>
                </c:pt>
                <c:pt idx="35">
                  <c:v>-32</c:v>
                </c:pt>
                <c:pt idx="36">
                  <c:v>-24.4</c:v>
                </c:pt>
                <c:pt idx="37">
                  <c:v>-23.7</c:v>
                </c:pt>
                <c:pt idx="38">
                  <c:v>-23</c:v>
                </c:pt>
                <c:pt idx="39">
                  <c:v>-23.7</c:v>
                </c:pt>
                <c:pt idx="40">
                  <c:v>-23.2</c:v>
                </c:pt>
                <c:pt idx="41">
                  <c:v>-22.7</c:v>
                </c:pt>
                <c:pt idx="42">
                  <c:v>-11</c:v>
                </c:pt>
                <c:pt idx="43">
                  <c:v>-9.8000000000000007</c:v>
                </c:pt>
                <c:pt idx="44">
                  <c:v>-8.6999999999999993</c:v>
                </c:pt>
                <c:pt idx="45">
                  <c:v>-16.100000000000001</c:v>
                </c:pt>
                <c:pt idx="46">
                  <c:v>-16</c:v>
                </c:pt>
                <c:pt idx="47">
                  <c:v>-15.9</c:v>
                </c:pt>
                <c:pt idx="48">
                  <c:v>-21.6</c:v>
                </c:pt>
                <c:pt idx="49">
                  <c:v>-21.7</c:v>
                </c:pt>
                <c:pt idx="50">
                  <c:v>-21.7</c:v>
                </c:pt>
                <c:pt idx="51">
                  <c:v>-24.8</c:v>
                </c:pt>
                <c:pt idx="52">
                  <c:v>-24.8</c:v>
                </c:pt>
                <c:pt idx="53">
                  <c:v>-24.9</c:v>
                </c:pt>
                <c:pt idx="54">
                  <c:v>-19.899999999999999</c:v>
                </c:pt>
                <c:pt idx="55">
                  <c:v>-19.3</c:v>
                </c:pt>
                <c:pt idx="56">
                  <c:v>-18</c:v>
                </c:pt>
                <c:pt idx="57">
                  <c:v>-29.2</c:v>
                </c:pt>
                <c:pt idx="58">
                  <c:v>-28.9</c:v>
                </c:pt>
                <c:pt idx="59">
                  <c:v>-28.5</c:v>
                </c:pt>
                <c:pt idx="60">
                  <c:v>-36.799999999999997</c:v>
                </c:pt>
                <c:pt idx="61">
                  <c:v>-36.9</c:v>
                </c:pt>
                <c:pt idx="62">
                  <c:v>-36.9</c:v>
                </c:pt>
                <c:pt idx="63">
                  <c:v>-35.299999999999997</c:v>
                </c:pt>
                <c:pt idx="64">
                  <c:v>-35.299999999999997</c:v>
                </c:pt>
                <c:pt idx="65">
                  <c:v>-35.1</c:v>
                </c:pt>
                <c:pt idx="66">
                  <c:v>-32.5</c:v>
                </c:pt>
                <c:pt idx="67">
                  <c:v>-31.8</c:v>
                </c:pt>
                <c:pt idx="68">
                  <c:v>-31</c:v>
                </c:pt>
                <c:pt idx="69">
                  <c:v>-32.5</c:v>
                </c:pt>
                <c:pt idx="70">
                  <c:v>-32.1</c:v>
                </c:pt>
                <c:pt idx="71">
                  <c:v>-31.5</c:v>
                </c:pt>
                <c:pt idx="72">
                  <c:v>-31.4</c:v>
                </c:pt>
                <c:pt idx="73">
                  <c:v>-30.6</c:v>
                </c:pt>
                <c:pt idx="74">
                  <c:v>-29.8</c:v>
                </c:pt>
                <c:pt idx="75">
                  <c:v>-33.1</c:v>
                </c:pt>
                <c:pt idx="76">
                  <c:v>-34.1</c:v>
                </c:pt>
                <c:pt idx="77">
                  <c:v>-36.200000000000003</c:v>
                </c:pt>
                <c:pt idx="78">
                  <c:v>-28.7</c:v>
                </c:pt>
                <c:pt idx="79">
                  <c:v>-34.299999999999997</c:v>
                </c:pt>
                <c:pt idx="80">
                  <c:v>-40</c:v>
                </c:pt>
                <c:pt idx="81">
                  <c:v>-29.4</c:v>
                </c:pt>
                <c:pt idx="82">
                  <c:v>-26</c:v>
                </c:pt>
                <c:pt idx="83">
                  <c:v>-22.3</c:v>
                </c:pt>
                <c:pt idx="84">
                  <c:v>-18.600000000000001</c:v>
                </c:pt>
                <c:pt idx="85">
                  <c:v>-14.7</c:v>
                </c:pt>
                <c:pt idx="86">
                  <c:v>-14.7</c:v>
                </c:pt>
                <c:pt idx="87">
                  <c:v>-21.3</c:v>
                </c:pt>
                <c:pt idx="88">
                  <c:v>-14.4</c:v>
                </c:pt>
                <c:pt idx="89">
                  <c:v>-8.6999999999999993</c:v>
                </c:pt>
                <c:pt idx="90">
                  <c:v>-16.100000000000001</c:v>
                </c:pt>
                <c:pt idx="91">
                  <c:v>-16.899999999999999</c:v>
                </c:pt>
                <c:pt idx="92">
                  <c:v>-15.1</c:v>
                </c:pt>
                <c:pt idx="93">
                  <c:v>-6.7</c:v>
                </c:pt>
                <c:pt idx="94">
                  <c:v>-14.9</c:v>
                </c:pt>
                <c:pt idx="95">
                  <c:v>-19.5</c:v>
                </c:pt>
                <c:pt idx="96">
                  <c:v>-19.2</c:v>
                </c:pt>
                <c:pt idx="97">
                  <c:v>-11.3</c:v>
                </c:pt>
                <c:pt idx="98">
                  <c:v>-7.2</c:v>
                </c:pt>
                <c:pt idx="99">
                  <c:v>-11.6</c:v>
                </c:pt>
                <c:pt idx="100">
                  <c:v>-8.4</c:v>
                </c:pt>
                <c:pt idx="101">
                  <c:v>-9.6</c:v>
                </c:pt>
                <c:pt idx="102">
                  <c:v>-9.6</c:v>
                </c:pt>
                <c:pt idx="103">
                  <c:v>-10.9</c:v>
                </c:pt>
                <c:pt idx="104">
                  <c:v>-18.8</c:v>
                </c:pt>
                <c:pt idx="105">
                  <c:v>-10.3</c:v>
                </c:pt>
                <c:pt idx="106">
                  <c:v>-14.1</c:v>
                </c:pt>
                <c:pt idx="107">
                  <c:v>-18.2</c:v>
                </c:pt>
                <c:pt idx="108">
                  <c:v>-15.3</c:v>
                </c:pt>
                <c:pt idx="109">
                  <c:v>-8.1999999999999993</c:v>
                </c:pt>
                <c:pt idx="110">
                  <c:v>-1.4</c:v>
                </c:pt>
                <c:pt idx="111">
                  <c:v>-2.4</c:v>
                </c:pt>
                <c:pt idx="112">
                  <c:v>-0.4</c:v>
                </c:pt>
                <c:pt idx="113">
                  <c:v>-3.1</c:v>
                </c:pt>
                <c:pt idx="114">
                  <c:v>-7.6</c:v>
                </c:pt>
                <c:pt idx="115">
                  <c:v>-6.3</c:v>
                </c:pt>
                <c:pt idx="116">
                  <c:v>-7</c:v>
                </c:pt>
                <c:pt idx="117">
                  <c:v>-3.7</c:v>
                </c:pt>
                <c:pt idx="118">
                  <c:v>-3.3</c:v>
                </c:pt>
                <c:pt idx="119">
                  <c:v>-7.8</c:v>
                </c:pt>
                <c:pt idx="120">
                  <c:v>1</c:v>
                </c:pt>
                <c:pt idx="121">
                  <c:v>-0.7</c:v>
                </c:pt>
                <c:pt idx="122">
                  <c:v>4.5</c:v>
                </c:pt>
                <c:pt idx="123">
                  <c:v>3.8</c:v>
                </c:pt>
                <c:pt idx="124">
                  <c:v>3.8</c:v>
                </c:pt>
                <c:pt idx="125">
                  <c:v>6.3</c:v>
                </c:pt>
                <c:pt idx="126">
                  <c:v>4.5</c:v>
                </c:pt>
                <c:pt idx="127">
                  <c:v>7.6</c:v>
                </c:pt>
                <c:pt idx="128">
                  <c:v>9.4</c:v>
                </c:pt>
                <c:pt idx="129">
                  <c:v>7.1</c:v>
                </c:pt>
                <c:pt idx="130">
                  <c:v>13.2</c:v>
                </c:pt>
                <c:pt idx="131">
                  <c:v>8.4</c:v>
                </c:pt>
                <c:pt idx="132">
                  <c:v>9.4</c:v>
                </c:pt>
                <c:pt idx="133">
                  <c:v>9.1</c:v>
                </c:pt>
                <c:pt idx="134">
                  <c:v>11.3</c:v>
                </c:pt>
                <c:pt idx="135">
                  <c:v>10.9</c:v>
                </c:pt>
                <c:pt idx="136">
                  <c:v>13.2</c:v>
                </c:pt>
                <c:pt idx="137">
                  <c:v>13.2</c:v>
                </c:pt>
                <c:pt idx="138">
                  <c:v>12.7</c:v>
                </c:pt>
                <c:pt idx="139">
                  <c:v>13</c:v>
                </c:pt>
                <c:pt idx="140">
                  <c:v>9.9</c:v>
                </c:pt>
                <c:pt idx="141">
                  <c:v>10.1</c:v>
                </c:pt>
                <c:pt idx="142">
                  <c:v>11.5</c:v>
                </c:pt>
                <c:pt idx="143">
                  <c:v>17.899999999999999</c:v>
                </c:pt>
                <c:pt idx="144">
                  <c:v>19.2</c:v>
                </c:pt>
                <c:pt idx="145">
                  <c:v>15</c:v>
                </c:pt>
                <c:pt idx="146">
                  <c:v>18.399999999999999</c:v>
                </c:pt>
                <c:pt idx="147">
                  <c:v>17.600000000000001</c:v>
                </c:pt>
                <c:pt idx="148">
                  <c:v>12.3</c:v>
                </c:pt>
                <c:pt idx="149">
                  <c:v>12.6</c:v>
                </c:pt>
                <c:pt idx="150">
                  <c:v>9.1999999999999993</c:v>
                </c:pt>
                <c:pt idx="151">
                  <c:v>7.6</c:v>
                </c:pt>
                <c:pt idx="152">
                  <c:v>11.1</c:v>
                </c:pt>
                <c:pt idx="153">
                  <c:v>6.5</c:v>
                </c:pt>
                <c:pt idx="154">
                  <c:v>1.9</c:v>
                </c:pt>
                <c:pt idx="155">
                  <c:v>1.3</c:v>
                </c:pt>
                <c:pt idx="156">
                  <c:v>-5.4</c:v>
                </c:pt>
                <c:pt idx="157">
                  <c:v>-6.7</c:v>
                </c:pt>
                <c:pt idx="158">
                  <c:v>-13.4</c:v>
                </c:pt>
                <c:pt idx="159">
                  <c:v>-24</c:v>
                </c:pt>
                <c:pt idx="160">
                  <c:v>-27.9</c:v>
                </c:pt>
                <c:pt idx="161">
                  <c:v>-30.5</c:v>
                </c:pt>
                <c:pt idx="162">
                  <c:v>-36.299999999999997</c:v>
                </c:pt>
                <c:pt idx="163">
                  <c:v>-42.9</c:v>
                </c:pt>
                <c:pt idx="164">
                  <c:v>-47</c:v>
                </c:pt>
                <c:pt idx="165">
                  <c:v>-47.2</c:v>
                </c:pt>
                <c:pt idx="166">
                  <c:v>-52.3</c:v>
                </c:pt>
                <c:pt idx="167">
                  <c:v>-58.6</c:v>
                </c:pt>
                <c:pt idx="168">
                  <c:v>-62.4</c:v>
                </c:pt>
                <c:pt idx="169">
                  <c:v>-67.8</c:v>
                </c:pt>
                <c:pt idx="170">
                  <c:v>-75.400000000000006</c:v>
                </c:pt>
                <c:pt idx="171">
                  <c:v>-74.400000000000006</c:v>
                </c:pt>
                <c:pt idx="172">
                  <c:v>-78.7</c:v>
                </c:pt>
                <c:pt idx="173">
                  <c:v>-76.900000000000006</c:v>
                </c:pt>
                <c:pt idx="174">
                  <c:v>-79.400000000000006</c:v>
                </c:pt>
                <c:pt idx="175">
                  <c:v>-76.599999999999994</c:v>
                </c:pt>
                <c:pt idx="176">
                  <c:v>-72.400000000000006</c:v>
                </c:pt>
                <c:pt idx="177">
                  <c:v>-70.2</c:v>
                </c:pt>
                <c:pt idx="178">
                  <c:v>-69.2</c:v>
                </c:pt>
                <c:pt idx="179">
                  <c:v>-66.2</c:v>
                </c:pt>
                <c:pt idx="180">
                  <c:v>-65.900000000000006</c:v>
                </c:pt>
                <c:pt idx="181">
                  <c:v>-61.9</c:v>
                </c:pt>
                <c:pt idx="182">
                  <c:v>-61.2</c:v>
                </c:pt>
                <c:pt idx="183">
                  <c:v>-55.9</c:v>
                </c:pt>
                <c:pt idx="184">
                  <c:v>-51.2</c:v>
                </c:pt>
                <c:pt idx="185">
                  <c:v>-51.2</c:v>
                </c:pt>
                <c:pt idx="186">
                  <c:v>-45.5</c:v>
                </c:pt>
                <c:pt idx="187">
                  <c:v>-43.9</c:v>
                </c:pt>
                <c:pt idx="188">
                  <c:v>-44.9</c:v>
                </c:pt>
                <c:pt idx="189">
                  <c:v>-32.1</c:v>
                </c:pt>
                <c:pt idx="190">
                  <c:v>-42</c:v>
                </c:pt>
                <c:pt idx="191">
                  <c:v>-39.5</c:v>
                </c:pt>
                <c:pt idx="192">
                  <c:v>-39.299999999999997</c:v>
                </c:pt>
                <c:pt idx="193">
                  <c:v>-35</c:v>
                </c:pt>
                <c:pt idx="194">
                  <c:v>-27.2</c:v>
                </c:pt>
                <c:pt idx="195">
                  <c:v>-28.2</c:v>
                </c:pt>
                <c:pt idx="196">
                  <c:v>-24.9</c:v>
                </c:pt>
                <c:pt idx="197">
                  <c:v>-21.9</c:v>
                </c:pt>
                <c:pt idx="198">
                  <c:v>-17.100000000000001</c:v>
                </c:pt>
                <c:pt idx="199">
                  <c:v>-19.100000000000001</c:v>
                </c:pt>
                <c:pt idx="200">
                  <c:v>-21.7</c:v>
                </c:pt>
                <c:pt idx="201">
                  <c:v>-21.4</c:v>
                </c:pt>
                <c:pt idx="202">
                  <c:v>-12.4</c:v>
                </c:pt>
                <c:pt idx="203">
                  <c:v>-18.7</c:v>
                </c:pt>
                <c:pt idx="204">
                  <c:v>-22.2</c:v>
                </c:pt>
                <c:pt idx="205">
                  <c:v>-19</c:v>
                </c:pt>
                <c:pt idx="206">
                  <c:v>-11.2</c:v>
                </c:pt>
                <c:pt idx="207">
                  <c:v>-4.8</c:v>
                </c:pt>
                <c:pt idx="208">
                  <c:v>-7.9</c:v>
                </c:pt>
                <c:pt idx="209">
                  <c:v>-9.6</c:v>
                </c:pt>
                <c:pt idx="210">
                  <c:v>-13.4</c:v>
                </c:pt>
                <c:pt idx="211">
                  <c:v>-11.6</c:v>
                </c:pt>
                <c:pt idx="212">
                  <c:v>-12.4</c:v>
                </c:pt>
                <c:pt idx="213">
                  <c:v>-20.8</c:v>
                </c:pt>
                <c:pt idx="214">
                  <c:v>-20.399999999999999</c:v>
                </c:pt>
                <c:pt idx="215">
                  <c:v>-18.899999999999999</c:v>
                </c:pt>
                <c:pt idx="216">
                  <c:v>-18.399999999999999</c:v>
                </c:pt>
                <c:pt idx="217">
                  <c:v>-17.100000000000001</c:v>
                </c:pt>
                <c:pt idx="218">
                  <c:v>-19.899999999999999</c:v>
                </c:pt>
                <c:pt idx="219">
                  <c:v>-19.600000000000001</c:v>
                </c:pt>
                <c:pt idx="220">
                  <c:v>-16.399999999999999</c:v>
                </c:pt>
                <c:pt idx="221">
                  <c:v>-14.5</c:v>
                </c:pt>
                <c:pt idx="222">
                  <c:v>-15.1</c:v>
                </c:pt>
                <c:pt idx="223">
                  <c:v>-19.5</c:v>
                </c:pt>
                <c:pt idx="224">
                  <c:v>-18.600000000000001</c:v>
                </c:pt>
                <c:pt idx="225">
                  <c:v>-20.100000000000001</c:v>
                </c:pt>
                <c:pt idx="226">
                  <c:v>-19.600000000000001</c:v>
                </c:pt>
                <c:pt idx="227">
                  <c:v>-18.2</c:v>
                </c:pt>
                <c:pt idx="228">
                  <c:v>-15.6</c:v>
                </c:pt>
                <c:pt idx="229">
                  <c:v>-16</c:v>
                </c:pt>
                <c:pt idx="230">
                  <c:v>-12.5</c:v>
                </c:pt>
                <c:pt idx="231">
                  <c:v>-14</c:v>
                </c:pt>
                <c:pt idx="232">
                  <c:v>-17.100000000000001</c:v>
                </c:pt>
                <c:pt idx="233">
                  <c:v>-20.3</c:v>
                </c:pt>
                <c:pt idx="234">
                  <c:v>-21.8</c:v>
                </c:pt>
                <c:pt idx="235">
                  <c:v>-18.8</c:v>
                </c:pt>
                <c:pt idx="236">
                  <c:v>-18.2</c:v>
                </c:pt>
                <c:pt idx="237">
                  <c:v>-21.3</c:v>
                </c:pt>
                <c:pt idx="238">
                  <c:v>-20.7</c:v>
                </c:pt>
                <c:pt idx="239">
                  <c:v>-21.5</c:v>
                </c:pt>
                <c:pt idx="240">
                  <c:v>-16.8</c:v>
                </c:pt>
                <c:pt idx="241">
                  <c:v>-20</c:v>
                </c:pt>
                <c:pt idx="242">
                  <c:v>-21.4</c:v>
                </c:pt>
                <c:pt idx="243">
                  <c:v>-20.399999999999999</c:v>
                </c:pt>
                <c:pt idx="244">
                  <c:v>-23.8</c:v>
                </c:pt>
                <c:pt idx="245">
                  <c:v>-22.7</c:v>
                </c:pt>
                <c:pt idx="246">
                  <c:v>-25.2</c:v>
                </c:pt>
                <c:pt idx="247">
                  <c:v>-27.7</c:v>
                </c:pt>
                <c:pt idx="248">
                  <c:v>-32.700000000000003</c:v>
                </c:pt>
                <c:pt idx="249">
                  <c:v>-29.9</c:v>
                </c:pt>
                <c:pt idx="250">
                  <c:v>-32.700000000000003</c:v>
                </c:pt>
                <c:pt idx="251">
                  <c:v>-31.7</c:v>
                </c:pt>
                <c:pt idx="252">
                  <c:v>-27.2</c:v>
                </c:pt>
                <c:pt idx="253">
                  <c:v>-30</c:v>
                </c:pt>
                <c:pt idx="254">
                  <c:v>-32.200000000000003</c:v>
                </c:pt>
                <c:pt idx="255">
                  <c:v>-34</c:v>
                </c:pt>
                <c:pt idx="256">
                  <c:v>-36.4</c:v>
                </c:pt>
                <c:pt idx="257">
                  <c:v>-36.700000000000003</c:v>
                </c:pt>
                <c:pt idx="258">
                  <c:v>-35.9</c:v>
                </c:pt>
                <c:pt idx="259">
                  <c:v>-32.799999999999997</c:v>
                </c:pt>
                <c:pt idx="260">
                  <c:v>-30.2</c:v>
                </c:pt>
                <c:pt idx="261">
                  <c:v>-29.8</c:v>
                </c:pt>
                <c:pt idx="262">
                  <c:v>-27.6</c:v>
                </c:pt>
                <c:pt idx="263">
                  <c:v>-24.4</c:v>
                </c:pt>
                <c:pt idx="264">
                  <c:v>-21.2</c:v>
                </c:pt>
                <c:pt idx="265">
                  <c:v>-16.899999999999999</c:v>
                </c:pt>
                <c:pt idx="266">
                  <c:v>-19</c:v>
                </c:pt>
                <c:pt idx="267">
                  <c:v>-17.100000000000001</c:v>
                </c:pt>
                <c:pt idx="268">
                  <c:v>-11.4</c:v>
                </c:pt>
                <c:pt idx="269">
                  <c:v>-13</c:v>
                </c:pt>
                <c:pt idx="270">
                  <c:v>-10.199999999999999</c:v>
                </c:pt>
                <c:pt idx="271">
                  <c:v>-11.9</c:v>
                </c:pt>
                <c:pt idx="272">
                  <c:v>-9.6</c:v>
                </c:pt>
                <c:pt idx="273">
                  <c:v>-7.4</c:v>
                </c:pt>
                <c:pt idx="274">
                  <c:v>-5.0999999999999996</c:v>
                </c:pt>
                <c:pt idx="275">
                  <c:v>-0.6</c:v>
                </c:pt>
                <c:pt idx="276">
                  <c:v>-1.7</c:v>
                </c:pt>
                <c:pt idx="277">
                  <c:v>-1.2</c:v>
                </c:pt>
                <c:pt idx="278">
                  <c:v>-3.5</c:v>
                </c:pt>
                <c:pt idx="279">
                  <c:v>-2.8</c:v>
                </c:pt>
                <c:pt idx="280">
                  <c:v>-1.2</c:v>
                </c:pt>
                <c:pt idx="281">
                  <c:v>-0.5</c:v>
                </c:pt>
                <c:pt idx="282">
                  <c:v>-1.1000000000000001</c:v>
                </c:pt>
                <c:pt idx="283">
                  <c:v>-0.6</c:v>
                </c:pt>
                <c:pt idx="284">
                  <c:v>0.7</c:v>
                </c:pt>
                <c:pt idx="285">
                  <c:v>0</c:v>
                </c:pt>
                <c:pt idx="286">
                  <c:v>-0.8</c:v>
                </c:pt>
                <c:pt idx="287">
                  <c:v>0.6</c:v>
                </c:pt>
                <c:pt idx="288">
                  <c:v>-1</c:v>
                </c:pt>
                <c:pt idx="289">
                  <c:v>-2.1</c:v>
                </c:pt>
                <c:pt idx="290">
                  <c:v>1.8</c:v>
                </c:pt>
                <c:pt idx="291">
                  <c:v>-0.5</c:v>
                </c:pt>
                <c:pt idx="292">
                  <c:v>-2.6</c:v>
                </c:pt>
                <c:pt idx="293">
                  <c:v>-4.4000000000000004</c:v>
                </c:pt>
                <c:pt idx="294">
                  <c:v>-9.3000000000000007</c:v>
                </c:pt>
                <c:pt idx="295">
                  <c:v>-9.1999999999999993</c:v>
                </c:pt>
                <c:pt idx="296">
                  <c:v>-9.9</c:v>
                </c:pt>
                <c:pt idx="297">
                  <c:v>-10.6</c:v>
                </c:pt>
                <c:pt idx="298">
                  <c:v>-10.1</c:v>
                </c:pt>
                <c:pt idx="299">
                  <c:v>-9.3000000000000007</c:v>
                </c:pt>
                <c:pt idx="300">
                  <c:v>-10.7</c:v>
                </c:pt>
                <c:pt idx="301">
                  <c:v>-10.7</c:v>
                </c:pt>
                <c:pt idx="302">
                  <c:v>-18</c:v>
                </c:pt>
                <c:pt idx="303">
                  <c:v>-32.5</c:v>
                </c:pt>
                <c:pt idx="304">
                  <c:v>-33.1</c:v>
                </c:pt>
                <c:pt idx="305">
                  <c:v>-24.3</c:v>
                </c:pt>
                <c:pt idx="306">
                  <c:v>-23.2</c:v>
                </c:pt>
                <c:pt idx="307">
                  <c:v>-19.100000000000001</c:v>
                </c:pt>
                <c:pt idx="308">
                  <c:v>-18</c:v>
                </c:pt>
              </c:numCache>
            </c:numRef>
          </c:val>
          <c:smooth val="0"/>
          <c:extLst>
            <c:ext xmlns:c16="http://schemas.microsoft.com/office/drawing/2014/chart" uri="{C3380CC4-5D6E-409C-BE32-E72D297353CC}">
              <c16:uniqueId val="{00000000-A103-486A-85D5-EDAAB976A085}"/>
            </c:ext>
          </c:extLst>
        </c:ser>
        <c:dLbls>
          <c:showLegendKey val="0"/>
          <c:showVal val="0"/>
          <c:showCatName val="0"/>
          <c:showSerName val="0"/>
          <c:showPercent val="0"/>
          <c:showBubbleSize val="0"/>
        </c:dLbls>
        <c:smooth val="0"/>
        <c:axId val="275547144"/>
        <c:axId val="275547536"/>
      </c:lineChart>
      <c:catAx>
        <c:axId val="275547144"/>
        <c:scaling>
          <c:orientation val="minMax"/>
        </c:scaling>
        <c:delete val="0"/>
        <c:axPos val="b"/>
        <c:numFmt formatCode="General" sourceLinked="1"/>
        <c:majorTickMark val="out"/>
        <c:minorTickMark val="none"/>
        <c:tickLblPos val="low"/>
        <c:spPr>
          <a:noFill/>
          <a:ln w="3175" cap="flat" cmpd="sng" algn="ctr">
            <a:solidFill>
              <a:schemeClr val="tx1">
                <a:tint val="75000"/>
              </a:schemeClr>
            </a:solidFill>
            <a:prstDash val="solid"/>
            <a:round/>
          </a:ln>
          <a:effectLst/>
        </c:spPr>
        <c:txPr>
          <a:bodyPr rot="-5400000" spcFirstLastPara="1" vertOverflow="ellipsis" wrap="square" anchor="ctr" anchorCtr="1"/>
          <a:lstStyle/>
          <a:p>
            <a:pPr>
              <a:defRPr sz="900" b="0" i="0" u="none" strike="noStrike" kern="1200" baseline="0">
                <a:solidFill>
                  <a:srgbClr val="000000"/>
                </a:solidFill>
                <a:latin typeface="Arial" panose="020B0604020202020204" pitchFamily="34" charset="0"/>
                <a:ea typeface="Arial"/>
                <a:cs typeface="Arial" panose="020B0604020202020204" pitchFamily="34" charset="0"/>
              </a:defRPr>
            </a:pPr>
            <a:endParaRPr lang="lv-LV"/>
          </a:p>
        </c:txPr>
        <c:crossAx val="275547536"/>
        <c:crosses val="autoZero"/>
        <c:auto val="1"/>
        <c:lblAlgn val="ctr"/>
        <c:lblOffset val="0"/>
        <c:noMultiLvlLbl val="0"/>
      </c:catAx>
      <c:valAx>
        <c:axId val="275547536"/>
        <c:scaling>
          <c:orientation val="minMax"/>
        </c:scaling>
        <c:delete val="0"/>
        <c:axPos val="l"/>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700" b="0" i="0" u="none" strike="noStrike" kern="1200" baseline="0">
                <a:solidFill>
                  <a:srgbClr val="000000"/>
                </a:solidFill>
                <a:latin typeface="Arial" panose="020B0604020202020204" pitchFamily="34" charset="0"/>
                <a:ea typeface="Arial"/>
                <a:cs typeface="Arial" panose="020B0604020202020204" pitchFamily="34" charset="0"/>
              </a:defRPr>
            </a:pPr>
            <a:endParaRPr lang="lv-LV"/>
          </a:p>
        </c:txPr>
        <c:crossAx val="275547144"/>
        <c:crosses val="autoZero"/>
        <c:crossBetween val="between"/>
      </c:valAx>
      <c:spPr>
        <a:noFill/>
        <a:ln w="6350">
          <a:noFill/>
        </a:ln>
        <a:effectLst/>
      </c:spPr>
    </c:plotArea>
    <c:plotVisOnly val="1"/>
    <c:dispBlanksAs val="zero"/>
    <c:showDLblsOverMax val="0"/>
  </c:chart>
  <c:spPr>
    <a:solidFill>
      <a:schemeClr val="bg1"/>
    </a:solidFill>
    <a:ln w="6350" cap="flat" cmpd="sng" algn="ctr">
      <a:noFill/>
      <a:prstDash val="solid"/>
      <a:round/>
    </a:ln>
    <a:effectLst/>
  </c:spPr>
  <c:txPr>
    <a:bodyPr/>
    <a:lstStyle/>
    <a:p>
      <a:pPr>
        <a:defRPr sz="1000" b="0" i="0" u="none" strike="noStrike" baseline="0">
          <a:solidFill>
            <a:srgbClr val="000000"/>
          </a:solidFill>
          <a:latin typeface="Arial" panose="020B0604020202020204" pitchFamily="34" charset="0"/>
          <a:ea typeface="Arial"/>
          <a:cs typeface="Arial" panose="020B0604020202020204" pitchFamily="34"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Dokumentā aprakstīti vispārīgās ekspertu aptaujas rezultāti. Tiek aplūkoti būvniecības nozares darbaspēka un būvmateriālu ietekmējošie faktori, to ietekmes pakāpe, sniegtas būvniecības nozares produkcijas izmaiņas un izmaksu izmaiņu prognozes novērtēta ēnu ekonomikas apkarošanas pasākumu ietekme uz būvniecības nozares izmaksām.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029E03-5688-4C8A-9BF7-840009B8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43706</Words>
  <Characters>24913</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Pēījuma par prognozētām izmaiņām darbaspēka un būvmateriālu izmaksā būvniecības nozarē Latvijā GALA ZIŅOJUMS</vt:lpstr>
    </vt:vector>
  </TitlesOfParts>
  <Company/>
  <LinksUpToDate>false</LinksUpToDate>
  <CharactersWithSpaces>68483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Pēījuma par prognozētām izmaiņām darbaspēka un būvmateriālu izmaksā būvniecības nozarē Latvijā GALA ZIŅOJUMS</dc:title>
  <dc:subject>Dokuments izstrādāts pēc Latvijas Republikas Ekonomikas Minsitrijas pasūtījuma EM 2018/33 un tā pieejamību reglamentē Pasūtītāja noteikti ierobežojumi</dc:subject>
  <dc:creator>Olga Feldmane</dc:creator>
  <cp:keywords/>
  <dc:description/>
  <cp:lastModifiedBy>Inese Rostoka</cp:lastModifiedBy>
  <cp:revision>4</cp:revision>
  <cp:lastPrinted>2020-09-22T04:33:00Z</cp:lastPrinted>
  <dcterms:created xsi:type="dcterms:W3CDTF">2020-10-22T16:31:00Z</dcterms:created>
  <dcterms:modified xsi:type="dcterms:W3CDTF">2020-10-22T16:52:00Z</dcterms:modified>
</cp:coreProperties>
</file>