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1CA6FD18" w:rsidR="009F1F3B" w:rsidRPr="000E729F" w:rsidRDefault="00EF767D" w:rsidP="00991406">
      <w:pPr>
        <w:pStyle w:val="naisc"/>
        <w:spacing w:before="0" w:after="0"/>
        <w:rPr>
          <w:b/>
          <w:sz w:val="26"/>
          <w:szCs w:val="26"/>
        </w:rPr>
      </w:pPr>
      <w:r w:rsidRPr="000E729F">
        <w:rPr>
          <w:b/>
          <w:sz w:val="26"/>
          <w:szCs w:val="26"/>
        </w:rPr>
        <w:t>Ministru kabineta rīkojums projekts “</w:t>
      </w:r>
      <w:r w:rsidR="006A4044" w:rsidRPr="006A4044">
        <w:rPr>
          <w:b/>
          <w:sz w:val="26"/>
          <w:szCs w:val="26"/>
        </w:rPr>
        <w:t>Par valsts nekustamā īpašuma Maskavas ielā 435, k-1, Rīgā, pārdošanu</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22654EFD" w:rsidR="00751C84" w:rsidRDefault="00D704A3" w:rsidP="00E165AE">
            <w:pPr>
              <w:pStyle w:val="naisf"/>
              <w:spacing w:before="0" w:after="0"/>
              <w:ind w:firstLine="0"/>
            </w:pPr>
            <w:r>
              <w:t>2</w:t>
            </w:r>
            <w:r w:rsidR="00470581">
              <w:t>9</w:t>
            </w:r>
            <w:r w:rsidR="00E165AE" w:rsidRPr="00D40A7C">
              <w:t>.0</w:t>
            </w:r>
            <w:r>
              <w:t>9</w:t>
            </w:r>
            <w:r w:rsidR="002835B7" w:rsidRPr="00D40A7C">
              <w:t>.20</w:t>
            </w:r>
            <w:r w:rsidR="008F3A50" w:rsidRPr="00D40A7C">
              <w:t>20</w:t>
            </w:r>
            <w:r w:rsidR="001E38A0" w:rsidRPr="00D40A7C">
              <w:t>.</w:t>
            </w:r>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6AA686A9" w:rsidR="009F1F3B" w:rsidRPr="00250F2E" w:rsidRDefault="008D1395" w:rsidP="00297AF3">
            <w:pPr>
              <w:pStyle w:val="naisf"/>
              <w:spacing w:before="0" w:after="0"/>
              <w:ind w:firstLine="0"/>
            </w:pPr>
            <w:r>
              <w:t xml:space="preserve">Tieslietu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5676BE50" w:rsidR="009F1F3B" w:rsidRDefault="00033013" w:rsidP="00297AF3">
            <w:pPr>
              <w:pStyle w:val="naisf"/>
              <w:spacing w:before="0" w:after="0"/>
              <w:ind w:firstLine="0"/>
            </w:pPr>
            <w:r>
              <w:t>Tieslietu mini</w:t>
            </w:r>
            <w:r w:rsidR="00991406">
              <w:t>strija</w:t>
            </w:r>
            <w:r w:rsidR="001A7E3F">
              <w:t xml:space="preserve">s </w:t>
            </w:r>
            <w:r w:rsidR="00465AE3">
              <w:t>03.09</w:t>
            </w:r>
            <w:r w:rsidR="001A7E3F">
              <w:t xml:space="preserve">.2020. </w:t>
            </w:r>
            <w:r w:rsidR="00991406">
              <w:t>atzinums Nr.</w:t>
            </w:r>
            <w:r w:rsidR="001A7E3F">
              <w:t xml:space="preserve"> </w:t>
            </w:r>
            <w:r w:rsidR="00465AE3" w:rsidRPr="00465AE3">
              <w:t>1-9.1/924</w:t>
            </w:r>
          </w:p>
          <w:p w14:paraId="2759F328" w14:textId="045F7EC4" w:rsidR="007F2387" w:rsidRPr="00087FF4" w:rsidRDefault="007F2387" w:rsidP="003265C7">
            <w:pPr>
              <w:pStyle w:val="naisf"/>
              <w:spacing w:before="0" w:after="0"/>
              <w:ind w:firstLine="0"/>
              <w:rPr>
                <w:b/>
                <w:bCs/>
              </w:rPr>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lastRenderedPageBreak/>
              <w:t>1.</w:t>
            </w:r>
          </w:p>
        </w:tc>
        <w:tc>
          <w:tcPr>
            <w:tcW w:w="3183" w:type="dxa"/>
            <w:gridSpan w:val="2"/>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gridSpan w:val="2"/>
          </w:tcPr>
          <w:p w14:paraId="123C4366" w14:textId="79AF12D1" w:rsidR="009B4EAB" w:rsidRDefault="004034C5" w:rsidP="009B4EAB">
            <w:pPr>
              <w:jc w:val="both"/>
              <w:rPr>
                <w:b/>
                <w:bCs/>
              </w:rPr>
            </w:pPr>
            <w:r>
              <w:rPr>
                <w:b/>
                <w:bCs/>
              </w:rPr>
              <w:t>Tieslietu ministrijas</w:t>
            </w:r>
            <w:r w:rsidR="009B4EAB">
              <w:rPr>
                <w:b/>
                <w:bCs/>
              </w:rPr>
              <w:t xml:space="preserve"> </w:t>
            </w:r>
            <w:r w:rsidR="0084680F">
              <w:rPr>
                <w:b/>
                <w:bCs/>
              </w:rPr>
              <w:t xml:space="preserve">03.09.2020. </w:t>
            </w:r>
            <w:r w:rsidR="009B4EAB">
              <w:rPr>
                <w:b/>
                <w:bCs/>
              </w:rPr>
              <w:t xml:space="preserve">atzinumā </w:t>
            </w:r>
            <w:r w:rsidR="0084680F" w:rsidRPr="0084680F">
              <w:rPr>
                <w:b/>
                <w:bCs/>
              </w:rPr>
              <w:t>Nr. 1-9.1/924</w:t>
            </w:r>
            <w:r w:rsidR="0084680F">
              <w:t xml:space="preserve"> </w:t>
            </w:r>
            <w:r w:rsidR="009B4EAB">
              <w:rPr>
                <w:b/>
                <w:bCs/>
              </w:rPr>
              <w:t xml:space="preserve">izteiktais </w:t>
            </w:r>
            <w:r>
              <w:rPr>
                <w:b/>
                <w:bCs/>
              </w:rPr>
              <w:t xml:space="preserve"> iebildums:</w:t>
            </w:r>
            <w:r w:rsidR="009B4EAB">
              <w:rPr>
                <w:b/>
                <w:bCs/>
              </w:rPr>
              <w:t xml:space="preserve"> </w:t>
            </w:r>
          </w:p>
          <w:p w14:paraId="6C3E4BE0" w14:textId="04A1C410" w:rsidR="009B4EAB" w:rsidRPr="009B4EAB" w:rsidRDefault="009B4EAB" w:rsidP="009B4EAB">
            <w:pPr>
              <w:jc w:val="both"/>
            </w:pPr>
            <w:r>
              <w:rPr>
                <w:b/>
                <w:bCs/>
              </w:rPr>
              <w:t>“</w:t>
            </w:r>
            <w:r w:rsidRPr="009B4EAB">
              <w:t>No rīkojuma projekta 1. punkta izriet, ka tiek plānots pārdot valsts nekustamo īpašumu par brīvu cenu. Proti, valsts nekustamo īpašumu (nekustamā īpašuma kadastra Nr. 0100 126 0059) – zemes vienību (zemes vienības kadastra apzīmējums 0100 126 0052) 584 m² platībā un būvi (būves kadastra apzīmējums 0100 126 2068 003) – Maskavas ielā 435, k-1, Rīgā, kas ierakstīts zemesgrāmatā uz valsts vārda Finanšu ministrijas personā.</w:t>
            </w:r>
          </w:p>
          <w:p w14:paraId="2CF1BC33" w14:textId="77777777" w:rsidR="009B4EAB" w:rsidRPr="009B4EAB" w:rsidRDefault="009B4EAB" w:rsidP="009B4EAB">
            <w:pPr>
              <w:jc w:val="both"/>
            </w:pPr>
            <w:r w:rsidRPr="009B4EAB">
              <w:t>Rīgas pilsētas būvvaldes vēstulē minēts, ka uz atsavināmo zemes vienību atrodas vēl citas Nekustamā īpašuma valsts kadastra informācijas sistēmā (NĪVKIS) nereģistrētas būves. Tāpat arī no nomas līgumiem pievienotā situācijas plāna izriet, ka uz atsavināmo zemes vienību atrodas vismaz trīs būves. Secināms, ka viena no tām būtu atsavināmā valstij piederošā būve, otra privātpersonām, kas ierosinājušas atsavināšanu, bet par trešo ne anotācijā, ne rīkojuma projektā nekas nav minēts.</w:t>
            </w:r>
          </w:p>
          <w:p w14:paraId="7D08CCA4" w14:textId="08E6F793" w:rsidR="009B4EAB" w:rsidRPr="009B4EAB" w:rsidRDefault="009B4EAB" w:rsidP="009B4EAB">
            <w:pPr>
              <w:jc w:val="both"/>
            </w:pPr>
            <w:r w:rsidRPr="009B4EAB">
              <w:t xml:space="preserve">Ņemot vērā minēto, lūdzam sniegt informāciju par atsavināmā nekustamā īpašuma faktisko situāciju, to, vai uz atsavināmās zemes vienības atrodas vēl citas būves, kas nav reģistrētas ne zemesgrāmatā, ne NĪVKIS, to tiesisko statusu, piederību, kas tiek plānots darīt ar minētajām būvēm, vai tās tiek plānots atsavināt kopā ar zemi, un ko un kā </w:t>
            </w:r>
            <w:r w:rsidRPr="009B4EAB">
              <w:lastRenderedPageBreak/>
              <w:t>personas, kuras vēlas iegādāties nekustamo īpašumu, varēs rīkoties ar minētajām būvēm. Tieslietu ministrijas ieskatā, valstij kā gādīgam un priekšzīmīgam saimniekam ir jāsakārto savs nekustamais īpašums, īpaši, ja būvju tiesiskais statuss nav skaidrs, tāpat valsts nevar šo pienākumu pārlikt uz privātpersonu, ņemot vērā, ka tas bija īpašnieka pienākums rūpēties par savu nekustamo īpašumu. Lūdzam nepieciešamības gadījumā papildināt arī rīkojuma projektu un anotāciju ar informāciju par minētājām būvēm, kā arī pievienot rīkojuma projektam paskaidrojošos dokumentus.</w:t>
            </w:r>
            <w:r>
              <w:t>”</w:t>
            </w:r>
          </w:p>
          <w:p w14:paraId="0BD9744B" w14:textId="1776583F" w:rsidR="00241247" w:rsidRPr="000E729F" w:rsidRDefault="00241247" w:rsidP="000D7BA6">
            <w:pPr>
              <w:spacing w:after="60"/>
              <w:jc w:val="both"/>
            </w:pPr>
          </w:p>
        </w:tc>
        <w:tc>
          <w:tcPr>
            <w:tcW w:w="3543" w:type="dxa"/>
          </w:tcPr>
          <w:p w14:paraId="304F24E8" w14:textId="67E30E9B" w:rsidR="00E12810" w:rsidRPr="004C244C" w:rsidRDefault="00BD0DE0" w:rsidP="0025648D">
            <w:pPr>
              <w:spacing w:after="60"/>
              <w:jc w:val="both"/>
              <w:rPr>
                <w:b/>
              </w:rPr>
            </w:pPr>
            <w:r>
              <w:rPr>
                <w:b/>
              </w:rPr>
              <w:lastRenderedPageBreak/>
              <w:t>Iebildums izvērtēts</w:t>
            </w:r>
            <w:r w:rsidR="00BC1DD7">
              <w:rPr>
                <w:b/>
              </w:rPr>
              <w:t xml:space="preserve">, </w:t>
            </w:r>
            <w:r w:rsidR="0025648D">
              <w:rPr>
                <w:b/>
              </w:rPr>
              <w:t xml:space="preserve">precizēta anotācijas, vienlaikus </w:t>
            </w:r>
            <w:r w:rsidR="00BC1DD7">
              <w:rPr>
                <w:b/>
              </w:rPr>
              <w:t>sniedzam šādu skaidrojumu</w:t>
            </w:r>
            <w:r w:rsidR="004245D1" w:rsidRPr="004C244C">
              <w:rPr>
                <w:b/>
              </w:rPr>
              <w:t>.</w:t>
            </w:r>
          </w:p>
          <w:p w14:paraId="685D0B66" w14:textId="136CD8B7" w:rsidR="008D7E18" w:rsidRDefault="00F935CA" w:rsidP="008D7E18">
            <w:pPr>
              <w:spacing w:after="60"/>
              <w:jc w:val="both"/>
            </w:pPr>
            <w:r>
              <w:rPr>
                <w:iCs/>
              </w:rPr>
              <w:t xml:space="preserve">Veicot nekustamā īpašuma </w:t>
            </w:r>
            <w:r w:rsidRPr="009B4EAB">
              <w:t>Maskavas ielā 435, k-1</w:t>
            </w:r>
            <w:r>
              <w:t>,</w:t>
            </w:r>
            <w:r w:rsidR="00060B9D">
              <w:t xml:space="preserve"> </w:t>
            </w:r>
            <w:r>
              <w:rPr>
                <w:iCs/>
              </w:rPr>
              <w:t xml:space="preserve">apsekošanu 10.09.2020., </w:t>
            </w:r>
            <w:r w:rsidR="00C51EB8">
              <w:rPr>
                <w:iCs/>
              </w:rPr>
              <w:t xml:space="preserve">VNĪ </w:t>
            </w:r>
            <w:proofErr w:type="spellStart"/>
            <w:r w:rsidR="00D16FA9">
              <w:rPr>
                <w:iCs/>
              </w:rPr>
              <w:t>būveksperts</w:t>
            </w:r>
            <w:proofErr w:type="spellEnd"/>
            <w:r w:rsidR="00D16FA9">
              <w:rPr>
                <w:iCs/>
              </w:rPr>
              <w:t xml:space="preserve"> </w:t>
            </w:r>
            <w:r w:rsidR="00C51EB8">
              <w:t>konstatēj</w:t>
            </w:r>
            <w:r w:rsidR="00060B9D">
              <w:t>is</w:t>
            </w:r>
            <w:r w:rsidR="00361B99">
              <w:t xml:space="preserve"> (apsekoš</w:t>
            </w:r>
            <w:r w:rsidR="006E0E59">
              <w:t xml:space="preserve">anas akts ar </w:t>
            </w:r>
            <w:proofErr w:type="spellStart"/>
            <w:r w:rsidR="006E0E59">
              <w:t>fotofiksācijām</w:t>
            </w:r>
            <w:proofErr w:type="spellEnd"/>
            <w:r w:rsidR="006E0E59">
              <w:t xml:space="preserve"> un aprakstu pievienots </w:t>
            </w:r>
            <w:r w:rsidR="00BE7F69">
              <w:t xml:space="preserve">rīkojuma projekta </w:t>
            </w:r>
            <w:r w:rsidR="006E0E59">
              <w:t>paskaidrojošajiem materiāliem)</w:t>
            </w:r>
            <w:r w:rsidR="00C51EB8">
              <w:t xml:space="preserve">, ka </w:t>
            </w:r>
            <w:r w:rsidR="006D7ECC">
              <w:t>uz zemes vienības atrodas trīs būves</w:t>
            </w:r>
            <w:r w:rsidR="00E9563F">
              <w:t xml:space="preserve">: </w:t>
            </w:r>
            <w:r w:rsidR="00A46E06">
              <w:t xml:space="preserve">valstij piederošā </w:t>
            </w:r>
            <w:r w:rsidR="00E9563F">
              <w:t>būve ar</w:t>
            </w:r>
            <w:r w:rsidR="00B9661D">
              <w:t xml:space="preserve"> būves</w:t>
            </w:r>
            <w:r w:rsidR="00E9563F">
              <w:t xml:space="preserve"> kadastra apzīmējumu </w:t>
            </w:r>
            <w:r w:rsidR="00E9563F" w:rsidRPr="00E9563F">
              <w:t>0100 126 2068 003</w:t>
            </w:r>
            <w:r w:rsidR="00E9563F">
              <w:t xml:space="preserve">, </w:t>
            </w:r>
            <w:proofErr w:type="spellStart"/>
            <w:r w:rsidR="00A46E06">
              <w:t>privātp</w:t>
            </w:r>
            <w:r w:rsidR="00B9661D">
              <w:t>e</w:t>
            </w:r>
            <w:r w:rsidR="00A46E06">
              <w:t>sronām</w:t>
            </w:r>
            <w:proofErr w:type="spellEnd"/>
            <w:r w:rsidR="00A46E06">
              <w:t xml:space="preserve"> ko</w:t>
            </w:r>
            <w:r w:rsidR="00B9661D">
              <w:t>p</w:t>
            </w:r>
            <w:r w:rsidR="00A46E06">
              <w:t xml:space="preserve">īpašumā esošā būve </w:t>
            </w:r>
            <w:r w:rsidR="00E9563F">
              <w:t xml:space="preserve">ar </w:t>
            </w:r>
            <w:r w:rsidR="00B9661D">
              <w:t xml:space="preserve">būves </w:t>
            </w:r>
            <w:r w:rsidR="00E9563F">
              <w:t xml:space="preserve">kadastra apzīmējumu </w:t>
            </w:r>
            <w:r w:rsidR="00E65C65">
              <w:t>0100 126 2059 002, kā arī būve</w:t>
            </w:r>
            <w:r w:rsidR="0053796B">
              <w:t xml:space="preserve"> - nojume</w:t>
            </w:r>
            <w:r w:rsidR="00E65C65">
              <w:t xml:space="preserve"> bez kadastra apzīmējum</w:t>
            </w:r>
            <w:r w:rsidR="0053796B">
              <w:t>a. Nojumes t</w:t>
            </w:r>
            <w:r w:rsidR="00E65C65">
              <w:t>ehniskai</w:t>
            </w:r>
            <w:r w:rsidR="0053796B">
              <w:t>s</w:t>
            </w:r>
            <w:r w:rsidR="00E65C65">
              <w:t xml:space="preserve"> stāvoklis ir neapmierinošs</w:t>
            </w:r>
            <w:r w:rsidR="00824E4C">
              <w:t xml:space="preserve">, tās pārbūve ir ekonomiski </w:t>
            </w:r>
            <w:r w:rsidR="00CC383A">
              <w:t>neizdevīga un nepamatota, līdz ar to rekomendēta tās nojaukšana.</w:t>
            </w:r>
            <w:r w:rsidR="00470581">
              <w:t xml:space="preserve"> Nojume uzbūvēta bez pamatiem. </w:t>
            </w:r>
          </w:p>
          <w:p w14:paraId="04A1347B" w14:textId="66377165" w:rsidR="00396D7D" w:rsidRDefault="00396D7D" w:rsidP="008D7E18">
            <w:pPr>
              <w:spacing w:after="60"/>
              <w:jc w:val="both"/>
            </w:pPr>
            <w:r>
              <w:t xml:space="preserve">Atbilstoši VNĪ </w:t>
            </w:r>
            <w:r w:rsidR="008655E8">
              <w:t>t</w:t>
            </w:r>
            <w:r w:rsidR="00690B70">
              <w:t>i</w:t>
            </w:r>
            <w:r w:rsidR="008655E8">
              <w:t xml:space="preserve">rgus analītiķi </w:t>
            </w:r>
            <w:r>
              <w:t>sniegtaja</w:t>
            </w:r>
            <w:r w:rsidR="008655E8">
              <w:t>i informācijai</w:t>
            </w:r>
            <w:r w:rsidR="00930727">
              <w:t xml:space="preserve">, tā kā </w:t>
            </w:r>
            <w:r>
              <w:t xml:space="preserve"> </w:t>
            </w:r>
            <w:r w:rsidRPr="00396D7D">
              <w:t xml:space="preserve">būve nav izmantojama, tās vērtība nav uzskatāma par nekustamā īpašuma vērtību pozitīvi ietekmējošu apbūvi un ēkas reģistrācija </w:t>
            </w:r>
            <w:r w:rsidR="003B2F39">
              <w:t xml:space="preserve">Valsts nekustamā īpašuma kadastra informācijas sistēmā </w:t>
            </w:r>
            <w:r w:rsidR="005F2318">
              <w:t xml:space="preserve">nekustamā </w:t>
            </w:r>
            <w:r w:rsidRPr="00396D7D">
              <w:t>īpašuma sastāvā nav racionāla. Savukārt</w:t>
            </w:r>
            <w:r w:rsidR="000E1E39">
              <w:t>,</w:t>
            </w:r>
            <w:r w:rsidRPr="00396D7D">
              <w:t xml:space="preserve"> būves demontāžas </w:t>
            </w:r>
            <w:r w:rsidRPr="00396D7D">
              <w:lastRenderedPageBreak/>
              <w:t xml:space="preserve">rezultātā tiks iegūts reģistrētajam </w:t>
            </w:r>
            <w:r w:rsidR="000E1E39">
              <w:t xml:space="preserve">nekustamā īpašuma </w:t>
            </w:r>
            <w:r w:rsidRPr="00396D7D">
              <w:t xml:space="preserve">sastāvam atbilstošs </w:t>
            </w:r>
            <w:r w:rsidR="000E1E39">
              <w:t>nekustamais īpašums</w:t>
            </w:r>
            <w:r w:rsidRPr="00396D7D">
              <w:t xml:space="preserve">, kas neliecina par augstāku īpašuma vērtību, tātad nekompensēs ar demontāžu saistītās izmaksas. Līdz ar to uzskatāms, ka </w:t>
            </w:r>
            <w:r w:rsidR="00220AA6">
              <w:t xml:space="preserve">valstij </w:t>
            </w:r>
            <w:r w:rsidRPr="00396D7D">
              <w:t>būves reģistrācija vai demontāža nav saimnieciski lietderīgas darbības.</w:t>
            </w:r>
          </w:p>
          <w:p w14:paraId="4ED07411" w14:textId="050A013D" w:rsidR="00333AAB" w:rsidRPr="001214A3" w:rsidRDefault="00333AAB" w:rsidP="0010753F">
            <w:pPr>
              <w:spacing w:after="60"/>
              <w:jc w:val="both"/>
              <w:rPr>
                <w:iCs/>
              </w:rPr>
            </w:pPr>
          </w:p>
        </w:tc>
        <w:tc>
          <w:tcPr>
            <w:tcW w:w="2840" w:type="dxa"/>
          </w:tcPr>
          <w:p w14:paraId="4F5B580E" w14:textId="749D4EE6" w:rsidR="00A15D67" w:rsidRDefault="00731DD4" w:rsidP="00E165AE">
            <w:pPr>
              <w:rPr>
                <w:color w:val="000000"/>
              </w:rPr>
            </w:pPr>
            <w:r>
              <w:rPr>
                <w:color w:val="000000"/>
              </w:rPr>
              <w:lastRenderedPageBreak/>
              <w:t>Anotācijas I sadaļas 2.punktā:</w:t>
            </w:r>
          </w:p>
          <w:p w14:paraId="0399E466" w14:textId="4F62058E" w:rsidR="00CD71AD" w:rsidRDefault="00CD71AD" w:rsidP="007F4ACA">
            <w:pPr>
              <w:jc w:val="both"/>
              <w:rPr>
                <w:color w:val="000000"/>
              </w:rPr>
            </w:pPr>
            <w:r>
              <w:rPr>
                <w:color w:val="000000"/>
              </w:rPr>
              <w:t>“</w:t>
            </w:r>
            <w:r w:rsidR="007F4ACA" w:rsidRPr="007F4ACA">
              <w:rPr>
                <w:color w:val="000000"/>
              </w:rPr>
              <w:t xml:space="preserve">Uz zemes vienības vēl arī atrodas  būve bez kadastra apzīmējuma - nojume. Veicot nekustamā īpašuma Maskavas ielā 435, k-1, apsekošanu 2020.gada 10.septembrī, VNĪ </w:t>
            </w:r>
            <w:proofErr w:type="spellStart"/>
            <w:r w:rsidR="007F4ACA" w:rsidRPr="007F4ACA">
              <w:rPr>
                <w:color w:val="000000"/>
              </w:rPr>
              <w:t>būveksperts</w:t>
            </w:r>
            <w:proofErr w:type="spellEnd"/>
            <w:r w:rsidR="007F4ACA" w:rsidRPr="007F4ACA">
              <w:rPr>
                <w:color w:val="000000"/>
              </w:rPr>
              <w:t xml:space="preserve"> konstatējis, ka minētās būves konstrukciju risinājums ir neapmierinošs un nekvalitatīvā izpildījumā: būves koka statņi un mūra siena izbūvēti tieši uz grunts bez hidroizolācijas risinājuma (bez pamatiem), mūra sienas ar nepareizu izbūves tehnoloģiju, jumta nesošās konstrukcijas ar neatbilstošiem balstījumiem, trupes bojāju</w:t>
            </w:r>
            <w:bookmarkStart w:id="0" w:name="_GoBack"/>
            <w:bookmarkEnd w:id="0"/>
            <w:r w:rsidR="007F4ACA" w:rsidRPr="007F4ACA">
              <w:rPr>
                <w:color w:val="000000"/>
              </w:rPr>
              <w:t xml:space="preserve">miem un mitruma piesātinājumiem koksnē; kopumā nojumes tehniskais stāvoklis ir vērtējams kā neapmierinošs. Ņemot vērā minēto, būves pārbūve ir ekonomiski neizdevīga un nepamatota, līdz ar to tiek rekomendēta tās nojaukšana. </w:t>
            </w:r>
          </w:p>
          <w:p w14:paraId="408D7C3F" w14:textId="57236300" w:rsidR="007F4ACA" w:rsidRPr="007F4ACA" w:rsidRDefault="007F4ACA" w:rsidP="007F4ACA">
            <w:pPr>
              <w:jc w:val="both"/>
              <w:rPr>
                <w:color w:val="000000"/>
              </w:rPr>
            </w:pPr>
            <w:r w:rsidRPr="007F4ACA">
              <w:rPr>
                <w:color w:val="000000"/>
              </w:rPr>
              <w:lastRenderedPageBreak/>
              <w:t>Atbilstoši VNĪ tirgus analītiķi sniegtajai informācijai, tā kā  būve - nojume nav izmantojama, tās vērtība nav uzskatāma par nekustamā īpašuma vērtību pozitīvi ietekmējošu apbūvi un minētās būves reģistrācija NĪVKIS nekustamā īpašuma sastāvā nav racionāla. Savukārt, būves demontāžas rezultātā tiktu iegūts zemesgrāmatā un NĪVKIS reģistrētajam nekustamā īpašuma Maskavas ielā 435, k-1, Rīgā, sastāvam atbilstošs nekustamais īpašums, kas neliecina par augstāku nekustamā īpašuma vērtību, tātad nekompensēs ar būves – nojumes demontāžu saistītās izmaksas. Līdz ar to uzskatāms, ka būves reģistrācija vai demontāža nav saimnieciski lietderīgas darbības.</w:t>
            </w:r>
          </w:p>
          <w:p w14:paraId="0EE451EF" w14:textId="77777777" w:rsidR="007F4ACA" w:rsidRPr="007F4ACA" w:rsidRDefault="007F4ACA" w:rsidP="007F4ACA">
            <w:pPr>
              <w:jc w:val="both"/>
              <w:rPr>
                <w:color w:val="000000"/>
              </w:rPr>
            </w:pPr>
            <w:r w:rsidRPr="007F4ACA">
              <w:rPr>
                <w:color w:val="000000"/>
              </w:rPr>
              <w:t xml:space="preserve">Turklāt, tā kā būve – nojume ir </w:t>
            </w:r>
            <w:proofErr w:type="spellStart"/>
            <w:r w:rsidRPr="007F4ACA">
              <w:rPr>
                <w:color w:val="000000"/>
              </w:rPr>
              <w:t>mazēka</w:t>
            </w:r>
            <w:proofErr w:type="spellEnd"/>
            <w:r w:rsidRPr="007F4ACA">
              <w:rPr>
                <w:color w:val="000000"/>
              </w:rPr>
              <w:t xml:space="preserve">, tad atbilstoši likuma “Par nekustamā īpašuma ierakstīšanu zemesgrāmatās” 19.panta </w:t>
            </w:r>
            <w:r w:rsidRPr="007F4ACA">
              <w:rPr>
                <w:color w:val="000000"/>
              </w:rPr>
              <w:lastRenderedPageBreak/>
              <w:t>pirmās daļas 1.punktam, tā atbilst būvei, kas zemesgrāmatā nav ierakstāma  kā patstāvīgs īpašuma objekts.</w:t>
            </w:r>
          </w:p>
          <w:p w14:paraId="6827F784" w14:textId="77777777" w:rsidR="007F4ACA" w:rsidRPr="007F4ACA" w:rsidRDefault="007F4ACA" w:rsidP="007F4ACA">
            <w:pPr>
              <w:jc w:val="both"/>
              <w:rPr>
                <w:color w:val="000000"/>
              </w:rPr>
            </w:pPr>
            <w:r w:rsidRPr="007F4ACA">
              <w:rPr>
                <w:color w:val="000000"/>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minētās būves vērtību, lai veiktu visas nepieciešamās darbības būves tiesiskā statusa </w:t>
            </w:r>
            <w:proofErr w:type="spellStart"/>
            <w:r w:rsidRPr="007F4ACA">
              <w:rPr>
                <w:color w:val="000000"/>
              </w:rPr>
              <w:t>sakāŗtošanai</w:t>
            </w:r>
            <w:proofErr w:type="spellEnd"/>
            <w:r w:rsidRPr="007F4ACA">
              <w:rPr>
                <w:color w:val="000000"/>
              </w:rPr>
              <w:t>, demontāžai.</w:t>
            </w:r>
          </w:p>
          <w:p w14:paraId="2E017FAD" w14:textId="25590CB9" w:rsidR="00731DD4" w:rsidRPr="00E165AE" w:rsidRDefault="007F4ACA" w:rsidP="007F4ACA">
            <w:pPr>
              <w:jc w:val="both"/>
              <w:rPr>
                <w:color w:val="000000"/>
              </w:rPr>
            </w:pPr>
            <w:r w:rsidRPr="007F4ACA">
              <w:rPr>
                <w:color w:val="000000"/>
              </w:rPr>
              <w:t>Jaunajam nekustamā īpašuma ieguvējam būs jāveic normatīvajos aktos noteiktās darbības būves – nojumes tiesiskā statusa sakārtošanai un pēc viņa ieskatiem - demontāžai, minētā</w:t>
            </w:r>
            <w:r w:rsidR="00447CDA">
              <w:rPr>
                <w:color w:val="000000"/>
              </w:rPr>
              <w:t xml:space="preserve"> </w:t>
            </w:r>
            <w:r w:rsidR="00447CDA" w:rsidRPr="00447CDA">
              <w:rPr>
                <w:color w:val="000000"/>
              </w:rPr>
              <w:t>informācija tiks iekļauta paziņojumā par nekustamā īpašuma atsavināšanu.</w:t>
            </w:r>
            <w:r w:rsidR="00CD71AD">
              <w:rPr>
                <w:color w:val="000000"/>
              </w:rPr>
              <w:t>”</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AB1E16B" w14:textId="77777777" w:rsidR="002E6434" w:rsidRPr="00250F2E" w:rsidRDefault="002E6434" w:rsidP="002E6434">
            <w:pPr>
              <w:pStyle w:val="naiskr"/>
              <w:spacing w:before="0" w:after="0"/>
              <w:jc w:val="center"/>
            </w:pPr>
            <w:r w:rsidRPr="00250F2E">
              <w:lastRenderedPageBreak/>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1A2E9A"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54E8B" w14:textId="77777777" w:rsidR="005878F0" w:rsidRDefault="005878F0">
      <w:r>
        <w:separator/>
      </w:r>
    </w:p>
  </w:endnote>
  <w:endnote w:type="continuationSeparator" w:id="0">
    <w:p w14:paraId="7F40AFD3" w14:textId="77777777" w:rsidR="005878F0" w:rsidRDefault="005878F0">
      <w:r>
        <w:continuationSeparator/>
      </w:r>
    </w:p>
  </w:endnote>
  <w:endnote w:type="continuationNotice" w:id="1">
    <w:p w14:paraId="540A64CB" w14:textId="77777777" w:rsidR="005878F0" w:rsidRDefault="0058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64DFDD30" w:rsidR="00565635" w:rsidRDefault="006F5700" w:rsidP="00EF767D">
    <w:pPr>
      <w:pStyle w:val="Footer"/>
      <w:rPr>
        <w:sz w:val="20"/>
        <w:szCs w:val="20"/>
      </w:rPr>
    </w:pPr>
    <w:r>
      <w:rPr>
        <w:sz w:val="20"/>
        <w:szCs w:val="20"/>
      </w:rPr>
      <w:t>FMIzz_</w:t>
    </w:r>
    <w:r w:rsidR="006C28EC">
      <w:rPr>
        <w:sz w:val="20"/>
        <w:szCs w:val="20"/>
      </w:rPr>
      <w:t>2</w:t>
    </w:r>
    <w:r w:rsidR="001A2E9A">
      <w:rPr>
        <w:sz w:val="20"/>
        <w:szCs w:val="20"/>
      </w:rPr>
      <w:t>9</w:t>
    </w:r>
    <w:r w:rsidR="006C28EC">
      <w:rPr>
        <w:sz w:val="20"/>
        <w:szCs w:val="20"/>
      </w:rPr>
      <w:t>0920_nek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58657CD1" w:rsidR="00565635" w:rsidRDefault="006F5700" w:rsidP="001E38A0">
    <w:pPr>
      <w:pStyle w:val="Footer"/>
      <w:rPr>
        <w:sz w:val="20"/>
        <w:szCs w:val="20"/>
      </w:rPr>
    </w:pPr>
    <w:r>
      <w:rPr>
        <w:sz w:val="20"/>
        <w:szCs w:val="20"/>
      </w:rPr>
      <w:t>FMIzz_</w:t>
    </w:r>
    <w:r w:rsidR="006C28EC">
      <w:rPr>
        <w:sz w:val="20"/>
        <w:szCs w:val="20"/>
      </w:rPr>
      <w:t>2</w:t>
    </w:r>
    <w:r w:rsidR="001A2E9A">
      <w:rPr>
        <w:sz w:val="20"/>
        <w:szCs w:val="20"/>
      </w:rPr>
      <w:t>9</w:t>
    </w:r>
    <w:r w:rsidR="006C28EC">
      <w:rPr>
        <w:sz w:val="20"/>
        <w:szCs w:val="20"/>
      </w:rPr>
      <w:t>0920_nek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109B" w14:textId="77777777" w:rsidR="005878F0" w:rsidRDefault="005878F0">
      <w:r>
        <w:separator/>
      </w:r>
    </w:p>
  </w:footnote>
  <w:footnote w:type="continuationSeparator" w:id="0">
    <w:p w14:paraId="5279E045" w14:textId="77777777" w:rsidR="005878F0" w:rsidRDefault="005878F0">
      <w:r>
        <w:continuationSeparator/>
      </w:r>
    </w:p>
  </w:footnote>
  <w:footnote w:type="continuationNotice" w:id="1">
    <w:p w14:paraId="417C128E" w14:textId="77777777" w:rsidR="005878F0" w:rsidRDefault="00587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4C8"/>
    <w:rsid w:val="0000720D"/>
    <w:rsid w:val="000105B2"/>
    <w:rsid w:val="000135DC"/>
    <w:rsid w:val="00014691"/>
    <w:rsid w:val="00015D88"/>
    <w:rsid w:val="00021378"/>
    <w:rsid w:val="0002163F"/>
    <w:rsid w:val="000264BE"/>
    <w:rsid w:val="00031482"/>
    <w:rsid w:val="00033013"/>
    <w:rsid w:val="00037AB3"/>
    <w:rsid w:val="0004610A"/>
    <w:rsid w:val="00050018"/>
    <w:rsid w:val="00051CC6"/>
    <w:rsid w:val="000534DE"/>
    <w:rsid w:val="00060B9D"/>
    <w:rsid w:val="000625F0"/>
    <w:rsid w:val="00062845"/>
    <w:rsid w:val="00070F69"/>
    <w:rsid w:val="0007538B"/>
    <w:rsid w:val="0007668E"/>
    <w:rsid w:val="000813C9"/>
    <w:rsid w:val="00081780"/>
    <w:rsid w:val="00082A73"/>
    <w:rsid w:val="00084571"/>
    <w:rsid w:val="00087FF4"/>
    <w:rsid w:val="00090793"/>
    <w:rsid w:val="00092D3A"/>
    <w:rsid w:val="00096939"/>
    <w:rsid w:val="000A101F"/>
    <w:rsid w:val="000B5DE2"/>
    <w:rsid w:val="000C2DBC"/>
    <w:rsid w:val="000C76E7"/>
    <w:rsid w:val="000D02B5"/>
    <w:rsid w:val="000D2F97"/>
    <w:rsid w:val="000D7BA6"/>
    <w:rsid w:val="000E1E39"/>
    <w:rsid w:val="000E2B82"/>
    <w:rsid w:val="000E5170"/>
    <w:rsid w:val="000E729F"/>
    <w:rsid w:val="000F26AE"/>
    <w:rsid w:val="000F46B9"/>
    <w:rsid w:val="00100F2C"/>
    <w:rsid w:val="00104C4F"/>
    <w:rsid w:val="001064FF"/>
    <w:rsid w:val="00106C2D"/>
    <w:rsid w:val="0010753F"/>
    <w:rsid w:val="001106AE"/>
    <w:rsid w:val="00115C1A"/>
    <w:rsid w:val="001168C6"/>
    <w:rsid w:val="001172FB"/>
    <w:rsid w:val="00117771"/>
    <w:rsid w:val="001214A3"/>
    <w:rsid w:val="00124FEE"/>
    <w:rsid w:val="00131C32"/>
    <w:rsid w:val="00137029"/>
    <w:rsid w:val="0013795D"/>
    <w:rsid w:val="00140157"/>
    <w:rsid w:val="00141154"/>
    <w:rsid w:val="00141682"/>
    <w:rsid w:val="001429FE"/>
    <w:rsid w:val="001438F7"/>
    <w:rsid w:val="00144801"/>
    <w:rsid w:val="00147A9A"/>
    <w:rsid w:val="001502C0"/>
    <w:rsid w:val="0015155A"/>
    <w:rsid w:val="00156C89"/>
    <w:rsid w:val="00160040"/>
    <w:rsid w:val="00161F38"/>
    <w:rsid w:val="00162192"/>
    <w:rsid w:val="0016452D"/>
    <w:rsid w:val="0017091E"/>
    <w:rsid w:val="001731D4"/>
    <w:rsid w:val="001740DA"/>
    <w:rsid w:val="00175C06"/>
    <w:rsid w:val="0017717A"/>
    <w:rsid w:val="00184AA6"/>
    <w:rsid w:val="00185A3D"/>
    <w:rsid w:val="00191181"/>
    <w:rsid w:val="00192159"/>
    <w:rsid w:val="00192507"/>
    <w:rsid w:val="00194F86"/>
    <w:rsid w:val="00195FC0"/>
    <w:rsid w:val="00196D76"/>
    <w:rsid w:val="001A1CC0"/>
    <w:rsid w:val="001A2DF9"/>
    <w:rsid w:val="001A2E9A"/>
    <w:rsid w:val="001A3DAA"/>
    <w:rsid w:val="001A4AD0"/>
    <w:rsid w:val="001A5CBE"/>
    <w:rsid w:val="001A7347"/>
    <w:rsid w:val="001A77C9"/>
    <w:rsid w:val="001A7E3F"/>
    <w:rsid w:val="001B18A5"/>
    <w:rsid w:val="001C44B3"/>
    <w:rsid w:val="001C4E31"/>
    <w:rsid w:val="001D20C9"/>
    <w:rsid w:val="001D71E2"/>
    <w:rsid w:val="001E09FA"/>
    <w:rsid w:val="001E28ED"/>
    <w:rsid w:val="001E38A0"/>
    <w:rsid w:val="001E425F"/>
    <w:rsid w:val="001E477F"/>
    <w:rsid w:val="001E5EA7"/>
    <w:rsid w:val="001E658B"/>
    <w:rsid w:val="001F3778"/>
    <w:rsid w:val="001F4846"/>
    <w:rsid w:val="001F7E75"/>
    <w:rsid w:val="0020137D"/>
    <w:rsid w:val="002044F5"/>
    <w:rsid w:val="00206857"/>
    <w:rsid w:val="00211AD2"/>
    <w:rsid w:val="00217875"/>
    <w:rsid w:val="00220AA6"/>
    <w:rsid w:val="00222A26"/>
    <w:rsid w:val="002237A0"/>
    <w:rsid w:val="00226ACD"/>
    <w:rsid w:val="00227007"/>
    <w:rsid w:val="00235515"/>
    <w:rsid w:val="00235797"/>
    <w:rsid w:val="002364CE"/>
    <w:rsid w:val="0023742E"/>
    <w:rsid w:val="00241247"/>
    <w:rsid w:val="002473DD"/>
    <w:rsid w:val="00250F2E"/>
    <w:rsid w:val="0025648D"/>
    <w:rsid w:val="00257B44"/>
    <w:rsid w:val="00261265"/>
    <w:rsid w:val="0026451C"/>
    <w:rsid w:val="00264A04"/>
    <w:rsid w:val="00267ABF"/>
    <w:rsid w:val="00271699"/>
    <w:rsid w:val="00271DE3"/>
    <w:rsid w:val="002735AF"/>
    <w:rsid w:val="0027721E"/>
    <w:rsid w:val="0028007D"/>
    <w:rsid w:val="002835B7"/>
    <w:rsid w:val="0028411D"/>
    <w:rsid w:val="0028601B"/>
    <w:rsid w:val="00296E8B"/>
    <w:rsid w:val="00297AF3"/>
    <w:rsid w:val="002A2CE5"/>
    <w:rsid w:val="002A3B60"/>
    <w:rsid w:val="002A5804"/>
    <w:rsid w:val="002B2471"/>
    <w:rsid w:val="002B314F"/>
    <w:rsid w:val="002B428D"/>
    <w:rsid w:val="002B5D71"/>
    <w:rsid w:val="002B752F"/>
    <w:rsid w:val="002B7667"/>
    <w:rsid w:val="002C231C"/>
    <w:rsid w:val="002C2969"/>
    <w:rsid w:val="002D00D4"/>
    <w:rsid w:val="002D087C"/>
    <w:rsid w:val="002D5C46"/>
    <w:rsid w:val="002D7874"/>
    <w:rsid w:val="002E0F8F"/>
    <w:rsid w:val="002E6434"/>
    <w:rsid w:val="002E76A8"/>
    <w:rsid w:val="002F3CBC"/>
    <w:rsid w:val="002F4604"/>
    <w:rsid w:val="00302A2F"/>
    <w:rsid w:val="00303F8D"/>
    <w:rsid w:val="003043D8"/>
    <w:rsid w:val="00305282"/>
    <w:rsid w:val="00307767"/>
    <w:rsid w:val="003102A2"/>
    <w:rsid w:val="00311FE4"/>
    <w:rsid w:val="00313F39"/>
    <w:rsid w:val="0031571D"/>
    <w:rsid w:val="00317785"/>
    <w:rsid w:val="00321146"/>
    <w:rsid w:val="0032149A"/>
    <w:rsid w:val="00321DF9"/>
    <w:rsid w:val="00324525"/>
    <w:rsid w:val="003265C7"/>
    <w:rsid w:val="00327816"/>
    <w:rsid w:val="00331477"/>
    <w:rsid w:val="00332409"/>
    <w:rsid w:val="00333AAB"/>
    <w:rsid w:val="003351DA"/>
    <w:rsid w:val="00344A55"/>
    <w:rsid w:val="00344E7F"/>
    <w:rsid w:val="003563CD"/>
    <w:rsid w:val="00357430"/>
    <w:rsid w:val="00361B99"/>
    <w:rsid w:val="00362819"/>
    <w:rsid w:val="00367BEB"/>
    <w:rsid w:val="003831F9"/>
    <w:rsid w:val="0038504D"/>
    <w:rsid w:val="00396D7D"/>
    <w:rsid w:val="003A59C1"/>
    <w:rsid w:val="003B0739"/>
    <w:rsid w:val="003B0F47"/>
    <w:rsid w:val="003B1C27"/>
    <w:rsid w:val="003B27A7"/>
    <w:rsid w:val="003B2F39"/>
    <w:rsid w:val="003B4A4B"/>
    <w:rsid w:val="003B59B2"/>
    <w:rsid w:val="003C4A3C"/>
    <w:rsid w:val="003C574A"/>
    <w:rsid w:val="003D2429"/>
    <w:rsid w:val="003D24E5"/>
    <w:rsid w:val="003D4D8E"/>
    <w:rsid w:val="003D50F2"/>
    <w:rsid w:val="003D53C1"/>
    <w:rsid w:val="003D7260"/>
    <w:rsid w:val="003E02A0"/>
    <w:rsid w:val="003E312D"/>
    <w:rsid w:val="003E3B87"/>
    <w:rsid w:val="003E3C63"/>
    <w:rsid w:val="003E4225"/>
    <w:rsid w:val="003F2015"/>
    <w:rsid w:val="003F210B"/>
    <w:rsid w:val="003F31F6"/>
    <w:rsid w:val="004011CF"/>
    <w:rsid w:val="004011FB"/>
    <w:rsid w:val="00402981"/>
    <w:rsid w:val="00402E8B"/>
    <w:rsid w:val="004034C5"/>
    <w:rsid w:val="004112F0"/>
    <w:rsid w:val="00414B82"/>
    <w:rsid w:val="004245D1"/>
    <w:rsid w:val="00424A98"/>
    <w:rsid w:val="00424B60"/>
    <w:rsid w:val="00432B42"/>
    <w:rsid w:val="00432DAB"/>
    <w:rsid w:val="00433488"/>
    <w:rsid w:val="00435AA4"/>
    <w:rsid w:val="00440806"/>
    <w:rsid w:val="00447CDA"/>
    <w:rsid w:val="0045498C"/>
    <w:rsid w:val="00457AD4"/>
    <w:rsid w:val="004600CF"/>
    <w:rsid w:val="0046194F"/>
    <w:rsid w:val="00461A97"/>
    <w:rsid w:val="00463351"/>
    <w:rsid w:val="00464B8A"/>
    <w:rsid w:val="00464DA9"/>
    <w:rsid w:val="004656B6"/>
    <w:rsid w:val="00465AE3"/>
    <w:rsid w:val="00470581"/>
    <w:rsid w:val="00477D93"/>
    <w:rsid w:val="00483C24"/>
    <w:rsid w:val="004A58B6"/>
    <w:rsid w:val="004C2167"/>
    <w:rsid w:val="004C244C"/>
    <w:rsid w:val="004C643E"/>
    <w:rsid w:val="004D00E9"/>
    <w:rsid w:val="004D1123"/>
    <w:rsid w:val="004D546C"/>
    <w:rsid w:val="004D55F4"/>
    <w:rsid w:val="004F69B4"/>
    <w:rsid w:val="00504140"/>
    <w:rsid w:val="005060BC"/>
    <w:rsid w:val="005105D9"/>
    <w:rsid w:val="00512E4E"/>
    <w:rsid w:val="005165CB"/>
    <w:rsid w:val="00521CA6"/>
    <w:rsid w:val="00525780"/>
    <w:rsid w:val="005300B7"/>
    <w:rsid w:val="00531D9C"/>
    <w:rsid w:val="0053212D"/>
    <w:rsid w:val="00532C1A"/>
    <w:rsid w:val="00534BE1"/>
    <w:rsid w:val="005352AB"/>
    <w:rsid w:val="00536FF0"/>
    <w:rsid w:val="0053796B"/>
    <w:rsid w:val="005450D0"/>
    <w:rsid w:val="00545423"/>
    <w:rsid w:val="00545D67"/>
    <w:rsid w:val="0055003B"/>
    <w:rsid w:val="00553F71"/>
    <w:rsid w:val="00554985"/>
    <w:rsid w:val="00560542"/>
    <w:rsid w:val="0056170C"/>
    <w:rsid w:val="00565635"/>
    <w:rsid w:val="00570CF0"/>
    <w:rsid w:val="00574917"/>
    <w:rsid w:val="00575459"/>
    <w:rsid w:val="005755A5"/>
    <w:rsid w:val="00576B17"/>
    <w:rsid w:val="005878F0"/>
    <w:rsid w:val="00587BC4"/>
    <w:rsid w:val="00587D07"/>
    <w:rsid w:val="005916F3"/>
    <w:rsid w:val="00591767"/>
    <w:rsid w:val="00591E06"/>
    <w:rsid w:val="00594A40"/>
    <w:rsid w:val="00597631"/>
    <w:rsid w:val="005A2210"/>
    <w:rsid w:val="005A38EE"/>
    <w:rsid w:val="005A3D1E"/>
    <w:rsid w:val="005A62CA"/>
    <w:rsid w:val="005A633F"/>
    <w:rsid w:val="005B1F9B"/>
    <w:rsid w:val="005B2EE8"/>
    <w:rsid w:val="005B394F"/>
    <w:rsid w:val="005D31B1"/>
    <w:rsid w:val="005D3AD9"/>
    <w:rsid w:val="005D5433"/>
    <w:rsid w:val="005D65D0"/>
    <w:rsid w:val="005E066D"/>
    <w:rsid w:val="005E40F5"/>
    <w:rsid w:val="005E618A"/>
    <w:rsid w:val="005F2318"/>
    <w:rsid w:val="005F2C7F"/>
    <w:rsid w:val="005F47A1"/>
    <w:rsid w:val="005F6370"/>
    <w:rsid w:val="005F6733"/>
    <w:rsid w:val="006007A2"/>
    <w:rsid w:val="0060088A"/>
    <w:rsid w:val="0060210C"/>
    <w:rsid w:val="00602799"/>
    <w:rsid w:val="00605E3A"/>
    <w:rsid w:val="00613948"/>
    <w:rsid w:val="006177B3"/>
    <w:rsid w:val="00622B44"/>
    <w:rsid w:val="00623192"/>
    <w:rsid w:val="00625EF1"/>
    <w:rsid w:val="00630E37"/>
    <w:rsid w:val="0064027D"/>
    <w:rsid w:val="00642F9E"/>
    <w:rsid w:val="0064320C"/>
    <w:rsid w:val="00656ABD"/>
    <w:rsid w:val="0066388E"/>
    <w:rsid w:val="00671D5B"/>
    <w:rsid w:val="00674FAF"/>
    <w:rsid w:val="006756BE"/>
    <w:rsid w:val="006764D1"/>
    <w:rsid w:val="00686F96"/>
    <w:rsid w:val="0069036D"/>
    <w:rsid w:val="00690B70"/>
    <w:rsid w:val="00692410"/>
    <w:rsid w:val="00694358"/>
    <w:rsid w:val="00696661"/>
    <w:rsid w:val="006966FB"/>
    <w:rsid w:val="006A232A"/>
    <w:rsid w:val="006A33FF"/>
    <w:rsid w:val="006A4044"/>
    <w:rsid w:val="006A7EB1"/>
    <w:rsid w:val="006B079D"/>
    <w:rsid w:val="006B2336"/>
    <w:rsid w:val="006B4DA9"/>
    <w:rsid w:val="006C28EC"/>
    <w:rsid w:val="006C7C66"/>
    <w:rsid w:val="006D0662"/>
    <w:rsid w:val="006D1A9D"/>
    <w:rsid w:val="006D6871"/>
    <w:rsid w:val="006D699F"/>
    <w:rsid w:val="006D7ECC"/>
    <w:rsid w:val="006E0E59"/>
    <w:rsid w:val="006E17DE"/>
    <w:rsid w:val="006E3639"/>
    <w:rsid w:val="006F031A"/>
    <w:rsid w:val="006F4D42"/>
    <w:rsid w:val="006F5700"/>
    <w:rsid w:val="00701B82"/>
    <w:rsid w:val="00704B08"/>
    <w:rsid w:val="00704C66"/>
    <w:rsid w:val="00706E9E"/>
    <w:rsid w:val="00707BF8"/>
    <w:rsid w:val="007101C9"/>
    <w:rsid w:val="00716264"/>
    <w:rsid w:val="00716484"/>
    <w:rsid w:val="0072151D"/>
    <w:rsid w:val="0072592D"/>
    <w:rsid w:val="00731DD4"/>
    <w:rsid w:val="0073225E"/>
    <w:rsid w:val="007426F4"/>
    <w:rsid w:val="00746240"/>
    <w:rsid w:val="00751C84"/>
    <w:rsid w:val="007527F4"/>
    <w:rsid w:val="00762615"/>
    <w:rsid w:val="00765A82"/>
    <w:rsid w:val="00766923"/>
    <w:rsid w:val="00767B31"/>
    <w:rsid w:val="007702C1"/>
    <w:rsid w:val="00780934"/>
    <w:rsid w:val="00792065"/>
    <w:rsid w:val="0079333E"/>
    <w:rsid w:val="00794C70"/>
    <w:rsid w:val="007965CF"/>
    <w:rsid w:val="00797731"/>
    <w:rsid w:val="007A13D2"/>
    <w:rsid w:val="007A1BCD"/>
    <w:rsid w:val="007A2494"/>
    <w:rsid w:val="007A3014"/>
    <w:rsid w:val="007B07C9"/>
    <w:rsid w:val="007B1B0C"/>
    <w:rsid w:val="007B3933"/>
    <w:rsid w:val="007B71AB"/>
    <w:rsid w:val="007C0F18"/>
    <w:rsid w:val="007C0F55"/>
    <w:rsid w:val="007D32A1"/>
    <w:rsid w:val="007D42CA"/>
    <w:rsid w:val="007D58A4"/>
    <w:rsid w:val="007F1B21"/>
    <w:rsid w:val="007F1C2A"/>
    <w:rsid w:val="007F2387"/>
    <w:rsid w:val="007F2D78"/>
    <w:rsid w:val="007F4ACA"/>
    <w:rsid w:val="007F4B71"/>
    <w:rsid w:val="00800EDE"/>
    <w:rsid w:val="00805215"/>
    <w:rsid w:val="00811C1F"/>
    <w:rsid w:val="00812CF3"/>
    <w:rsid w:val="00816FC0"/>
    <w:rsid w:val="0082457B"/>
    <w:rsid w:val="00824E4C"/>
    <w:rsid w:val="00825F5C"/>
    <w:rsid w:val="00832EE5"/>
    <w:rsid w:val="0083618E"/>
    <w:rsid w:val="008365BB"/>
    <w:rsid w:val="0084680F"/>
    <w:rsid w:val="00847F60"/>
    <w:rsid w:val="0085495D"/>
    <w:rsid w:val="00854A83"/>
    <w:rsid w:val="008565D7"/>
    <w:rsid w:val="00856EAD"/>
    <w:rsid w:val="008608B1"/>
    <w:rsid w:val="0086253B"/>
    <w:rsid w:val="00863376"/>
    <w:rsid w:val="008655E8"/>
    <w:rsid w:val="00867A94"/>
    <w:rsid w:val="00875C2F"/>
    <w:rsid w:val="008767A0"/>
    <w:rsid w:val="008905EB"/>
    <w:rsid w:val="00890DC4"/>
    <w:rsid w:val="00893568"/>
    <w:rsid w:val="00894A9F"/>
    <w:rsid w:val="008A13F5"/>
    <w:rsid w:val="008A33EA"/>
    <w:rsid w:val="008A4F46"/>
    <w:rsid w:val="008B0C11"/>
    <w:rsid w:val="008B1A68"/>
    <w:rsid w:val="008B2E18"/>
    <w:rsid w:val="008B712E"/>
    <w:rsid w:val="008C2BEA"/>
    <w:rsid w:val="008C36FF"/>
    <w:rsid w:val="008C4EFE"/>
    <w:rsid w:val="008D1395"/>
    <w:rsid w:val="008D175B"/>
    <w:rsid w:val="008D1F04"/>
    <w:rsid w:val="008D2054"/>
    <w:rsid w:val="008D7E18"/>
    <w:rsid w:val="008E0837"/>
    <w:rsid w:val="008E75AB"/>
    <w:rsid w:val="008F0D1E"/>
    <w:rsid w:val="008F3A50"/>
    <w:rsid w:val="008F71C5"/>
    <w:rsid w:val="008F791A"/>
    <w:rsid w:val="00904AF1"/>
    <w:rsid w:val="00904E3A"/>
    <w:rsid w:val="00906B06"/>
    <w:rsid w:val="009140C6"/>
    <w:rsid w:val="00915EAC"/>
    <w:rsid w:val="00916A77"/>
    <w:rsid w:val="00917830"/>
    <w:rsid w:val="00925374"/>
    <w:rsid w:val="00926C35"/>
    <w:rsid w:val="00930727"/>
    <w:rsid w:val="00932B94"/>
    <w:rsid w:val="00932C7F"/>
    <w:rsid w:val="00933A9A"/>
    <w:rsid w:val="009355C1"/>
    <w:rsid w:val="009400B5"/>
    <w:rsid w:val="0094520E"/>
    <w:rsid w:val="00945A6A"/>
    <w:rsid w:val="0095544F"/>
    <w:rsid w:val="009574C8"/>
    <w:rsid w:val="00973038"/>
    <w:rsid w:val="00973A9C"/>
    <w:rsid w:val="009740C9"/>
    <w:rsid w:val="00974725"/>
    <w:rsid w:val="009870B8"/>
    <w:rsid w:val="00991406"/>
    <w:rsid w:val="009946B1"/>
    <w:rsid w:val="009A2A85"/>
    <w:rsid w:val="009A3061"/>
    <w:rsid w:val="009A4447"/>
    <w:rsid w:val="009B4EAB"/>
    <w:rsid w:val="009B6BDA"/>
    <w:rsid w:val="009B7751"/>
    <w:rsid w:val="009B7D32"/>
    <w:rsid w:val="009C5A3B"/>
    <w:rsid w:val="009D120E"/>
    <w:rsid w:val="009D2DA9"/>
    <w:rsid w:val="009D31DC"/>
    <w:rsid w:val="009D3AFA"/>
    <w:rsid w:val="009D7C9C"/>
    <w:rsid w:val="009E6BBA"/>
    <w:rsid w:val="009F0F84"/>
    <w:rsid w:val="009F1F3B"/>
    <w:rsid w:val="009F367E"/>
    <w:rsid w:val="009F663D"/>
    <w:rsid w:val="009F7382"/>
    <w:rsid w:val="009F793E"/>
    <w:rsid w:val="00A077C9"/>
    <w:rsid w:val="00A106A1"/>
    <w:rsid w:val="00A1155D"/>
    <w:rsid w:val="00A15143"/>
    <w:rsid w:val="00A1516D"/>
    <w:rsid w:val="00A15360"/>
    <w:rsid w:val="00A15718"/>
    <w:rsid w:val="00A15D67"/>
    <w:rsid w:val="00A20CEB"/>
    <w:rsid w:val="00A21B44"/>
    <w:rsid w:val="00A22C08"/>
    <w:rsid w:val="00A267DE"/>
    <w:rsid w:val="00A30527"/>
    <w:rsid w:val="00A354D0"/>
    <w:rsid w:val="00A4499C"/>
    <w:rsid w:val="00A450B8"/>
    <w:rsid w:val="00A46E06"/>
    <w:rsid w:val="00A5124E"/>
    <w:rsid w:val="00A60B69"/>
    <w:rsid w:val="00A64BCF"/>
    <w:rsid w:val="00A65489"/>
    <w:rsid w:val="00A66EBB"/>
    <w:rsid w:val="00A747EA"/>
    <w:rsid w:val="00A75F76"/>
    <w:rsid w:val="00A821A0"/>
    <w:rsid w:val="00A82A64"/>
    <w:rsid w:val="00A84640"/>
    <w:rsid w:val="00A90EC7"/>
    <w:rsid w:val="00A91754"/>
    <w:rsid w:val="00A95AAA"/>
    <w:rsid w:val="00A9695C"/>
    <w:rsid w:val="00AB5954"/>
    <w:rsid w:val="00AC359E"/>
    <w:rsid w:val="00AC3A5E"/>
    <w:rsid w:val="00AC60D6"/>
    <w:rsid w:val="00AD028D"/>
    <w:rsid w:val="00AD1644"/>
    <w:rsid w:val="00AD20FE"/>
    <w:rsid w:val="00AD6719"/>
    <w:rsid w:val="00AE0022"/>
    <w:rsid w:val="00AE3D9E"/>
    <w:rsid w:val="00AF06D9"/>
    <w:rsid w:val="00AF22D5"/>
    <w:rsid w:val="00AF31E0"/>
    <w:rsid w:val="00AF3E2E"/>
    <w:rsid w:val="00AF59B2"/>
    <w:rsid w:val="00AF6145"/>
    <w:rsid w:val="00B014E4"/>
    <w:rsid w:val="00B04171"/>
    <w:rsid w:val="00B11696"/>
    <w:rsid w:val="00B11E2D"/>
    <w:rsid w:val="00B13AEC"/>
    <w:rsid w:val="00B226EC"/>
    <w:rsid w:val="00B25890"/>
    <w:rsid w:val="00B264A4"/>
    <w:rsid w:val="00B37BB0"/>
    <w:rsid w:val="00B41B06"/>
    <w:rsid w:val="00B5156C"/>
    <w:rsid w:val="00B5295B"/>
    <w:rsid w:val="00B53248"/>
    <w:rsid w:val="00B534E1"/>
    <w:rsid w:val="00B54ED8"/>
    <w:rsid w:val="00B610B7"/>
    <w:rsid w:val="00B65646"/>
    <w:rsid w:val="00B66CD9"/>
    <w:rsid w:val="00B734F2"/>
    <w:rsid w:val="00B74678"/>
    <w:rsid w:val="00B81B71"/>
    <w:rsid w:val="00B838F8"/>
    <w:rsid w:val="00B940AD"/>
    <w:rsid w:val="00B9661D"/>
    <w:rsid w:val="00BA0D51"/>
    <w:rsid w:val="00BA23EB"/>
    <w:rsid w:val="00BA4278"/>
    <w:rsid w:val="00BA5438"/>
    <w:rsid w:val="00BB55BA"/>
    <w:rsid w:val="00BB5BAD"/>
    <w:rsid w:val="00BB5E0D"/>
    <w:rsid w:val="00BC1DD7"/>
    <w:rsid w:val="00BC1DF7"/>
    <w:rsid w:val="00BC29D5"/>
    <w:rsid w:val="00BC30BA"/>
    <w:rsid w:val="00BD0DE0"/>
    <w:rsid w:val="00BD13E4"/>
    <w:rsid w:val="00BD3BEF"/>
    <w:rsid w:val="00BD3CE6"/>
    <w:rsid w:val="00BE1689"/>
    <w:rsid w:val="00BE2D6A"/>
    <w:rsid w:val="00BE65CD"/>
    <w:rsid w:val="00BE7F69"/>
    <w:rsid w:val="00BF1C97"/>
    <w:rsid w:val="00C02E4C"/>
    <w:rsid w:val="00C06925"/>
    <w:rsid w:val="00C10EBA"/>
    <w:rsid w:val="00C229A6"/>
    <w:rsid w:val="00C23BB0"/>
    <w:rsid w:val="00C24D3D"/>
    <w:rsid w:val="00C269D0"/>
    <w:rsid w:val="00C26ADC"/>
    <w:rsid w:val="00C32DB2"/>
    <w:rsid w:val="00C330F8"/>
    <w:rsid w:val="00C342EE"/>
    <w:rsid w:val="00C36B64"/>
    <w:rsid w:val="00C51EB8"/>
    <w:rsid w:val="00C6711E"/>
    <w:rsid w:val="00C67D12"/>
    <w:rsid w:val="00C71120"/>
    <w:rsid w:val="00C730FD"/>
    <w:rsid w:val="00C7401F"/>
    <w:rsid w:val="00C8126F"/>
    <w:rsid w:val="00C816F3"/>
    <w:rsid w:val="00C81F73"/>
    <w:rsid w:val="00C9438B"/>
    <w:rsid w:val="00C947C2"/>
    <w:rsid w:val="00CA0D4E"/>
    <w:rsid w:val="00CA6BA4"/>
    <w:rsid w:val="00CA7F53"/>
    <w:rsid w:val="00CB08E4"/>
    <w:rsid w:val="00CB0A1B"/>
    <w:rsid w:val="00CB3218"/>
    <w:rsid w:val="00CB3314"/>
    <w:rsid w:val="00CB5587"/>
    <w:rsid w:val="00CB7F8B"/>
    <w:rsid w:val="00CC0048"/>
    <w:rsid w:val="00CC0C9F"/>
    <w:rsid w:val="00CC328D"/>
    <w:rsid w:val="00CC383A"/>
    <w:rsid w:val="00CC77F3"/>
    <w:rsid w:val="00CD2B58"/>
    <w:rsid w:val="00CD71AD"/>
    <w:rsid w:val="00CD72C4"/>
    <w:rsid w:val="00CD73ED"/>
    <w:rsid w:val="00CD7494"/>
    <w:rsid w:val="00CE7A34"/>
    <w:rsid w:val="00CF2D9D"/>
    <w:rsid w:val="00D031DE"/>
    <w:rsid w:val="00D040EB"/>
    <w:rsid w:val="00D05FF4"/>
    <w:rsid w:val="00D06039"/>
    <w:rsid w:val="00D06A8E"/>
    <w:rsid w:val="00D12CE8"/>
    <w:rsid w:val="00D135FF"/>
    <w:rsid w:val="00D16FA9"/>
    <w:rsid w:val="00D225BB"/>
    <w:rsid w:val="00D26C4E"/>
    <w:rsid w:val="00D3103B"/>
    <w:rsid w:val="00D31062"/>
    <w:rsid w:val="00D32AA9"/>
    <w:rsid w:val="00D345C9"/>
    <w:rsid w:val="00D40A7C"/>
    <w:rsid w:val="00D40B79"/>
    <w:rsid w:val="00D421E6"/>
    <w:rsid w:val="00D445BF"/>
    <w:rsid w:val="00D45AA8"/>
    <w:rsid w:val="00D45B5C"/>
    <w:rsid w:val="00D4732C"/>
    <w:rsid w:val="00D4775D"/>
    <w:rsid w:val="00D533A1"/>
    <w:rsid w:val="00D54E86"/>
    <w:rsid w:val="00D56E00"/>
    <w:rsid w:val="00D62C4F"/>
    <w:rsid w:val="00D675AF"/>
    <w:rsid w:val="00D704A3"/>
    <w:rsid w:val="00D71926"/>
    <w:rsid w:val="00D72975"/>
    <w:rsid w:val="00D8048A"/>
    <w:rsid w:val="00D828BB"/>
    <w:rsid w:val="00D8431F"/>
    <w:rsid w:val="00D852C8"/>
    <w:rsid w:val="00D85519"/>
    <w:rsid w:val="00D9460D"/>
    <w:rsid w:val="00D95900"/>
    <w:rsid w:val="00DA0928"/>
    <w:rsid w:val="00DA2BD8"/>
    <w:rsid w:val="00DA734F"/>
    <w:rsid w:val="00DB0A48"/>
    <w:rsid w:val="00DB7297"/>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79E"/>
    <w:rsid w:val="00E0149A"/>
    <w:rsid w:val="00E0224B"/>
    <w:rsid w:val="00E03324"/>
    <w:rsid w:val="00E05314"/>
    <w:rsid w:val="00E06BF6"/>
    <w:rsid w:val="00E06CEF"/>
    <w:rsid w:val="00E071B0"/>
    <w:rsid w:val="00E07CFE"/>
    <w:rsid w:val="00E104FA"/>
    <w:rsid w:val="00E108F6"/>
    <w:rsid w:val="00E11AC4"/>
    <w:rsid w:val="00E12810"/>
    <w:rsid w:val="00E12C21"/>
    <w:rsid w:val="00E12D30"/>
    <w:rsid w:val="00E130E5"/>
    <w:rsid w:val="00E1330E"/>
    <w:rsid w:val="00E156B9"/>
    <w:rsid w:val="00E165AE"/>
    <w:rsid w:val="00E21533"/>
    <w:rsid w:val="00E2184B"/>
    <w:rsid w:val="00E21BB8"/>
    <w:rsid w:val="00E25716"/>
    <w:rsid w:val="00E2620C"/>
    <w:rsid w:val="00E30F5D"/>
    <w:rsid w:val="00E413A6"/>
    <w:rsid w:val="00E47D99"/>
    <w:rsid w:val="00E5528A"/>
    <w:rsid w:val="00E561E9"/>
    <w:rsid w:val="00E612DE"/>
    <w:rsid w:val="00E6144B"/>
    <w:rsid w:val="00E616F7"/>
    <w:rsid w:val="00E62D47"/>
    <w:rsid w:val="00E65C65"/>
    <w:rsid w:val="00E66F22"/>
    <w:rsid w:val="00E73433"/>
    <w:rsid w:val="00E75ADC"/>
    <w:rsid w:val="00E83CE9"/>
    <w:rsid w:val="00E8462E"/>
    <w:rsid w:val="00E8513B"/>
    <w:rsid w:val="00E927D9"/>
    <w:rsid w:val="00E9424E"/>
    <w:rsid w:val="00E9563F"/>
    <w:rsid w:val="00EA070C"/>
    <w:rsid w:val="00EA12FA"/>
    <w:rsid w:val="00EA49D9"/>
    <w:rsid w:val="00EA53A1"/>
    <w:rsid w:val="00EA6D79"/>
    <w:rsid w:val="00EB01EF"/>
    <w:rsid w:val="00EB0BAF"/>
    <w:rsid w:val="00EB3DFB"/>
    <w:rsid w:val="00EC24D8"/>
    <w:rsid w:val="00EC5767"/>
    <w:rsid w:val="00EC5C89"/>
    <w:rsid w:val="00ED6064"/>
    <w:rsid w:val="00EE0A78"/>
    <w:rsid w:val="00EE7598"/>
    <w:rsid w:val="00EF0DD3"/>
    <w:rsid w:val="00EF1425"/>
    <w:rsid w:val="00EF14E0"/>
    <w:rsid w:val="00EF2C88"/>
    <w:rsid w:val="00EF767D"/>
    <w:rsid w:val="00F0652B"/>
    <w:rsid w:val="00F11523"/>
    <w:rsid w:val="00F14283"/>
    <w:rsid w:val="00F14FAF"/>
    <w:rsid w:val="00F16065"/>
    <w:rsid w:val="00F174A7"/>
    <w:rsid w:val="00F225EF"/>
    <w:rsid w:val="00F22B65"/>
    <w:rsid w:val="00F25257"/>
    <w:rsid w:val="00F27B1C"/>
    <w:rsid w:val="00F30361"/>
    <w:rsid w:val="00F30557"/>
    <w:rsid w:val="00F33109"/>
    <w:rsid w:val="00F3737F"/>
    <w:rsid w:val="00F40037"/>
    <w:rsid w:val="00F4337B"/>
    <w:rsid w:val="00F43D29"/>
    <w:rsid w:val="00F46FF8"/>
    <w:rsid w:val="00F4763C"/>
    <w:rsid w:val="00F507CB"/>
    <w:rsid w:val="00F52B48"/>
    <w:rsid w:val="00F561EB"/>
    <w:rsid w:val="00F64FEB"/>
    <w:rsid w:val="00F702F4"/>
    <w:rsid w:val="00F730CF"/>
    <w:rsid w:val="00F81A21"/>
    <w:rsid w:val="00F81F2B"/>
    <w:rsid w:val="00F8302F"/>
    <w:rsid w:val="00F8468C"/>
    <w:rsid w:val="00F867BF"/>
    <w:rsid w:val="00F8724A"/>
    <w:rsid w:val="00F91118"/>
    <w:rsid w:val="00F92AFA"/>
    <w:rsid w:val="00F93479"/>
    <w:rsid w:val="00F935CA"/>
    <w:rsid w:val="00F950BF"/>
    <w:rsid w:val="00F95BA8"/>
    <w:rsid w:val="00FA5A7D"/>
    <w:rsid w:val="00FA66BD"/>
    <w:rsid w:val="00FB3D21"/>
    <w:rsid w:val="00FB40F0"/>
    <w:rsid w:val="00FD37AB"/>
    <w:rsid w:val="00FD619A"/>
    <w:rsid w:val="00FE0409"/>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1E69-3E97-4D65-8C01-01EEEA2010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http://purl.org/dc/terms/"/>
    <ds:schemaRef ds:uri="http://schemas.openxmlformats.org/package/2006/metadata/core-properties"/>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2CF13131-E160-4236-9AC4-5A4C884B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4885</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Maskavas ielā 435, k-1, Rīgā, pārdošanu"</vt:lpstr>
    </vt:vector>
  </TitlesOfParts>
  <Company>Finanšu ministrija (VNĪ)</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Maskavas ielā 435, k-1, Rīgā, pārdošanu"</dc:title>
  <dc:subject>Izziņa par atzinumos sniegtajiem iebildumiem</dc:subject>
  <dc:creator>Liga.Rozenberga@vni.lv</dc:creator>
  <cp:keywords/>
  <dc:description>Liga.Rozenberga@vni.lv
22046774</dc:description>
  <cp:lastModifiedBy>Līga Rozenberga</cp:lastModifiedBy>
  <cp:revision>51</cp:revision>
  <cp:lastPrinted>2020-06-29T08:34:00Z</cp:lastPrinted>
  <dcterms:created xsi:type="dcterms:W3CDTF">2020-09-25T14:01:00Z</dcterms:created>
  <dcterms:modified xsi:type="dcterms:W3CDTF">2020-10-14T12:46:00Z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