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F1" w:rsidRPr="00E04A37" w:rsidRDefault="006D69F1" w:rsidP="006D69F1">
      <w:pPr>
        <w:pStyle w:val="naisnod"/>
        <w:spacing w:before="0" w:after="0"/>
        <w:ind w:firstLine="720"/>
      </w:pPr>
      <w:r w:rsidRPr="00E04A37">
        <w:t>Izziņa par atzinumos sniegtajiem iebildumiem</w:t>
      </w:r>
    </w:p>
    <w:tbl>
      <w:tblPr>
        <w:tblW w:w="0" w:type="auto"/>
        <w:jc w:val="center"/>
        <w:tblLook w:val="00A0" w:firstRow="1" w:lastRow="0" w:firstColumn="1" w:lastColumn="0" w:noHBand="0" w:noVBand="0"/>
      </w:tblPr>
      <w:tblGrid>
        <w:gridCol w:w="10188"/>
      </w:tblGrid>
      <w:tr w:rsidR="006D69F1" w:rsidRPr="00E04A37" w:rsidTr="008D07A5">
        <w:trPr>
          <w:jc w:val="center"/>
        </w:trPr>
        <w:tc>
          <w:tcPr>
            <w:tcW w:w="10188" w:type="dxa"/>
            <w:tcBorders>
              <w:bottom w:val="single" w:sz="6" w:space="0" w:color="000000"/>
            </w:tcBorders>
          </w:tcPr>
          <w:p w:rsidR="006D69F1" w:rsidRPr="00E04A37" w:rsidRDefault="00E04A37" w:rsidP="00E04A37">
            <w:pPr>
              <w:spacing w:line="240" w:lineRule="auto"/>
              <w:ind w:firstLine="720"/>
              <w:jc w:val="center"/>
              <w:rPr>
                <w:rFonts w:ascii="Times New Roman" w:hAnsi="Times New Roman" w:cs="Times New Roman"/>
                <w:b/>
                <w:iCs/>
                <w:sz w:val="24"/>
                <w:szCs w:val="24"/>
              </w:rPr>
            </w:pPr>
            <w:r w:rsidRPr="00E04A37">
              <w:rPr>
                <w:rFonts w:ascii="Times New Roman" w:hAnsi="Times New Roman" w:cs="Times New Roman"/>
                <w:b/>
                <w:sz w:val="24"/>
                <w:szCs w:val="24"/>
              </w:rPr>
              <w:t>par informatīvo ziņojumu</w:t>
            </w:r>
            <w:r w:rsidR="006D69F1" w:rsidRPr="00E04A37">
              <w:rPr>
                <w:rFonts w:ascii="Times New Roman" w:hAnsi="Times New Roman" w:cs="Times New Roman"/>
                <w:b/>
                <w:sz w:val="24"/>
                <w:szCs w:val="24"/>
              </w:rPr>
              <w:t xml:space="preserve"> “</w:t>
            </w:r>
            <w:r w:rsidRPr="00E04A37">
              <w:rPr>
                <w:rFonts w:ascii="Times New Roman" w:hAnsi="Times New Roman" w:cs="Times New Roman"/>
                <w:b/>
                <w:iCs/>
                <w:sz w:val="24"/>
                <w:szCs w:val="24"/>
              </w:rPr>
              <w:t>Par strukturālajām reformām iekšlietu nozarē</w:t>
            </w:r>
            <w:r w:rsidR="00AD6701" w:rsidRPr="00E04A37">
              <w:rPr>
                <w:rFonts w:ascii="Times New Roman" w:hAnsi="Times New Roman" w:cs="Times New Roman"/>
                <w:b/>
                <w:iCs/>
                <w:sz w:val="24"/>
                <w:szCs w:val="24"/>
              </w:rPr>
              <w:t>”</w:t>
            </w:r>
          </w:p>
        </w:tc>
      </w:tr>
    </w:tbl>
    <w:p w:rsidR="006D69F1" w:rsidRPr="00E04A37" w:rsidRDefault="006D69F1" w:rsidP="006D69F1">
      <w:pPr>
        <w:pStyle w:val="naisc"/>
        <w:spacing w:before="0" w:after="0"/>
        <w:ind w:firstLine="1080"/>
      </w:pPr>
      <w:r w:rsidRPr="00E04A37">
        <w:t>(dokumenta veids un nosaukums)</w:t>
      </w:r>
    </w:p>
    <w:p w:rsidR="006D69F1" w:rsidRPr="00E04A37" w:rsidRDefault="006D69F1" w:rsidP="00CB6956">
      <w:pPr>
        <w:pStyle w:val="naisf"/>
        <w:spacing w:before="0" w:after="0"/>
        <w:ind w:firstLine="0"/>
      </w:pPr>
    </w:p>
    <w:p w:rsidR="006D69F1" w:rsidRPr="00E04A37" w:rsidRDefault="006D69F1" w:rsidP="006D69F1">
      <w:pPr>
        <w:pStyle w:val="naisf"/>
        <w:numPr>
          <w:ilvl w:val="0"/>
          <w:numId w:val="1"/>
        </w:numPr>
        <w:spacing w:before="0" w:after="0"/>
        <w:jc w:val="center"/>
        <w:rPr>
          <w:b/>
        </w:rPr>
      </w:pPr>
      <w:r w:rsidRPr="00E04A37">
        <w:rPr>
          <w:b/>
        </w:rPr>
        <w:t>Jautājumi, par kuriem saskaņošanā vienošanās nav panākta</w:t>
      </w:r>
    </w:p>
    <w:p w:rsidR="006D69F1" w:rsidRPr="00E04A37" w:rsidRDefault="006D69F1" w:rsidP="006D69F1">
      <w:pPr>
        <w:pStyle w:val="naisf"/>
        <w:spacing w:before="0" w:after="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4678"/>
        <w:gridCol w:w="2977"/>
        <w:gridCol w:w="1559"/>
        <w:gridCol w:w="2085"/>
      </w:tblGrid>
      <w:tr w:rsidR="006D69F1" w:rsidRPr="00E04A37" w:rsidTr="00460B71">
        <w:tc>
          <w:tcPr>
            <w:tcW w:w="708"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pPr>
            <w:r w:rsidRPr="00E04A37">
              <w:t>Nr. p.k.</w:t>
            </w:r>
          </w:p>
        </w:tc>
        <w:tc>
          <w:tcPr>
            <w:tcW w:w="2261"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ind w:firstLine="12"/>
            </w:pPr>
            <w:r w:rsidRPr="00E04A37">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ind w:right="3"/>
            </w:pPr>
            <w:r w:rsidRPr="00E04A37">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ind w:firstLine="21"/>
            </w:pPr>
            <w:r w:rsidRPr="00E04A37">
              <w:t>Atbildīgās ministrijas pamatojums iebilduma noraidījumam</w:t>
            </w:r>
          </w:p>
        </w:tc>
        <w:tc>
          <w:tcPr>
            <w:tcW w:w="1559" w:type="dxa"/>
            <w:tcBorders>
              <w:top w:val="single" w:sz="4" w:space="0" w:color="auto"/>
              <w:left w:val="single" w:sz="4" w:space="0" w:color="auto"/>
              <w:bottom w:val="single" w:sz="4" w:space="0" w:color="auto"/>
              <w:right w:val="single" w:sz="4" w:space="0" w:color="auto"/>
            </w:tcBorders>
            <w:vAlign w:val="center"/>
          </w:tcPr>
          <w:p w:rsidR="006D69F1" w:rsidRPr="00E04A37" w:rsidRDefault="006D69F1" w:rsidP="008D07A5">
            <w:pPr>
              <w:jc w:val="center"/>
              <w:rPr>
                <w:rFonts w:ascii="Times New Roman" w:hAnsi="Times New Roman" w:cs="Times New Roman"/>
                <w:sz w:val="24"/>
                <w:szCs w:val="24"/>
              </w:rPr>
            </w:pPr>
            <w:r w:rsidRPr="00E04A37">
              <w:rPr>
                <w:rFonts w:ascii="Times New Roman" w:hAnsi="Times New Roman" w:cs="Times New Roman"/>
                <w:sz w:val="24"/>
                <w:szCs w:val="24"/>
              </w:rPr>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vAlign w:val="center"/>
          </w:tcPr>
          <w:p w:rsidR="006D69F1" w:rsidRPr="00E04A37" w:rsidRDefault="006D69F1" w:rsidP="008D07A5">
            <w:pPr>
              <w:jc w:val="center"/>
              <w:rPr>
                <w:rFonts w:ascii="Times New Roman" w:hAnsi="Times New Roman" w:cs="Times New Roman"/>
                <w:sz w:val="24"/>
                <w:szCs w:val="24"/>
              </w:rPr>
            </w:pPr>
            <w:r w:rsidRPr="00E04A37">
              <w:rPr>
                <w:rFonts w:ascii="Times New Roman" w:hAnsi="Times New Roman" w:cs="Times New Roman"/>
                <w:sz w:val="24"/>
                <w:szCs w:val="24"/>
              </w:rPr>
              <w:t>Projekta attiecīgā punkta (panta) galīgā redakcija</w:t>
            </w:r>
          </w:p>
        </w:tc>
      </w:tr>
      <w:tr w:rsidR="00460B71" w:rsidRPr="00E04A37" w:rsidTr="00460B71">
        <w:trPr>
          <w:trHeight w:val="270"/>
        </w:trPr>
        <w:tc>
          <w:tcPr>
            <w:tcW w:w="708" w:type="dxa"/>
            <w:tcBorders>
              <w:top w:val="single" w:sz="6" w:space="0" w:color="000000"/>
              <w:left w:val="single" w:sz="6" w:space="0" w:color="000000"/>
              <w:bottom w:val="single" w:sz="6" w:space="0" w:color="000000"/>
              <w:right w:val="single" w:sz="6" w:space="0" w:color="000000"/>
            </w:tcBorders>
          </w:tcPr>
          <w:p w:rsidR="00460B71" w:rsidRPr="00E04A37" w:rsidRDefault="00460B71" w:rsidP="00E04A37">
            <w:pPr>
              <w:pStyle w:val="naisc"/>
              <w:numPr>
                <w:ilvl w:val="0"/>
                <w:numId w:val="4"/>
              </w:numPr>
              <w:spacing w:before="0" w:after="0"/>
            </w:pPr>
          </w:p>
        </w:tc>
        <w:tc>
          <w:tcPr>
            <w:tcW w:w="2261" w:type="dxa"/>
            <w:tcBorders>
              <w:top w:val="single" w:sz="6" w:space="0" w:color="000000"/>
              <w:left w:val="single" w:sz="6" w:space="0" w:color="000000"/>
              <w:bottom w:val="single" w:sz="6" w:space="0" w:color="000000"/>
              <w:right w:val="single" w:sz="6" w:space="0" w:color="000000"/>
            </w:tcBorders>
          </w:tcPr>
          <w:p w:rsidR="00460B71" w:rsidRPr="00E04A37" w:rsidRDefault="00E04A37" w:rsidP="00E04A37">
            <w:pPr>
              <w:spacing w:after="0" w:line="240" w:lineRule="auto"/>
              <w:ind w:firstLine="425"/>
              <w:jc w:val="center"/>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2.</w:t>
            </w:r>
          </w:p>
        </w:tc>
        <w:tc>
          <w:tcPr>
            <w:tcW w:w="4678" w:type="dxa"/>
            <w:tcBorders>
              <w:top w:val="single" w:sz="6" w:space="0" w:color="000000"/>
              <w:left w:val="single" w:sz="6" w:space="0" w:color="000000"/>
              <w:bottom w:val="single" w:sz="6" w:space="0" w:color="000000"/>
              <w:right w:val="single" w:sz="6" w:space="0" w:color="000000"/>
            </w:tcBorders>
          </w:tcPr>
          <w:p w:rsidR="00460B71" w:rsidRPr="00E04A37" w:rsidRDefault="00E04A37" w:rsidP="00E04A37">
            <w:pPr>
              <w:widowControl w:val="0"/>
              <w:tabs>
                <w:tab w:val="left" w:pos="567"/>
              </w:tabs>
              <w:spacing w:after="0" w:line="240" w:lineRule="auto"/>
              <w:jc w:val="center"/>
              <w:rPr>
                <w:rFonts w:ascii="Times New Roman" w:hAnsi="Times New Roman" w:cs="Times New Roman"/>
                <w:sz w:val="24"/>
                <w:szCs w:val="24"/>
              </w:rPr>
            </w:pPr>
            <w:r w:rsidRPr="00E04A37">
              <w:rPr>
                <w:rFonts w:ascii="Times New Roman" w:hAnsi="Times New Roman" w:cs="Times New Roman"/>
                <w:sz w:val="24"/>
                <w:szCs w:val="24"/>
              </w:rPr>
              <w:t>3.</w:t>
            </w:r>
          </w:p>
        </w:tc>
        <w:tc>
          <w:tcPr>
            <w:tcW w:w="2977" w:type="dxa"/>
            <w:tcBorders>
              <w:top w:val="single" w:sz="6" w:space="0" w:color="000000"/>
              <w:left w:val="single" w:sz="6" w:space="0" w:color="000000"/>
              <w:bottom w:val="single" w:sz="6" w:space="0" w:color="000000"/>
              <w:right w:val="single" w:sz="6" w:space="0" w:color="000000"/>
            </w:tcBorders>
          </w:tcPr>
          <w:p w:rsidR="00583BA9" w:rsidRPr="00E04A37" w:rsidRDefault="00E04A37" w:rsidP="00E04A37">
            <w:pPr>
              <w:spacing w:after="0" w:line="276" w:lineRule="auto"/>
              <w:ind w:firstLine="425"/>
              <w:jc w:val="center"/>
              <w:rPr>
                <w:rFonts w:ascii="Times New Roman" w:hAnsi="Times New Roman" w:cs="Times New Roman"/>
                <w:sz w:val="24"/>
                <w:szCs w:val="24"/>
              </w:rPr>
            </w:pPr>
            <w:r w:rsidRPr="00E04A37">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460B71" w:rsidRPr="00E04A37" w:rsidRDefault="00E04A37" w:rsidP="00E04A37">
            <w:pPr>
              <w:jc w:val="center"/>
              <w:rPr>
                <w:rFonts w:ascii="Times New Roman" w:hAnsi="Times New Roman" w:cs="Times New Roman"/>
                <w:sz w:val="24"/>
                <w:szCs w:val="24"/>
              </w:rPr>
            </w:pPr>
            <w:r w:rsidRPr="00E04A37">
              <w:rPr>
                <w:rFonts w:ascii="Times New Roman" w:hAnsi="Times New Roman" w:cs="Times New Roman"/>
                <w:sz w:val="24"/>
                <w:szCs w:val="24"/>
              </w:rPr>
              <w:t>5.</w:t>
            </w:r>
          </w:p>
        </w:tc>
        <w:tc>
          <w:tcPr>
            <w:tcW w:w="2085" w:type="dxa"/>
            <w:tcBorders>
              <w:top w:val="single" w:sz="4" w:space="0" w:color="auto"/>
              <w:left w:val="single" w:sz="4" w:space="0" w:color="auto"/>
              <w:bottom w:val="single" w:sz="4" w:space="0" w:color="auto"/>
            </w:tcBorders>
          </w:tcPr>
          <w:p w:rsidR="00460B71" w:rsidRPr="00E04A37" w:rsidRDefault="00E04A37" w:rsidP="00E04A37">
            <w:pPr>
              <w:spacing w:after="0" w:line="240" w:lineRule="auto"/>
              <w:ind w:firstLine="425"/>
              <w:jc w:val="center"/>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6.</w:t>
            </w:r>
          </w:p>
        </w:tc>
      </w:tr>
    </w:tbl>
    <w:p w:rsidR="006D69F1" w:rsidRPr="00E04A37" w:rsidRDefault="006D69F1" w:rsidP="006D69F1">
      <w:pPr>
        <w:pStyle w:val="naisf"/>
        <w:spacing w:before="0" w:after="0"/>
        <w:ind w:firstLine="0"/>
        <w:rPr>
          <w:b/>
        </w:rPr>
      </w:pPr>
    </w:p>
    <w:p w:rsidR="006D69F1" w:rsidRPr="00E04A37" w:rsidRDefault="006D69F1" w:rsidP="006D69F1">
      <w:pPr>
        <w:pStyle w:val="naisf"/>
        <w:spacing w:before="0" w:after="0"/>
        <w:ind w:firstLine="0"/>
        <w:rPr>
          <w:b/>
        </w:rPr>
      </w:pPr>
      <w:r w:rsidRPr="00E04A37">
        <w:rPr>
          <w:b/>
        </w:rPr>
        <w:t>Informācija par starpministriju (starpinstitūciju) sanāksmi vai elektronisko saskaņošanu</w:t>
      </w:r>
    </w:p>
    <w:p w:rsidR="006D69F1" w:rsidRPr="00E04A37" w:rsidRDefault="006D69F1" w:rsidP="006D69F1">
      <w:pPr>
        <w:pStyle w:val="naisf"/>
        <w:spacing w:before="0" w:after="0"/>
        <w:ind w:firstLine="0"/>
        <w:rPr>
          <w:b/>
        </w:rPr>
      </w:pPr>
    </w:p>
    <w:tbl>
      <w:tblPr>
        <w:tblW w:w="12582" w:type="dxa"/>
        <w:tblLook w:val="00A0" w:firstRow="1" w:lastRow="0" w:firstColumn="1" w:lastColumn="0" w:noHBand="0" w:noVBand="0"/>
      </w:tblPr>
      <w:tblGrid>
        <w:gridCol w:w="6345"/>
        <w:gridCol w:w="6237"/>
      </w:tblGrid>
      <w:tr w:rsidR="006D69F1" w:rsidRPr="00E04A37" w:rsidTr="00E04A37">
        <w:tc>
          <w:tcPr>
            <w:tcW w:w="6345" w:type="dxa"/>
          </w:tcPr>
          <w:p w:rsidR="006D69F1" w:rsidRPr="00E04A37" w:rsidRDefault="006D69F1" w:rsidP="008D07A5">
            <w:pPr>
              <w:pStyle w:val="naisf"/>
              <w:spacing w:before="0" w:after="0"/>
              <w:ind w:firstLine="0"/>
            </w:pPr>
            <w:r w:rsidRPr="00E04A37">
              <w:t>Datums</w:t>
            </w:r>
          </w:p>
        </w:tc>
        <w:tc>
          <w:tcPr>
            <w:tcW w:w="6237" w:type="dxa"/>
          </w:tcPr>
          <w:p w:rsidR="006D69F1" w:rsidRPr="00E04A37" w:rsidRDefault="00C523CD" w:rsidP="00367B91">
            <w:pPr>
              <w:pStyle w:val="NormalWeb"/>
              <w:spacing w:before="0" w:beforeAutospacing="0" w:after="0" w:afterAutospacing="0"/>
              <w:ind w:firstLine="59"/>
            </w:pPr>
            <w:r>
              <w:t>15.10.2020.-21</w:t>
            </w:r>
            <w:r w:rsidR="00367B91">
              <w:t>.10.2020.</w:t>
            </w:r>
          </w:p>
        </w:tc>
      </w:tr>
      <w:tr w:rsidR="006D69F1" w:rsidRPr="00E04A37" w:rsidTr="00E04A37">
        <w:trPr>
          <w:trHeight w:val="170"/>
        </w:trPr>
        <w:tc>
          <w:tcPr>
            <w:tcW w:w="6345" w:type="dxa"/>
          </w:tcPr>
          <w:p w:rsidR="006D69F1" w:rsidRPr="00E04A37" w:rsidRDefault="006D69F1" w:rsidP="008D07A5">
            <w:pPr>
              <w:pStyle w:val="naisf"/>
              <w:spacing w:before="0" w:after="0"/>
              <w:ind w:firstLine="0"/>
            </w:pPr>
          </w:p>
        </w:tc>
        <w:tc>
          <w:tcPr>
            <w:tcW w:w="6237" w:type="dxa"/>
          </w:tcPr>
          <w:p w:rsidR="006D69F1" w:rsidRPr="00E04A37" w:rsidRDefault="006D69F1" w:rsidP="008D07A5">
            <w:pPr>
              <w:pStyle w:val="NormalWeb"/>
              <w:spacing w:before="0" w:beforeAutospacing="0" w:after="0" w:afterAutospacing="0"/>
              <w:ind w:firstLine="720"/>
            </w:pPr>
          </w:p>
        </w:tc>
      </w:tr>
      <w:tr w:rsidR="006D69F1" w:rsidRPr="00E04A37" w:rsidTr="00E04A37">
        <w:trPr>
          <w:trHeight w:val="566"/>
        </w:trPr>
        <w:tc>
          <w:tcPr>
            <w:tcW w:w="6345" w:type="dxa"/>
          </w:tcPr>
          <w:p w:rsidR="006D69F1" w:rsidRPr="00E04A37" w:rsidRDefault="006D69F1" w:rsidP="008D07A5">
            <w:pPr>
              <w:pStyle w:val="naiskr"/>
              <w:spacing w:before="0" w:after="0"/>
            </w:pPr>
            <w:r w:rsidRPr="00E04A37">
              <w:t>Saskaņošanas dalībnieki</w:t>
            </w:r>
          </w:p>
        </w:tc>
        <w:tc>
          <w:tcPr>
            <w:tcW w:w="6237" w:type="dxa"/>
          </w:tcPr>
          <w:p w:rsidR="006D69F1" w:rsidRPr="00E04A37" w:rsidRDefault="006D69F1" w:rsidP="00E04A37">
            <w:pPr>
              <w:pStyle w:val="naiskr"/>
              <w:spacing w:before="0" w:after="0"/>
            </w:pPr>
            <w:r w:rsidRPr="00E04A37">
              <w:t xml:space="preserve">Tieslietu ministrija, Finanšu ministrija, </w:t>
            </w:r>
            <w:r w:rsidR="00F7181B" w:rsidRPr="00E04A37">
              <w:t xml:space="preserve">Veselības </w:t>
            </w:r>
            <w:r w:rsidR="00E04A37" w:rsidRPr="00E04A37">
              <w:t>ministrija, Latvijas Pašvaldību savienība</w:t>
            </w:r>
            <w:r w:rsidR="00F7181B" w:rsidRPr="00E04A37">
              <w:t xml:space="preserve"> </w:t>
            </w:r>
          </w:p>
        </w:tc>
      </w:tr>
    </w:tbl>
    <w:p w:rsidR="006D69F1" w:rsidRPr="00E04A37" w:rsidRDefault="006D69F1" w:rsidP="006D69F1">
      <w:pPr>
        <w:rPr>
          <w:rFonts w:ascii="Times New Roman" w:hAnsi="Times New Roman" w:cs="Times New Roman"/>
          <w:sz w:val="24"/>
          <w:szCs w:val="24"/>
        </w:rPr>
      </w:pPr>
    </w:p>
    <w:tbl>
      <w:tblPr>
        <w:tblW w:w="12582" w:type="dxa"/>
        <w:tblLook w:val="00A0" w:firstRow="1" w:lastRow="0" w:firstColumn="1" w:lastColumn="0" w:noHBand="0" w:noVBand="0"/>
      </w:tblPr>
      <w:tblGrid>
        <w:gridCol w:w="6506"/>
        <w:gridCol w:w="2850"/>
        <w:gridCol w:w="3226"/>
      </w:tblGrid>
      <w:tr w:rsidR="006D69F1" w:rsidRPr="00E04A37" w:rsidTr="00E04A37">
        <w:trPr>
          <w:trHeight w:val="285"/>
        </w:trPr>
        <w:tc>
          <w:tcPr>
            <w:tcW w:w="6506" w:type="dxa"/>
          </w:tcPr>
          <w:p w:rsidR="006D69F1" w:rsidRPr="00E04A37" w:rsidRDefault="006D69F1" w:rsidP="008D07A5">
            <w:pPr>
              <w:pStyle w:val="naiskr"/>
              <w:spacing w:before="0" w:after="0"/>
            </w:pPr>
            <w:r w:rsidRPr="00E04A37">
              <w:t>Saskaņošanas dalībnieki izskatīja šādu ministriju (citu institūciju) iebildumus</w:t>
            </w:r>
          </w:p>
        </w:tc>
        <w:tc>
          <w:tcPr>
            <w:tcW w:w="2850" w:type="dxa"/>
          </w:tcPr>
          <w:p w:rsidR="006D69F1" w:rsidRPr="00E04A37" w:rsidRDefault="00E04A37" w:rsidP="00E04A37">
            <w:pPr>
              <w:pStyle w:val="naiskr"/>
              <w:spacing w:before="0" w:after="0"/>
              <w:ind w:left="-100"/>
              <w:jc w:val="both"/>
            </w:pPr>
            <w:r w:rsidRPr="00E04A37">
              <w:t>T</w:t>
            </w:r>
            <w:r>
              <w:t>ieslietu ministrija</w:t>
            </w:r>
            <w:r w:rsidR="005B0A56">
              <w:t>, Finanšu ministrija</w:t>
            </w:r>
          </w:p>
        </w:tc>
        <w:tc>
          <w:tcPr>
            <w:tcW w:w="3226" w:type="dxa"/>
          </w:tcPr>
          <w:p w:rsidR="006D69F1" w:rsidRPr="00E04A37" w:rsidRDefault="006D69F1" w:rsidP="008D07A5">
            <w:pPr>
              <w:pStyle w:val="naiskr"/>
              <w:spacing w:before="0" w:after="0"/>
              <w:ind w:firstLine="12"/>
            </w:pPr>
          </w:p>
        </w:tc>
      </w:tr>
      <w:tr w:rsidR="006D69F1" w:rsidRPr="00E04A37" w:rsidTr="00E04A37">
        <w:tc>
          <w:tcPr>
            <w:tcW w:w="6506" w:type="dxa"/>
          </w:tcPr>
          <w:p w:rsidR="00CB6956" w:rsidRDefault="00CB6956" w:rsidP="008D07A5">
            <w:pPr>
              <w:pStyle w:val="naiskr"/>
              <w:spacing w:before="0" w:after="0"/>
            </w:pPr>
          </w:p>
          <w:p w:rsidR="006D69F1" w:rsidRDefault="006D69F1" w:rsidP="008D07A5">
            <w:pPr>
              <w:pStyle w:val="naiskr"/>
              <w:spacing w:before="0" w:after="0"/>
            </w:pPr>
            <w:r w:rsidRPr="00E04A37">
              <w:lastRenderedPageBreak/>
              <w:t>Ministrijas (citas institūcijas), kuras nav ieradušās uz sanāksmi vai kuras nav atbildējušas uz uzaicinājumu piedalīties elektroniskajā saskaņošanā</w:t>
            </w:r>
          </w:p>
          <w:p w:rsidR="00C523CD" w:rsidRDefault="00C523CD" w:rsidP="008D07A5">
            <w:pPr>
              <w:pStyle w:val="naiskr"/>
              <w:spacing w:before="0" w:after="0"/>
            </w:pPr>
          </w:p>
          <w:p w:rsidR="00C523CD" w:rsidRPr="00E04A37" w:rsidRDefault="00C523CD" w:rsidP="008D07A5">
            <w:pPr>
              <w:pStyle w:val="naiskr"/>
              <w:spacing w:before="0" w:after="0"/>
            </w:pPr>
          </w:p>
        </w:tc>
        <w:tc>
          <w:tcPr>
            <w:tcW w:w="6076" w:type="dxa"/>
            <w:gridSpan w:val="2"/>
          </w:tcPr>
          <w:p w:rsidR="006D69F1" w:rsidRPr="00E04A37" w:rsidRDefault="006D69F1" w:rsidP="008D07A5">
            <w:pPr>
              <w:pStyle w:val="naiskr"/>
              <w:spacing w:before="0" w:after="0"/>
              <w:ind w:firstLine="720"/>
            </w:pPr>
          </w:p>
        </w:tc>
      </w:tr>
    </w:tbl>
    <w:p w:rsidR="006D69F1" w:rsidRPr="00E04A37" w:rsidRDefault="006D69F1" w:rsidP="006D69F1">
      <w:pPr>
        <w:pStyle w:val="naisf"/>
        <w:spacing w:before="0" w:after="0"/>
        <w:ind w:firstLine="0"/>
        <w:jc w:val="center"/>
        <w:rPr>
          <w:b/>
        </w:rPr>
      </w:pPr>
      <w:r w:rsidRPr="00E04A37">
        <w:rPr>
          <w:b/>
        </w:rPr>
        <w:t>II. Jautājumi, par kuriem saskaņošanā vienošanās ir panākta</w:t>
      </w:r>
    </w:p>
    <w:p w:rsidR="006D69F1" w:rsidRPr="00E04A37" w:rsidRDefault="006D69F1" w:rsidP="00B10C4B">
      <w:pPr>
        <w:pStyle w:val="naisf"/>
        <w:spacing w:before="0" w:after="0"/>
        <w:ind w:firstLine="0"/>
      </w:pPr>
    </w:p>
    <w:tbl>
      <w:tblPr>
        <w:tblW w:w="1546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3259"/>
        <w:gridCol w:w="4535"/>
        <w:gridCol w:w="2409"/>
        <w:gridCol w:w="4259"/>
        <w:gridCol w:w="17"/>
      </w:tblGrid>
      <w:tr w:rsidR="006D69F1"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pPr>
            <w:r w:rsidRPr="00E04A37">
              <w:t>Nr. p.k.</w:t>
            </w:r>
          </w:p>
        </w:tc>
        <w:tc>
          <w:tcPr>
            <w:tcW w:w="3259"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ind w:firstLine="12"/>
            </w:pPr>
            <w:r w:rsidRPr="00E04A37">
              <w:t>Saskaņošanai nosūtītā projekta redakcija (konkrēta punkta (panta) redakcija)</w:t>
            </w:r>
          </w:p>
        </w:tc>
        <w:tc>
          <w:tcPr>
            <w:tcW w:w="4535"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ind w:right="3"/>
            </w:pPr>
            <w:r w:rsidRPr="00E04A37">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rsidR="006D69F1" w:rsidRPr="00E04A37" w:rsidRDefault="006D69F1" w:rsidP="008D07A5">
            <w:pPr>
              <w:pStyle w:val="naisc"/>
              <w:spacing w:before="0" w:after="0"/>
              <w:ind w:firstLine="21"/>
            </w:pPr>
            <w:r w:rsidRPr="00E04A37">
              <w:t>Atbildīgās ministrijas norāde par to, ka iebildums ir ņemts vērā, vai informācija par saskaņošanā panākto alternatīvo risinājumu</w:t>
            </w:r>
          </w:p>
        </w:tc>
        <w:tc>
          <w:tcPr>
            <w:tcW w:w="4259" w:type="dxa"/>
            <w:tcBorders>
              <w:top w:val="single" w:sz="4" w:space="0" w:color="auto"/>
              <w:left w:val="single" w:sz="4" w:space="0" w:color="auto"/>
              <w:bottom w:val="single" w:sz="4" w:space="0" w:color="auto"/>
            </w:tcBorders>
            <w:vAlign w:val="center"/>
          </w:tcPr>
          <w:p w:rsidR="006D69F1" w:rsidRPr="00E04A37" w:rsidRDefault="006D69F1" w:rsidP="008D07A5">
            <w:pPr>
              <w:jc w:val="center"/>
              <w:rPr>
                <w:rFonts w:ascii="Times New Roman" w:hAnsi="Times New Roman" w:cs="Times New Roman"/>
                <w:sz w:val="24"/>
                <w:szCs w:val="24"/>
              </w:rPr>
            </w:pPr>
            <w:r w:rsidRPr="00E04A37">
              <w:rPr>
                <w:rFonts w:ascii="Times New Roman" w:hAnsi="Times New Roman" w:cs="Times New Roman"/>
                <w:sz w:val="24"/>
                <w:szCs w:val="24"/>
              </w:rPr>
              <w:t>Projekta attiecīgā punkta (panta) galīgā redakcija</w:t>
            </w:r>
          </w:p>
        </w:tc>
      </w:tr>
      <w:tr w:rsidR="005B0A56" w:rsidRPr="00E04A37" w:rsidTr="00727A0C">
        <w:tc>
          <w:tcPr>
            <w:tcW w:w="15464" w:type="dxa"/>
            <w:gridSpan w:val="6"/>
            <w:tcBorders>
              <w:top w:val="single" w:sz="6" w:space="0" w:color="000000"/>
              <w:left w:val="single" w:sz="6" w:space="0" w:color="000000"/>
              <w:bottom w:val="single" w:sz="6" w:space="0" w:color="000000"/>
            </w:tcBorders>
            <w:vAlign w:val="center"/>
          </w:tcPr>
          <w:p w:rsidR="005B0A56" w:rsidRPr="005B0A56" w:rsidRDefault="005B0A56" w:rsidP="005B0A56">
            <w:pPr>
              <w:ind w:firstLine="720"/>
              <w:jc w:val="center"/>
              <w:rPr>
                <w:rFonts w:ascii="Times New Roman" w:hAnsi="Times New Roman" w:cs="Times New Roman"/>
                <w:b/>
                <w:sz w:val="24"/>
                <w:szCs w:val="24"/>
              </w:rPr>
            </w:pPr>
            <w:r w:rsidRPr="00E04A37">
              <w:rPr>
                <w:rFonts w:ascii="Times New Roman" w:hAnsi="Times New Roman" w:cs="Times New Roman"/>
                <w:b/>
                <w:sz w:val="24"/>
                <w:szCs w:val="24"/>
              </w:rPr>
              <w:t>Tieslietu ministrija</w:t>
            </w:r>
          </w:p>
        </w:tc>
      </w:tr>
      <w:tr w:rsidR="006D69F1"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6D69F1" w:rsidRPr="00E04A37" w:rsidRDefault="002E34B8" w:rsidP="0033752A">
            <w:pPr>
              <w:pStyle w:val="naisc"/>
              <w:spacing w:before="0" w:after="0"/>
              <w:ind w:left="360"/>
              <w:jc w:val="left"/>
            </w:pPr>
            <w:r>
              <w:t>1</w:t>
            </w:r>
            <w:r w:rsidR="00E04A37" w:rsidRPr="00E04A37">
              <w:t>.</w:t>
            </w:r>
          </w:p>
        </w:tc>
        <w:tc>
          <w:tcPr>
            <w:tcW w:w="3259" w:type="dxa"/>
            <w:tcBorders>
              <w:top w:val="single" w:sz="6" w:space="0" w:color="000000"/>
              <w:left w:val="single" w:sz="6" w:space="0" w:color="000000"/>
              <w:bottom w:val="single" w:sz="6" w:space="0" w:color="000000"/>
              <w:right w:val="single" w:sz="6" w:space="0" w:color="000000"/>
            </w:tcBorders>
          </w:tcPr>
          <w:p w:rsidR="006D69F1" w:rsidRPr="00E04A37" w:rsidRDefault="00CB6956" w:rsidP="00CB6956">
            <w:pPr>
              <w:pStyle w:val="naisc"/>
              <w:spacing w:before="0" w:after="0"/>
              <w:ind w:firstLine="31"/>
            </w:pPr>
            <w:r>
              <w:t>Iebildums izteikts attiecībā uz visu informatīvo ziņojumu kopumā.</w:t>
            </w:r>
          </w:p>
        </w:tc>
        <w:tc>
          <w:tcPr>
            <w:tcW w:w="4535" w:type="dxa"/>
            <w:tcBorders>
              <w:top w:val="single" w:sz="6" w:space="0" w:color="000000"/>
              <w:left w:val="single" w:sz="6" w:space="0" w:color="000000"/>
              <w:bottom w:val="single" w:sz="6" w:space="0" w:color="000000"/>
              <w:right w:val="single" w:sz="6" w:space="0" w:color="000000"/>
            </w:tcBorders>
          </w:tcPr>
          <w:p w:rsidR="00E04A37" w:rsidRPr="00E04A37" w:rsidRDefault="00E04A37" w:rsidP="00E04A37">
            <w:pPr>
              <w:spacing w:after="0" w:line="240" w:lineRule="auto"/>
              <w:ind w:firstLine="720"/>
              <w:jc w:val="both"/>
              <w:rPr>
                <w:rFonts w:ascii="Times New Roman" w:hAnsi="Times New Roman" w:cs="Times New Roman"/>
                <w:sz w:val="24"/>
                <w:szCs w:val="24"/>
              </w:rPr>
            </w:pPr>
            <w:r w:rsidRPr="00E04A37">
              <w:rPr>
                <w:rFonts w:ascii="Times New Roman" w:hAnsi="Times New Roman" w:cs="Times New Roman"/>
                <w:sz w:val="24"/>
                <w:szCs w:val="24"/>
              </w:rPr>
              <w:t>Tieslietu ministrija ir izskatījusi Iekšlietu ministrijas sagatavoto informatīvā ziņojuma projektu "Par strukturālajām reformām iekšlietu nozarē" (turpmāk – ziņojums) un atbalsta tā tālāku virzību, izsakot šādu iebildumu:</w:t>
            </w:r>
          </w:p>
          <w:p w:rsidR="00E04A37" w:rsidRPr="00E04A37" w:rsidRDefault="00E04A37" w:rsidP="00E04A37">
            <w:pPr>
              <w:spacing w:after="0" w:line="240" w:lineRule="auto"/>
              <w:jc w:val="both"/>
              <w:rPr>
                <w:rFonts w:ascii="Times New Roman" w:hAnsi="Times New Roman" w:cs="Times New Roman"/>
                <w:sz w:val="24"/>
                <w:szCs w:val="24"/>
              </w:rPr>
            </w:pPr>
            <w:r w:rsidRPr="00E04A37">
              <w:rPr>
                <w:rFonts w:ascii="Times New Roman" w:hAnsi="Times New Roman" w:cs="Times New Roman"/>
                <w:sz w:val="24"/>
                <w:szCs w:val="24"/>
              </w:rPr>
              <w:tab/>
              <w:t xml:space="preserve">Ziņojuma 9. lappusē un Ministru kabineta sēdes protokollēmuma "Informatīvais ziņojums "Par strukturālajām reformām iekšlietu nozarē"" (turpmāk – protokollēmuma projekts) 2. punktā norādīts, ka Iekšlietu ministrija lūdz atbalstīt ziņojumā iekļautos pasākumus strukturālo un zaļās pārejas reformas īstenošanai. Vienlaikus no ziņojuma un tam pievienotajiem pielikumiem secināms, ka iekļautie pasākumi strukturālo reformu īstenošanai, cita starpā, paredz </w:t>
            </w:r>
            <w:r w:rsidRPr="00E04A37">
              <w:rPr>
                <w:rFonts w:ascii="Times New Roman" w:hAnsi="Times New Roman" w:cs="Times New Roman"/>
                <w:sz w:val="24"/>
                <w:szCs w:val="24"/>
              </w:rPr>
              <w:lastRenderedPageBreak/>
              <w:t>Valsts policijas struktūras un funkciju racionalizēšanu un optimizēšanu atbilstoši Strukturālo reformu atbalsta programmas projekta "Iekšlietu nozares iestāžu efektivitātes paaugstināšana" pirmajam posmam (turpmāk – SRAP 1). Tāpat no ziņojuma secināms, ka Iekšlietu ministrija un tās padotības iestāžu vadība ir atbalstījusi SRAP 1 rekomendāciju ieviešanu un ir aktīvi uzsākušas izstrādāto rekomendāciju īstenošanu atbilstoši iekšējiem dokumentiem, darba plāniem, kā arī Iekšlietu ministrijas 2020. gada 17. augusta rīkojumam Nr. 1-112/899 "Par Eiropas Komisijas Strukturālo reformu atbalsta programmas projektā izstrādāto rekomendāciju ieviešanu". Atbilstoši minētā rīkojuma 1. punktam līdz 2021. gada 30. jūnijam paredzēts pārskatīt esošo Valsts policijas struktūru un, pamatojoties uz ekspertu ieteikumiem, izstrādāt jaunu Valsts policijas struktūru. Vienlaikus minētais punkts paredz līdz 2021. gada 30. jūnijam, pamatojoties uz veikto izvērtējumu, izstrādāt un apstiprināt jaunu Valsts policijas struktūru, kā arī tam pakārtotos iekšējos normatīvos aktus, rīkojuma un citus dokumentus organizatorisko un funkcionālo reformu īstenošanai.</w:t>
            </w:r>
          </w:p>
          <w:p w:rsidR="006D69F1" w:rsidRPr="00B10C4B" w:rsidRDefault="00E04A37" w:rsidP="00B10C4B">
            <w:pPr>
              <w:spacing w:after="0" w:line="240" w:lineRule="auto"/>
              <w:ind w:firstLine="720"/>
              <w:jc w:val="both"/>
              <w:rPr>
                <w:rFonts w:ascii="Times New Roman" w:hAnsi="Times New Roman" w:cs="Times New Roman"/>
                <w:sz w:val="24"/>
                <w:szCs w:val="24"/>
              </w:rPr>
            </w:pPr>
            <w:r w:rsidRPr="00E04A37">
              <w:rPr>
                <w:rFonts w:ascii="Times New Roman" w:hAnsi="Times New Roman" w:cs="Times New Roman"/>
                <w:sz w:val="24"/>
                <w:szCs w:val="24"/>
              </w:rPr>
              <w:t xml:space="preserve">Vēršam uzmanību, ka Ministru kabineta 2020. gada 14. jūlija sēdē izskatīts un atbalstīts informatīvais ziņojums "Par </w:t>
            </w:r>
            <w:r w:rsidRPr="00E04A37">
              <w:rPr>
                <w:rFonts w:ascii="Times New Roman" w:hAnsi="Times New Roman" w:cs="Times New Roman"/>
                <w:sz w:val="24"/>
                <w:szCs w:val="24"/>
              </w:rPr>
              <w:lastRenderedPageBreak/>
              <w:t>tiesu ekspertīžu institūta reformas ieviešanas iespēju izvērtējumu" (prot. Nr. 44 56. §), kas paredz īstenot tiesu ekspertīžu institūta reformu, kuras rezultātā plānots izveidot vienotu tiesu ekspertīžu iestādi, līdz 2025. gada 31. decembrim Valsts policijas Kriminālistikas pārvaldes Ekspertīžu biroju pievienojot Valsts tiesu ekspertīžu birojam. Vienlaikus minētais informatīvais ziņojums paredz virkni pasākumu, kas skar Valsts policijas Kriminālistikas pārvaldes Ekspertīžu biroju. Ne no ziņojuma, ne no protokollēmuma projekta nav izsecināms, kā, īstenojot SRAP 1, tiks ņemti vērā arī tiesu ekspertīžu institūta reformas īstenošanai paredzētie pasākumi. Līdz ar to norādām uz nepieciešamību ziņojumu un protokollēmuma projektu precizēt, norādot, ka, īstenojot SRAP 1 attiecībā uz Valsts policiju iekļautās rekomendācijas, tiks ņemti vērā Ministru kabineta 2020. gada 14. jūlija sēdē izskatītajā un atbalstītajā informatīvajā ziņojumā "Par tiesu ekspertīžu institūta reformas ieviešanas iespēju izvērtējumu" (prot. Nr. 44 56. §) iekļautie pasākumi, kas skar Valsts policiju.</w:t>
            </w:r>
          </w:p>
        </w:tc>
        <w:tc>
          <w:tcPr>
            <w:tcW w:w="2409" w:type="dxa"/>
            <w:tcBorders>
              <w:top w:val="single" w:sz="6" w:space="0" w:color="000000"/>
              <w:left w:val="single" w:sz="6" w:space="0" w:color="000000"/>
              <w:bottom w:val="single" w:sz="6" w:space="0" w:color="000000"/>
              <w:right w:val="single" w:sz="6" w:space="0" w:color="000000"/>
            </w:tcBorders>
          </w:tcPr>
          <w:p w:rsidR="006D69F1" w:rsidRPr="00E04A37" w:rsidRDefault="00E04A37" w:rsidP="004C4A3A">
            <w:pPr>
              <w:pStyle w:val="naisc"/>
              <w:spacing w:before="0" w:after="0"/>
              <w:rPr>
                <w:b/>
              </w:rPr>
            </w:pPr>
            <w:r w:rsidRPr="00E04A37">
              <w:rPr>
                <w:b/>
              </w:rPr>
              <w:lastRenderedPageBreak/>
              <w:t>Iebildums ņemts vērā</w:t>
            </w:r>
          </w:p>
        </w:tc>
        <w:tc>
          <w:tcPr>
            <w:tcW w:w="4259" w:type="dxa"/>
            <w:tcBorders>
              <w:top w:val="single" w:sz="4" w:space="0" w:color="auto"/>
              <w:left w:val="single" w:sz="4" w:space="0" w:color="auto"/>
              <w:bottom w:val="single" w:sz="4" w:space="0" w:color="auto"/>
            </w:tcBorders>
          </w:tcPr>
          <w:p w:rsidR="006D69F1" w:rsidRPr="002E34B8" w:rsidRDefault="002E34B8" w:rsidP="002E34B8">
            <w:pPr>
              <w:ind w:firstLine="743"/>
              <w:jc w:val="both"/>
              <w:rPr>
                <w:rFonts w:ascii="Times New Roman" w:hAnsi="Times New Roman" w:cs="Times New Roman"/>
                <w:sz w:val="24"/>
                <w:szCs w:val="24"/>
              </w:rPr>
            </w:pPr>
            <w:r w:rsidRPr="002E34B8">
              <w:rPr>
                <w:rFonts w:ascii="Times New Roman" w:hAnsi="Times New Roman" w:cs="Times New Roman"/>
                <w:sz w:val="24"/>
                <w:szCs w:val="24"/>
              </w:rPr>
              <w:t xml:space="preserve">Lai nodrošinātu iekšlietu nozarē noteikto stratēģisko prioritāšu sasniegšanu un ilgtermiņa nozares attīstību, ir nepieciešama tālredzīga un uz sabiedrības vajadzībām balstīta nekustamo īpašumu un infrastruktūras pārvaldības un attīstības politika. Iekšlietu ministrija un tās padotības iestādes jau strādā pie strukturālo reformu ieviešanas atbilstoši SRAP 1 projekta ietvaros saņemtajām starptautisko partneru rekomendācijām un no tā izrietošajam </w:t>
            </w:r>
            <w:r w:rsidRPr="002E34B8">
              <w:rPr>
                <w:rFonts w:ascii="Times New Roman" w:eastAsia="Times New Roman" w:hAnsi="Times New Roman" w:cs="Times New Roman"/>
                <w:sz w:val="24"/>
                <w:szCs w:val="24"/>
              </w:rPr>
              <w:t xml:space="preserve">SRAP 1 ieviešanas plānam. </w:t>
            </w:r>
            <w:r w:rsidRPr="002E34B8">
              <w:rPr>
                <w:rFonts w:ascii="Times New Roman" w:hAnsi="Times New Roman" w:cs="Times New Roman"/>
                <w:sz w:val="24"/>
                <w:szCs w:val="24"/>
                <w:u w:val="single"/>
              </w:rPr>
              <w:t xml:space="preserve">Īstenojot SRAP 1 attiecībā uz Valsts policiju iekļautās rekomendācijas, tiks ņemti vērā Ministru kabineta 2020. </w:t>
            </w:r>
            <w:r w:rsidRPr="002E34B8">
              <w:rPr>
                <w:rFonts w:ascii="Times New Roman" w:hAnsi="Times New Roman" w:cs="Times New Roman"/>
                <w:sz w:val="24"/>
                <w:szCs w:val="24"/>
                <w:u w:val="single"/>
              </w:rPr>
              <w:lastRenderedPageBreak/>
              <w:t>gada 14. jūlija sēdē izskatītajā un atbalstītajā informatīvajā ziņojumā "Par tiesu ekspertīžu institūta reformas ieviešanas iespēju izvērtējumu" (prot. Nr. 44 56. §) iekļautie pasākumi, kas skar Valsts policiju.</w:t>
            </w:r>
            <w:r w:rsidRPr="002E34B8">
              <w:rPr>
                <w:rFonts w:ascii="Times New Roman" w:hAnsi="Times New Roman" w:cs="Times New Roman"/>
                <w:sz w:val="24"/>
                <w:szCs w:val="24"/>
              </w:rPr>
              <w:t xml:space="preserve"> </w:t>
            </w:r>
            <w:r w:rsidRPr="002E34B8">
              <w:rPr>
                <w:rFonts w:ascii="Times New Roman" w:eastAsia="Times New Roman" w:hAnsi="Times New Roman" w:cs="Times New Roman"/>
                <w:sz w:val="24"/>
                <w:szCs w:val="24"/>
              </w:rPr>
              <w:t>Iekšlietu ministrija arī turpina darbu pie strukturālo reformu ieviešanas SRAP 2 un SRAP 3 projektu ietvaros. Tomēr, lai</w:t>
            </w:r>
            <w:r w:rsidRPr="002E34B8">
              <w:rPr>
                <w:rFonts w:ascii="Times New Roman" w:hAnsi="Times New Roman" w:cs="Times New Roman"/>
                <w:sz w:val="24"/>
                <w:szCs w:val="24"/>
              </w:rPr>
              <w:t xml:space="preserve"> strukturālās reformas patiesi būtu vērstas uz ilgtermiņa kvalitāti un uzlabojumiem, tām jānotiek paralēli vispārējai darba efektivizācijai un resursu optimizācijai.</w:t>
            </w:r>
          </w:p>
        </w:tc>
      </w:tr>
      <w:tr w:rsidR="005B0A56" w:rsidRPr="00E04A37" w:rsidTr="00727A0C">
        <w:tc>
          <w:tcPr>
            <w:tcW w:w="15464" w:type="dxa"/>
            <w:gridSpan w:val="6"/>
            <w:tcBorders>
              <w:top w:val="single" w:sz="6" w:space="0" w:color="000000"/>
              <w:left w:val="single" w:sz="6" w:space="0" w:color="000000"/>
              <w:bottom w:val="single" w:sz="6" w:space="0" w:color="000000"/>
            </w:tcBorders>
          </w:tcPr>
          <w:p w:rsidR="005B0A56" w:rsidRPr="005B0A56" w:rsidRDefault="005B0A56" w:rsidP="005B0A56">
            <w:pPr>
              <w:jc w:val="center"/>
              <w:rPr>
                <w:rFonts w:ascii="Times New Roman" w:hAnsi="Times New Roman" w:cs="Times New Roman"/>
                <w:b/>
                <w:sz w:val="24"/>
                <w:szCs w:val="24"/>
              </w:rPr>
            </w:pPr>
            <w:r w:rsidRPr="005B0A56">
              <w:rPr>
                <w:rFonts w:ascii="Times New Roman" w:hAnsi="Times New Roman" w:cs="Times New Roman"/>
                <w:b/>
                <w:sz w:val="24"/>
                <w:szCs w:val="24"/>
              </w:rPr>
              <w:lastRenderedPageBreak/>
              <w:t>Finanšu ministrija</w:t>
            </w: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Default="005B0A56" w:rsidP="0033752A">
            <w:pPr>
              <w:pStyle w:val="naisc"/>
              <w:spacing w:before="0" w:after="0"/>
              <w:ind w:left="360"/>
              <w:jc w:val="left"/>
            </w:pPr>
          </w:p>
          <w:p w:rsidR="005B0A56" w:rsidRDefault="005B0A56" w:rsidP="0033752A">
            <w:pPr>
              <w:pStyle w:val="naisc"/>
              <w:spacing w:before="0" w:after="0"/>
              <w:ind w:left="360"/>
              <w:jc w:val="left"/>
            </w:pPr>
          </w:p>
          <w:p w:rsidR="005B0A56" w:rsidRPr="005B0A56" w:rsidRDefault="005B0A56" w:rsidP="0033752A">
            <w:pPr>
              <w:pStyle w:val="naisc"/>
              <w:spacing w:before="0" w:after="0"/>
              <w:ind w:left="360"/>
              <w:jc w:val="left"/>
            </w:pPr>
            <w:r w:rsidRPr="005B0A56">
              <w:t>2.</w:t>
            </w:r>
          </w:p>
        </w:tc>
        <w:tc>
          <w:tcPr>
            <w:tcW w:w="3259" w:type="dxa"/>
            <w:tcBorders>
              <w:top w:val="single" w:sz="6" w:space="0" w:color="000000"/>
              <w:left w:val="single" w:sz="6" w:space="0" w:color="000000"/>
              <w:bottom w:val="single" w:sz="6" w:space="0" w:color="000000"/>
              <w:right w:val="single" w:sz="6" w:space="0" w:color="000000"/>
            </w:tcBorders>
          </w:tcPr>
          <w:p w:rsidR="005B0A56" w:rsidRPr="005B0A56" w:rsidRDefault="005B0A56" w:rsidP="005B0A56">
            <w:pPr>
              <w:pStyle w:val="Parastais"/>
              <w:jc w:val="both"/>
              <w:rPr>
                <w:sz w:val="24"/>
                <w:szCs w:val="24"/>
              </w:rPr>
            </w:pPr>
            <w:r>
              <w:rPr>
                <w:sz w:val="24"/>
                <w:szCs w:val="24"/>
              </w:rPr>
              <w:t xml:space="preserve">3. </w:t>
            </w:r>
            <w:r w:rsidRPr="005B0A56">
              <w:rPr>
                <w:sz w:val="24"/>
                <w:szCs w:val="24"/>
              </w:rPr>
              <w:t>Noteikt, ka strukturālo reformu īstenošana iekšlietu nozarē tiek finansēta, piesaistot:</w:t>
            </w:r>
          </w:p>
          <w:p w:rsidR="005B0A56" w:rsidRPr="005B0A56" w:rsidRDefault="005B0A56" w:rsidP="005B0A56">
            <w:pPr>
              <w:pStyle w:val="Parastais"/>
              <w:jc w:val="both"/>
              <w:rPr>
                <w:sz w:val="24"/>
                <w:szCs w:val="24"/>
                <w:u w:val="single"/>
              </w:rPr>
            </w:pPr>
            <w:r w:rsidRPr="005B0A56">
              <w:rPr>
                <w:sz w:val="24"/>
                <w:szCs w:val="24"/>
                <w:u w:val="single"/>
              </w:rPr>
              <w:t>3.1. Atveseļošanas un noturības mehānisma finansējumu;</w:t>
            </w:r>
          </w:p>
          <w:p w:rsidR="005B0A56" w:rsidRPr="005B0A56" w:rsidRDefault="005B0A56" w:rsidP="005B0A56">
            <w:pPr>
              <w:pStyle w:val="Parastais"/>
              <w:jc w:val="both"/>
              <w:rPr>
                <w:sz w:val="24"/>
                <w:szCs w:val="24"/>
                <w:u w:val="single"/>
              </w:rPr>
            </w:pPr>
            <w:r w:rsidRPr="005B0A56">
              <w:rPr>
                <w:sz w:val="24"/>
                <w:szCs w:val="24"/>
                <w:u w:val="single"/>
              </w:rPr>
              <w:lastRenderedPageBreak/>
              <w:t>3.2. Eiropas Savienības fondu un programmu 2021.-2027.plānošanas perioda līdzekļus;</w:t>
            </w:r>
          </w:p>
          <w:p w:rsidR="005B0A56" w:rsidRPr="005B0A56" w:rsidRDefault="005B0A56" w:rsidP="005B0A56">
            <w:pPr>
              <w:pStyle w:val="Parastais"/>
              <w:jc w:val="both"/>
              <w:rPr>
                <w:sz w:val="24"/>
                <w:szCs w:val="24"/>
              </w:rPr>
            </w:pPr>
            <w:r>
              <w:rPr>
                <w:sz w:val="24"/>
                <w:szCs w:val="24"/>
              </w:rPr>
              <w:t xml:space="preserve">3.3. </w:t>
            </w:r>
            <w:r w:rsidRPr="005B0A56">
              <w:rPr>
                <w:sz w:val="24"/>
                <w:szCs w:val="24"/>
              </w:rPr>
              <w:t>iekšlietu nozares iestāžu pamatfunkciju izpildes nodrošināšanai piešķirtos valsts budžeta līdzekļus, nepieciešamības gadījumā virzot priekšlikumus par papildu finansējuma piešķiršanu gadskārtējā likumprojekta par valsts budžetu un likumprojekta par vidēja termiņa budžeta ietvaru sagatavošanas procesā;</w:t>
            </w:r>
          </w:p>
          <w:p w:rsidR="005B0A56" w:rsidRPr="005B0A56" w:rsidRDefault="005B0A56" w:rsidP="005B0A56">
            <w:pPr>
              <w:pStyle w:val="Parastais"/>
              <w:jc w:val="both"/>
              <w:rPr>
                <w:sz w:val="24"/>
                <w:szCs w:val="24"/>
              </w:rPr>
            </w:pPr>
            <w:r>
              <w:rPr>
                <w:sz w:val="24"/>
                <w:szCs w:val="24"/>
              </w:rPr>
              <w:t xml:space="preserve">3.4. </w:t>
            </w:r>
            <w:r w:rsidRPr="005B0A56">
              <w:rPr>
                <w:sz w:val="24"/>
                <w:szCs w:val="24"/>
              </w:rPr>
              <w:t>privāto finansējumu publiskās un privātās partnerības ietvaros, ja finanšu un ekonomisko aprēķinu sagatavošanas rezultātā tiks atbalstīta publiskās un privātās partnerības modeļa pielietošana nozares pamatfunkciju izpildei nepieciešamo objektu būvniecībai.</w:t>
            </w:r>
          </w:p>
        </w:tc>
        <w:tc>
          <w:tcPr>
            <w:tcW w:w="4535" w:type="dxa"/>
            <w:tcBorders>
              <w:top w:val="single" w:sz="6" w:space="0" w:color="000000"/>
              <w:left w:val="single" w:sz="6" w:space="0" w:color="000000"/>
              <w:bottom w:val="single" w:sz="6" w:space="0" w:color="000000"/>
              <w:right w:val="single" w:sz="6" w:space="0" w:color="000000"/>
            </w:tcBorders>
          </w:tcPr>
          <w:p w:rsidR="005B0A56" w:rsidRPr="005B0A56" w:rsidRDefault="005B0A56" w:rsidP="00984D7C">
            <w:pPr>
              <w:tabs>
                <w:tab w:val="left" w:pos="993"/>
              </w:tabs>
              <w:spacing w:after="0" w:line="240" w:lineRule="auto"/>
              <w:ind w:firstLine="606"/>
              <w:jc w:val="both"/>
              <w:rPr>
                <w:rFonts w:ascii="Times New Roman" w:hAnsi="Times New Roman" w:cs="Times New Roman"/>
                <w:sz w:val="24"/>
                <w:szCs w:val="24"/>
              </w:rPr>
            </w:pPr>
            <w:r w:rsidRPr="005B0A56">
              <w:rPr>
                <w:rFonts w:ascii="Times New Roman" w:hAnsi="Times New Roman" w:cs="Times New Roman"/>
                <w:sz w:val="24"/>
                <w:szCs w:val="24"/>
              </w:rPr>
              <w:lastRenderedPageBreak/>
              <w:t xml:space="preserve">Ņemot vērā, ka vēl turpinās diskusijas un nav panākta vienošanās par Atveseļošanas un noturības mehānisma saturu un finansējuma apjomu, kā arī par Eiropas Savienības fondu darbības programmu 2021 </w:t>
            </w:r>
            <w:r w:rsidRPr="005B0A56">
              <w:rPr>
                <w:rFonts w:ascii="Times New Roman" w:hAnsi="Times New Roman" w:cs="Times New Roman"/>
                <w:sz w:val="24"/>
                <w:szCs w:val="24"/>
              </w:rPr>
              <w:lastRenderedPageBreak/>
              <w:t xml:space="preserve">– 2027.gadam, lūdzam svītrot MK protokollēmuma 3.1. un 3.2.apakšpunktus, nodalot tos atsevišķā punktā un nosakot, ka Iekšlietu ministrija </w:t>
            </w:r>
            <w:r w:rsidRPr="005B0A56">
              <w:rPr>
                <w:rFonts w:ascii="Times New Roman" w:hAnsi="Times New Roman" w:cs="Times New Roman"/>
                <w:sz w:val="24"/>
                <w:szCs w:val="24"/>
                <w:u w:val="single"/>
              </w:rPr>
              <w:t>var nākt ar priekšlikumiem</w:t>
            </w:r>
            <w:r w:rsidRPr="005B0A56">
              <w:rPr>
                <w:rFonts w:ascii="Times New Roman" w:hAnsi="Times New Roman" w:cs="Times New Roman"/>
                <w:sz w:val="24"/>
                <w:szCs w:val="24"/>
              </w:rPr>
              <w:t xml:space="preserve"> finansējumam šo avotu ietvaros. </w:t>
            </w:r>
          </w:p>
          <w:p w:rsidR="005B0A56" w:rsidRPr="005B0A56" w:rsidRDefault="005B0A56" w:rsidP="005B0A56">
            <w:pPr>
              <w:rPr>
                <w:rFonts w:ascii="Times New Roman" w:hAnsi="Times New Roman" w:cs="Times New Roman"/>
                <w:b/>
                <w:sz w:val="24"/>
                <w:szCs w:val="24"/>
              </w:rPr>
            </w:pPr>
          </w:p>
        </w:tc>
        <w:tc>
          <w:tcPr>
            <w:tcW w:w="2409" w:type="dxa"/>
            <w:tcBorders>
              <w:top w:val="single" w:sz="6" w:space="0" w:color="000000"/>
              <w:left w:val="single" w:sz="6" w:space="0" w:color="000000"/>
              <w:bottom w:val="single" w:sz="6" w:space="0" w:color="000000"/>
              <w:right w:val="single" w:sz="6" w:space="0" w:color="000000"/>
            </w:tcBorders>
          </w:tcPr>
          <w:p w:rsidR="00984D7C" w:rsidRDefault="00984D7C" w:rsidP="00984D7C">
            <w:pPr>
              <w:pStyle w:val="naisc"/>
              <w:spacing w:before="0" w:after="0"/>
              <w:rPr>
                <w:b/>
              </w:rPr>
            </w:pPr>
            <w:r>
              <w:rPr>
                <w:b/>
              </w:rPr>
              <w:lastRenderedPageBreak/>
              <w:t>Iebildums ņemts vērā daļēji</w:t>
            </w:r>
          </w:p>
          <w:p w:rsidR="005B0A56" w:rsidRPr="005B0A56" w:rsidRDefault="00984D7C" w:rsidP="00984D7C">
            <w:pPr>
              <w:pStyle w:val="naisc"/>
              <w:spacing w:before="0" w:after="0"/>
              <w:jc w:val="both"/>
              <w:rPr>
                <w:b/>
              </w:rPr>
            </w:pPr>
            <w:r>
              <w:t xml:space="preserve">Uzdevumus sagatavot attiecīgus priekšlikumus </w:t>
            </w:r>
            <w:r>
              <w:lastRenderedPageBreak/>
              <w:t xml:space="preserve">Iekšlietu ministrijai ir paredzēts protokollēmuma 4.punktā, </w:t>
            </w:r>
            <w:r w:rsidRPr="00E93802">
              <w:rPr>
                <w:u w:val="single"/>
              </w:rPr>
              <w:t>gadījumā, ja tiks atbalstīta attiecīgo pasākumu īstenošana no attiecīgā resursu avota</w:t>
            </w:r>
            <w:r>
              <w:t xml:space="preserve">. Protokollēmuma 2.punkts ietver konceptuālu atbalstu informatīvajā ziņojumā paredzēto pasākumu īstenošanu finansēt no tajā minētajiem resursu avotiem. Attiecīgie priekšlikumi atbilstoši protokollēmuma 4.punktā paredzētajam tiks sagatavoti tikai pēc attiecīgo lēmumu pieņemšanas, līdz ar to, nesaskatām pretrunu starp protokollēmuma 2., 3. un 4.punktā paredzēto un to, ka diskusijas par no attiecīgajiem resursu avotiem atbalstāmajiem </w:t>
            </w:r>
            <w:r>
              <w:lastRenderedPageBreak/>
              <w:t>pasākumiem tikai vēl noris.</w:t>
            </w:r>
          </w:p>
        </w:tc>
        <w:tc>
          <w:tcPr>
            <w:tcW w:w="4259" w:type="dxa"/>
            <w:tcBorders>
              <w:top w:val="single" w:sz="4" w:space="0" w:color="auto"/>
              <w:left w:val="single" w:sz="4" w:space="0" w:color="auto"/>
              <w:bottom w:val="single" w:sz="4" w:space="0" w:color="auto"/>
            </w:tcBorders>
          </w:tcPr>
          <w:p w:rsidR="00984D7C" w:rsidRPr="00CA09C9" w:rsidRDefault="00984D7C" w:rsidP="00984D7C">
            <w:pPr>
              <w:pStyle w:val="naisc"/>
              <w:numPr>
                <w:ilvl w:val="0"/>
                <w:numId w:val="4"/>
              </w:numPr>
              <w:spacing w:after="0"/>
              <w:jc w:val="both"/>
            </w:pPr>
            <w:r>
              <w:lastRenderedPageBreak/>
              <w:t>Konceptuāli a</w:t>
            </w:r>
            <w:r w:rsidRPr="00CA09C9">
              <w:t xml:space="preserve">tbalstīt informatīvajā ziņojumā iekļautos pasākumus strukturālo un zaļās pārejas </w:t>
            </w:r>
            <w:r w:rsidRPr="00CA09C9">
              <w:lastRenderedPageBreak/>
              <w:t>reformas īstenošanai iekšlietu nozarē.</w:t>
            </w:r>
          </w:p>
          <w:p w:rsidR="00984D7C" w:rsidRPr="00CA09C9" w:rsidRDefault="00984D7C" w:rsidP="00984D7C">
            <w:pPr>
              <w:pStyle w:val="naisc"/>
              <w:numPr>
                <w:ilvl w:val="0"/>
                <w:numId w:val="4"/>
              </w:numPr>
              <w:spacing w:after="0"/>
              <w:jc w:val="both"/>
            </w:pPr>
            <w:r w:rsidRPr="00CA09C9">
              <w:t>Noteikt, ka strukt</w:t>
            </w:r>
            <w:r w:rsidR="00591B64">
              <w:t>urālo reformu īstenošanu</w:t>
            </w:r>
            <w:r w:rsidRPr="00CA09C9">
              <w:t xml:space="preserve"> iekšlietu nozarē </w:t>
            </w:r>
            <w:r w:rsidR="00591B64">
              <w:rPr>
                <w:u w:val="single"/>
              </w:rPr>
              <w:t>finansē, piesaistot</w:t>
            </w:r>
            <w:r w:rsidR="00591B64" w:rsidRPr="00BA6EA1">
              <w:rPr>
                <w:u w:val="single"/>
              </w:rPr>
              <w:t xml:space="preserve"> </w:t>
            </w:r>
            <w:r w:rsidR="00591B64">
              <w:rPr>
                <w:u w:val="single"/>
              </w:rPr>
              <w:t>vienu vai vairākus no zemāk minētajiem iespējamajiem finansēšanas avotiem, ja tiek atbalstīta finansējuma piešķiršana šim mērķim</w:t>
            </w:r>
            <w:r w:rsidR="00591B64" w:rsidRPr="00BA6EA1">
              <w:rPr>
                <w:u w:val="single"/>
              </w:rPr>
              <w:t>:</w:t>
            </w:r>
          </w:p>
          <w:p w:rsidR="00984D7C" w:rsidRPr="00CA09C9" w:rsidRDefault="00984D7C" w:rsidP="00984D7C">
            <w:pPr>
              <w:pStyle w:val="naisc"/>
              <w:numPr>
                <w:ilvl w:val="1"/>
                <w:numId w:val="8"/>
              </w:numPr>
              <w:spacing w:after="0"/>
              <w:jc w:val="both"/>
            </w:pPr>
            <w:r w:rsidRPr="00CA09C9">
              <w:t>Atveseļošanas un noturības mehānisma finansējumu;</w:t>
            </w:r>
          </w:p>
          <w:p w:rsidR="00984D7C" w:rsidRPr="00CA09C9" w:rsidRDefault="00984D7C" w:rsidP="00984D7C">
            <w:pPr>
              <w:pStyle w:val="naisc"/>
              <w:numPr>
                <w:ilvl w:val="1"/>
                <w:numId w:val="8"/>
              </w:numPr>
              <w:spacing w:after="0"/>
              <w:jc w:val="both"/>
            </w:pPr>
            <w:r w:rsidRPr="00CA09C9">
              <w:t>Eiropas Savienības fondu un programmu 2021.-2027.plānošanas perioda līdzekļus;</w:t>
            </w:r>
          </w:p>
          <w:p w:rsidR="00984D7C" w:rsidRPr="00CA09C9" w:rsidRDefault="00984D7C" w:rsidP="00984D7C">
            <w:pPr>
              <w:pStyle w:val="naisc"/>
              <w:numPr>
                <w:ilvl w:val="1"/>
                <w:numId w:val="8"/>
              </w:numPr>
              <w:spacing w:after="0"/>
              <w:jc w:val="both"/>
            </w:pPr>
            <w:r w:rsidRPr="00CA09C9">
              <w:t>iekšlietu nozares iestāžu pamatfunkciju izpildes nodrošināšanai piešķirtos valsts budžeta līdzekļus, nepieciešamības gadījumā virzot priekšlikumus par papildu finansējuma piešķiršanu gadskārtējā likumprojekta par valsts budžetu un likumprojekta par vidēja termiņa budžeta ietvaru sagatavošanas procesā;</w:t>
            </w:r>
          </w:p>
          <w:p w:rsidR="00984D7C" w:rsidRPr="00CA09C9" w:rsidRDefault="00984D7C" w:rsidP="00984D7C">
            <w:pPr>
              <w:pStyle w:val="naisc"/>
              <w:numPr>
                <w:ilvl w:val="1"/>
                <w:numId w:val="8"/>
              </w:numPr>
              <w:spacing w:after="0"/>
              <w:jc w:val="both"/>
            </w:pPr>
            <w:r w:rsidRPr="00CA09C9">
              <w:t>privāto finansējumu publiskās un privātās partnerības ietvaros, ja finanšu un ekonomisko aprēķinu sagatavošanas rezultātā ti</w:t>
            </w:r>
            <w:r>
              <w:t>ek konstatēts, ka</w:t>
            </w:r>
            <w:r w:rsidRPr="00CA09C9">
              <w:t xml:space="preserve"> publiskās un privātās partnerības modeļa </w:t>
            </w:r>
            <w:r>
              <w:t xml:space="preserve">īstenošana ir </w:t>
            </w:r>
            <w:r>
              <w:lastRenderedPageBreak/>
              <w:t>ekonomiski izdevīgāka alternatīva</w:t>
            </w:r>
            <w:r w:rsidRPr="00CA09C9">
              <w:t xml:space="preserve"> nozares pamatfunkciju izpildei nepieciešamo objektu būvniecībai.</w:t>
            </w:r>
          </w:p>
          <w:p w:rsidR="005B0A56" w:rsidRPr="00984D7C" w:rsidRDefault="00984D7C" w:rsidP="00984D7C">
            <w:pPr>
              <w:pStyle w:val="ListParagraph"/>
              <w:numPr>
                <w:ilvl w:val="0"/>
                <w:numId w:val="8"/>
              </w:numPr>
              <w:jc w:val="both"/>
              <w:rPr>
                <w:rFonts w:ascii="Times New Roman" w:hAnsi="Times New Roman" w:cs="Times New Roman"/>
                <w:sz w:val="24"/>
                <w:szCs w:val="24"/>
              </w:rPr>
            </w:pPr>
            <w:r w:rsidRPr="00984D7C">
              <w:rPr>
                <w:rFonts w:ascii="Times New Roman" w:eastAsia="Times New Roman" w:hAnsi="Times New Roman" w:cs="Times New Roman"/>
                <w:b/>
                <w:sz w:val="24"/>
                <w:szCs w:val="24"/>
                <w:u w:val="single"/>
                <w:lang w:eastAsia="lv-LV"/>
              </w:rPr>
              <w:t>Atbilstoši finansējuma pieejamībai attiecīgajā resursu avotā un pieņemtajiem lēmumiem</w:t>
            </w:r>
            <w:r w:rsidRPr="00984D7C">
              <w:rPr>
                <w:rFonts w:ascii="Times New Roman" w:eastAsia="Times New Roman" w:hAnsi="Times New Roman" w:cs="Times New Roman"/>
                <w:sz w:val="24"/>
                <w:szCs w:val="24"/>
                <w:lang w:eastAsia="lv-LV"/>
              </w:rPr>
              <w:t xml:space="preserve"> Iekšlietu ministrijai sagatavot un normatīvajos aktos noteiktajā kārtībā virzīt izskatīšanai Ministru kabinetā lēmumu projektus attiecīgo būvniecības projektu finansēšanai.</w:t>
            </w: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Pr="005B0A56" w:rsidRDefault="005B0A56" w:rsidP="0033752A">
            <w:pPr>
              <w:pStyle w:val="naisc"/>
              <w:spacing w:before="0" w:after="0"/>
              <w:ind w:left="360"/>
              <w:jc w:val="left"/>
            </w:pPr>
            <w:r>
              <w:lastRenderedPageBreak/>
              <w:t>3.</w:t>
            </w:r>
          </w:p>
        </w:tc>
        <w:tc>
          <w:tcPr>
            <w:tcW w:w="3259" w:type="dxa"/>
            <w:tcBorders>
              <w:top w:val="single" w:sz="6" w:space="0" w:color="000000"/>
              <w:left w:val="single" w:sz="6" w:space="0" w:color="000000"/>
              <w:bottom w:val="single" w:sz="6" w:space="0" w:color="000000"/>
              <w:right w:val="single" w:sz="6" w:space="0" w:color="000000"/>
            </w:tcBorders>
          </w:tcPr>
          <w:p w:rsidR="005B0A56" w:rsidRDefault="005B0A56" w:rsidP="005B0A56">
            <w:pPr>
              <w:pStyle w:val="naisc"/>
              <w:spacing w:after="0"/>
              <w:ind w:firstLine="31"/>
              <w:jc w:val="both"/>
            </w:pPr>
            <w:r>
              <w:t>3. Noteikt, ka strukturālo reformu īstenošana iekšlietu nozarē tiek finansēta, piesaistot:</w:t>
            </w:r>
          </w:p>
          <w:p w:rsidR="005B0A56" w:rsidRDefault="005B0A56" w:rsidP="005B0A56">
            <w:pPr>
              <w:pStyle w:val="naisc"/>
              <w:spacing w:after="0"/>
              <w:ind w:firstLine="31"/>
              <w:jc w:val="both"/>
            </w:pPr>
            <w:r>
              <w:t>3.1. Atveseļošanas un noturības mehānisma finansējumu;</w:t>
            </w:r>
          </w:p>
          <w:p w:rsidR="005B0A56" w:rsidRDefault="005B0A56" w:rsidP="005B0A56">
            <w:pPr>
              <w:pStyle w:val="naisc"/>
              <w:spacing w:after="0"/>
              <w:ind w:firstLine="31"/>
              <w:jc w:val="both"/>
            </w:pPr>
            <w:r>
              <w:t>3.2. Eiropas Savienības fondu un programmu 2021.-2027.plānošanas perioda līdzekļus;</w:t>
            </w:r>
          </w:p>
          <w:p w:rsidR="005B0A56" w:rsidRDefault="005B0A56" w:rsidP="005B0A56">
            <w:pPr>
              <w:pStyle w:val="naisc"/>
              <w:spacing w:after="0"/>
              <w:ind w:firstLine="31"/>
              <w:jc w:val="both"/>
            </w:pPr>
            <w:r>
              <w:t xml:space="preserve">3.3. iekšlietu nozares iestāžu pamatfunkciju izpildes nodrošināšanai piešķirtos valsts budžeta līdzekļus, nepieciešamības gadījumā virzot priekšlikumus par papildu finansējuma piešķiršanu gadskārtējā likumprojekta par valsts budžetu un likumprojekta par </w:t>
            </w:r>
            <w:r>
              <w:lastRenderedPageBreak/>
              <w:t>vidēja termiņa budžeta ietvaru sagatavošanas procesā;</w:t>
            </w:r>
          </w:p>
          <w:p w:rsidR="005B0A56" w:rsidRPr="005B0A56" w:rsidRDefault="005B0A56" w:rsidP="005B0A56">
            <w:pPr>
              <w:pStyle w:val="naisc"/>
              <w:spacing w:before="0" w:after="0"/>
              <w:ind w:firstLine="31"/>
              <w:jc w:val="both"/>
              <w:rPr>
                <w:u w:val="single"/>
              </w:rPr>
            </w:pPr>
            <w:r w:rsidRPr="005B0A56">
              <w:rPr>
                <w:u w:val="single"/>
              </w:rPr>
              <w:t>3.4. privāto finansējumu publiskās un privātās partnerības ietvaros, ja finanšu un ekonomisko aprēķinu sagatavošanas rezultātā tiks atbalstīta publiskās un privātās partnerības modeļa pielietošana nozares pamatfunkciju izpildei nepieciešamo objektu būvniecībai.</w:t>
            </w:r>
          </w:p>
        </w:tc>
        <w:tc>
          <w:tcPr>
            <w:tcW w:w="4535" w:type="dxa"/>
            <w:tcBorders>
              <w:top w:val="single" w:sz="6" w:space="0" w:color="000000"/>
              <w:left w:val="single" w:sz="6" w:space="0" w:color="000000"/>
              <w:bottom w:val="single" w:sz="6" w:space="0" w:color="000000"/>
              <w:right w:val="single" w:sz="6" w:space="0" w:color="000000"/>
            </w:tcBorders>
          </w:tcPr>
          <w:p w:rsidR="005B0A56" w:rsidRPr="005B0A56" w:rsidRDefault="005B0A56" w:rsidP="005B0A56">
            <w:pPr>
              <w:pStyle w:val="Parastais"/>
              <w:tabs>
                <w:tab w:val="left" w:pos="851"/>
              </w:tabs>
              <w:ind w:firstLine="601"/>
              <w:jc w:val="both"/>
              <w:rPr>
                <w:sz w:val="24"/>
                <w:szCs w:val="24"/>
              </w:rPr>
            </w:pPr>
            <w:r w:rsidRPr="005B0A56">
              <w:rPr>
                <w:sz w:val="24"/>
                <w:szCs w:val="24"/>
              </w:rPr>
              <w:lastRenderedPageBreak/>
              <w:t xml:space="preserve">Lūdzam MK protokollēmuma 3.4.apakšpunktu izteikt šādā redakcijā: </w:t>
            </w:r>
          </w:p>
          <w:p w:rsidR="005B0A56" w:rsidRPr="005B0A56" w:rsidRDefault="005B0A56" w:rsidP="005B0A56">
            <w:pPr>
              <w:pStyle w:val="Parastais"/>
              <w:tabs>
                <w:tab w:val="left" w:pos="851"/>
              </w:tabs>
              <w:ind w:firstLine="567"/>
              <w:jc w:val="both"/>
              <w:rPr>
                <w:sz w:val="24"/>
                <w:szCs w:val="24"/>
              </w:rPr>
            </w:pPr>
            <w:r w:rsidRPr="005B0A56">
              <w:rPr>
                <w:sz w:val="24"/>
                <w:szCs w:val="24"/>
              </w:rPr>
              <w:t>“3.4. privāto finansējumu publiskās un privātās partnerības ietvaros, ja finanšu un ekonomisko aprēķinu sagatavošanas rezultātā tiek konstatēts, ka publiskās un privātās partnerības projekta īstenošana ir ekonomiski izdevīgākā alternatīva nozares pamatfunkciju izpildei nepieciešamo objektu būvniecībai.”.</w:t>
            </w:r>
          </w:p>
          <w:p w:rsidR="005B0A56" w:rsidRPr="005B0A56" w:rsidRDefault="005B0A56" w:rsidP="00E04A37">
            <w:pPr>
              <w:ind w:firstLine="720"/>
              <w:jc w:val="center"/>
              <w:rPr>
                <w:rFonts w:ascii="Times New Roman" w:hAnsi="Times New Roman" w:cs="Times New Roman"/>
                <w:b/>
                <w:sz w:val="24"/>
                <w:szCs w:val="24"/>
              </w:rPr>
            </w:pPr>
          </w:p>
        </w:tc>
        <w:tc>
          <w:tcPr>
            <w:tcW w:w="2409" w:type="dxa"/>
            <w:tcBorders>
              <w:top w:val="single" w:sz="6" w:space="0" w:color="000000"/>
              <w:left w:val="single" w:sz="6" w:space="0" w:color="000000"/>
              <w:bottom w:val="single" w:sz="6" w:space="0" w:color="000000"/>
              <w:right w:val="single" w:sz="6" w:space="0" w:color="000000"/>
            </w:tcBorders>
          </w:tcPr>
          <w:p w:rsidR="005B0A56" w:rsidRPr="005B0A56" w:rsidRDefault="005B0A56" w:rsidP="004C4A3A">
            <w:pPr>
              <w:pStyle w:val="naisc"/>
              <w:spacing w:before="0" w:after="0"/>
              <w:rPr>
                <w:b/>
              </w:rPr>
            </w:pPr>
            <w:r>
              <w:rPr>
                <w:b/>
              </w:rPr>
              <w:t>Iebildums ņemts vērā</w:t>
            </w:r>
          </w:p>
        </w:tc>
        <w:tc>
          <w:tcPr>
            <w:tcW w:w="4259" w:type="dxa"/>
            <w:tcBorders>
              <w:top w:val="single" w:sz="4" w:space="0" w:color="auto"/>
              <w:left w:val="single" w:sz="4" w:space="0" w:color="auto"/>
              <w:bottom w:val="single" w:sz="4" w:space="0" w:color="auto"/>
            </w:tcBorders>
          </w:tcPr>
          <w:p w:rsidR="005B0A56" w:rsidRPr="005B0A56" w:rsidRDefault="005B0A56" w:rsidP="005B0A56">
            <w:pPr>
              <w:pStyle w:val="naisc"/>
              <w:spacing w:after="0"/>
              <w:ind w:firstLine="31"/>
              <w:jc w:val="both"/>
            </w:pPr>
            <w:r w:rsidRPr="005B0A56">
              <w:t>3. Noteikt, k</w:t>
            </w:r>
            <w:r w:rsidR="00591B64">
              <w:t>a strukturālo reformu īstenošanu</w:t>
            </w:r>
            <w:r w:rsidRPr="005B0A56">
              <w:t xml:space="preserve"> iekšlietu nozarē</w:t>
            </w:r>
            <w:r w:rsidR="00F42E6D">
              <w:t xml:space="preserve"> </w:t>
            </w:r>
            <w:r w:rsidR="00591B64">
              <w:rPr>
                <w:u w:val="single"/>
              </w:rPr>
              <w:t>finansē, piesaistot</w:t>
            </w:r>
            <w:r w:rsidR="00591B64" w:rsidRPr="00BA6EA1">
              <w:rPr>
                <w:u w:val="single"/>
              </w:rPr>
              <w:t xml:space="preserve"> </w:t>
            </w:r>
            <w:r w:rsidR="00591B64">
              <w:rPr>
                <w:u w:val="single"/>
              </w:rPr>
              <w:t>vienu vai vairākus no zemāk minētajiem iespējamajiem finansēšanas avotiem, ja tiek atbalstīta finansējuma piešķiršana šim mērķim</w:t>
            </w:r>
            <w:r w:rsidR="00591B64" w:rsidRPr="00BA6EA1">
              <w:rPr>
                <w:u w:val="single"/>
              </w:rPr>
              <w:t>:</w:t>
            </w:r>
            <w:r w:rsidR="00591B64">
              <w:rPr>
                <w:u w:val="single"/>
              </w:rPr>
              <w:t xml:space="preserve"> </w:t>
            </w:r>
          </w:p>
          <w:p w:rsidR="005B0A56" w:rsidRPr="005B0A56" w:rsidRDefault="005B0A56" w:rsidP="005B0A56">
            <w:pPr>
              <w:pStyle w:val="naisc"/>
              <w:spacing w:after="0"/>
              <w:ind w:firstLine="31"/>
              <w:jc w:val="both"/>
            </w:pPr>
            <w:r w:rsidRPr="005B0A56">
              <w:t>3.1. Atveseļošanas un noturības mehānisma finansējumu;</w:t>
            </w:r>
          </w:p>
          <w:p w:rsidR="005B0A56" w:rsidRPr="005B0A56" w:rsidRDefault="005B0A56" w:rsidP="005B0A56">
            <w:pPr>
              <w:pStyle w:val="naisc"/>
              <w:spacing w:after="0"/>
              <w:ind w:firstLine="31"/>
              <w:jc w:val="both"/>
            </w:pPr>
            <w:r w:rsidRPr="005B0A56">
              <w:t>3.2. Eiropas Savienības fondu un programmu 2021.-2027.plānošanas perioda līdzekļus;</w:t>
            </w:r>
          </w:p>
          <w:p w:rsidR="005B0A56" w:rsidRPr="005B0A56" w:rsidRDefault="005B0A56" w:rsidP="005B0A56">
            <w:pPr>
              <w:pStyle w:val="naisc"/>
              <w:spacing w:after="0"/>
              <w:ind w:firstLine="31"/>
              <w:jc w:val="both"/>
            </w:pPr>
            <w:r w:rsidRPr="005B0A56">
              <w:t xml:space="preserve">3.3. iekšlietu nozares iestāžu pamatfunkciju izpildes nodrošināšanai piešķirtos valsts budžeta līdzekļus, nepieciešamības gadījumā virzot priekšlikumus par papildu finansējuma piešķiršanu gadskārtējā likumprojekta par valsts budžetu un likumprojekta par vidēja </w:t>
            </w:r>
            <w:r w:rsidRPr="005B0A56">
              <w:lastRenderedPageBreak/>
              <w:t>termiņa budžeta ietvaru sagatavošanas procesā;</w:t>
            </w:r>
          </w:p>
          <w:p w:rsidR="005B0A56" w:rsidRPr="005B0A56" w:rsidRDefault="005B0A56" w:rsidP="005B0A56">
            <w:pPr>
              <w:jc w:val="both"/>
              <w:rPr>
                <w:rFonts w:ascii="Times New Roman" w:hAnsi="Times New Roman" w:cs="Times New Roman"/>
                <w:sz w:val="24"/>
                <w:szCs w:val="24"/>
                <w:u w:val="single"/>
              </w:rPr>
            </w:pPr>
            <w:r w:rsidRPr="005B0A56">
              <w:rPr>
                <w:rFonts w:ascii="Times New Roman" w:hAnsi="Times New Roman" w:cs="Times New Roman"/>
                <w:sz w:val="24"/>
                <w:szCs w:val="24"/>
                <w:u w:val="single"/>
              </w:rPr>
              <w:t>3.4. privāto finansējumu publiskās un privātās partnerības ietvaros, ja finanšu un ekonomisko aprēķinu sagatavošanas rezultātā tiks konstatēts, ka publiskās un privātās partnerības modeļa īstenošana ir ekonomiski izdevīgākā alternatīva nozares pamatfunkciju izpildei nepieciešamo objektu būvniecībai.</w:t>
            </w: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Pr="005B0A56" w:rsidRDefault="005B0A56" w:rsidP="0033752A">
            <w:pPr>
              <w:pStyle w:val="naisc"/>
              <w:spacing w:before="0" w:after="0"/>
              <w:ind w:left="360"/>
              <w:jc w:val="left"/>
            </w:pPr>
            <w:r w:rsidRPr="005B0A56">
              <w:lastRenderedPageBreak/>
              <w:t>4.</w:t>
            </w:r>
          </w:p>
        </w:tc>
        <w:tc>
          <w:tcPr>
            <w:tcW w:w="3259" w:type="dxa"/>
            <w:tcBorders>
              <w:top w:val="single" w:sz="6" w:space="0" w:color="000000"/>
              <w:left w:val="single" w:sz="6" w:space="0" w:color="000000"/>
              <w:bottom w:val="single" w:sz="6" w:space="0" w:color="000000"/>
              <w:right w:val="single" w:sz="6" w:space="0" w:color="000000"/>
            </w:tcBorders>
          </w:tcPr>
          <w:p w:rsidR="005B0A56" w:rsidRPr="005B0A56" w:rsidRDefault="00ED4372" w:rsidP="00CB6956">
            <w:pPr>
              <w:pStyle w:val="naisc"/>
              <w:spacing w:before="0" w:after="0"/>
              <w:ind w:firstLine="31"/>
            </w:pPr>
            <w:r>
              <w:t>Iebildums izteikts attiecībā uz visu informatīvo ziņojumu kopumā.</w:t>
            </w:r>
          </w:p>
        </w:tc>
        <w:tc>
          <w:tcPr>
            <w:tcW w:w="4535" w:type="dxa"/>
            <w:tcBorders>
              <w:top w:val="single" w:sz="6" w:space="0" w:color="000000"/>
              <w:left w:val="single" w:sz="6" w:space="0" w:color="000000"/>
              <w:bottom w:val="single" w:sz="6" w:space="0" w:color="000000"/>
              <w:right w:val="single" w:sz="6" w:space="0" w:color="000000"/>
            </w:tcBorders>
          </w:tcPr>
          <w:p w:rsidR="005B0A56" w:rsidRPr="00A47AA3" w:rsidRDefault="005B0A56" w:rsidP="00A47AA3">
            <w:pPr>
              <w:tabs>
                <w:tab w:val="left" w:pos="851"/>
              </w:tabs>
              <w:spacing w:after="0" w:line="240" w:lineRule="auto"/>
              <w:ind w:firstLine="601"/>
              <w:jc w:val="both"/>
              <w:rPr>
                <w:rFonts w:ascii="Times New Roman" w:hAnsi="Times New Roman" w:cs="Times New Roman"/>
                <w:sz w:val="24"/>
                <w:szCs w:val="24"/>
              </w:rPr>
            </w:pPr>
            <w:r w:rsidRPr="005B0A56">
              <w:rPr>
                <w:rFonts w:ascii="Times New Roman" w:hAnsi="Times New Roman" w:cs="Times New Roman"/>
                <w:sz w:val="24"/>
                <w:szCs w:val="24"/>
              </w:rPr>
              <w:t xml:space="preserve">Lūdzam Informatīvā ziņojuma 5.lpp detalizētāk atrunāt, kāda Darbības programmas specifiskā atbalsta mērķa vai pasākuma ietvaros tiek īstenoti projekti, kā arī papildināt informāciju ar projektu kodiem un nosaukumiem, kā arī par īstenotajiem ugunsdzēsības depo būvniecības projektiem, norādot to skaitu un atrašanās vietu. </w:t>
            </w:r>
          </w:p>
        </w:tc>
        <w:tc>
          <w:tcPr>
            <w:tcW w:w="2409" w:type="dxa"/>
            <w:tcBorders>
              <w:top w:val="single" w:sz="6" w:space="0" w:color="000000"/>
              <w:left w:val="single" w:sz="6" w:space="0" w:color="000000"/>
              <w:bottom w:val="single" w:sz="6" w:space="0" w:color="000000"/>
              <w:right w:val="single" w:sz="6" w:space="0" w:color="000000"/>
            </w:tcBorders>
          </w:tcPr>
          <w:p w:rsidR="005B0A56" w:rsidRPr="005B0A56" w:rsidRDefault="00ED4372" w:rsidP="004C4A3A">
            <w:pPr>
              <w:pStyle w:val="naisc"/>
              <w:spacing w:before="0" w:after="0"/>
              <w:rPr>
                <w:b/>
              </w:rPr>
            </w:pPr>
            <w:r>
              <w:rPr>
                <w:b/>
              </w:rPr>
              <w:t>Iebildums ņemts vērā</w:t>
            </w:r>
          </w:p>
        </w:tc>
        <w:tc>
          <w:tcPr>
            <w:tcW w:w="4259" w:type="dxa"/>
            <w:tcBorders>
              <w:top w:val="single" w:sz="4" w:space="0" w:color="auto"/>
              <w:left w:val="single" w:sz="4" w:space="0" w:color="auto"/>
              <w:bottom w:val="single" w:sz="4" w:space="0" w:color="auto"/>
            </w:tcBorders>
          </w:tcPr>
          <w:p w:rsidR="005B0A56" w:rsidRPr="005B0A56" w:rsidRDefault="00ED4372" w:rsidP="006D69F1">
            <w:pPr>
              <w:jc w:val="both"/>
              <w:rPr>
                <w:rFonts w:ascii="Times New Roman" w:hAnsi="Times New Roman" w:cs="Times New Roman"/>
                <w:sz w:val="24"/>
                <w:szCs w:val="24"/>
              </w:rPr>
            </w:pPr>
            <w:r>
              <w:rPr>
                <w:rFonts w:ascii="Times New Roman" w:hAnsi="Times New Roman" w:cs="Times New Roman"/>
                <w:sz w:val="24"/>
                <w:szCs w:val="24"/>
              </w:rPr>
              <w:t>Informatīvais ziņojums papildināts atbilstoši iebildumā norādītajam (5.lpp)</w:t>
            </w: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Pr="005B0A56" w:rsidRDefault="005B0A56" w:rsidP="0033752A">
            <w:pPr>
              <w:pStyle w:val="naisc"/>
              <w:spacing w:before="0" w:after="0"/>
              <w:ind w:left="360"/>
              <w:jc w:val="left"/>
            </w:pPr>
            <w:r w:rsidRPr="005B0A56">
              <w:t>5.</w:t>
            </w:r>
          </w:p>
        </w:tc>
        <w:tc>
          <w:tcPr>
            <w:tcW w:w="3259" w:type="dxa"/>
            <w:tcBorders>
              <w:top w:val="single" w:sz="6" w:space="0" w:color="000000"/>
              <w:left w:val="single" w:sz="6" w:space="0" w:color="000000"/>
              <w:bottom w:val="single" w:sz="6" w:space="0" w:color="000000"/>
              <w:right w:val="single" w:sz="6" w:space="0" w:color="000000"/>
            </w:tcBorders>
          </w:tcPr>
          <w:p w:rsidR="005B0A56" w:rsidRPr="006A327B" w:rsidRDefault="006A327B" w:rsidP="006A327B">
            <w:pPr>
              <w:spacing w:after="0" w:line="240" w:lineRule="auto"/>
              <w:ind w:firstLine="720"/>
              <w:jc w:val="both"/>
              <w:rPr>
                <w:rFonts w:ascii="Times New Roman" w:hAnsi="Times New Roman" w:cs="Times New Roman"/>
                <w:b/>
                <w:sz w:val="24"/>
                <w:szCs w:val="24"/>
              </w:rPr>
            </w:pPr>
            <w:r w:rsidRPr="006A327B">
              <w:rPr>
                <w:rFonts w:ascii="Times New Roman" w:hAnsi="Times New Roman" w:cs="Times New Roman"/>
                <w:b/>
                <w:sz w:val="24"/>
                <w:szCs w:val="24"/>
              </w:rPr>
              <w:t>Iekšlietu ministrija jau ir spērusi būtiskus soļus nekustamo īpašumu struktūras optimizēšanai, tā rezultātā atsavināšanai nodoti 36 nekustamie īpašumi, t.sk. zeme vairāk kā 23 ha platībā un ēkas vairāk kā 20 000 m</w:t>
            </w:r>
            <w:r w:rsidRPr="006A327B">
              <w:rPr>
                <w:rFonts w:ascii="Times New Roman" w:hAnsi="Times New Roman" w:cs="Times New Roman"/>
                <w:b/>
                <w:sz w:val="24"/>
                <w:szCs w:val="24"/>
                <w:vertAlign w:val="superscript"/>
              </w:rPr>
              <w:t>2</w:t>
            </w:r>
            <w:r w:rsidRPr="006A327B">
              <w:rPr>
                <w:rFonts w:ascii="Times New Roman" w:hAnsi="Times New Roman" w:cs="Times New Roman"/>
                <w:b/>
                <w:sz w:val="24"/>
                <w:szCs w:val="24"/>
              </w:rPr>
              <w:t xml:space="preserve"> platībā. Daļa no šiem īpašumiem jau ir atsavināta, bet daļai joprojām turpinās atsavināšanas </w:t>
            </w:r>
            <w:r w:rsidRPr="006A327B">
              <w:rPr>
                <w:rFonts w:ascii="Times New Roman" w:hAnsi="Times New Roman" w:cs="Times New Roman"/>
                <w:b/>
                <w:sz w:val="24"/>
                <w:szCs w:val="24"/>
              </w:rPr>
              <w:lastRenderedPageBreak/>
              <w:t>process. Papildus tam Iekšlietu ministrija ir iecerējusi izbūvēt 43 administratīvos centrus, kas perspektīvā ļautu Iekšlietu ministrijai samazināt kopējo nekustamo īpašumu skaitu par vēl 22 nekustamajiem īpašumiem, kā arī atteikties no vairāk kā 36 nomas objektiem.  Tāpat Iekšlietu ministrija aktīvi strādā pie nekustamo īpašumu pārvaldīšanas modeļa pilnveides, kā ietvaros, pateicoties sadarbībai ar VAS Valsts nekustamie īpašumi, ir ieviesta nekustamo īpašumu uzskaites sistēma (nekustamo īpašumu portfelis).</w:t>
            </w:r>
          </w:p>
        </w:tc>
        <w:tc>
          <w:tcPr>
            <w:tcW w:w="4535" w:type="dxa"/>
            <w:tcBorders>
              <w:top w:val="single" w:sz="6" w:space="0" w:color="000000"/>
              <w:left w:val="single" w:sz="6" w:space="0" w:color="000000"/>
              <w:bottom w:val="single" w:sz="6" w:space="0" w:color="000000"/>
              <w:right w:val="single" w:sz="6" w:space="0" w:color="000000"/>
            </w:tcBorders>
          </w:tcPr>
          <w:p w:rsidR="005B0A56" w:rsidRPr="00A47AA3" w:rsidRDefault="005B0A56" w:rsidP="00A47AA3">
            <w:pPr>
              <w:pStyle w:val="Parastais"/>
              <w:tabs>
                <w:tab w:val="left" w:pos="851"/>
                <w:tab w:val="left" w:pos="1134"/>
              </w:tabs>
              <w:ind w:firstLine="601"/>
              <w:jc w:val="both"/>
              <w:rPr>
                <w:sz w:val="24"/>
                <w:szCs w:val="24"/>
              </w:rPr>
            </w:pPr>
            <w:r w:rsidRPr="005B0A56">
              <w:rPr>
                <w:sz w:val="24"/>
                <w:szCs w:val="24"/>
              </w:rPr>
              <w:lastRenderedPageBreak/>
              <w:t xml:space="preserve">Informatīvā ziņojuma 6.lp. minēts, ka atsavināšanai nodoti 36 nekustamie īpašumi. Lūdzam skaidrot, vai tas ir kopējais atsavināšanai virzīto nekustamo īpašumu skaits vai arī, piemēram, šogad atsavināšanai virzīto nekustamo īpašumu skaits, t.sk. norādot, kas organizē to atsavināšanu (VAS “Valsts nekustamie īpašumi” vai Iekšlietu ministrija). </w:t>
            </w:r>
          </w:p>
        </w:tc>
        <w:tc>
          <w:tcPr>
            <w:tcW w:w="2409" w:type="dxa"/>
            <w:tcBorders>
              <w:top w:val="single" w:sz="6" w:space="0" w:color="000000"/>
              <w:left w:val="single" w:sz="6" w:space="0" w:color="000000"/>
              <w:bottom w:val="single" w:sz="6" w:space="0" w:color="000000"/>
              <w:right w:val="single" w:sz="6" w:space="0" w:color="000000"/>
            </w:tcBorders>
          </w:tcPr>
          <w:p w:rsidR="005B0A56" w:rsidRPr="005B0A56" w:rsidRDefault="006A327B" w:rsidP="004C4A3A">
            <w:pPr>
              <w:pStyle w:val="naisc"/>
              <w:spacing w:before="0" w:after="0"/>
              <w:rPr>
                <w:b/>
              </w:rPr>
            </w:pPr>
            <w:r>
              <w:rPr>
                <w:b/>
              </w:rPr>
              <w:t>Iebildums ņemts vērā</w:t>
            </w:r>
          </w:p>
        </w:tc>
        <w:tc>
          <w:tcPr>
            <w:tcW w:w="4259" w:type="dxa"/>
            <w:tcBorders>
              <w:top w:val="single" w:sz="4" w:space="0" w:color="auto"/>
              <w:left w:val="single" w:sz="4" w:space="0" w:color="auto"/>
              <w:bottom w:val="single" w:sz="4" w:space="0" w:color="auto"/>
            </w:tcBorders>
          </w:tcPr>
          <w:p w:rsidR="005B0A56" w:rsidRPr="006A327B" w:rsidRDefault="006A327B" w:rsidP="006A327B">
            <w:pPr>
              <w:spacing w:after="0" w:line="240" w:lineRule="auto"/>
              <w:ind w:firstLine="720"/>
              <w:jc w:val="both"/>
              <w:rPr>
                <w:rFonts w:ascii="Times New Roman" w:hAnsi="Times New Roman" w:cs="Times New Roman"/>
                <w:b/>
                <w:sz w:val="24"/>
                <w:szCs w:val="24"/>
              </w:rPr>
            </w:pPr>
            <w:r w:rsidRPr="006A327B">
              <w:rPr>
                <w:rFonts w:ascii="Times New Roman" w:hAnsi="Times New Roman" w:cs="Times New Roman"/>
                <w:b/>
                <w:sz w:val="24"/>
                <w:szCs w:val="24"/>
              </w:rPr>
              <w:t xml:space="preserve">Iekšlietu ministrija jau ir spērusi būtiskus soļus nekustamo īpašumu struktūras optimizēšanai, tā rezultātā </w:t>
            </w:r>
            <w:r w:rsidRPr="006A327B">
              <w:rPr>
                <w:rFonts w:ascii="Times New Roman" w:hAnsi="Times New Roman" w:cs="Times New Roman"/>
                <w:b/>
                <w:sz w:val="24"/>
                <w:szCs w:val="24"/>
                <w:u w:val="single"/>
              </w:rPr>
              <w:t>pirmajā posmā</w:t>
            </w:r>
            <w:r w:rsidRPr="006A327B">
              <w:rPr>
                <w:rFonts w:ascii="Times New Roman" w:hAnsi="Times New Roman" w:cs="Times New Roman"/>
                <w:b/>
                <w:sz w:val="24"/>
                <w:szCs w:val="24"/>
              </w:rPr>
              <w:t xml:space="preserve"> atsavināšanai </w:t>
            </w:r>
            <w:r w:rsidRPr="006A327B">
              <w:rPr>
                <w:rFonts w:ascii="Times New Roman" w:hAnsi="Times New Roman" w:cs="Times New Roman"/>
                <w:b/>
                <w:sz w:val="24"/>
                <w:szCs w:val="24"/>
                <w:u w:val="single"/>
              </w:rPr>
              <w:t>tiek virzīti</w:t>
            </w:r>
            <w:r w:rsidRPr="006A327B">
              <w:rPr>
                <w:rFonts w:ascii="Times New Roman" w:hAnsi="Times New Roman" w:cs="Times New Roman"/>
                <w:b/>
                <w:sz w:val="24"/>
                <w:szCs w:val="24"/>
              </w:rPr>
              <w:t xml:space="preserve"> 36 nekustamie īpašumi, t.sk. zeme vairāk kā 23 ha platībā un ēkas vairāk kā 20 000 m</w:t>
            </w:r>
            <w:r w:rsidRPr="006A327B">
              <w:rPr>
                <w:rFonts w:ascii="Times New Roman" w:hAnsi="Times New Roman" w:cs="Times New Roman"/>
                <w:b/>
                <w:sz w:val="24"/>
                <w:szCs w:val="24"/>
                <w:vertAlign w:val="superscript"/>
              </w:rPr>
              <w:t>2</w:t>
            </w:r>
            <w:r w:rsidRPr="006A327B">
              <w:rPr>
                <w:rFonts w:ascii="Times New Roman" w:hAnsi="Times New Roman" w:cs="Times New Roman"/>
                <w:b/>
                <w:sz w:val="24"/>
                <w:szCs w:val="24"/>
              </w:rPr>
              <w:t xml:space="preserve"> platībā. Daļa no šiem īpašumiem jau ir atsavināta, bet daļai joprojām turpinās atsavināšanas process. </w:t>
            </w:r>
            <w:r w:rsidRPr="006A327B">
              <w:rPr>
                <w:rFonts w:ascii="Times New Roman" w:hAnsi="Times New Roman" w:cs="Times New Roman"/>
                <w:sz w:val="24"/>
                <w:szCs w:val="24"/>
                <w:u w:val="single"/>
              </w:rPr>
              <w:t xml:space="preserve">Nekustamo īpašumu atsavināšanu pamatā organizē Iekšlietu ministrija (Nodrošinājuma valsts </w:t>
            </w:r>
            <w:r w:rsidRPr="006A327B">
              <w:rPr>
                <w:rFonts w:ascii="Times New Roman" w:hAnsi="Times New Roman" w:cs="Times New Roman"/>
                <w:sz w:val="24"/>
                <w:szCs w:val="24"/>
                <w:u w:val="single"/>
              </w:rPr>
              <w:lastRenderedPageBreak/>
              <w:t>aģentūra), bet daļa no īpašumiem nodota atsavināšanai valsts akciju sabiedrībai “Valsts nekustamie īpašumi”.</w:t>
            </w:r>
            <w:r w:rsidRPr="006A327B">
              <w:rPr>
                <w:rFonts w:ascii="Times New Roman" w:hAnsi="Times New Roman" w:cs="Times New Roman"/>
                <w:b/>
                <w:sz w:val="24"/>
                <w:szCs w:val="24"/>
              </w:rPr>
              <w:t xml:space="preserve"> Papildus tam Iekšlietu ministrija ir iecerējusi izbūvēt 43 administratīvos centrus, kas perspektīvā ļautu Iekšlietu ministrijai samazināt kopējo nekustamo īpašumu skaitu par vēl 22 nekustamajiem īpašumiem, </w:t>
            </w:r>
            <w:r w:rsidRPr="006A327B">
              <w:rPr>
                <w:rFonts w:ascii="Times New Roman" w:hAnsi="Times New Roman" w:cs="Times New Roman"/>
                <w:b/>
                <w:sz w:val="24"/>
                <w:szCs w:val="24"/>
                <w:u w:val="single"/>
              </w:rPr>
              <w:t>nododot tos atsavināšanai</w:t>
            </w:r>
            <w:r w:rsidRPr="006A327B">
              <w:rPr>
                <w:rFonts w:ascii="Times New Roman" w:hAnsi="Times New Roman" w:cs="Times New Roman"/>
                <w:b/>
                <w:sz w:val="24"/>
                <w:szCs w:val="24"/>
              </w:rPr>
              <w:t>, kā arī atteikties no vairāk kā 36 nomas objektiem.  Tāpat Iekšlietu ministrija aktīvi strādā pie nekustamo īpašumu pārvaldīšanas modeļa pilnveides, kā ietvaros, pateicoties sadarbībai ar VAS Valsts nekustamie īpašumi, ir ieviesta nekustamo īpašumu uzskaites sistēma (nekustamo īpašumu portfelis).</w:t>
            </w: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Pr="005B0A56" w:rsidRDefault="005B0A56" w:rsidP="0033752A">
            <w:pPr>
              <w:pStyle w:val="naisc"/>
              <w:spacing w:before="0" w:after="0"/>
              <w:ind w:left="360"/>
              <w:jc w:val="left"/>
            </w:pPr>
            <w:r w:rsidRPr="005B0A56">
              <w:lastRenderedPageBreak/>
              <w:t>6.</w:t>
            </w:r>
          </w:p>
        </w:tc>
        <w:tc>
          <w:tcPr>
            <w:tcW w:w="3259" w:type="dxa"/>
            <w:tcBorders>
              <w:top w:val="single" w:sz="6" w:space="0" w:color="000000"/>
              <w:left w:val="single" w:sz="6" w:space="0" w:color="000000"/>
              <w:bottom w:val="single" w:sz="6" w:space="0" w:color="000000"/>
              <w:right w:val="single" w:sz="6" w:space="0" w:color="000000"/>
            </w:tcBorders>
          </w:tcPr>
          <w:p w:rsidR="005B0A56" w:rsidRPr="0015608B" w:rsidRDefault="0015608B" w:rsidP="0015608B">
            <w:pPr>
              <w:pStyle w:val="naisc"/>
              <w:spacing w:before="0" w:after="0"/>
              <w:ind w:firstLine="742"/>
              <w:jc w:val="both"/>
            </w:pPr>
            <w:r w:rsidRPr="0015608B">
              <w:t xml:space="preserve">Ņemot vērā ēku kritisko stāvokli, kā arī valsts budžeta iespējas, Iekšlietu ministrija ir vērtējusi arī citus iespējamos finansēšanas avotus, piemēram, virzot ieceri nozares pamatfunkciju izpildei nepieciešamo objektu būvniecību veikt, izmantojot publiskās un privātās partnerības modeli, kura piemērošanas izvērtēšanas </w:t>
            </w:r>
            <w:r w:rsidRPr="0015608B">
              <w:lastRenderedPageBreak/>
              <w:t>uzsākšanu  2017.gada 14.februārī konceptuāli ir atbalstījusi arī valdība (</w:t>
            </w:r>
            <w:r w:rsidRPr="0015608B">
              <w:rPr>
                <w:i/>
              </w:rPr>
              <w:t>MK 14.02.2017. prot. Nr.7 42.§ 4., 5. un 7.punkts</w:t>
            </w:r>
            <w:r w:rsidRPr="0015608B">
              <w:t>). 2017.gada 1.jūnijā tika noslēgts līgums ar SIA “</w:t>
            </w:r>
            <w:proofErr w:type="spellStart"/>
            <w:r w:rsidRPr="0015608B">
              <w:t>PriceWaterhouseCoopers</w:t>
            </w:r>
            <w:proofErr w:type="spellEnd"/>
            <w:r w:rsidRPr="0015608B">
              <w:t>” par finanšu un ekonomisko aprēķinu izstrādi, kas atbilstoši normatīvo aktu prasībām nosūtīti izvērtēšanai Centrālajai finanšu un līgumu aģentūrai un Finanšu ministrijai, kas izteica iebildumus attiecībā uz risku sadali starp publisko un privāto partneri.</w:t>
            </w:r>
          </w:p>
        </w:tc>
        <w:tc>
          <w:tcPr>
            <w:tcW w:w="4535" w:type="dxa"/>
            <w:tcBorders>
              <w:top w:val="single" w:sz="6" w:space="0" w:color="000000"/>
              <w:left w:val="single" w:sz="6" w:space="0" w:color="000000"/>
              <w:bottom w:val="single" w:sz="6" w:space="0" w:color="000000"/>
              <w:right w:val="single" w:sz="6" w:space="0" w:color="000000"/>
            </w:tcBorders>
          </w:tcPr>
          <w:p w:rsidR="005B0A56" w:rsidRPr="00A47AA3" w:rsidRDefault="005B0A56" w:rsidP="00A47AA3">
            <w:pPr>
              <w:pStyle w:val="Parastais"/>
              <w:tabs>
                <w:tab w:val="left" w:pos="567"/>
                <w:tab w:val="left" w:pos="851"/>
              </w:tabs>
              <w:ind w:firstLine="601"/>
              <w:jc w:val="both"/>
              <w:rPr>
                <w:sz w:val="24"/>
                <w:szCs w:val="24"/>
              </w:rPr>
            </w:pPr>
            <w:r w:rsidRPr="005B0A56">
              <w:rPr>
                <w:sz w:val="24"/>
                <w:szCs w:val="24"/>
              </w:rPr>
              <w:lastRenderedPageBreak/>
              <w:t xml:space="preserve">Informatīvā ziņojuma 6.lp. par nozares pamatfunkciju izpildei nepieciešamo objektu būvniecības veikšanu, izmantojot publiskās un privātās partnerības modeli, minēts, ka Centrālā finanšu un līgumu aģentūra un Finanšu ministrija izteikušas iebildumus attiecībā uz risku sadali starp publisko un privāto partneri. Ņemot vērā, ka Centrālajai finanšu un līgumu aģentūrai un Finanšu ministrijai bija arī citi iebildumi (ne tikai par risku sadali), lūdzam precizēt minēto teikumu. </w:t>
            </w:r>
          </w:p>
        </w:tc>
        <w:tc>
          <w:tcPr>
            <w:tcW w:w="2409" w:type="dxa"/>
            <w:tcBorders>
              <w:top w:val="single" w:sz="6" w:space="0" w:color="000000"/>
              <w:left w:val="single" w:sz="6" w:space="0" w:color="000000"/>
              <w:bottom w:val="single" w:sz="6" w:space="0" w:color="000000"/>
              <w:right w:val="single" w:sz="6" w:space="0" w:color="000000"/>
            </w:tcBorders>
          </w:tcPr>
          <w:p w:rsidR="005B0A56" w:rsidRPr="005B0A56" w:rsidRDefault="0015608B" w:rsidP="004C4A3A">
            <w:pPr>
              <w:pStyle w:val="naisc"/>
              <w:spacing w:before="0" w:after="0"/>
              <w:rPr>
                <w:b/>
              </w:rPr>
            </w:pPr>
            <w:r>
              <w:rPr>
                <w:b/>
              </w:rPr>
              <w:t>Iebildums ņemts vērā</w:t>
            </w:r>
          </w:p>
        </w:tc>
        <w:tc>
          <w:tcPr>
            <w:tcW w:w="4259" w:type="dxa"/>
            <w:tcBorders>
              <w:top w:val="single" w:sz="4" w:space="0" w:color="auto"/>
              <w:left w:val="single" w:sz="4" w:space="0" w:color="auto"/>
              <w:bottom w:val="single" w:sz="4" w:space="0" w:color="auto"/>
            </w:tcBorders>
          </w:tcPr>
          <w:p w:rsidR="005B0A56" w:rsidRPr="0015608B" w:rsidRDefault="0015608B" w:rsidP="00C50883">
            <w:pPr>
              <w:jc w:val="both"/>
              <w:rPr>
                <w:rFonts w:ascii="Times New Roman" w:hAnsi="Times New Roman" w:cs="Times New Roman"/>
                <w:sz w:val="24"/>
                <w:szCs w:val="24"/>
              </w:rPr>
            </w:pPr>
            <w:r w:rsidRPr="0015608B">
              <w:rPr>
                <w:rFonts w:ascii="Times New Roman" w:hAnsi="Times New Roman" w:cs="Times New Roman"/>
                <w:sz w:val="24"/>
                <w:szCs w:val="24"/>
              </w:rPr>
              <w:t>Ņemot vērā ēku kritisko stāvokli, kā arī valsts budžeta iespējas, Iekšlietu ministrija ir vērtējusi arī citus iespējamos finansēšanas avotus, piemēram, virzot ieceri nozares pamatfunkciju izpildei nepieciešamo objektu būvniecību veikt, izmantojot publiskās un privātās partnerības modeli, kura piemērošanas izvērtēšanas uzsākšanu  2017.gada 14.februārī konceptuāli ir atbalstījusi arī valdība (</w:t>
            </w:r>
            <w:r w:rsidRPr="0015608B">
              <w:rPr>
                <w:rFonts w:ascii="Times New Roman" w:hAnsi="Times New Roman" w:cs="Times New Roman"/>
                <w:i/>
                <w:sz w:val="24"/>
                <w:szCs w:val="24"/>
              </w:rPr>
              <w:t xml:space="preserve">MK 14.02.2017. prot. Nr.7 42.§ </w:t>
            </w:r>
            <w:r w:rsidRPr="0015608B">
              <w:rPr>
                <w:rFonts w:ascii="Times New Roman" w:hAnsi="Times New Roman" w:cs="Times New Roman"/>
                <w:i/>
                <w:sz w:val="24"/>
                <w:szCs w:val="24"/>
              </w:rPr>
              <w:lastRenderedPageBreak/>
              <w:t>4., 5. un 7.punkts</w:t>
            </w:r>
            <w:r w:rsidRPr="0015608B">
              <w:rPr>
                <w:rFonts w:ascii="Times New Roman" w:hAnsi="Times New Roman" w:cs="Times New Roman"/>
                <w:sz w:val="24"/>
                <w:szCs w:val="24"/>
              </w:rPr>
              <w:t>). 2017.gada 1.jūnijā tika noslēgts līgums ar SIA “</w:t>
            </w:r>
            <w:proofErr w:type="spellStart"/>
            <w:r w:rsidRPr="0015608B">
              <w:rPr>
                <w:rFonts w:ascii="Times New Roman" w:hAnsi="Times New Roman" w:cs="Times New Roman"/>
                <w:sz w:val="24"/>
                <w:szCs w:val="24"/>
              </w:rPr>
              <w:t>PriceWaterhouseCoopers</w:t>
            </w:r>
            <w:proofErr w:type="spellEnd"/>
            <w:r w:rsidRPr="0015608B">
              <w:rPr>
                <w:rFonts w:ascii="Times New Roman" w:hAnsi="Times New Roman" w:cs="Times New Roman"/>
                <w:sz w:val="24"/>
                <w:szCs w:val="24"/>
              </w:rPr>
              <w:t xml:space="preserve">” par finanšu un ekonomisko aprēķinu izstrādi, kas atbilstoši normatīvo aktu prasībām nosūtīti izvērtēšanai Centrālajai finanšu un līgumu aģentūrai un Finanšu ministrijai, kas izteica iebildumus attiecībā uz risku sadali starp publisko un privāto partneri, </w:t>
            </w:r>
            <w:r w:rsidRPr="0015608B">
              <w:rPr>
                <w:rFonts w:ascii="Times New Roman" w:hAnsi="Times New Roman" w:cs="Times New Roman"/>
                <w:sz w:val="24"/>
                <w:szCs w:val="24"/>
                <w:u w:val="single"/>
              </w:rPr>
              <w:t xml:space="preserve">kā arī norādīja uz citām </w:t>
            </w:r>
            <w:r w:rsidR="00C50883">
              <w:rPr>
                <w:rFonts w:ascii="Times New Roman" w:hAnsi="Times New Roman" w:cs="Times New Roman"/>
                <w:sz w:val="24"/>
                <w:szCs w:val="24"/>
                <w:u w:val="single"/>
              </w:rPr>
              <w:t>nepilnībām veiktajos finanšu un ekonomiskajos aprēķinos.</w:t>
            </w: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Pr="005B0A56" w:rsidRDefault="005B0A56" w:rsidP="0033752A">
            <w:pPr>
              <w:pStyle w:val="naisc"/>
              <w:spacing w:before="0" w:after="0"/>
              <w:ind w:left="360"/>
              <w:jc w:val="left"/>
            </w:pPr>
            <w:r w:rsidRPr="005B0A56">
              <w:lastRenderedPageBreak/>
              <w:t>7.</w:t>
            </w:r>
          </w:p>
        </w:tc>
        <w:tc>
          <w:tcPr>
            <w:tcW w:w="3259" w:type="dxa"/>
            <w:tcBorders>
              <w:top w:val="single" w:sz="6" w:space="0" w:color="000000"/>
              <w:left w:val="single" w:sz="6" w:space="0" w:color="000000"/>
              <w:bottom w:val="single" w:sz="6" w:space="0" w:color="000000"/>
              <w:right w:val="single" w:sz="6" w:space="0" w:color="000000"/>
            </w:tcBorders>
          </w:tcPr>
          <w:p w:rsidR="005B0A56" w:rsidRPr="005B0A56" w:rsidRDefault="00315831" w:rsidP="00CB6956">
            <w:pPr>
              <w:pStyle w:val="naisc"/>
              <w:spacing w:before="0" w:after="0"/>
              <w:ind w:firstLine="31"/>
            </w:pPr>
            <w:r>
              <w:t>Iebildums izteikts attiecībā uz visu informatīvo ziņojumu kopumā.</w:t>
            </w:r>
          </w:p>
        </w:tc>
        <w:tc>
          <w:tcPr>
            <w:tcW w:w="4535" w:type="dxa"/>
            <w:tcBorders>
              <w:top w:val="single" w:sz="6" w:space="0" w:color="000000"/>
              <w:left w:val="single" w:sz="6" w:space="0" w:color="000000"/>
              <w:bottom w:val="single" w:sz="6" w:space="0" w:color="000000"/>
              <w:right w:val="single" w:sz="6" w:space="0" w:color="000000"/>
            </w:tcBorders>
          </w:tcPr>
          <w:p w:rsidR="005B0A56" w:rsidRPr="00A47AA3" w:rsidRDefault="005B0A56" w:rsidP="00A47AA3">
            <w:pPr>
              <w:tabs>
                <w:tab w:val="left" w:pos="851"/>
              </w:tabs>
              <w:spacing w:after="0" w:line="240" w:lineRule="auto"/>
              <w:ind w:firstLine="601"/>
              <w:jc w:val="both"/>
              <w:rPr>
                <w:rFonts w:ascii="Times New Roman" w:hAnsi="Times New Roman" w:cs="Times New Roman"/>
                <w:sz w:val="24"/>
                <w:szCs w:val="24"/>
              </w:rPr>
            </w:pPr>
            <w:r w:rsidRPr="005B0A56">
              <w:rPr>
                <w:rFonts w:ascii="Times New Roman" w:hAnsi="Times New Roman" w:cs="Times New Roman"/>
                <w:sz w:val="24"/>
                <w:szCs w:val="24"/>
              </w:rPr>
              <w:t xml:space="preserve">Lūdzam papildināt Informatīvā ziņojuma 7.lpp ar informāciju par 2021.-2027.gada plānošanas perioda Eiropas Savienības struktūrfondu un Kohēzijas fonda darbības programmu, kurā 2.1.3.specifiskā atbalsta mērķa ietvaros plānots atbalsts Valsts ugunsdzēsības un glābšanas dienestam t.sk. plānots veikt ieguldījumus tehniskās un aprīkojuma remonta bāzes būvniecībā. </w:t>
            </w:r>
          </w:p>
        </w:tc>
        <w:tc>
          <w:tcPr>
            <w:tcW w:w="2409" w:type="dxa"/>
            <w:tcBorders>
              <w:top w:val="single" w:sz="6" w:space="0" w:color="000000"/>
              <w:left w:val="single" w:sz="6" w:space="0" w:color="000000"/>
              <w:bottom w:val="single" w:sz="6" w:space="0" w:color="000000"/>
              <w:right w:val="single" w:sz="6" w:space="0" w:color="000000"/>
            </w:tcBorders>
          </w:tcPr>
          <w:p w:rsidR="005B0A56" w:rsidRPr="005B0A56" w:rsidRDefault="00F5053E" w:rsidP="004C4A3A">
            <w:pPr>
              <w:pStyle w:val="naisc"/>
              <w:spacing w:before="0" w:after="0"/>
              <w:rPr>
                <w:b/>
              </w:rPr>
            </w:pPr>
            <w:r>
              <w:rPr>
                <w:b/>
              </w:rPr>
              <w:t>Iebildums ņemts vērā</w:t>
            </w:r>
          </w:p>
        </w:tc>
        <w:tc>
          <w:tcPr>
            <w:tcW w:w="4259" w:type="dxa"/>
            <w:tcBorders>
              <w:top w:val="single" w:sz="4" w:space="0" w:color="auto"/>
              <w:left w:val="single" w:sz="4" w:space="0" w:color="auto"/>
              <w:bottom w:val="single" w:sz="4" w:space="0" w:color="auto"/>
            </w:tcBorders>
          </w:tcPr>
          <w:p w:rsidR="005B0A56" w:rsidRPr="00015E69" w:rsidRDefault="00015E69" w:rsidP="00015E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Papildus Iekšlietu ministrija </w:t>
            </w:r>
            <w:r w:rsidRPr="00566605">
              <w:rPr>
                <w:rFonts w:ascii="Times New Roman" w:hAnsi="Times New Roman" w:cs="Times New Roman"/>
                <w:sz w:val="28"/>
                <w:szCs w:val="28"/>
              </w:rPr>
              <w:t>2</w:t>
            </w:r>
            <w:r w:rsidRPr="006E384D">
              <w:rPr>
                <w:rFonts w:ascii="Times New Roman" w:hAnsi="Times New Roman" w:cs="Times New Roman"/>
                <w:color w:val="333333"/>
                <w:sz w:val="28"/>
                <w:szCs w:val="28"/>
                <w:shd w:val="clear" w:color="auto" w:fill="FFFFFF"/>
              </w:rPr>
              <w:t>021.-2027.gada plānošanas perioda Eiropas Savienības struktūrfondu un Kohēzijas fonda darbības programm</w:t>
            </w:r>
            <w:r>
              <w:rPr>
                <w:rFonts w:ascii="Times New Roman" w:hAnsi="Times New Roman" w:cs="Times New Roman"/>
                <w:color w:val="333333"/>
                <w:sz w:val="28"/>
                <w:szCs w:val="28"/>
                <w:shd w:val="clear" w:color="auto" w:fill="FFFFFF"/>
              </w:rPr>
              <w:t>as</w:t>
            </w:r>
            <w:r w:rsidRPr="006E384D">
              <w:rPr>
                <w:rFonts w:ascii="Times New Roman" w:hAnsi="Times New Roman" w:cs="Times New Roman"/>
                <w:color w:val="333333"/>
                <w:sz w:val="28"/>
                <w:szCs w:val="28"/>
                <w:shd w:val="clear" w:color="auto" w:fill="FFFFFF"/>
              </w:rPr>
              <w:t xml:space="preserve"> 2.1.3.specifiskā atbalsta mērķa ietvaros </w:t>
            </w:r>
            <w:r>
              <w:rPr>
                <w:rFonts w:ascii="Times New Roman" w:hAnsi="Times New Roman" w:cs="Times New Roman"/>
                <w:color w:val="333333"/>
                <w:sz w:val="28"/>
                <w:szCs w:val="28"/>
                <w:shd w:val="clear" w:color="auto" w:fill="FFFFFF"/>
              </w:rPr>
              <w:t>pieteikusi atbalstu</w:t>
            </w:r>
            <w:r w:rsidRPr="006E384D">
              <w:rPr>
                <w:rFonts w:ascii="Times New Roman" w:hAnsi="Times New Roman" w:cs="Times New Roman"/>
                <w:color w:val="333333"/>
                <w:sz w:val="28"/>
                <w:szCs w:val="28"/>
                <w:shd w:val="clear" w:color="auto" w:fill="FFFFFF"/>
              </w:rPr>
              <w:t xml:space="preserve"> Valsts ugunsdzēsības un glābšanas dienesta tehniskās un aprīkojuma remonta bāzes būvniecīb</w:t>
            </w:r>
            <w:r>
              <w:rPr>
                <w:rFonts w:ascii="Times New Roman" w:hAnsi="Times New Roman" w:cs="Times New Roman"/>
                <w:color w:val="333333"/>
                <w:sz w:val="28"/>
                <w:szCs w:val="28"/>
                <w:shd w:val="clear" w:color="auto" w:fill="FFFFFF"/>
              </w:rPr>
              <w:t xml:space="preserve">ai, kas paredzēta visa veida Valsts ugunsdrošības un glābšanas dienesta operatīvo transportlīdzekļu </w:t>
            </w:r>
            <w:r>
              <w:rPr>
                <w:rFonts w:ascii="Times New Roman" w:hAnsi="Times New Roman" w:cs="Times New Roman"/>
                <w:color w:val="333333"/>
                <w:sz w:val="28"/>
                <w:szCs w:val="28"/>
                <w:shd w:val="clear" w:color="auto" w:fill="FFFFFF"/>
              </w:rPr>
              <w:lastRenderedPageBreak/>
              <w:t xml:space="preserve">tehniskajai apkopei un remontam gadījumos, kad ekonomiski un faktiski pamatotāk remontu ir veikt uz vietas, nesūtot transportlīdzekli uz rūpnīcu. Būvniecības </w:t>
            </w:r>
            <w:r>
              <w:rPr>
                <w:rFonts w:ascii="Times New Roman" w:hAnsi="Times New Roman" w:cs="Times New Roman"/>
                <w:sz w:val="28"/>
                <w:szCs w:val="28"/>
              </w:rPr>
              <w:t>p</w:t>
            </w:r>
            <w:r w:rsidRPr="00C53412">
              <w:rPr>
                <w:rFonts w:ascii="Times New Roman" w:hAnsi="Times New Roman" w:cs="Times New Roman"/>
                <w:sz w:val="28"/>
                <w:szCs w:val="28"/>
              </w:rPr>
              <w:t>rojekt</w:t>
            </w:r>
            <w:r>
              <w:rPr>
                <w:rFonts w:ascii="Times New Roman" w:hAnsi="Times New Roman" w:cs="Times New Roman"/>
                <w:sz w:val="28"/>
                <w:szCs w:val="28"/>
              </w:rPr>
              <w:t>u</w:t>
            </w:r>
            <w:r w:rsidRPr="00C53412">
              <w:rPr>
                <w:rFonts w:ascii="Times New Roman" w:hAnsi="Times New Roman" w:cs="Times New Roman"/>
                <w:sz w:val="28"/>
                <w:szCs w:val="28"/>
              </w:rPr>
              <w:t xml:space="preserve"> vadībai un uzraudzībai paredzēts piesaistīt atbilstošas jomas speciālistus, kuriem ir zināšanas un pieredze šāda mēroga projektu realizācijā. </w:t>
            </w: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Pr="005B0A56" w:rsidRDefault="005B0A56" w:rsidP="0033752A">
            <w:pPr>
              <w:pStyle w:val="naisc"/>
              <w:spacing w:before="0" w:after="0"/>
              <w:ind w:left="360"/>
              <w:jc w:val="left"/>
            </w:pPr>
            <w:r w:rsidRPr="005B0A56">
              <w:lastRenderedPageBreak/>
              <w:t>8.</w:t>
            </w:r>
          </w:p>
        </w:tc>
        <w:tc>
          <w:tcPr>
            <w:tcW w:w="3259" w:type="dxa"/>
            <w:tcBorders>
              <w:top w:val="single" w:sz="6" w:space="0" w:color="000000"/>
              <w:left w:val="single" w:sz="6" w:space="0" w:color="000000"/>
              <w:bottom w:val="single" w:sz="6" w:space="0" w:color="000000"/>
              <w:right w:val="single" w:sz="6" w:space="0" w:color="000000"/>
            </w:tcBorders>
          </w:tcPr>
          <w:p w:rsidR="0035008E" w:rsidRPr="0035008E" w:rsidRDefault="0035008E" w:rsidP="0035008E">
            <w:pPr>
              <w:spacing w:after="0" w:line="240" w:lineRule="auto"/>
              <w:ind w:firstLine="720"/>
              <w:jc w:val="both"/>
              <w:rPr>
                <w:rFonts w:ascii="Times New Roman" w:hAnsi="Times New Roman" w:cs="Times New Roman"/>
                <w:sz w:val="24"/>
                <w:szCs w:val="24"/>
              </w:rPr>
            </w:pPr>
            <w:r w:rsidRPr="0035008E">
              <w:rPr>
                <w:rFonts w:ascii="Times New Roman" w:hAnsi="Times New Roman" w:cs="Times New Roman"/>
                <w:b/>
                <w:sz w:val="24"/>
                <w:szCs w:val="24"/>
              </w:rPr>
              <w:t>Publiskās un privātās partnerības projekti ir saistīti ar paaugstinātu risku, tie ir juridiski sarežģīti un ar ilgu izpildes periodu</w:t>
            </w:r>
            <w:r w:rsidRPr="0035008E">
              <w:rPr>
                <w:rFonts w:ascii="Times New Roman" w:hAnsi="Times New Roman" w:cs="Times New Roman"/>
                <w:sz w:val="24"/>
                <w:szCs w:val="24"/>
              </w:rPr>
              <w:t xml:space="preserve">, turklāt tie ir pakļauti daudz un dažādu faktoru ietekmei, kas jāaprēķina un jāņem vērā.  Detalizēti tas izklāstīts </w:t>
            </w:r>
            <w:r w:rsidRPr="0035008E">
              <w:rPr>
                <w:rFonts w:ascii="Times New Roman" w:hAnsi="Times New Roman" w:cs="Times New Roman"/>
                <w:b/>
                <w:sz w:val="24"/>
                <w:szCs w:val="24"/>
              </w:rPr>
              <w:t>Fiskālās disciplīnas padomes pasūtītajā pētījumā “Publiskās un privātās partnerības riski”</w:t>
            </w:r>
            <w:r w:rsidRPr="0035008E">
              <w:rPr>
                <w:rFonts w:ascii="Times New Roman" w:hAnsi="Times New Roman" w:cs="Times New Roman"/>
                <w:sz w:val="24"/>
                <w:szCs w:val="24"/>
              </w:rPr>
              <w:t xml:space="preserve">. Iekšlietu ministrija tāpat ir veikusi konsultācijas ar Pasaules Bankas katastrofu risku vadības speciālistiem, kuri izteica </w:t>
            </w:r>
            <w:r w:rsidRPr="0035008E">
              <w:rPr>
                <w:rFonts w:ascii="Times New Roman" w:hAnsi="Times New Roman" w:cs="Times New Roman"/>
                <w:b/>
                <w:sz w:val="24"/>
                <w:szCs w:val="24"/>
              </w:rPr>
              <w:t>šaubas par iespēju veikt ugunsdzēsības depo būvniecību, izmantojot publiskās un privātās partnerības modeli</w:t>
            </w:r>
            <w:r w:rsidRPr="0035008E">
              <w:rPr>
                <w:rFonts w:ascii="Times New Roman" w:hAnsi="Times New Roman" w:cs="Times New Roman"/>
                <w:sz w:val="24"/>
                <w:szCs w:val="24"/>
              </w:rPr>
              <w:t xml:space="preserve">, jo ir maz </w:t>
            </w:r>
            <w:r w:rsidRPr="0035008E">
              <w:rPr>
                <w:rFonts w:ascii="Times New Roman" w:hAnsi="Times New Roman" w:cs="Times New Roman"/>
                <w:sz w:val="24"/>
                <w:szCs w:val="24"/>
              </w:rPr>
              <w:lastRenderedPageBreak/>
              <w:t>ticams, ka privātais sektors izrādīs interesi par šāda veida sociāliem projektiem, jo tie nav peļņu nesoši. Iekšlietu ministrija tāpat norāda, ka daudzu ēku tehniskais stāvoklis ir tik kritisks, ka Iekšlietu ministrija nevar riskēt un meklēt potenciālos investorus, kuri būti gatavi investēt šāda veida projektos, jo tas var novest pie ēku sabrukšanas.</w:t>
            </w:r>
          </w:p>
          <w:p w:rsidR="005B0A56" w:rsidRPr="005B0A56" w:rsidRDefault="005B0A56" w:rsidP="00CB6956">
            <w:pPr>
              <w:pStyle w:val="naisc"/>
              <w:spacing w:before="0" w:after="0"/>
              <w:ind w:firstLine="31"/>
            </w:pPr>
          </w:p>
        </w:tc>
        <w:tc>
          <w:tcPr>
            <w:tcW w:w="4535" w:type="dxa"/>
            <w:tcBorders>
              <w:top w:val="single" w:sz="6" w:space="0" w:color="000000"/>
              <w:left w:val="single" w:sz="6" w:space="0" w:color="000000"/>
              <w:bottom w:val="single" w:sz="6" w:space="0" w:color="000000"/>
              <w:right w:val="single" w:sz="6" w:space="0" w:color="000000"/>
            </w:tcBorders>
          </w:tcPr>
          <w:p w:rsidR="005B0A56" w:rsidRPr="005B0A56" w:rsidRDefault="005B0A56" w:rsidP="00A47AA3">
            <w:pPr>
              <w:pStyle w:val="Parastais"/>
              <w:tabs>
                <w:tab w:val="left" w:pos="851"/>
              </w:tabs>
              <w:ind w:firstLine="601"/>
              <w:jc w:val="both"/>
              <w:rPr>
                <w:sz w:val="24"/>
                <w:szCs w:val="24"/>
              </w:rPr>
            </w:pPr>
            <w:r w:rsidRPr="005B0A56">
              <w:rPr>
                <w:sz w:val="24"/>
                <w:szCs w:val="24"/>
              </w:rPr>
              <w:lastRenderedPageBreak/>
              <w:t xml:space="preserve">Informatīvajā ziņojumā 7.lp. tiek minēts, ka </w:t>
            </w:r>
            <w:r w:rsidRPr="005B0A56">
              <w:rPr>
                <w:i/>
                <w:iCs/>
                <w:sz w:val="24"/>
                <w:szCs w:val="24"/>
              </w:rPr>
              <w:t xml:space="preserve">publiskās un privātās partnerības projekti ir saistīti ar paaugstinātu risku, tie ir juridiski sarežģīti un ar ilgu izpildes periodu, turklāt tie ir pakļauti daudz un dažādu faktoru ietekmei, kas jāaprēķina un jāņem vērā.  Detalizēti tas izklāstīts Fiskālās disciplīnas padomes pasūtītajā pētījumā “Publiskās un privātās partnerības riski”. Iekšlietu ministrija tāpat ir veikusi konsultācijas ar Pasaules Bankas katastrofu risku vadības speciālistiem, kuri izteica šaubas par iespēju veikt ugunsdzēsības depo būvniecību, izmantojot publiskās un privātās partnerības modeli, jo ir maz ticams, ka privātais sektors izrādīs interesi par šāda veida sociāliem projektiem, jo tie nav peļņu nesoši. Iekšlietu ministrija tāpat norāda, ka daudzu ēku tehniskais stāvoklis ir tik kritisks, ka Iekšlietu ministrija nevar riskēt un meklēt potenciālos investorus, kuri būti gatavi </w:t>
            </w:r>
            <w:r w:rsidRPr="005B0A56">
              <w:rPr>
                <w:i/>
                <w:iCs/>
                <w:sz w:val="24"/>
                <w:szCs w:val="24"/>
              </w:rPr>
              <w:lastRenderedPageBreak/>
              <w:t>investēt šāda veida projektos, jo tas var novest pie ēku sabrukšanas.</w:t>
            </w:r>
          </w:p>
          <w:p w:rsidR="005B0A56" w:rsidRPr="00A47AA3" w:rsidRDefault="005B0A56" w:rsidP="00A47AA3">
            <w:pPr>
              <w:ind w:firstLine="709"/>
              <w:jc w:val="both"/>
              <w:rPr>
                <w:rFonts w:ascii="Times New Roman" w:hAnsi="Times New Roman" w:cs="Times New Roman"/>
                <w:i/>
                <w:iCs/>
                <w:sz w:val="24"/>
                <w:szCs w:val="24"/>
              </w:rPr>
            </w:pPr>
            <w:r w:rsidRPr="005B0A56">
              <w:rPr>
                <w:rFonts w:ascii="Times New Roman" w:hAnsi="Times New Roman" w:cs="Times New Roman"/>
                <w:sz w:val="24"/>
                <w:szCs w:val="24"/>
              </w:rPr>
              <w:t xml:space="preserve">Uzskatām, ka publiskajā un privātajā partnerībā (turpmāk – PPP) publiskais partneris savus riskus samazina, lielāko daļu no būvniecības un pieejamības riskiem nododot privātajam partnerim. Tāpat jebkurš ilgtermiņa investīciju projekts ir sarežģītāks par tradicionālo iepirkumu, līdz ar to uzskatām, ka nebūtu korekti norādīt, ka tikai publiskās un privātās partnerības projekti ir saistīti ar paaugstinātu risku, tie ir juridiski sarežģīti un ar ilgu izpildes periodu. Tāpat nevaram piekrist minētajam, ka </w:t>
            </w:r>
            <w:r w:rsidRPr="005B0A56">
              <w:rPr>
                <w:rFonts w:ascii="Times New Roman" w:hAnsi="Times New Roman" w:cs="Times New Roman"/>
                <w:iCs/>
                <w:sz w:val="24"/>
                <w:szCs w:val="24"/>
              </w:rPr>
              <w:t>maz ticams, ka privātais sektors izrādīs interesi par šāda veida sociāliem projektiem</w:t>
            </w:r>
            <w:r w:rsidRPr="005B0A56">
              <w:rPr>
                <w:rFonts w:ascii="Times New Roman" w:hAnsi="Times New Roman" w:cs="Times New Roman"/>
                <w:sz w:val="24"/>
                <w:szCs w:val="24"/>
              </w:rPr>
              <w:t xml:space="preserve">. Uzskatām, ka privātais partneris vienmēr ir ieinteresēts lielu infrastruktūras projektu būvniecībai, īpaši ja tie ir vairāki līdzīgi, tādejādi sasniedzot apjoma efektu. Privātā partnera interese atkarīga no līguma nosacījumiem un pārsvarā šādos PPP līgumos ir minēts, ka privātais partneris saņem maksājumus pēc būvniecības pabeigšanas un maksājuma apjoms ir atkarīgs no būves pieejamības atbilstošā kvalitātē. No Informatīvajā ziņojumā minētajiem secinājumiem izriet, ka privātais partneris ir ieinteresēts tikai koncesiju projektos, tomēr, mūsuprāt, ir pretēji- privātos partnerus vairāk interesē </w:t>
            </w:r>
            <w:r w:rsidRPr="005B0A56">
              <w:rPr>
                <w:rFonts w:ascii="Times New Roman" w:hAnsi="Times New Roman" w:cs="Times New Roman"/>
                <w:sz w:val="24"/>
                <w:szCs w:val="24"/>
              </w:rPr>
              <w:lastRenderedPageBreak/>
              <w:t>tieši tādi projekti, kur pieprasījumu risks nav privātā partnera pusē, tādejādi viņa ienākumi ir vieglāk prognozējami un atkarīgi tikai no būvniecības un apsaimniekošanas kvalitātes. Papildus nav saprotams, kā privāto investoru meklēšana var novest pie ēku sabrukšanas, ja alternatīva ir līdzīga procedūra caur Publisko iepirkumu likumu, slēdzot būvniecības līgumu, ko tāpat veiks privāts būvnieks. Lūdzam precizēt minēto informāciju.</w:t>
            </w:r>
          </w:p>
        </w:tc>
        <w:tc>
          <w:tcPr>
            <w:tcW w:w="2409" w:type="dxa"/>
            <w:tcBorders>
              <w:top w:val="single" w:sz="6" w:space="0" w:color="000000"/>
              <w:left w:val="single" w:sz="6" w:space="0" w:color="000000"/>
              <w:bottom w:val="single" w:sz="6" w:space="0" w:color="000000"/>
              <w:right w:val="single" w:sz="6" w:space="0" w:color="000000"/>
            </w:tcBorders>
          </w:tcPr>
          <w:p w:rsidR="005B0A56" w:rsidRPr="005B0A56" w:rsidRDefault="00F5053E" w:rsidP="00C50883">
            <w:pPr>
              <w:pStyle w:val="naisc"/>
              <w:spacing w:before="0" w:after="0"/>
              <w:rPr>
                <w:b/>
              </w:rPr>
            </w:pPr>
            <w:r>
              <w:rPr>
                <w:b/>
              </w:rPr>
              <w:lastRenderedPageBreak/>
              <w:t xml:space="preserve">Iebildums ņemts vērā, precizējot informatīvā ziņojuma sadaļu par </w:t>
            </w:r>
            <w:r w:rsidR="00C50883">
              <w:rPr>
                <w:b/>
              </w:rPr>
              <w:t xml:space="preserve">iespējām projektus īstenot publiskās un </w:t>
            </w:r>
            <w:r>
              <w:rPr>
                <w:b/>
              </w:rPr>
              <w:t>privāt</w:t>
            </w:r>
            <w:r w:rsidR="00C50883">
              <w:rPr>
                <w:b/>
              </w:rPr>
              <w:t>ās</w:t>
            </w:r>
            <w:r>
              <w:rPr>
                <w:b/>
              </w:rPr>
              <w:t xml:space="preserve"> partne</w:t>
            </w:r>
            <w:r w:rsidR="00C50883">
              <w:rPr>
                <w:b/>
              </w:rPr>
              <w:t>rības ietvaros.</w:t>
            </w:r>
          </w:p>
        </w:tc>
        <w:tc>
          <w:tcPr>
            <w:tcW w:w="4259" w:type="dxa"/>
            <w:tcBorders>
              <w:top w:val="single" w:sz="4" w:space="0" w:color="auto"/>
              <w:left w:val="single" w:sz="4" w:space="0" w:color="auto"/>
              <w:bottom w:val="single" w:sz="4" w:space="0" w:color="auto"/>
            </w:tcBorders>
          </w:tcPr>
          <w:p w:rsidR="0035008E" w:rsidRPr="00F5053E" w:rsidRDefault="00F5053E" w:rsidP="00F5053E">
            <w:pPr>
              <w:spacing w:after="0" w:line="240" w:lineRule="auto"/>
              <w:ind w:firstLine="720"/>
              <w:jc w:val="both"/>
              <w:rPr>
                <w:rFonts w:ascii="Times New Roman" w:hAnsi="Times New Roman" w:cs="Times New Roman"/>
                <w:sz w:val="24"/>
                <w:szCs w:val="24"/>
              </w:rPr>
            </w:pPr>
            <w:r w:rsidRPr="0035008E">
              <w:rPr>
                <w:rFonts w:ascii="Times New Roman" w:hAnsi="Times New Roman" w:cs="Times New Roman"/>
                <w:b/>
                <w:sz w:val="24"/>
                <w:szCs w:val="24"/>
              </w:rPr>
              <w:t>Publiskās un privātās partnerības projekti ir saistīti ar paaugstinātu risku, tie ir juridiski sarežģīti un ar ilgu izpildes periodu</w:t>
            </w:r>
            <w:r w:rsidRPr="0035008E">
              <w:rPr>
                <w:rFonts w:ascii="Times New Roman" w:hAnsi="Times New Roman" w:cs="Times New Roman"/>
                <w:sz w:val="24"/>
                <w:szCs w:val="24"/>
              </w:rPr>
              <w:t xml:space="preserve">, turklāt tie ir pakļauti daudz un dažādu faktoru ietekmei, kas jāaprēķina un jāņem vērā.  Detalizēti tas izklāstīts </w:t>
            </w:r>
            <w:r w:rsidRPr="0035008E">
              <w:rPr>
                <w:rFonts w:ascii="Times New Roman" w:hAnsi="Times New Roman" w:cs="Times New Roman"/>
                <w:b/>
                <w:sz w:val="24"/>
                <w:szCs w:val="24"/>
              </w:rPr>
              <w:t>Fiskālās disciplīnas padomes pasūtītajā pētījumā “Publiskās un privātās partnerības riski”</w:t>
            </w:r>
            <w:r w:rsidRPr="0035008E">
              <w:rPr>
                <w:rFonts w:ascii="Times New Roman" w:hAnsi="Times New Roman" w:cs="Times New Roman"/>
                <w:sz w:val="24"/>
                <w:szCs w:val="24"/>
              </w:rPr>
              <w:t xml:space="preserve">. </w:t>
            </w:r>
            <w:r w:rsidR="0035008E" w:rsidRPr="00F5053E">
              <w:rPr>
                <w:rFonts w:ascii="Times New Roman" w:hAnsi="Times New Roman" w:cs="Times New Roman"/>
                <w:sz w:val="24"/>
                <w:szCs w:val="24"/>
              </w:rPr>
              <w:t>Iekšlietu ministrija norāda, ka daudzu ēku tehniskais stāvoklis ir tik kritisks, ka Iekšlietu ministrija ilgāk nevar atlikt šī jautājuma izskatīšanu, cerot atrast kādu investoru, kas būtu gatavs investēt šāda veida projektos, jo jebkura kavēšanās apdraud turpmāko ēku saglabāšanu, kā arī c</w:t>
            </w:r>
            <w:r w:rsidRPr="00F5053E">
              <w:rPr>
                <w:rFonts w:ascii="Times New Roman" w:hAnsi="Times New Roman" w:cs="Times New Roman"/>
                <w:sz w:val="24"/>
                <w:szCs w:val="24"/>
              </w:rPr>
              <w:t>ilvēku veselību un dzīvību.</w:t>
            </w:r>
          </w:p>
          <w:p w:rsidR="005B0A56" w:rsidRPr="005B0A56" w:rsidRDefault="005B0A56" w:rsidP="006D69F1">
            <w:pPr>
              <w:jc w:val="both"/>
              <w:rPr>
                <w:rFonts w:ascii="Times New Roman" w:hAnsi="Times New Roman" w:cs="Times New Roman"/>
                <w:sz w:val="24"/>
                <w:szCs w:val="24"/>
              </w:rPr>
            </w:pPr>
          </w:p>
        </w:tc>
      </w:tr>
      <w:tr w:rsidR="005B0A56"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5B0A56" w:rsidRPr="005B0A56" w:rsidRDefault="005B0A56" w:rsidP="0033752A">
            <w:pPr>
              <w:pStyle w:val="naisc"/>
              <w:spacing w:before="0" w:after="0"/>
              <w:ind w:left="360"/>
              <w:jc w:val="left"/>
            </w:pPr>
            <w:r w:rsidRPr="005B0A56">
              <w:lastRenderedPageBreak/>
              <w:t>9.</w:t>
            </w:r>
          </w:p>
        </w:tc>
        <w:tc>
          <w:tcPr>
            <w:tcW w:w="3259" w:type="dxa"/>
            <w:tcBorders>
              <w:top w:val="single" w:sz="6" w:space="0" w:color="000000"/>
              <w:left w:val="single" w:sz="6" w:space="0" w:color="000000"/>
              <w:bottom w:val="single" w:sz="6" w:space="0" w:color="000000"/>
              <w:right w:val="single" w:sz="6" w:space="0" w:color="000000"/>
            </w:tcBorders>
          </w:tcPr>
          <w:p w:rsidR="005B0A56" w:rsidRDefault="009D3876" w:rsidP="009D3876">
            <w:pPr>
              <w:pStyle w:val="naisc"/>
              <w:spacing w:before="0" w:after="0"/>
              <w:ind w:firstLine="601"/>
              <w:jc w:val="both"/>
            </w:pPr>
            <w:r w:rsidRPr="009D3876">
              <w:t xml:space="preserve">Iekšlietu ministrija arī turpina darbu pie strukturālo reformu ieviešanas SRAP 2 un SRAP 3 projektu ietvaros. Tomēr, lai strukturālās reformas patiesi būtu vērstas uz ilgtermiņa kvalitāti un uzlabojumiem, tām jānotiek paralēli vispārējai darba efektivizācijai un resursu optimizācijai. </w:t>
            </w:r>
            <w:r w:rsidRPr="009D3876">
              <w:rPr>
                <w:b/>
              </w:rPr>
              <w:t>Iekšlietu nozares nekustamo īpašumu un infrastruktūras sakārtošana ir priekšnoteikums, lai pašlaik īstenotās strukturālās reformas tiktu balstītas uz stabiliem pamatiem un nebūtu tikai īstermiņa risinājums.</w:t>
            </w:r>
            <w:r w:rsidRPr="009D3876">
              <w:t xml:space="preserve">  </w:t>
            </w:r>
          </w:p>
          <w:p w:rsidR="009D3876" w:rsidRDefault="009D3876" w:rsidP="009D3876">
            <w:pPr>
              <w:pStyle w:val="naisc"/>
              <w:spacing w:before="0" w:after="0"/>
              <w:ind w:firstLine="601"/>
              <w:jc w:val="both"/>
            </w:pPr>
          </w:p>
          <w:p w:rsidR="009D3876" w:rsidRPr="009D3876" w:rsidRDefault="009D3876" w:rsidP="009D3876">
            <w:pPr>
              <w:pStyle w:val="naisc"/>
              <w:spacing w:before="0" w:after="0"/>
              <w:ind w:firstLine="601"/>
              <w:jc w:val="both"/>
            </w:pPr>
            <w:r w:rsidRPr="009D3876">
              <w:lastRenderedPageBreak/>
              <w:t xml:space="preserve">Saskaņā ar Iekšlietu ministrijas provizoriskajiem aprēķiniem ieceres īstenošanai būtu nepieciešami aptuveni 202 milj. </w:t>
            </w:r>
            <w:proofErr w:type="spellStart"/>
            <w:r w:rsidRPr="009D3876">
              <w:rPr>
                <w:i/>
              </w:rPr>
              <w:t>euro</w:t>
            </w:r>
            <w:proofErr w:type="spellEnd"/>
            <w:r w:rsidRPr="009D3876">
              <w:rPr>
                <w:i/>
              </w:rPr>
              <w:t xml:space="preserve"> (aprēķinu pamatā ir plānotā ēku platība, reizinot ar vidējām plānotajām izmaksām uz vienu kvadrātmetru)</w:t>
            </w:r>
            <w:r w:rsidRPr="009D3876">
              <w:t xml:space="preserve">, kā ietvaros Iekšlietu ministrija iecerējusi 43 administratīvo centru un 6 atsevišķu ugunsdzēsības depo būvniecību, kuru izbūvei kopā būtu nepieciešami aptuveni 194,5 milj. </w:t>
            </w:r>
            <w:proofErr w:type="spellStart"/>
            <w:r w:rsidRPr="009D3876">
              <w:rPr>
                <w:i/>
              </w:rPr>
              <w:t>euro</w:t>
            </w:r>
            <w:proofErr w:type="spellEnd"/>
            <w:r w:rsidRPr="009D3876">
              <w:t>.</w:t>
            </w:r>
          </w:p>
        </w:tc>
        <w:tc>
          <w:tcPr>
            <w:tcW w:w="4535" w:type="dxa"/>
            <w:tcBorders>
              <w:top w:val="single" w:sz="6" w:space="0" w:color="000000"/>
              <w:left w:val="single" w:sz="6" w:space="0" w:color="000000"/>
              <w:bottom w:val="single" w:sz="6" w:space="0" w:color="000000"/>
              <w:right w:val="single" w:sz="6" w:space="0" w:color="000000"/>
            </w:tcBorders>
          </w:tcPr>
          <w:p w:rsidR="005B0A56" w:rsidRPr="00A47AA3" w:rsidRDefault="005B0A56" w:rsidP="00A47AA3">
            <w:pPr>
              <w:pStyle w:val="Parastais"/>
              <w:tabs>
                <w:tab w:val="left" w:pos="851"/>
              </w:tabs>
              <w:ind w:firstLine="601"/>
              <w:jc w:val="both"/>
              <w:rPr>
                <w:sz w:val="24"/>
                <w:szCs w:val="24"/>
              </w:rPr>
            </w:pPr>
            <w:r w:rsidRPr="005B0A56">
              <w:rPr>
                <w:sz w:val="24"/>
                <w:szCs w:val="24"/>
              </w:rPr>
              <w:lastRenderedPageBreak/>
              <w:t xml:space="preserve">Attiecībā uz Informatīvā ziņojuma 8. lp. minēto, ka </w:t>
            </w:r>
            <w:r w:rsidRPr="005B0A56">
              <w:rPr>
                <w:i/>
                <w:iCs/>
                <w:sz w:val="24"/>
                <w:szCs w:val="24"/>
              </w:rPr>
              <w:t>Iekšlietu ministrija arī turpina darbu pie strukturālo reformu ieviešanas SRAP 2 un SRAP 3 projektu ietvaros.</w:t>
            </w:r>
            <w:r w:rsidRPr="005B0A56">
              <w:rPr>
                <w:sz w:val="24"/>
                <w:szCs w:val="24"/>
              </w:rPr>
              <w:t xml:space="preserve"> </w:t>
            </w:r>
            <w:r w:rsidRPr="005B0A56">
              <w:rPr>
                <w:i/>
                <w:iCs/>
                <w:sz w:val="24"/>
                <w:szCs w:val="24"/>
              </w:rPr>
              <w:t>Tomēr, lai strukturālās reformas patiesi būtu vērstas uz ilgtermiņa kvalitāti un uzlabojumiem, tām jānotiek paralēli vispārējai darba efektivizācijai un resursu optimizācijai.  Iekšlietu nozares nekustamo īpašumu un infrastruktūras sakārtošana ir priekšnoteikums, lai pašlaik īstenotās strukturālās reformas tiktu balstītas uz stabiliem pamatiem un nebūtu tikai īstermiņa risinājums</w:t>
            </w:r>
            <w:r w:rsidRPr="005B0A56">
              <w:rPr>
                <w:sz w:val="24"/>
                <w:szCs w:val="24"/>
              </w:rPr>
              <w:t xml:space="preserve"> un 9.lp. minēto, ka  </w:t>
            </w:r>
            <w:r w:rsidRPr="005B0A56">
              <w:rPr>
                <w:i/>
                <w:iCs/>
                <w:sz w:val="24"/>
                <w:szCs w:val="24"/>
              </w:rPr>
              <w:t>Iekšlietu ministrija iecerējusi 43 administratīvo centru un sešu atsevišķu ugunsdzēsības depo būvniecību</w:t>
            </w:r>
            <w:r w:rsidRPr="005B0A56">
              <w:rPr>
                <w:sz w:val="24"/>
                <w:szCs w:val="24"/>
              </w:rPr>
              <w:t xml:space="preserve"> būtiski ir norādīt, ka sākotnēji ir jānotiek strukturālajām reformām, lai tā rezultātā varētu secināt, cik daudz un kāda apjoma infrastruktūra ir nepieciešama – tas ir secināts arī Valsts kontroles 2017.gada </w:t>
            </w:r>
            <w:r w:rsidRPr="005B0A56">
              <w:rPr>
                <w:sz w:val="24"/>
                <w:szCs w:val="24"/>
              </w:rPr>
              <w:lastRenderedPageBreak/>
              <w:t>20.septembra revīzijas ziņojumā “Vai pirmstiesas izmeklēšana Valsts policijā ir efektīva”. Tādejādi lūdzam izvērtēt, vai MK protokollēmumā minētajam 4.punktam (Iekšlietu ministrijai virzīt izskatīšanai Ministru kabinetā lēmumu projektus attiecīgo būvniecības projektu finansēšanai)</w:t>
            </w:r>
            <w:r w:rsidRPr="005B0A56">
              <w:rPr>
                <w:sz w:val="24"/>
                <w:szCs w:val="24"/>
                <w:u w:val="single"/>
              </w:rPr>
              <w:t xml:space="preserve"> nebūtu jānotiek tikai pēc strukturālo reformu pabeigšanas. </w:t>
            </w:r>
          </w:p>
        </w:tc>
        <w:tc>
          <w:tcPr>
            <w:tcW w:w="2409" w:type="dxa"/>
            <w:tcBorders>
              <w:top w:val="single" w:sz="6" w:space="0" w:color="000000"/>
              <w:left w:val="single" w:sz="6" w:space="0" w:color="000000"/>
              <w:bottom w:val="single" w:sz="6" w:space="0" w:color="000000"/>
              <w:right w:val="single" w:sz="6" w:space="0" w:color="000000"/>
            </w:tcBorders>
          </w:tcPr>
          <w:p w:rsidR="009D3876" w:rsidRPr="00F5053E" w:rsidRDefault="00F5053E" w:rsidP="00F5053E">
            <w:pPr>
              <w:pStyle w:val="naisc"/>
              <w:spacing w:before="0" w:after="0"/>
              <w:rPr>
                <w:b/>
              </w:rPr>
            </w:pPr>
            <w:r w:rsidRPr="00F5053E">
              <w:rPr>
                <w:b/>
              </w:rPr>
              <w:lastRenderedPageBreak/>
              <w:t>Atbilstoši Finanšu ministrijas lūgumam Iekšlietu ministrija izvērtēja iebildumu un pauž viedokli, ka</w:t>
            </w:r>
          </w:p>
          <w:p w:rsidR="009D3876" w:rsidRPr="005B0A56" w:rsidRDefault="009D3876" w:rsidP="00F5053E">
            <w:pPr>
              <w:pStyle w:val="naisc"/>
              <w:spacing w:before="0" w:after="0"/>
              <w:rPr>
                <w:b/>
              </w:rPr>
            </w:pPr>
            <w:r w:rsidRPr="00F5053E">
              <w:rPr>
                <w:b/>
              </w:rPr>
              <w:t xml:space="preserve">nekustamo īpašumu attīstība nevar </w:t>
            </w:r>
            <w:r w:rsidR="00F5053E">
              <w:rPr>
                <w:b/>
              </w:rPr>
              <w:t>no</w:t>
            </w:r>
            <w:r w:rsidRPr="00F5053E">
              <w:rPr>
                <w:b/>
              </w:rPr>
              <w:t xml:space="preserve">tikt atrauti no strukturālajām reformām iekšlietu nozarē. Atbilstoša infrastruktūra ir viens no priekšnoteikumiem reformu īstenošanai, turklāt viena no plānotajām reformām ir tiešā veidā vērsta uz nekustamo īpašumu </w:t>
            </w:r>
            <w:r w:rsidRPr="00F5053E">
              <w:rPr>
                <w:b/>
              </w:rPr>
              <w:lastRenderedPageBreak/>
              <w:t>struktūras optimizāciju.</w:t>
            </w:r>
          </w:p>
        </w:tc>
        <w:tc>
          <w:tcPr>
            <w:tcW w:w="4259" w:type="dxa"/>
            <w:tcBorders>
              <w:top w:val="single" w:sz="4" w:space="0" w:color="auto"/>
              <w:left w:val="single" w:sz="4" w:space="0" w:color="auto"/>
              <w:bottom w:val="single" w:sz="4" w:space="0" w:color="auto"/>
            </w:tcBorders>
          </w:tcPr>
          <w:p w:rsidR="009D3876" w:rsidRPr="00F5053E" w:rsidRDefault="009D3876" w:rsidP="009D3876">
            <w:pPr>
              <w:ind w:firstLine="748"/>
              <w:jc w:val="both"/>
              <w:rPr>
                <w:rFonts w:ascii="Times New Roman" w:hAnsi="Times New Roman" w:cs="Times New Roman"/>
                <w:b/>
                <w:sz w:val="24"/>
                <w:szCs w:val="24"/>
              </w:rPr>
            </w:pPr>
            <w:r w:rsidRPr="009D3876">
              <w:rPr>
                <w:rFonts w:ascii="Times New Roman" w:hAnsi="Times New Roman" w:cs="Times New Roman"/>
                <w:sz w:val="24"/>
                <w:szCs w:val="24"/>
              </w:rPr>
              <w:lastRenderedPageBreak/>
              <w:t xml:space="preserve">Iekšlietu ministrija arī turpina darbu pie strukturālo reformu ieviešanas SRAP 2 un SRAP 3 projektu ietvaros. Tomēr, lai strukturālās reformas patiesi būtu vērstas uz ilgtermiņa kvalitāti un uzlabojumiem, tām jānotiek paralēli vispārējai darba efektivizācijai un resursu optimizācijai. </w:t>
            </w:r>
            <w:r w:rsidRPr="00F5053E">
              <w:rPr>
                <w:rFonts w:ascii="Times New Roman" w:hAnsi="Times New Roman" w:cs="Times New Roman"/>
                <w:b/>
                <w:sz w:val="24"/>
                <w:szCs w:val="24"/>
              </w:rPr>
              <w:t xml:space="preserve">Iekšlietu nozares nekustamo īpašumu un infrastruktūras sakārtošana ir priekšnoteikums, lai pašlaik īstenotās strukturālās reformas tiktu balstītas uz stabiliem pamatiem un nebūtu tikai īstermiņa risinājums.  </w:t>
            </w:r>
          </w:p>
          <w:p w:rsidR="005B0A56" w:rsidRPr="005B0A56" w:rsidRDefault="009D3876" w:rsidP="009D3876">
            <w:pPr>
              <w:ind w:firstLine="748"/>
              <w:jc w:val="both"/>
              <w:rPr>
                <w:rFonts w:ascii="Times New Roman" w:hAnsi="Times New Roman" w:cs="Times New Roman"/>
                <w:sz w:val="24"/>
                <w:szCs w:val="24"/>
              </w:rPr>
            </w:pPr>
            <w:r w:rsidRPr="009D3876">
              <w:rPr>
                <w:rFonts w:ascii="Times New Roman" w:hAnsi="Times New Roman" w:cs="Times New Roman"/>
                <w:sz w:val="24"/>
                <w:szCs w:val="24"/>
              </w:rPr>
              <w:t xml:space="preserve">Saskaņā ar Iekšlietu ministrijas provizoriskajiem aprēķiniem ieceres īstenošanai būtu nepieciešami aptuveni 202 milj. </w:t>
            </w:r>
            <w:proofErr w:type="spellStart"/>
            <w:r w:rsidRPr="009D3876">
              <w:rPr>
                <w:rFonts w:ascii="Times New Roman" w:hAnsi="Times New Roman" w:cs="Times New Roman"/>
                <w:sz w:val="24"/>
                <w:szCs w:val="24"/>
              </w:rPr>
              <w:t>euro</w:t>
            </w:r>
            <w:proofErr w:type="spellEnd"/>
            <w:r w:rsidRPr="009D3876">
              <w:rPr>
                <w:rFonts w:ascii="Times New Roman" w:hAnsi="Times New Roman" w:cs="Times New Roman"/>
                <w:sz w:val="24"/>
                <w:szCs w:val="24"/>
              </w:rPr>
              <w:t xml:space="preserve"> (aprēķinu pamatā ir plānotā ēku platība, reizinot ar vidējām plānotajām izmaksām uz vienu </w:t>
            </w:r>
            <w:r w:rsidRPr="009D3876">
              <w:rPr>
                <w:rFonts w:ascii="Times New Roman" w:hAnsi="Times New Roman" w:cs="Times New Roman"/>
                <w:sz w:val="24"/>
                <w:szCs w:val="24"/>
              </w:rPr>
              <w:lastRenderedPageBreak/>
              <w:t xml:space="preserve">kvadrātmetru), kā ietvaros Iekšlietu ministrija iecerējusi 43 administratīvo centru un 6 atsevišķu ugunsdzēsības depo būvniecību, kuru izbūvei kopā būtu nepieciešami aptuveni 194,5 milj. </w:t>
            </w:r>
            <w:proofErr w:type="spellStart"/>
            <w:r w:rsidRPr="009D3876">
              <w:rPr>
                <w:rFonts w:ascii="Times New Roman" w:hAnsi="Times New Roman" w:cs="Times New Roman"/>
                <w:sz w:val="24"/>
                <w:szCs w:val="24"/>
              </w:rPr>
              <w:t>euro</w:t>
            </w:r>
            <w:proofErr w:type="spellEnd"/>
            <w:r w:rsidRPr="009D3876">
              <w:rPr>
                <w:rFonts w:ascii="Times New Roman" w:hAnsi="Times New Roman" w:cs="Times New Roman"/>
                <w:sz w:val="24"/>
                <w:szCs w:val="24"/>
              </w:rPr>
              <w:t>.</w:t>
            </w:r>
          </w:p>
        </w:tc>
      </w:tr>
      <w:tr w:rsidR="00A469EA"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A469EA" w:rsidRPr="005B0A56" w:rsidRDefault="00A469EA" w:rsidP="00A469EA">
            <w:pPr>
              <w:pStyle w:val="naisc"/>
              <w:spacing w:before="0" w:after="0"/>
              <w:ind w:left="360"/>
              <w:jc w:val="left"/>
            </w:pPr>
            <w:r>
              <w:lastRenderedPageBreak/>
              <w:t>1.</w:t>
            </w:r>
          </w:p>
        </w:tc>
        <w:tc>
          <w:tcPr>
            <w:tcW w:w="3259" w:type="dxa"/>
            <w:tcBorders>
              <w:top w:val="single" w:sz="6" w:space="0" w:color="000000"/>
              <w:left w:val="single" w:sz="6" w:space="0" w:color="000000"/>
              <w:bottom w:val="single" w:sz="6" w:space="0" w:color="000000"/>
              <w:right w:val="single" w:sz="6" w:space="0" w:color="000000"/>
            </w:tcBorders>
          </w:tcPr>
          <w:p w:rsidR="00A469EA" w:rsidRPr="009D3876" w:rsidRDefault="00A469EA" w:rsidP="00A469EA">
            <w:pPr>
              <w:spacing w:after="0" w:line="240" w:lineRule="auto"/>
              <w:ind w:firstLine="459"/>
              <w:jc w:val="both"/>
              <w:rPr>
                <w:rFonts w:ascii="Times New Roman" w:eastAsia="Times New Roman" w:hAnsi="Times New Roman" w:cs="Times New Roman"/>
                <w:sz w:val="24"/>
                <w:szCs w:val="24"/>
                <w:lang w:eastAsia="lv-LV"/>
              </w:rPr>
            </w:pPr>
            <w:r w:rsidRPr="009D3876">
              <w:rPr>
                <w:rFonts w:ascii="Times New Roman" w:eastAsia="Times New Roman" w:hAnsi="Times New Roman" w:cs="Times New Roman"/>
                <w:sz w:val="24"/>
                <w:szCs w:val="24"/>
                <w:lang w:eastAsia="lv-LV"/>
              </w:rPr>
              <w:t>Atbalstīt informatīvajā ziņojumā iekļautos pasākumus strukturālo un zaļās pārejas reformas īstenošanai iekšlietu nozarē.</w:t>
            </w:r>
          </w:p>
        </w:tc>
        <w:tc>
          <w:tcPr>
            <w:tcW w:w="4535" w:type="dxa"/>
            <w:tcBorders>
              <w:top w:val="single" w:sz="6" w:space="0" w:color="000000"/>
              <w:left w:val="single" w:sz="6" w:space="0" w:color="000000"/>
              <w:bottom w:val="single" w:sz="6" w:space="0" w:color="000000"/>
              <w:right w:val="single" w:sz="6" w:space="0" w:color="000000"/>
            </w:tcBorders>
          </w:tcPr>
          <w:p w:rsidR="00A469EA" w:rsidRPr="00C86138" w:rsidRDefault="00A469EA" w:rsidP="00A469EA">
            <w:pPr>
              <w:ind w:firstLine="720"/>
              <w:jc w:val="center"/>
              <w:rPr>
                <w:rFonts w:ascii="Times New Roman" w:hAnsi="Times New Roman" w:cs="Times New Roman"/>
                <w:b/>
                <w:sz w:val="24"/>
                <w:szCs w:val="24"/>
              </w:rPr>
            </w:pPr>
            <w:r w:rsidRPr="00C86138">
              <w:rPr>
                <w:rFonts w:ascii="Times New Roman" w:hAnsi="Times New Roman" w:cs="Times New Roman"/>
                <w:b/>
                <w:sz w:val="24"/>
                <w:szCs w:val="24"/>
              </w:rPr>
              <w:t>Priekšlikums</w:t>
            </w:r>
          </w:p>
          <w:p w:rsidR="00A469EA" w:rsidRPr="00C86138" w:rsidRDefault="00A469EA" w:rsidP="00A469EA">
            <w:pPr>
              <w:ind w:firstLine="720"/>
              <w:jc w:val="both"/>
              <w:rPr>
                <w:rFonts w:ascii="Times New Roman" w:hAnsi="Times New Roman" w:cs="Times New Roman"/>
                <w:sz w:val="24"/>
                <w:szCs w:val="24"/>
              </w:rPr>
            </w:pPr>
            <w:r w:rsidRPr="00C86138">
              <w:rPr>
                <w:rFonts w:ascii="Times New Roman" w:hAnsi="Times New Roman" w:cs="Times New Roman"/>
                <w:sz w:val="24"/>
                <w:szCs w:val="24"/>
              </w:rPr>
              <w:t xml:space="preserve">Ņemot vērā, ka Informatīvā ziņojuma projektā iekļauto pasākumu strukturālo un zaļās pārejas reformas īstenošanai iekšlietu nozarē finansējums nav nodrošināts, ierosinām pārskatīt MK protokollēmuma projekta 2.punkta redakciju, pirms vārda “atbalstīt” iekļaujot vārdu “konceptuāli”. </w:t>
            </w:r>
          </w:p>
        </w:tc>
        <w:tc>
          <w:tcPr>
            <w:tcW w:w="2409" w:type="dxa"/>
            <w:tcBorders>
              <w:top w:val="single" w:sz="6" w:space="0" w:color="000000"/>
              <w:left w:val="single" w:sz="6" w:space="0" w:color="000000"/>
              <w:bottom w:val="single" w:sz="6" w:space="0" w:color="000000"/>
              <w:right w:val="single" w:sz="6" w:space="0" w:color="000000"/>
            </w:tcBorders>
          </w:tcPr>
          <w:p w:rsidR="00A469EA" w:rsidRPr="00C86138" w:rsidRDefault="00A469EA" w:rsidP="00A469EA">
            <w:pPr>
              <w:pStyle w:val="naisc"/>
              <w:spacing w:before="0" w:after="0"/>
              <w:rPr>
                <w:b/>
              </w:rPr>
            </w:pPr>
            <w:r w:rsidRPr="00C86138">
              <w:rPr>
                <w:b/>
              </w:rPr>
              <w:t>Priekšlikums ņemts vērā</w:t>
            </w:r>
          </w:p>
        </w:tc>
        <w:tc>
          <w:tcPr>
            <w:tcW w:w="4259" w:type="dxa"/>
            <w:tcBorders>
              <w:top w:val="single" w:sz="4" w:space="0" w:color="auto"/>
              <w:left w:val="single" w:sz="4" w:space="0" w:color="auto"/>
              <w:bottom w:val="single" w:sz="4" w:space="0" w:color="auto"/>
            </w:tcBorders>
          </w:tcPr>
          <w:p w:rsidR="00A469EA" w:rsidRPr="009D3876" w:rsidRDefault="00A469EA" w:rsidP="00A469EA">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9D3876">
              <w:rPr>
                <w:rFonts w:ascii="Times New Roman" w:eastAsia="Times New Roman" w:hAnsi="Times New Roman" w:cs="Times New Roman"/>
                <w:sz w:val="24"/>
                <w:szCs w:val="24"/>
                <w:u w:val="single"/>
                <w:lang w:eastAsia="lv-LV"/>
              </w:rPr>
              <w:t>Konceptuāli atbalstīt</w:t>
            </w:r>
            <w:r w:rsidRPr="009D3876">
              <w:rPr>
                <w:rFonts w:ascii="Times New Roman" w:eastAsia="Times New Roman" w:hAnsi="Times New Roman" w:cs="Times New Roman"/>
                <w:sz w:val="24"/>
                <w:szCs w:val="24"/>
                <w:lang w:eastAsia="lv-LV"/>
              </w:rPr>
              <w:t xml:space="preserve"> informatīvajā ziņojumā iekļautos pasākumus strukturālo un zaļās pārejas reformas īstenošanai iekšlietu nozarē.</w:t>
            </w:r>
          </w:p>
          <w:p w:rsidR="00A469EA" w:rsidRPr="00C86138" w:rsidRDefault="00A469EA" w:rsidP="00A469EA">
            <w:pPr>
              <w:jc w:val="both"/>
              <w:rPr>
                <w:rFonts w:ascii="Times New Roman" w:hAnsi="Times New Roman" w:cs="Times New Roman"/>
                <w:sz w:val="24"/>
                <w:szCs w:val="24"/>
              </w:rPr>
            </w:pPr>
          </w:p>
        </w:tc>
      </w:tr>
      <w:tr w:rsidR="00D63413" w:rsidRPr="00E04A37" w:rsidTr="00A469EA">
        <w:trPr>
          <w:gridAfter w:val="1"/>
          <w:wAfter w:w="17" w:type="dxa"/>
        </w:trPr>
        <w:tc>
          <w:tcPr>
            <w:tcW w:w="15447" w:type="dxa"/>
            <w:gridSpan w:val="5"/>
            <w:tcBorders>
              <w:top w:val="single" w:sz="6" w:space="0" w:color="000000"/>
              <w:left w:val="single" w:sz="6" w:space="0" w:color="000000"/>
              <w:bottom w:val="single" w:sz="6" w:space="0" w:color="000000"/>
            </w:tcBorders>
          </w:tcPr>
          <w:p w:rsidR="00D63413" w:rsidRPr="00D63413" w:rsidRDefault="00D63413" w:rsidP="00D63413">
            <w:pPr>
              <w:spacing w:after="0" w:line="240" w:lineRule="auto"/>
              <w:jc w:val="center"/>
              <w:rPr>
                <w:rFonts w:ascii="Times New Roman" w:hAnsi="Times New Roman" w:cs="Times New Roman"/>
                <w:b/>
                <w:sz w:val="24"/>
                <w:szCs w:val="24"/>
              </w:rPr>
            </w:pPr>
            <w:r w:rsidRPr="00D63413">
              <w:rPr>
                <w:rFonts w:ascii="Times New Roman" w:hAnsi="Times New Roman" w:cs="Times New Roman"/>
                <w:b/>
                <w:sz w:val="24"/>
                <w:szCs w:val="24"/>
              </w:rPr>
              <w:t xml:space="preserve">Finanšu ministrija </w:t>
            </w:r>
          </w:p>
          <w:p w:rsidR="00D63413" w:rsidRDefault="00D63413" w:rsidP="00D63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(2020.gada 21.oktobra atzinums Nr.10.1-6/7-1/1006)</w:t>
            </w:r>
          </w:p>
          <w:p w:rsidR="00D63413" w:rsidRPr="00D63413" w:rsidRDefault="00D63413" w:rsidP="00D63413">
            <w:pPr>
              <w:spacing w:after="0" w:line="240" w:lineRule="auto"/>
              <w:jc w:val="center"/>
              <w:rPr>
                <w:rFonts w:ascii="Times New Roman" w:eastAsia="Times New Roman" w:hAnsi="Times New Roman" w:cs="Times New Roman"/>
                <w:sz w:val="24"/>
                <w:szCs w:val="24"/>
                <w:u w:val="single"/>
                <w:lang w:eastAsia="lv-LV"/>
              </w:rPr>
            </w:pPr>
          </w:p>
        </w:tc>
      </w:tr>
      <w:tr w:rsidR="00D63413" w:rsidRPr="00E04A37" w:rsidTr="00A469EA">
        <w:trPr>
          <w:gridAfter w:val="1"/>
          <w:wAfter w:w="17" w:type="dxa"/>
        </w:trPr>
        <w:tc>
          <w:tcPr>
            <w:tcW w:w="985" w:type="dxa"/>
            <w:tcBorders>
              <w:top w:val="single" w:sz="6" w:space="0" w:color="000000"/>
              <w:left w:val="single" w:sz="6" w:space="0" w:color="000000"/>
              <w:bottom w:val="single" w:sz="6" w:space="0" w:color="000000"/>
              <w:right w:val="single" w:sz="6" w:space="0" w:color="000000"/>
            </w:tcBorders>
          </w:tcPr>
          <w:p w:rsidR="00D63413" w:rsidRDefault="00A469EA" w:rsidP="0033752A">
            <w:pPr>
              <w:pStyle w:val="naisc"/>
              <w:spacing w:before="0" w:after="0"/>
              <w:ind w:left="360"/>
              <w:jc w:val="left"/>
            </w:pPr>
            <w:r>
              <w:t>1</w:t>
            </w:r>
            <w:r w:rsidR="00727A0C">
              <w:t>.</w:t>
            </w:r>
          </w:p>
        </w:tc>
        <w:tc>
          <w:tcPr>
            <w:tcW w:w="3259" w:type="dxa"/>
            <w:tcBorders>
              <w:top w:val="single" w:sz="6" w:space="0" w:color="000000"/>
              <w:left w:val="single" w:sz="6" w:space="0" w:color="000000"/>
              <w:bottom w:val="single" w:sz="6" w:space="0" w:color="000000"/>
              <w:right w:val="single" w:sz="6" w:space="0" w:color="000000"/>
            </w:tcBorders>
          </w:tcPr>
          <w:p w:rsidR="00D63413" w:rsidRPr="00C523CD" w:rsidRDefault="00C523CD" w:rsidP="009D3876">
            <w:pPr>
              <w:spacing w:after="0" w:line="240" w:lineRule="auto"/>
              <w:ind w:firstLine="459"/>
              <w:jc w:val="both"/>
              <w:rPr>
                <w:rFonts w:ascii="Times New Roman" w:eastAsia="Times New Roman" w:hAnsi="Times New Roman" w:cs="Times New Roman"/>
                <w:sz w:val="24"/>
                <w:szCs w:val="24"/>
                <w:lang w:eastAsia="lv-LV"/>
              </w:rPr>
            </w:pPr>
            <w:r w:rsidRPr="00C523CD">
              <w:rPr>
                <w:rFonts w:ascii="Times New Roman" w:hAnsi="Times New Roman" w:cs="Times New Roman"/>
                <w:sz w:val="24"/>
                <w:szCs w:val="24"/>
              </w:rPr>
              <w:t xml:space="preserve">Iekšlietu nozares nekustamo īpašumu un infrastruktūras sakārtošana ir priekšnoteikums, lai pašlaik </w:t>
            </w:r>
            <w:r w:rsidRPr="00C523CD">
              <w:rPr>
                <w:rFonts w:ascii="Times New Roman" w:hAnsi="Times New Roman" w:cs="Times New Roman"/>
                <w:sz w:val="24"/>
                <w:szCs w:val="24"/>
              </w:rPr>
              <w:lastRenderedPageBreak/>
              <w:t xml:space="preserve">īstenotās strukturālās reformas tiktu balstītas uz stabiliem pamatiem un nebūtu tikai īstermiņa risinājums.  </w:t>
            </w:r>
          </w:p>
        </w:tc>
        <w:tc>
          <w:tcPr>
            <w:tcW w:w="4535" w:type="dxa"/>
            <w:tcBorders>
              <w:top w:val="single" w:sz="6" w:space="0" w:color="000000"/>
              <w:left w:val="single" w:sz="6" w:space="0" w:color="000000"/>
              <w:bottom w:val="single" w:sz="6" w:space="0" w:color="000000"/>
              <w:right w:val="single" w:sz="6" w:space="0" w:color="000000"/>
            </w:tcBorders>
          </w:tcPr>
          <w:p w:rsidR="00D63413" w:rsidRPr="00D63413" w:rsidRDefault="00D63413" w:rsidP="00D63413">
            <w:pPr>
              <w:jc w:val="both"/>
              <w:rPr>
                <w:rFonts w:ascii="Times New Roman" w:hAnsi="Times New Roman" w:cs="Times New Roman"/>
                <w:sz w:val="24"/>
                <w:szCs w:val="24"/>
              </w:rPr>
            </w:pPr>
            <w:r w:rsidRPr="00D63413">
              <w:rPr>
                <w:rFonts w:ascii="Times New Roman" w:hAnsi="Times New Roman" w:cs="Times New Roman"/>
                <w:sz w:val="24"/>
                <w:szCs w:val="24"/>
              </w:rPr>
              <w:lastRenderedPageBreak/>
              <w:t xml:space="preserve">           Lūdzam precizēt informatīvā ziņojuma tekstu 8.lp., papildinot to ar izziņas 9. iebildumā minēto, ka nekustamo īpašumu attīstība nevar notikt atrauti no strukturālajām </w:t>
            </w:r>
            <w:r w:rsidRPr="00D63413">
              <w:rPr>
                <w:rFonts w:ascii="Times New Roman" w:hAnsi="Times New Roman" w:cs="Times New Roman"/>
                <w:sz w:val="24"/>
                <w:szCs w:val="24"/>
              </w:rPr>
              <w:lastRenderedPageBreak/>
              <w:t>reformām iekšlietu nozarē, jo nekustamo īpašumu un infrastruktūras sakārtošana </w:t>
            </w:r>
            <w:r w:rsidRPr="00D63413">
              <w:rPr>
                <w:rFonts w:ascii="Times New Roman" w:hAnsi="Times New Roman" w:cs="Times New Roman"/>
                <w:sz w:val="24"/>
                <w:szCs w:val="24"/>
                <w:u w:val="single"/>
              </w:rPr>
              <w:t>nav priekšnoteikums</w:t>
            </w:r>
            <w:r w:rsidRPr="00D63413">
              <w:rPr>
                <w:rFonts w:ascii="Times New Roman" w:hAnsi="Times New Roman" w:cs="Times New Roman"/>
                <w:sz w:val="24"/>
                <w:szCs w:val="24"/>
              </w:rPr>
              <w:t xml:space="preserve"> reformu stabilitātei.</w:t>
            </w:r>
          </w:p>
        </w:tc>
        <w:tc>
          <w:tcPr>
            <w:tcW w:w="2409" w:type="dxa"/>
            <w:tcBorders>
              <w:top w:val="single" w:sz="6" w:space="0" w:color="000000"/>
              <w:left w:val="single" w:sz="6" w:space="0" w:color="000000"/>
              <w:bottom w:val="single" w:sz="6" w:space="0" w:color="000000"/>
              <w:right w:val="single" w:sz="6" w:space="0" w:color="000000"/>
            </w:tcBorders>
          </w:tcPr>
          <w:p w:rsidR="00D63413" w:rsidRPr="00C86138" w:rsidRDefault="00A469EA" w:rsidP="004C4A3A">
            <w:pPr>
              <w:pStyle w:val="naisc"/>
              <w:spacing w:before="0" w:after="0"/>
              <w:rPr>
                <w:b/>
              </w:rPr>
            </w:pPr>
            <w:r>
              <w:rPr>
                <w:b/>
              </w:rPr>
              <w:lastRenderedPageBreak/>
              <w:t>Iebildums ņemts vērā</w:t>
            </w:r>
          </w:p>
        </w:tc>
        <w:tc>
          <w:tcPr>
            <w:tcW w:w="4259" w:type="dxa"/>
            <w:tcBorders>
              <w:top w:val="single" w:sz="4" w:space="0" w:color="auto"/>
              <w:left w:val="single" w:sz="4" w:space="0" w:color="auto"/>
              <w:bottom w:val="single" w:sz="4" w:space="0" w:color="auto"/>
            </w:tcBorders>
          </w:tcPr>
          <w:p w:rsidR="00C523CD" w:rsidRDefault="00C523CD" w:rsidP="00C523CD">
            <w:pPr>
              <w:spacing w:after="0" w:line="240" w:lineRule="auto"/>
              <w:ind w:firstLine="720"/>
              <w:jc w:val="both"/>
              <w:rPr>
                <w:rFonts w:ascii="Times New Roman" w:hAnsi="Times New Roman" w:cs="Times New Roman"/>
                <w:sz w:val="24"/>
                <w:szCs w:val="24"/>
              </w:rPr>
            </w:pPr>
            <w:r w:rsidRPr="00C523CD">
              <w:rPr>
                <w:rFonts w:ascii="Times New Roman" w:hAnsi="Times New Roman" w:cs="Times New Roman"/>
                <w:sz w:val="24"/>
                <w:szCs w:val="24"/>
              </w:rPr>
              <w:t xml:space="preserve">Nekustamo īpašumu attīstība nevar notikt atrauti no strukturālajām reformām iekšlietu nozarē, turklāt viena no plānotajām reformām ir tiešā veidā </w:t>
            </w:r>
            <w:r w:rsidRPr="00C523CD">
              <w:rPr>
                <w:rFonts w:ascii="Times New Roman" w:hAnsi="Times New Roman" w:cs="Times New Roman"/>
                <w:sz w:val="24"/>
                <w:szCs w:val="24"/>
              </w:rPr>
              <w:lastRenderedPageBreak/>
              <w:t>vērsta uz nekustamo īpašumu struktūras optimizāciju</w:t>
            </w:r>
            <w:r w:rsidR="000149F3">
              <w:rPr>
                <w:rFonts w:ascii="Times New Roman" w:hAnsi="Times New Roman" w:cs="Times New Roman"/>
                <w:sz w:val="24"/>
                <w:szCs w:val="24"/>
              </w:rPr>
              <w:t xml:space="preserve"> un ilgtspēju</w:t>
            </w:r>
            <w:r w:rsidRPr="00C523CD">
              <w:rPr>
                <w:rFonts w:ascii="Times New Roman" w:hAnsi="Times New Roman" w:cs="Times New Roman"/>
                <w:sz w:val="24"/>
                <w:szCs w:val="24"/>
              </w:rPr>
              <w:t xml:space="preserve">, taču tas </w:t>
            </w:r>
            <w:r w:rsidRPr="00A32747">
              <w:rPr>
                <w:rFonts w:ascii="Times New Roman" w:hAnsi="Times New Roman" w:cs="Times New Roman"/>
                <w:sz w:val="24"/>
                <w:szCs w:val="24"/>
                <w:u w:val="single"/>
              </w:rPr>
              <w:t>nav vienīgais priekšnoteikums</w:t>
            </w:r>
            <w:r w:rsidRPr="00C523CD">
              <w:rPr>
                <w:rFonts w:ascii="Times New Roman" w:hAnsi="Times New Roman" w:cs="Times New Roman"/>
                <w:sz w:val="24"/>
                <w:szCs w:val="24"/>
              </w:rPr>
              <w:t xml:space="preserve"> reformu stabilit</w:t>
            </w:r>
            <w:r>
              <w:rPr>
                <w:rFonts w:ascii="Times New Roman" w:hAnsi="Times New Roman" w:cs="Times New Roman"/>
                <w:sz w:val="24"/>
                <w:szCs w:val="24"/>
              </w:rPr>
              <w:t>ātei, tāpēc paralēli tiks īstenotas arī cita veida reformas.</w:t>
            </w:r>
          </w:p>
          <w:p w:rsidR="008A7211" w:rsidRPr="008A7211" w:rsidRDefault="008A7211" w:rsidP="00C523CD">
            <w:pPr>
              <w:spacing w:after="0" w:line="240" w:lineRule="auto"/>
              <w:ind w:firstLine="720"/>
              <w:jc w:val="both"/>
              <w:rPr>
                <w:rFonts w:ascii="Times New Roman" w:hAnsi="Times New Roman" w:cs="Times New Roman"/>
                <w:sz w:val="24"/>
                <w:szCs w:val="24"/>
              </w:rPr>
            </w:pPr>
            <w:r w:rsidRPr="008A7211">
              <w:rPr>
                <w:rFonts w:ascii="Times New Roman" w:hAnsi="Times New Roman" w:cs="Times New Roman"/>
                <w:sz w:val="24"/>
                <w:szCs w:val="24"/>
              </w:rPr>
              <w:t xml:space="preserve">Kopumā Iekšlietu ministrijas iecere </w:t>
            </w:r>
            <w:r w:rsidRPr="008A7211">
              <w:rPr>
                <w:rFonts w:ascii="Times New Roman" w:hAnsi="Times New Roman" w:cs="Times New Roman"/>
                <w:b/>
                <w:sz w:val="24"/>
                <w:szCs w:val="24"/>
              </w:rPr>
              <w:t>ļaus būtiski samazināt</w:t>
            </w:r>
            <w:r w:rsidRPr="008A7211">
              <w:rPr>
                <w:rFonts w:ascii="Times New Roman" w:hAnsi="Times New Roman" w:cs="Times New Roman"/>
                <w:sz w:val="24"/>
                <w:szCs w:val="24"/>
              </w:rPr>
              <w:t xml:space="preserve"> Iekšlietu ministrijas </w:t>
            </w:r>
            <w:r w:rsidRPr="008A7211">
              <w:rPr>
                <w:rFonts w:ascii="Times New Roman" w:hAnsi="Times New Roman" w:cs="Times New Roman"/>
                <w:b/>
                <w:sz w:val="24"/>
                <w:szCs w:val="24"/>
              </w:rPr>
              <w:t xml:space="preserve">valdījumā un nomā esošo nekustamo īpašumu skaitu. </w:t>
            </w:r>
            <w:r w:rsidRPr="008A7211">
              <w:rPr>
                <w:rFonts w:ascii="Times New Roman" w:hAnsi="Times New Roman" w:cs="Times New Roman"/>
                <w:sz w:val="24"/>
                <w:szCs w:val="24"/>
              </w:rPr>
              <w:t>Rezultātā tiks radīta kvalitatīva, videi un veselībai draudzīga telpa, kas veicinās gan ekoloģisko, gan ekonomisko, gan sociālo ilgtspējību, kas ir ilgtspējīgas būvniecības pamatā, tādējādi nodrošinot racionālu budžeta līdzekļu izlietošanu.</w:t>
            </w:r>
          </w:p>
          <w:p w:rsidR="00D63413" w:rsidRPr="00D63413" w:rsidRDefault="00D63413" w:rsidP="00C523CD">
            <w:pPr>
              <w:spacing w:after="0" w:line="240" w:lineRule="auto"/>
              <w:ind w:firstLine="720"/>
              <w:jc w:val="both"/>
              <w:rPr>
                <w:rFonts w:ascii="Times New Roman" w:eastAsia="Times New Roman" w:hAnsi="Times New Roman" w:cs="Times New Roman"/>
                <w:sz w:val="24"/>
                <w:szCs w:val="24"/>
                <w:u w:val="single"/>
                <w:lang w:eastAsia="lv-LV"/>
              </w:rPr>
            </w:pPr>
          </w:p>
        </w:tc>
      </w:tr>
    </w:tbl>
    <w:p w:rsidR="006D69F1" w:rsidRPr="00E04A37" w:rsidRDefault="006D69F1" w:rsidP="006D69F1">
      <w:pPr>
        <w:pStyle w:val="naisf"/>
        <w:spacing w:before="0" w:after="0"/>
        <w:ind w:firstLine="720"/>
      </w:pPr>
      <w:bookmarkStart w:id="0" w:name="_GoBack"/>
      <w:bookmarkEnd w:id="0"/>
    </w:p>
    <w:tbl>
      <w:tblPr>
        <w:tblW w:w="15243" w:type="dxa"/>
        <w:tblInd w:w="-792" w:type="dxa"/>
        <w:tblLayout w:type="fixed"/>
        <w:tblLook w:val="00A0" w:firstRow="1" w:lastRow="0" w:firstColumn="1" w:lastColumn="0" w:noHBand="0" w:noVBand="0"/>
      </w:tblPr>
      <w:tblGrid>
        <w:gridCol w:w="5101"/>
        <w:gridCol w:w="10142"/>
      </w:tblGrid>
      <w:tr w:rsidR="009A1AD9" w:rsidRPr="00E04A37" w:rsidTr="009A1AD9">
        <w:tc>
          <w:tcPr>
            <w:tcW w:w="5101" w:type="dxa"/>
          </w:tcPr>
          <w:p w:rsidR="009A1AD9" w:rsidRPr="00E04A37" w:rsidRDefault="009A1AD9" w:rsidP="009A1AD9">
            <w:pPr>
              <w:spacing w:after="0" w:line="240" w:lineRule="auto"/>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Atbildīgā amatpersona</w:t>
            </w:r>
          </w:p>
        </w:tc>
        <w:tc>
          <w:tcPr>
            <w:tcW w:w="10142" w:type="dxa"/>
          </w:tcPr>
          <w:p w:rsidR="009A1AD9" w:rsidRPr="00E04A37" w:rsidRDefault="009A1AD9" w:rsidP="009A1AD9">
            <w:pPr>
              <w:spacing w:after="0" w:line="240" w:lineRule="auto"/>
              <w:ind w:firstLine="720"/>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  </w:t>
            </w:r>
          </w:p>
        </w:tc>
      </w:tr>
      <w:tr w:rsidR="009A1AD9" w:rsidRPr="00E04A37" w:rsidTr="009A1AD9">
        <w:tc>
          <w:tcPr>
            <w:tcW w:w="5101" w:type="dxa"/>
          </w:tcPr>
          <w:p w:rsidR="009A1AD9" w:rsidRPr="00E04A37" w:rsidRDefault="009A1AD9" w:rsidP="009A1AD9">
            <w:pPr>
              <w:spacing w:after="0" w:line="240" w:lineRule="auto"/>
              <w:ind w:firstLine="720"/>
              <w:rPr>
                <w:rFonts w:ascii="Times New Roman" w:eastAsia="Times New Roman" w:hAnsi="Times New Roman" w:cs="Times New Roman"/>
                <w:sz w:val="24"/>
                <w:szCs w:val="24"/>
                <w:lang w:eastAsia="lv-LV"/>
              </w:rPr>
            </w:pPr>
          </w:p>
        </w:tc>
        <w:tc>
          <w:tcPr>
            <w:tcW w:w="10142" w:type="dxa"/>
            <w:tcBorders>
              <w:top w:val="single" w:sz="6" w:space="0" w:color="000000"/>
            </w:tcBorders>
          </w:tcPr>
          <w:p w:rsidR="009A1AD9" w:rsidRPr="00E04A37" w:rsidRDefault="009A1AD9" w:rsidP="009A1AD9">
            <w:pPr>
              <w:spacing w:after="0" w:line="240" w:lineRule="auto"/>
              <w:ind w:firstLine="720"/>
              <w:jc w:val="center"/>
              <w:rPr>
                <w:rFonts w:ascii="Times New Roman" w:eastAsia="Times New Roman" w:hAnsi="Times New Roman" w:cs="Times New Roman"/>
                <w:sz w:val="24"/>
                <w:szCs w:val="24"/>
                <w:lang w:eastAsia="lv-LV"/>
              </w:rPr>
            </w:pPr>
          </w:p>
        </w:tc>
      </w:tr>
    </w:tbl>
    <w:p w:rsidR="009A1AD9" w:rsidRPr="00E04A37" w:rsidRDefault="009A1AD9" w:rsidP="00CB6956">
      <w:pPr>
        <w:spacing w:after="0" w:line="240" w:lineRule="auto"/>
        <w:jc w:val="both"/>
        <w:rPr>
          <w:rFonts w:ascii="Times New Roman" w:eastAsia="Times New Roman" w:hAnsi="Times New Roman" w:cs="Times New Roman"/>
          <w:sz w:val="24"/>
          <w:szCs w:val="24"/>
          <w:lang w:eastAsia="lv-LV"/>
        </w:rPr>
      </w:pPr>
    </w:p>
    <w:p w:rsidR="009A1AD9" w:rsidRPr="00E04A37" w:rsidRDefault="00E04A37" w:rsidP="00E04A37">
      <w:pPr>
        <w:spacing w:after="0" w:line="240" w:lineRule="auto"/>
        <w:ind w:left="2880" w:firstLine="720"/>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Agate Sirmā</w:t>
      </w:r>
    </w:p>
    <w:tbl>
      <w:tblPr>
        <w:tblW w:w="0" w:type="auto"/>
        <w:tblLook w:val="00A0" w:firstRow="1" w:lastRow="0" w:firstColumn="1" w:lastColumn="0" w:noHBand="0" w:noVBand="0"/>
      </w:tblPr>
      <w:tblGrid>
        <w:gridCol w:w="8268"/>
      </w:tblGrid>
      <w:tr w:rsidR="009A1AD9" w:rsidRPr="00E04A37" w:rsidTr="003C6B0B">
        <w:tc>
          <w:tcPr>
            <w:tcW w:w="8268" w:type="dxa"/>
            <w:tcBorders>
              <w:top w:val="single" w:sz="4" w:space="0" w:color="000000"/>
            </w:tcBorders>
          </w:tcPr>
          <w:p w:rsidR="009A1AD9" w:rsidRPr="00E04A37" w:rsidRDefault="009A1AD9" w:rsidP="009A1AD9">
            <w:pPr>
              <w:spacing w:after="0" w:line="240" w:lineRule="auto"/>
              <w:jc w:val="center"/>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(par projektu atbildīgās amatpersonas vārds un uzvārds)</w:t>
            </w:r>
          </w:p>
          <w:p w:rsidR="009A1AD9" w:rsidRPr="00E04A37" w:rsidRDefault="009A1AD9" w:rsidP="009A1AD9">
            <w:pPr>
              <w:spacing w:after="0" w:line="240" w:lineRule="auto"/>
              <w:jc w:val="center"/>
              <w:rPr>
                <w:rFonts w:ascii="Times New Roman" w:eastAsia="Times New Roman" w:hAnsi="Times New Roman" w:cs="Times New Roman"/>
                <w:sz w:val="24"/>
                <w:szCs w:val="24"/>
                <w:lang w:eastAsia="lv-LV"/>
              </w:rPr>
            </w:pPr>
          </w:p>
          <w:p w:rsidR="009A1AD9" w:rsidRPr="00E04A37" w:rsidRDefault="009A1AD9" w:rsidP="00E04A37">
            <w:pPr>
              <w:spacing w:after="0" w:line="240" w:lineRule="auto"/>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 xml:space="preserve">Iekšlietu ministrijas </w:t>
            </w:r>
            <w:r w:rsidR="00E04A37" w:rsidRPr="00E04A37">
              <w:rPr>
                <w:rFonts w:ascii="Times New Roman" w:eastAsia="Times New Roman" w:hAnsi="Times New Roman" w:cs="Times New Roman"/>
                <w:sz w:val="24"/>
                <w:szCs w:val="24"/>
                <w:lang w:eastAsia="lv-LV"/>
              </w:rPr>
              <w:t>Nozares politikas departamenta vecākā referente</w:t>
            </w:r>
          </w:p>
        </w:tc>
      </w:tr>
      <w:tr w:rsidR="009A1AD9" w:rsidRPr="00E04A37" w:rsidTr="003C6B0B">
        <w:tc>
          <w:tcPr>
            <w:tcW w:w="8268" w:type="dxa"/>
            <w:tcBorders>
              <w:top w:val="single" w:sz="4" w:space="0" w:color="000000"/>
            </w:tcBorders>
          </w:tcPr>
          <w:p w:rsidR="009A1AD9" w:rsidRPr="00E04A37" w:rsidRDefault="009A1AD9" w:rsidP="009A1AD9">
            <w:pPr>
              <w:spacing w:after="0" w:line="240" w:lineRule="auto"/>
              <w:jc w:val="center"/>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(amats)</w:t>
            </w:r>
          </w:p>
          <w:p w:rsidR="00E04A37" w:rsidRPr="00E04A37" w:rsidRDefault="00E04A37" w:rsidP="009A1AD9">
            <w:pPr>
              <w:spacing w:after="0" w:line="240" w:lineRule="auto"/>
              <w:jc w:val="center"/>
              <w:rPr>
                <w:rFonts w:ascii="Times New Roman" w:eastAsia="Times New Roman" w:hAnsi="Times New Roman" w:cs="Times New Roman"/>
                <w:sz w:val="24"/>
                <w:szCs w:val="24"/>
                <w:lang w:eastAsia="lv-LV"/>
              </w:rPr>
            </w:pPr>
          </w:p>
          <w:p w:rsidR="009A1AD9" w:rsidRPr="00E04A37" w:rsidRDefault="00CB6956" w:rsidP="00E04A3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04A37" w:rsidRPr="00E04A37">
              <w:rPr>
                <w:rFonts w:ascii="Times New Roman" w:eastAsia="Times New Roman" w:hAnsi="Times New Roman" w:cs="Times New Roman"/>
                <w:sz w:val="24"/>
                <w:szCs w:val="24"/>
                <w:lang w:eastAsia="lv-LV"/>
              </w:rPr>
              <w:t>67219508</w:t>
            </w:r>
          </w:p>
        </w:tc>
      </w:tr>
      <w:tr w:rsidR="009A1AD9" w:rsidRPr="00E04A37" w:rsidTr="003C6B0B">
        <w:tc>
          <w:tcPr>
            <w:tcW w:w="8268" w:type="dxa"/>
            <w:tcBorders>
              <w:top w:val="single" w:sz="4" w:space="0" w:color="000000"/>
            </w:tcBorders>
          </w:tcPr>
          <w:p w:rsidR="009A1AD9" w:rsidRDefault="009A1AD9" w:rsidP="009A1AD9">
            <w:pPr>
              <w:spacing w:after="0" w:line="240" w:lineRule="auto"/>
              <w:jc w:val="center"/>
              <w:rPr>
                <w:rFonts w:ascii="Times New Roman" w:eastAsia="Times New Roman" w:hAnsi="Times New Roman" w:cs="Times New Roman"/>
                <w:sz w:val="24"/>
                <w:szCs w:val="24"/>
                <w:lang w:eastAsia="lv-LV"/>
              </w:rPr>
            </w:pPr>
            <w:r w:rsidRPr="00E04A37">
              <w:rPr>
                <w:rFonts w:ascii="Times New Roman" w:eastAsia="Times New Roman" w:hAnsi="Times New Roman" w:cs="Times New Roman"/>
                <w:sz w:val="24"/>
                <w:szCs w:val="24"/>
                <w:lang w:eastAsia="lv-LV"/>
              </w:rPr>
              <w:t>(tālruņa un faksa numurs)</w:t>
            </w:r>
          </w:p>
          <w:p w:rsidR="00CB6956" w:rsidRPr="00E04A37" w:rsidRDefault="00CB6956" w:rsidP="009A1AD9">
            <w:pPr>
              <w:spacing w:after="0" w:line="240" w:lineRule="auto"/>
              <w:jc w:val="center"/>
              <w:rPr>
                <w:rFonts w:ascii="Times New Roman" w:eastAsia="Times New Roman" w:hAnsi="Times New Roman" w:cs="Times New Roman"/>
                <w:sz w:val="24"/>
                <w:szCs w:val="24"/>
                <w:lang w:eastAsia="lv-LV"/>
              </w:rPr>
            </w:pPr>
          </w:p>
          <w:p w:rsidR="009A1AD9" w:rsidRPr="00E04A37" w:rsidRDefault="009A1AD9" w:rsidP="009A1AD9">
            <w:pPr>
              <w:spacing w:after="0" w:line="240" w:lineRule="auto"/>
              <w:jc w:val="center"/>
              <w:rPr>
                <w:rFonts w:ascii="Times New Roman" w:eastAsia="Times New Roman" w:hAnsi="Times New Roman" w:cs="Times New Roman"/>
                <w:sz w:val="24"/>
                <w:szCs w:val="24"/>
                <w:lang w:eastAsia="lv-LV"/>
              </w:rPr>
            </w:pPr>
          </w:p>
        </w:tc>
      </w:tr>
      <w:tr w:rsidR="009A1AD9" w:rsidRPr="00E04A37" w:rsidTr="003C6B0B">
        <w:tc>
          <w:tcPr>
            <w:tcW w:w="8268" w:type="dxa"/>
            <w:tcBorders>
              <w:bottom w:val="single" w:sz="4" w:space="0" w:color="000000"/>
            </w:tcBorders>
          </w:tcPr>
          <w:p w:rsidR="009A1AD9" w:rsidRPr="00E04A37" w:rsidRDefault="00B10C4B" w:rsidP="00B10C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agate.sirma</w:t>
            </w:r>
            <w:r w:rsidRPr="00E04A37">
              <w:rPr>
                <w:rFonts w:ascii="Times New Roman" w:eastAsia="Times New Roman" w:hAnsi="Times New Roman" w:cs="Times New Roman"/>
                <w:sz w:val="24"/>
                <w:szCs w:val="24"/>
                <w:lang w:eastAsia="lv-LV"/>
              </w:rPr>
              <w:t>@iem.gov.lv</w:t>
            </w:r>
          </w:p>
        </w:tc>
      </w:tr>
    </w:tbl>
    <w:p w:rsidR="00FD4EED" w:rsidRPr="00E04A37" w:rsidRDefault="00FD4EED" w:rsidP="00372A78">
      <w:pPr>
        <w:rPr>
          <w:rFonts w:ascii="Times New Roman" w:hAnsi="Times New Roman" w:cs="Times New Roman"/>
          <w:sz w:val="24"/>
          <w:szCs w:val="24"/>
        </w:rPr>
      </w:pPr>
    </w:p>
    <w:sectPr w:rsidR="00FD4EED" w:rsidRPr="00E04A37" w:rsidSect="00C523CD">
      <w:headerReference w:type="even" r:id="rId8"/>
      <w:headerReference w:type="default" r:id="rId9"/>
      <w:footerReference w:type="default" r:id="rId10"/>
      <w:footerReference w:type="first" r:id="rId11"/>
      <w:pgSz w:w="16838" w:h="11906" w:orient="landscape" w:code="9"/>
      <w:pgMar w:top="130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B3" w:rsidRDefault="00315DB3" w:rsidP="006D69F1">
      <w:pPr>
        <w:spacing w:after="0" w:line="240" w:lineRule="auto"/>
      </w:pPr>
      <w:r>
        <w:separator/>
      </w:r>
    </w:p>
  </w:endnote>
  <w:endnote w:type="continuationSeparator" w:id="0">
    <w:p w:rsidR="00315DB3" w:rsidRDefault="00315DB3" w:rsidP="006D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BE" w:rsidRPr="002B162B" w:rsidRDefault="00E57E79" w:rsidP="00F409BE">
    <w:pPr>
      <w:pStyle w:val="Footer"/>
    </w:pPr>
    <w:r w:rsidRPr="00763B5E">
      <w:rPr>
        <w:sz w:val="20"/>
        <w:szCs w:val="20"/>
      </w:rPr>
      <w:t>IEMIzz_</w:t>
    </w:r>
    <w:r w:rsidR="00C523CD">
      <w:rPr>
        <w:sz w:val="20"/>
        <w:szCs w:val="20"/>
      </w:rPr>
      <w:t>221020_</w:t>
    </w:r>
    <w:r w:rsidR="00C50883">
      <w:rPr>
        <w:sz w:val="20"/>
        <w:szCs w:val="20"/>
      </w:rPr>
      <w:t>Strukt.reformas</w:t>
    </w:r>
  </w:p>
  <w:p w:rsidR="00F409BE" w:rsidRPr="002B162B" w:rsidRDefault="008A7211" w:rsidP="00F409BE">
    <w:pPr>
      <w:pStyle w:val="Footer"/>
    </w:pPr>
  </w:p>
  <w:p w:rsidR="004E37A5" w:rsidRPr="00274453" w:rsidRDefault="008A7211" w:rsidP="004E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4" w:rsidRPr="002B162B" w:rsidRDefault="00E57E79" w:rsidP="007915C4">
    <w:pPr>
      <w:pStyle w:val="Footer"/>
    </w:pPr>
    <w:r w:rsidRPr="00763B5E">
      <w:rPr>
        <w:sz w:val="20"/>
        <w:szCs w:val="20"/>
      </w:rPr>
      <w:t>IEMIzz_</w:t>
    </w:r>
    <w:r w:rsidR="00C523CD">
      <w:rPr>
        <w:sz w:val="20"/>
        <w:szCs w:val="20"/>
      </w:rPr>
      <w:t>221020_</w:t>
    </w:r>
    <w:r w:rsidR="00C50883">
      <w:rPr>
        <w:sz w:val="20"/>
        <w:szCs w:val="20"/>
      </w:rPr>
      <w:t>Strukt.reformas</w:t>
    </w:r>
  </w:p>
  <w:p w:rsidR="004E37A5" w:rsidRPr="002B162B" w:rsidRDefault="008A7211" w:rsidP="004E37A5">
    <w:pPr>
      <w:pStyle w:val="Footer"/>
    </w:pPr>
  </w:p>
  <w:p w:rsidR="004E37A5" w:rsidRPr="00CA4DCC" w:rsidRDefault="008A7211" w:rsidP="004E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B3" w:rsidRDefault="00315DB3" w:rsidP="006D69F1">
      <w:pPr>
        <w:spacing w:after="0" w:line="240" w:lineRule="auto"/>
      </w:pPr>
      <w:r>
        <w:separator/>
      </w:r>
    </w:p>
  </w:footnote>
  <w:footnote w:type="continuationSeparator" w:id="0">
    <w:p w:rsidR="00315DB3" w:rsidRDefault="00315DB3" w:rsidP="006D6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E57E79"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7A5" w:rsidRDefault="008A7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E57E79"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211">
      <w:rPr>
        <w:rStyle w:val="PageNumber"/>
        <w:noProof/>
      </w:rPr>
      <w:t>14</w:t>
    </w:r>
    <w:r>
      <w:rPr>
        <w:rStyle w:val="PageNumber"/>
      </w:rPr>
      <w:fldChar w:fldCharType="end"/>
    </w:r>
  </w:p>
  <w:p w:rsidR="004E37A5" w:rsidRDefault="008A7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416F"/>
    <w:multiLevelType w:val="hybridMultilevel"/>
    <w:tmpl w:val="BF92E5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B01F9F"/>
    <w:multiLevelType w:val="hybridMultilevel"/>
    <w:tmpl w:val="E9D2CFB0"/>
    <w:lvl w:ilvl="0" w:tplc="7834FE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99255A"/>
    <w:multiLevelType w:val="multilevel"/>
    <w:tmpl w:val="5F48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083C49"/>
    <w:multiLevelType w:val="hybridMultilevel"/>
    <w:tmpl w:val="BF92E5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660903"/>
    <w:multiLevelType w:val="hybridMultilevel"/>
    <w:tmpl w:val="7B223800"/>
    <w:lvl w:ilvl="0" w:tplc="98FEBC38">
      <w:start w:val="1"/>
      <w:numFmt w:val="decimal"/>
      <w:lvlText w:val="%1."/>
      <w:lvlJc w:val="left"/>
      <w:pPr>
        <w:ind w:left="1352" w:hanging="360"/>
      </w:pPr>
    </w:lvl>
    <w:lvl w:ilvl="1" w:tplc="04260019">
      <w:start w:val="1"/>
      <w:numFmt w:val="lowerLetter"/>
      <w:lvlText w:val="%2."/>
      <w:lvlJc w:val="left"/>
      <w:pPr>
        <w:ind w:left="2072" w:hanging="360"/>
      </w:pPr>
    </w:lvl>
    <w:lvl w:ilvl="2" w:tplc="0426001B">
      <w:start w:val="1"/>
      <w:numFmt w:val="lowerRoman"/>
      <w:lvlText w:val="%3."/>
      <w:lvlJc w:val="right"/>
      <w:pPr>
        <w:ind w:left="2792" w:hanging="180"/>
      </w:pPr>
    </w:lvl>
    <w:lvl w:ilvl="3" w:tplc="0426000F">
      <w:start w:val="1"/>
      <w:numFmt w:val="decimal"/>
      <w:lvlText w:val="%4."/>
      <w:lvlJc w:val="left"/>
      <w:pPr>
        <w:ind w:left="3512" w:hanging="360"/>
      </w:pPr>
    </w:lvl>
    <w:lvl w:ilvl="4" w:tplc="04260019">
      <w:start w:val="1"/>
      <w:numFmt w:val="lowerLetter"/>
      <w:lvlText w:val="%5."/>
      <w:lvlJc w:val="left"/>
      <w:pPr>
        <w:ind w:left="4232" w:hanging="360"/>
      </w:pPr>
    </w:lvl>
    <w:lvl w:ilvl="5" w:tplc="0426001B">
      <w:start w:val="1"/>
      <w:numFmt w:val="lowerRoman"/>
      <w:lvlText w:val="%6."/>
      <w:lvlJc w:val="right"/>
      <w:pPr>
        <w:ind w:left="4952" w:hanging="180"/>
      </w:pPr>
    </w:lvl>
    <w:lvl w:ilvl="6" w:tplc="0426000F">
      <w:start w:val="1"/>
      <w:numFmt w:val="decimal"/>
      <w:lvlText w:val="%7."/>
      <w:lvlJc w:val="left"/>
      <w:pPr>
        <w:ind w:left="5672" w:hanging="360"/>
      </w:pPr>
    </w:lvl>
    <w:lvl w:ilvl="7" w:tplc="04260019">
      <w:start w:val="1"/>
      <w:numFmt w:val="lowerLetter"/>
      <w:lvlText w:val="%8."/>
      <w:lvlJc w:val="left"/>
      <w:pPr>
        <w:ind w:left="6392" w:hanging="360"/>
      </w:pPr>
    </w:lvl>
    <w:lvl w:ilvl="8" w:tplc="0426001B">
      <w:start w:val="1"/>
      <w:numFmt w:val="lowerRoman"/>
      <w:lvlText w:val="%9."/>
      <w:lvlJc w:val="right"/>
      <w:pPr>
        <w:ind w:left="7112" w:hanging="180"/>
      </w:pPr>
    </w:lvl>
  </w:abstractNum>
  <w:abstractNum w:abstractNumId="5" w15:restartNumberingAfterBreak="0">
    <w:nsid w:val="62220555"/>
    <w:multiLevelType w:val="multilevel"/>
    <w:tmpl w:val="24BA39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4496AFE"/>
    <w:multiLevelType w:val="multilevel"/>
    <w:tmpl w:val="C700CA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AD5746"/>
    <w:multiLevelType w:val="hybridMultilevel"/>
    <w:tmpl w:val="1CAAF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F1"/>
    <w:rsid w:val="000149F3"/>
    <w:rsid w:val="00015E69"/>
    <w:rsid w:val="00023C39"/>
    <w:rsid w:val="000245C1"/>
    <w:rsid w:val="00030F51"/>
    <w:rsid w:val="00046F24"/>
    <w:rsid w:val="00067B66"/>
    <w:rsid w:val="0015608B"/>
    <w:rsid w:val="00166EEE"/>
    <w:rsid w:val="00223608"/>
    <w:rsid w:val="00233E5C"/>
    <w:rsid w:val="0024546B"/>
    <w:rsid w:val="002A5AF7"/>
    <w:rsid w:val="002E34B8"/>
    <w:rsid w:val="00315831"/>
    <w:rsid w:val="00315DB3"/>
    <w:rsid w:val="0033752A"/>
    <w:rsid w:val="0035008E"/>
    <w:rsid w:val="00367B91"/>
    <w:rsid w:val="00372A78"/>
    <w:rsid w:val="003B666C"/>
    <w:rsid w:val="00460B71"/>
    <w:rsid w:val="004C4A3A"/>
    <w:rsid w:val="004F42C2"/>
    <w:rsid w:val="00537799"/>
    <w:rsid w:val="00542241"/>
    <w:rsid w:val="00583BA9"/>
    <w:rsid w:val="00591B64"/>
    <w:rsid w:val="005B0A56"/>
    <w:rsid w:val="006A327B"/>
    <w:rsid w:val="006D69F1"/>
    <w:rsid w:val="006E675F"/>
    <w:rsid w:val="00727A0C"/>
    <w:rsid w:val="0078458C"/>
    <w:rsid w:val="00797BA9"/>
    <w:rsid w:val="007C13AF"/>
    <w:rsid w:val="008A7211"/>
    <w:rsid w:val="008D048E"/>
    <w:rsid w:val="008F6063"/>
    <w:rsid w:val="00904D8B"/>
    <w:rsid w:val="00944D71"/>
    <w:rsid w:val="00984D7C"/>
    <w:rsid w:val="00997AD7"/>
    <w:rsid w:val="009A1AD9"/>
    <w:rsid w:val="009D3876"/>
    <w:rsid w:val="009F7E17"/>
    <w:rsid w:val="00A32747"/>
    <w:rsid w:val="00A469EA"/>
    <w:rsid w:val="00A47AA3"/>
    <w:rsid w:val="00AD6701"/>
    <w:rsid w:val="00B10C4B"/>
    <w:rsid w:val="00B26794"/>
    <w:rsid w:val="00B27541"/>
    <w:rsid w:val="00BC0412"/>
    <w:rsid w:val="00C01B0F"/>
    <w:rsid w:val="00C34279"/>
    <w:rsid w:val="00C50883"/>
    <w:rsid w:val="00C523CD"/>
    <w:rsid w:val="00C86138"/>
    <w:rsid w:val="00CA652C"/>
    <w:rsid w:val="00CB6956"/>
    <w:rsid w:val="00D6102A"/>
    <w:rsid w:val="00D63413"/>
    <w:rsid w:val="00E04A37"/>
    <w:rsid w:val="00E57E79"/>
    <w:rsid w:val="00E66137"/>
    <w:rsid w:val="00ED4372"/>
    <w:rsid w:val="00F12EE1"/>
    <w:rsid w:val="00F42E6D"/>
    <w:rsid w:val="00F5053E"/>
    <w:rsid w:val="00F70921"/>
    <w:rsid w:val="00F7181B"/>
    <w:rsid w:val="00FD4EED"/>
    <w:rsid w:val="00FE2DCC"/>
    <w:rsid w:val="00FF1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E720"/>
  <w15:chartTrackingRefBased/>
  <w15:docId w15:val="{D3EFEDF7-1C0A-44CD-83C7-B236F9B0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9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D69F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D69F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6D69F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D69F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D69F1"/>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6D69F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6D69F1"/>
    <w:rPr>
      <w:rFonts w:ascii="Times New Roman" w:eastAsia="Times New Roman" w:hAnsi="Times New Roman" w:cs="Times New Roman"/>
      <w:sz w:val="24"/>
      <w:szCs w:val="24"/>
      <w:lang w:eastAsia="lv-LV"/>
    </w:rPr>
  </w:style>
  <w:style w:type="character" w:styleId="PageNumber">
    <w:name w:val="page number"/>
    <w:uiPriority w:val="99"/>
    <w:rsid w:val="006D69F1"/>
    <w:rPr>
      <w:rFonts w:cs="Times New Roman"/>
    </w:rPr>
  </w:style>
  <w:style w:type="paragraph" w:styleId="Footer">
    <w:name w:val="footer"/>
    <w:basedOn w:val="Normal"/>
    <w:link w:val="FooterChar"/>
    <w:uiPriority w:val="99"/>
    <w:rsid w:val="006D69F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6D69F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A652C"/>
    <w:pPr>
      <w:ind w:left="720"/>
      <w:contextualSpacing/>
    </w:pPr>
  </w:style>
  <w:style w:type="paragraph" w:styleId="BalloonText">
    <w:name w:val="Balloon Text"/>
    <w:basedOn w:val="Normal"/>
    <w:link w:val="BalloonTextChar"/>
    <w:uiPriority w:val="99"/>
    <w:semiHidden/>
    <w:unhideWhenUsed/>
    <w:rsid w:val="0046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71"/>
    <w:rPr>
      <w:rFonts w:ascii="Segoe UI" w:hAnsi="Segoe UI" w:cs="Segoe UI"/>
      <w:sz w:val="18"/>
      <w:szCs w:val="18"/>
    </w:rPr>
  </w:style>
  <w:style w:type="paragraph" w:customStyle="1" w:styleId="Char1">
    <w:name w:val="Char1"/>
    <w:basedOn w:val="Normal"/>
    <w:rsid w:val="005B0A56"/>
    <w:pPr>
      <w:spacing w:before="40" w:after="0" w:line="240" w:lineRule="auto"/>
    </w:pPr>
    <w:rPr>
      <w:rFonts w:ascii="Times New Roman" w:eastAsia="Times New Roman" w:hAnsi="Times New Roman" w:cs="Times New Roman"/>
      <w:sz w:val="24"/>
      <w:szCs w:val="24"/>
      <w:lang w:val="pl-PL" w:eastAsia="pl-PL"/>
    </w:rPr>
  </w:style>
  <w:style w:type="paragraph" w:customStyle="1" w:styleId="Parastais">
    <w:name w:val="Parastais"/>
    <w:qFormat/>
    <w:rsid w:val="005B0A56"/>
    <w:pPr>
      <w:spacing w:after="0" w:line="240" w:lineRule="auto"/>
    </w:pPr>
    <w:rPr>
      <w:rFonts w:ascii="Times New Roman" w:eastAsia="Times New Roman" w:hAnsi="Times New Roman" w:cs="Times New Roman"/>
      <w:sz w:val="28"/>
      <w:szCs w:val="28"/>
      <w:lang w:eastAsia="lv-LV"/>
    </w:rPr>
  </w:style>
  <w:style w:type="paragraph" w:customStyle="1" w:styleId="Char10">
    <w:name w:val="Char1"/>
    <w:basedOn w:val="Normal"/>
    <w:rsid w:val="00F42E6D"/>
    <w:pPr>
      <w:spacing w:before="40" w:after="0" w:line="240" w:lineRule="auto"/>
    </w:pPr>
    <w:rPr>
      <w:rFonts w:ascii="Times New Roman" w:eastAsia="Times New Roman" w:hAnsi="Times New Roman" w:cs="Times New Roman"/>
      <w:sz w:val="24"/>
      <w:szCs w:val="24"/>
      <w:lang w:val="pl-PL" w:eastAsia="pl-PL"/>
    </w:rPr>
  </w:style>
  <w:style w:type="paragraph" w:customStyle="1" w:styleId="Char11">
    <w:name w:val="Char1"/>
    <w:basedOn w:val="Normal"/>
    <w:rsid w:val="00591B64"/>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0651">
      <w:bodyDiv w:val="1"/>
      <w:marLeft w:val="0"/>
      <w:marRight w:val="0"/>
      <w:marTop w:val="0"/>
      <w:marBottom w:val="0"/>
      <w:divBdr>
        <w:top w:val="none" w:sz="0" w:space="0" w:color="auto"/>
        <w:left w:val="none" w:sz="0" w:space="0" w:color="auto"/>
        <w:bottom w:val="none" w:sz="0" w:space="0" w:color="auto"/>
        <w:right w:val="none" w:sz="0" w:space="0" w:color="auto"/>
      </w:divBdr>
    </w:div>
    <w:div w:id="16460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B844-C78A-43A3-BD81-29D2ED62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17374</Words>
  <Characters>9904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Agate Sirmā</cp:lastModifiedBy>
  <cp:revision>26</cp:revision>
  <cp:lastPrinted>2020-09-14T08:01:00Z</cp:lastPrinted>
  <dcterms:created xsi:type="dcterms:W3CDTF">2020-10-08T05:44:00Z</dcterms:created>
  <dcterms:modified xsi:type="dcterms:W3CDTF">2020-10-22T07:00:00Z</dcterms:modified>
</cp:coreProperties>
</file>