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D36F0" w14:textId="56B395E7" w:rsidR="002D0EC7" w:rsidRPr="0008377A" w:rsidRDefault="002D0EC7" w:rsidP="002D0EC7">
      <w:pPr>
        <w:jc w:val="center"/>
        <w:rPr>
          <w:b/>
          <w:lang w:val="lv-LV"/>
        </w:rPr>
      </w:pPr>
      <w:r w:rsidRPr="0008377A">
        <w:rPr>
          <w:rFonts w:eastAsia="Times New Roman"/>
          <w:b/>
          <w:bCs/>
          <w:lang w:val="lv-LV" w:eastAsia="lv-LV"/>
        </w:rPr>
        <w:t xml:space="preserve">Ministru kabineta noteikumu projekta </w:t>
      </w:r>
      <w:r w:rsidR="001971EC">
        <w:rPr>
          <w:rFonts w:eastAsia="Times New Roman"/>
          <w:b/>
          <w:bCs/>
          <w:lang w:val="lv-LV" w:eastAsia="lv-LV"/>
        </w:rPr>
        <w:t>“</w:t>
      </w:r>
      <w:r w:rsidR="00DE4A1E" w:rsidRPr="00DE4A1E">
        <w:rPr>
          <w:rFonts w:eastAsia="Times New Roman"/>
          <w:b/>
          <w:bCs/>
          <w:lang w:val="lv-LV" w:eastAsia="lv-LV"/>
        </w:rPr>
        <w:t>Grozījumi Ministru kabineta 2006. gada 12.</w:t>
      </w:r>
      <w:r w:rsidR="00DE4A1E">
        <w:rPr>
          <w:rFonts w:eastAsia="Times New Roman"/>
          <w:b/>
          <w:bCs/>
          <w:lang w:val="lv-LV" w:eastAsia="lv-LV"/>
        </w:rPr>
        <w:t> </w:t>
      </w:r>
      <w:r w:rsidR="00DE4A1E" w:rsidRPr="00DE4A1E">
        <w:rPr>
          <w:rFonts w:eastAsia="Times New Roman"/>
          <w:b/>
          <w:bCs/>
          <w:lang w:val="lv-LV" w:eastAsia="lv-LV"/>
        </w:rPr>
        <w:t>decembra noteikumos</w:t>
      </w:r>
      <w:r w:rsidR="00DE4A1E">
        <w:rPr>
          <w:rFonts w:eastAsia="Times New Roman"/>
          <w:b/>
          <w:bCs/>
          <w:lang w:val="lv-LV" w:eastAsia="lv-LV"/>
        </w:rPr>
        <w:t xml:space="preserve"> </w:t>
      </w:r>
      <w:r w:rsidR="00DE4A1E" w:rsidRPr="00DE4A1E">
        <w:rPr>
          <w:rFonts w:eastAsia="Times New Roman"/>
          <w:b/>
          <w:bCs/>
          <w:lang w:val="lv-LV" w:eastAsia="lv-LV"/>
        </w:rPr>
        <w:t>Nr. 994 "Kārtība, kādā augstskolas un koledžas tiek finansētas no valsts budžeta līdzekļiem"</w:t>
      </w:r>
      <w:r w:rsidR="001971EC">
        <w:rPr>
          <w:rFonts w:eastAsia="Times New Roman"/>
          <w:b/>
          <w:bCs/>
          <w:lang w:val="lv-LV" w:eastAsia="lv-LV"/>
        </w:rPr>
        <w:t>”</w:t>
      </w:r>
      <w:r w:rsidR="005870E3">
        <w:rPr>
          <w:rFonts w:eastAsia="Times New Roman"/>
          <w:b/>
          <w:bCs/>
          <w:lang w:val="lv-LV" w:eastAsia="lv-LV"/>
        </w:rPr>
        <w:t xml:space="preserve"> </w:t>
      </w:r>
      <w:r w:rsidRPr="0008377A">
        <w:rPr>
          <w:b/>
          <w:lang w:val="lv-LV"/>
        </w:rPr>
        <w:t>sākotnējās ietekmes novērtējuma ziņojums (anotācija)</w:t>
      </w:r>
    </w:p>
    <w:p w14:paraId="10213DBA" w14:textId="77777777" w:rsidR="002D0EC7" w:rsidRPr="0008377A" w:rsidRDefault="002D0EC7" w:rsidP="002D0EC7">
      <w:pPr>
        <w:jc w:val="center"/>
        <w:rPr>
          <w:b/>
          <w:lang w:val="lv-LV"/>
        </w:rPr>
      </w:pPr>
    </w:p>
    <w:tbl>
      <w:tblPr>
        <w:tblW w:w="523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91"/>
        <w:gridCol w:w="6682"/>
      </w:tblGrid>
      <w:tr w:rsidR="001F6F6E" w:rsidRPr="0008377A" w14:paraId="3749C3D1" w14:textId="77777777" w:rsidTr="006C03F7">
        <w:trPr>
          <w:tblCellSpacing w:w="15" w:type="dxa"/>
        </w:trPr>
        <w:tc>
          <w:tcPr>
            <w:tcW w:w="4969" w:type="pct"/>
            <w:gridSpan w:val="2"/>
            <w:tcBorders>
              <w:top w:val="outset" w:sz="6" w:space="0" w:color="auto"/>
              <w:left w:val="outset" w:sz="6" w:space="0" w:color="auto"/>
              <w:bottom w:val="outset" w:sz="6" w:space="0" w:color="auto"/>
              <w:right w:val="outset" w:sz="6" w:space="0" w:color="auto"/>
            </w:tcBorders>
            <w:vAlign w:val="center"/>
            <w:hideMark/>
          </w:tcPr>
          <w:p w14:paraId="6649C64F" w14:textId="77777777" w:rsidR="002D0EC7" w:rsidRPr="0008377A" w:rsidRDefault="002D0EC7" w:rsidP="00B25C64">
            <w:pPr>
              <w:jc w:val="center"/>
              <w:rPr>
                <w:rFonts w:eastAsia="Times New Roman"/>
                <w:b/>
                <w:bCs/>
                <w:iCs/>
                <w:lang w:val="lv-LV" w:eastAsia="lv-LV"/>
              </w:rPr>
            </w:pPr>
            <w:r w:rsidRPr="0008377A">
              <w:rPr>
                <w:rFonts w:eastAsia="Times New Roman"/>
                <w:b/>
                <w:bCs/>
                <w:iCs/>
                <w:lang w:val="lv-LV" w:eastAsia="lv-LV"/>
              </w:rPr>
              <w:t>Tiesību akta projekta anotācijas kopsavilkums</w:t>
            </w:r>
          </w:p>
        </w:tc>
      </w:tr>
      <w:tr w:rsidR="00B31019" w:rsidRPr="001D1241" w14:paraId="7228361D" w14:textId="77777777" w:rsidTr="006C03F7">
        <w:trPr>
          <w:trHeight w:val="1427"/>
          <w:tblCellSpacing w:w="15" w:type="dxa"/>
        </w:trPr>
        <w:tc>
          <w:tcPr>
            <w:tcW w:w="1563" w:type="pct"/>
            <w:tcBorders>
              <w:top w:val="outset" w:sz="6" w:space="0" w:color="auto"/>
              <w:left w:val="outset" w:sz="6" w:space="0" w:color="auto"/>
              <w:bottom w:val="outset" w:sz="6" w:space="0" w:color="auto"/>
              <w:right w:val="outset" w:sz="6" w:space="0" w:color="auto"/>
            </w:tcBorders>
            <w:hideMark/>
          </w:tcPr>
          <w:p w14:paraId="23E9F581" w14:textId="77777777" w:rsidR="002D0EC7" w:rsidRPr="0008377A" w:rsidRDefault="002D0EC7" w:rsidP="00B25C64">
            <w:pPr>
              <w:rPr>
                <w:rFonts w:eastAsia="Times New Roman"/>
                <w:iCs/>
                <w:lang w:val="lv-LV" w:eastAsia="lv-LV"/>
              </w:rPr>
            </w:pPr>
            <w:r w:rsidRPr="0008377A">
              <w:rPr>
                <w:rFonts w:eastAsia="Times New Roman"/>
                <w:iCs/>
                <w:lang w:val="lv-LV" w:eastAsia="lv-LV"/>
              </w:rPr>
              <w:t>Mērķis, risinājums un projekta spēkā stāšanās laiks (500 zīmes bez atstarpēm)</w:t>
            </w:r>
          </w:p>
        </w:tc>
        <w:tc>
          <w:tcPr>
            <w:tcW w:w="3390" w:type="pct"/>
            <w:tcBorders>
              <w:top w:val="outset" w:sz="6" w:space="0" w:color="auto"/>
              <w:left w:val="outset" w:sz="6" w:space="0" w:color="auto"/>
              <w:bottom w:val="outset" w:sz="6" w:space="0" w:color="auto"/>
              <w:right w:val="outset" w:sz="6" w:space="0" w:color="auto"/>
            </w:tcBorders>
            <w:hideMark/>
          </w:tcPr>
          <w:p w14:paraId="617C21C4" w14:textId="32A0754D" w:rsidR="00B31019" w:rsidRPr="0032385C" w:rsidRDefault="00B31019" w:rsidP="0075529E">
            <w:pPr>
              <w:jc w:val="both"/>
              <w:rPr>
                <w:lang w:val="lv-LV"/>
              </w:rPr>
            </w:pPr>
            <w:r w:rsidRPr="0032385C">
              <w:rPr>
                <w:lang w:val="lv-LV"/>
              </w:rPr>
              <w:t>Saskaņā ar Ministru kabineta 2009. gada 15. decembra instrukcijas Nr. 19 “</w:t>
            </w:r>
            <w:r w:rsidRPr="0032385C">
              <w:rPr>
                <w:lang w:val="lv-LV" w:bidi="lo-LA"/>
              </w:rPr>
              <w:t xml:space="preserve">Tiesību akta projekta sākotnējās ietekmes izvērtēšanas kārtība” </w:t>
            </w:r>
            <w:r w:rsidRPr="0032385C">
              <w:rPr>
                <w:lang w:val="lv-LV"/>
              </w:rPr>
              <w:t>5.</w:t>
            </w:r>
            <w:r w:rsidRPr="0032385C">
              <w:rPr>
                <w:vertAlign w:val="superscript"/>
                <w:lang w:val="lv-LV"/>
              </w:rPr>
              <w:t>1</w:t>
            </w:r>
            <w:r w:rsidRPr="0032385C">
              <w:rPr>
                <w:lang w:val="lv-LV"/>
              </w:rPr>
              <w:t> punktu anotācijas kopsavilkumu neaizpilda projektiem, kuru anotācijas I sadaļas 2. punkts nepārsniedz divas lapaspuses.</w:t>
            </w:r>
            <w:r w:rsidR="00F54F98">
              <w:rPr>
                <w:lang w:val="lv-LV"/>
              </w:rPr>
              <w:t xml:space="preserve"> </w:t>
            </w:r>
          </w:p>
        </w:tc>
      </w:tr>
    </w:tbl>
    <w:p w14:paraId="0BB0F58B" w14:textId="788EBD23" w:rsidR="002D0EC7" w:rsidRPr="0008377A" w:rsidRDefault="002D0EC7" w:rsidP="002D0EC7">
      <w:pPr>
        <w:outlineLvl w:val="3"/>
        <w:rPr>
          <w:rFonts w:eastAsia="Times New Roman"/>
          <w:b/>
          <w:bCs/>
          <w:lang w:val="lv-LV" w:eastAsia="lv-LV"/>
        </w:rPr>
      </w:pPr>
    </w:p>
    <w:tbl>
      <w:tblPr>
        <w:tblStyle w:val="TableGrid"/>
        <w:tblpPr w:leftFromText="180" w:rightFromText="180" w:vertAnchor="text" w:tblpY="1"/>
        <w:tblOverlap w:val="never"/>
        <w:tblW w:w="5230" w:type="pct"/>
        <w:tblLook w:val="04A0" w:firstRow="1" w:lastRow="0" w:firstColumn="1" w:lastColumn="0" w:noHBand="0" w:noVBand="1"/>
      </w:tblPr>
      <w:tblGrid>
        <w:gridCol w:w="397"/>
        <w:gridCol w:w="1949"/>
        <w:gridCol w:w="7430"/>
      </w:tblGrid>
      <w:tr w:rsidR="001F6F6E" w:rsidRPr="0008377A" w14:paraId="0D8F11E4" w14:textId="77777777" w:rsidTr="006C03F7">
        <w:tc>
          <w:tcPr>
            <w:tcW w:w="5000" w:type="pct"/>
            <w:gridSpan w:val="3"/>
            <w:hideMark/>
          </w:tcPr>
          <w:p w14:paraId="1EC8847A" w14:textId="77777777" w:rsidR="002D0EC7" w:rsidRPr="00AD285B" w:rsidRDefault="002D0EC7" w:rsidP="00B25C64">
            <w:pPr>
              <w:jc w:val="center"/>
              <w:rPr>
                <w:rFonts w:eastAsia="Times New Roman"/>
                <w:b/>
                <w:bCs/>
                <w:sz w:val="24"/>
                <w:szCs w:val="24"/>
                <w:lang w:val="lv-LV" w:eastAsia="lv-LV"/>
              </w:rPr>
            </w:pPr>
            <w:r w:rsidRPr="00AD285B">
              <w:rPr>
                <w:rFonts w:eastAsia="Times New Roman"/>
                <w:b/>
                <w:bCs/>
                <w:sz w:val="24"/>
                <w:szCs w:val="24"/>
                <w:lang w:val="lv-LV" w:eastAsia="lv-LV"/>
              </w:rPr>
              <w:t>I. Tiesību akta projekta izstrādes nepieciešamība</w:t>
            </w:r>
          </w:p>
        </w:tc>
      </w:tr>
      <w:tr w:rsidR="001F6F6E" w:rsidRPr="001D1241" w14:paraId="5932AF4B" w14:textId="77777777" w:rsidTr="00344FD2">
        <w:tc>
          <w:tcPr>
            <w:tcW w:w="203" w:type="pct"/>
            <w:hideMark/>
          </w:tcPr>
          <w:p w14:paraId="44AE1BF0" w14:textId="77777777" w:rsidR="002D0EC7" w:rsidRPr="0008377A" w:rsidRDefault="002D0EC7" w:rsidP="00B25C64">
            <w:pPr>
              <w:rPr>
                <w:rFonts w:eastAsia="Times New Roman"/>
                <w:sz w:val="24"/>
                <w:szCs w:val="24"/>
                <w:lang w:val="lv-LV" w:eastAsia="lv-LV"/>
              </w:rPr>
            </w:pPr>
            <w:r w:rsidRPr="0008377A">
              <w:rPr>
                <w:rFonts w:eastAsia="Times New Roman"/>
                <w:lang w:val="lv-LV" w:eastAsia="lv-LV"/>
              </w:rPr>
              <w:t>1.</w:t>
            </w:r>
          </w:p>
        </w:tc>
        <w:tc>
          <w:tcPr>
            <w:tcW w:w="997" w:type="pct"/>
            <w:hideMark/>
          </w:tcPr>
          <w:p w14:paraId="6672A44C" w14:textId="77777777" w:rsidR="002D0EC7" w:rsidRPr="00394C6C" w:rsidRDefault="002D0EC7" w:rsidP="00B25C64">
            <w:pPr>
              <w:rPr>
                <w:rFonts w:eastAsia="Times New Roman"/>
                <w:sz w:val="24"/>
                <w:szCs w:val="24"/>
                <w:lang w:val="lv-LV" w:eastAsia="lv-LV"/>
              </w:rPr>
            </w:pPr>
            <w:r w:rsidRPr="00394C6C">
              <w:rPr>
                <w:rFonts w:eastAsia="Times New Roman"/>
                <w:sz w:val="24"/>
                <w:szCs w:val="24"/>
                <w:lang w:val="lv-LV" w:eastAsia="lv-LV"/>
              </w:rPr>
              <w:t>Pamatojums</w:t>
            </w:r>
          </w:p>
        </w:tc>
        <w:tc>
          <w:tcPr>
            <w:tcW w:w="3800" w:type="pct"/>
          </w:tcPr>
          <w:p w14:paraId="7BDFF122" w14:textId="403EC124" w:rsidR="002D0EC7" w:rsidRPr="006562AC" w:rsidRDefault="005870E3" w:rsidP="00700548">
            <w:pPr>
              <w:jc w:val="both"/>
              <w:rPr>
                <w:rFonts w:eastAsia="Times New Roman"/>
                <w:sz w:val="24"/>
                <w:szCs w:val="24"/>
                <w:lang w:val="lv-LV" w:eastAsia="lv-LV"/>
              </w:rPr>
            </w:pPr>
            <w:r w:rsidRPr="005870E3">
              <w:rPr>
                <w:rFonts w:eastAsia="Times New Roman"/>
                <w:iCs/>
                <w:sz w:val="24"/>
                <w:szCs w:val="24"/>
                <w:lang w:val="lv-LV" w:eastAsia="lv-LV"/>
              </w:rPr>
              <w:t>Ministru kabineta noteikumu projekt</w:t>
            </w:r>
            <w:r>
              <w:rPr>
                <w:rFonts w:eastAsia="Times New Roman"/>
                <w:iCs/>
                <w:sz w:val="24"/>
                <w:szCs w:val="24"/>
                <w:lang w:val="lv-LV" w:eastAsia="lv-LV"/>
              </w:rPr>
              <w:t>s</w:t>
            </w:r>
            <w:r w:rsidRPr="005870E3">
              <w:rPr>
                <w:rFonts w:eastAsia="Times New Roman"/>
                <w:iCs/>
                <w:sz w:val="24"/>
                <w:szCs w:val="24"/>
                <w:lang w:val="lv-LV" w:eastAsia="lv-LV"/>
              </w:rPr>
              <w:t xml:space="preserve"> “Grozījumi Ministru kabineta 2006.</w:t>
            </w:r>
            <w:r w:rsidR="00700548">
              <w:rPr>
                <w:rFonts w:eastAsia="Times New Roman"/>
                <w:iCs/>
                <w:sz w:val="24"/>
                <w:szCs w:val="24"/>
                <w:lang w:val="lv-LV" w:eastAsia="lv-LV"/>
              </w:rPr>
              <w:t> </w:t>
            </w:r>
            <w:r w:rsidRPr="005870E3">
              <w:rPr>
                <w:rFonts w:eastAsia="Times New Roman"/>
                <w:iCs/>
                <w:sz w:val="24"/>
                <w:szCs w:val="24"/>
                <w:lang w:val="lv-LV" w:eastAsia="lv-LV"/>
              </w:rPr>
              <w:t xml:space="preserve">gada 12. decembra noteikumos Nr. 994 "Kārtība, kādā augstskolas un koledžas tiek finansētas no valsts budžeta līdzekļiem"” </w:t>
            </w:r>
            <w:r w:rsidR="00B31019" w:rsidRPr="0032385C">
              <w:rPr>
                <w:rFonts w:eastAsia="Times New Roman"/>
                <w:iCs/>
                <w:sz w:val="24"/>
                <w:szCs w:val="24"/>
                <w:lang w:val="lv-LV" w:eastAsia="lv-LV"/>
              </w:rPr>
              <w:t>(turpmāk – n</w:t>
            </w:r>
            <w:r w:rsidR="002D0EC7" w:rsidRPr="0032385C">
              <w:rPr>
                <w:rFonts w:eastAsia="Times New Roman"/>
                <w:sz w:val="24"/>
                <w:szCs w:val="24"/>
                <w:lang w:val="lv-LV" w:eastAsia="lv-LV"/>
              </w:rPr>
              <w:t xml:space="preserve">oteikumu </w:t>
            </w:r>
            <w:r w:rsidR="00864730" w:rsidRPr="0032385C">
              <w:rPr>
                <w:rFonts w:eastAsia="Times New Roman"/>
                <w:sz w:val="24"/>
                <w:szCs w:val="24"/>
                <w:lang w:val="lv-LV" w:eastAsia="lv-LV"/>
              </w:rPr>
              <w:t>projekts</w:t>
            </w:r>
            <w:r w:rsidR="00B31019" w:rsidRPr="0032385C">
              <w:rPr>
                <w:rFonts w:eastAsia="Times New Roman"/>
                <w:sz w:val="24"/>
                <w:szCs w:val="24"/>
                <w:lang w:val="lv-LV" w:eastAsia="lv-LV"/>
              </w:rPr>
              <w:t>)</w:t>
            </w:r>
            <w:r w:rsidR="00864730" w:rsidRPr="0032385C">
              <w:rPr>
                <w:rFonts w:eastAsia="Times New Roman"/>
                <w:sz w:val="24"/>
                <w:szCs w:val="24"/>
                <w:lang w:val="lv-LV" w:eastAsia="lv-LV"/>
              </w:rPr>
              <w:t xml:space="preserve"> </w:t>
            </w:r>
            <w:r w:rsidR="002D0EC7" w:rsidRPr="0032385C">
              <w:rPr>
                <w:rFonts w:eastAsia="Times New Roman"/>
                <w:sz w:val="24"/>
                <w:szCs w:val="24"/>
                <w:lang w:val="lv-LV" w:eastAsia="lv-LV"/>
              </w:rPr>
              <w:t>izstrādāts</w:t>
            </w:r>
            <w:r w:rsidR="00BF654B">
              <w:rPr>
                <w:rFonts w:eastAsia="Times New Roman"/>
                <w:sz w:val="24"/>
                <w:szCs w:val="24"/>
                <w:lang w:val="lv-LV" w:eastAsia="lv-LV"/>
              </w:rPr>
              <w:t xml:space="preserve"> pēc</w:t>
            </w:r>
            <w:r w:rsidR="00DE0DD2" w:rsidRPr="0032385C">
              <w:rPr>
                <w:rFonts w:eastAsia="Times New Roman"/>
                <w:sz w:val="24"/>
                <w:szCs w:val="24"/>
                <w:lang w:val="lv-LV" w:eastAsia="lv-LV"/>
              </w:rPr>
              <w:t xml:space="preserve"> </w:t>
            </w:r>
            <w:r>
              <w:rPr>
                <w:rFonts w:eastAsia="Times New Roman"/>
                <w:sz w:val="24"/>
                <w:szCs w:val="24"/>
                <w:lang w:val="lv-LV" w:eastAsia="lv-LV"/>
              </w:rPr>
              <w:t>Izglītības un zinātnes ministrijas iniciatīv</w:t>
            </w:r>
            <w:r w:rsidR="00BF654B">
              <w:rPr>
                <w:rFonts w:eastAsia="Times New Roman"/>
                <w:sz w:val="24"/>
                <w:szCs w:val="24"/>
                <w:lang w:val="lv-LV" w:eastAsia="lv-LV"/>
              </w:rPr>
              <w:t>as</w:t>
            </w:r>
            <w:r w:rsidR="00A32DA8" w:rsidRPr="0032385C">
              <w:rPr>
                <w:rFonts w:eastAsia="Times New Roman"/>
                <w:sz w:val="24"/>
                <w:szCs w:val="24"/>
                <w:lang w:val="lv-LV" w:eastAsia="lv-LV"/>
              </w:rPr>
              <w:t>.</w:t>
            </w:r>
            <w:r w:rsidR="00A32DA8" w:rsidRPr="0032385C">
              <w:rPr>
                <w:rFonts w:eastAsia="Times New Roman"/>
                <w:iCs/>
                <w:sz w:val="24"/>
                <w:szCs w:val="24"/>
                <w:highlight w:val="yellow"/>
                <w:lang w:val="lv-LV" w:eastAsia="lv-LV"/>
              </w:rPr>
              <w:t xml:space="preserve"> </w:t>
            </w:r>
          </w:p>
        </w:tc>
      </w:tr>
      <w:tr w:rsidR="001F6F6E" w:rsidRPr="001D1241" w14:paraId="087BDEFD" w14:textId="77777777" w:rsidTr="00344FD2">
        <w:tc>
          <w:tcPr>
            <w:tcW w:w="203" w:type="pct"/>
            <w:hideMark/>
          </w:tcPr>
          <w:p w14:paraId="087BB986" w14:textId="26B69B90" w:rsidR="002D0EC7" w:rsidRPr="0008377A" w:rsidRDefault="002D0EC7" w:rsidP="001D1241">
            <w:pPr>
              <w:jc w:val="both"/>
              <w:rPr>
                <w:rFonts w:eastAsia="Times New Roman"/>
                <w:sz w:val="24"/>
                <w:szCs w:val="24"/>
                <w:lang w:val="lv-LV" w:eastAsia="lv-LV"/>
              </w:rPr>
            </w:pPr>
            <w:r w:rsidRPr="0008377A">
              <w:rPr>
                <w:rFonts w:eastAsia="Times New Roman"/>
                <w:lang w:val="lv-LV" w:eastAsia="lv-LV"/>
              </w:rPr>
              <w:t>2.</w:t>
            </w:r>
          </w:p>
        </w:tc>
        <w:tc>
          <w:tcPr>
            <w:tcW w:w="997" w:type="pct"/>
            <w:hideMark/>
          </w:tcPr>
          <w:p w14:paraId="0D890507" w14:textId="77777777" w:rsidR="002D0EC7" w:rsidRPr="00394C6C" w:rsidRDefault="002D0EC7" w:rsidP="00017C1F">
            <w:pPr>
              <w:jc w:val="both"/>
              <w:rPr>
                <w:rFonts w:eastAsia="Times New Roman"/>
                <w:sz w:val="24"/>
                <w:szCs w:val="24"/>
                <w:lang w:val="lv-LV" w:eastAsia="lv-LV"/>
              </w:rPr>
            </w:pPr>
            <w:r w:rsidRPr="00394C6C">
              <w:rPr>
                <w:sz w:val="24"/>
                <w:szCs w:val="24"/>
                <w:lang w:val="lv-LV"/>
              </w:rPr>
              <w:t>Pašreizējā situācija un problēmas, kuru risināšanai tiesību akta projekts izstrādāts, tiesiskā regulējuma mērķis un būtība</w:t>
            </w:r>
          </w:p>
        </w:tc>
        <w:tc>
          <w:tcPr>
            <w:tcW w:w="3800" w:type="pct"/>
          </w:tcPr>
          <w:p w14:paraId="2D901BDE" w14:textId="6B0EF4CF" w:rsidR="005D736D" w:rsidRPr="001D1241" w:rsidRDefault="005D736D" w:rsidP="001D1241">
            <w:pPr>
              <w:pStyle w:val="naisc"/>
              <w:jc w:val="both"/>
              <w:rPr>
                <w:sz w:val="24"/>
                <w:szCs w:val="24"/>
              </w:rPr>
            </w:pPr>
            <w:r>
              <w:rPr>
                <w:sz w:val="24"/>
                <w:szCs w:val="24"/>
              </w:rPr>
              <w:t xml:space="preserve">Saskaņā </w:t>
            </w:r>
            <w:r w:rsidRPr="005870E3">
              <w:rPr>
                <w:iCs/>
                <w:sz w:val="24"/>
                <w:szCs w:val="24"/>
              </w:rPr>
              <w:t xml:space="preserve"> Ministru kabineta 20</w:t>
            </w:r>
            <w:r>
              <w:rPr>
                <w:iCs/>
                <w:sz w:val="24"/>
                <w:szCs w:val="24"/>
              </w:rPr>
              <w:t>06. gada 12. decembra noteikumu</w:t>
            </w:r>
            <w:r w:rsidRPr="005870E3">
              <w:rPr>
                <w:iCs/>
                <w:sz w:val="24"/>
                <w:szCs w:val="24"/>
              </w:rPr>
              <w:t xml:space="preserve"> Nr. 994 "Kārtība, kādā augstskolas un koledžas tiek finansētas no valsts budžeta līdzekļiem"</w:t>
            </w:r>
            <w:r>
              <w:rPr>
                <w:iCs/>
                <w:sz w:val="24"/>
                <w:szCs w:val="24"/>
              </w:rPr>
              <w:t xml:space="preserve"> </w:t>
            </w:r>
            <w:r w:rsidRPr="00914D32">
              <w:rPr>
                <w:sz w:val="24"/>
                <w:szCs w:val="24"/>
              </w:rPr>
              <w:t>(</w:t>
            </w:r>
            <w:r>
              <w:rPr>
                <w:sz w:val="24"/>
                <w:szCs w:val="24"/>
              </w:rPr>
              <w:t>turpmāk - MK noteikumi</w:t>
            </w:r>
            <w:r w:rsidRPr="00914D32">
              <w:rPr>
                <w:sz w:val="24"/>
                <w:szCs w:val="24"/>
              </w:rPr>
              <w:t xml:space="preserve">) </w:t>
            </w:r>
            <w:r w:rsidRPr="001D1241">
              <w:rPr>
                <w:sz w:val="24"/>
                <w:szCs w:val="24"/>
              </w:rPr>
              <w:t xml:space="preserve">17.4. apakšpunktu pašreizējā snieguma finansējuma sadalījuma formula nosaka kritērijus un to svaru pēc kuriem tiek sadalīts piešķiramais finansējums. Tajā skaitā starp šiem kritērijiem ir atsevišķi izdalīts </w:t>
            </w:r>
            <w:proofErr w:type="spellStart"/>
            <w:r w:rsidRPr="001D1241">
              <w:rPr>
                <w:sz w:val="24"/>
                <w:szCs w:val="24"/>
              </w:rPr>
              <w:t>Rz</w:t>
            </w:r>
            <w:proofErr w:type="spellEnd"/>
            <w:r w:rsidRPr="001D1241">
              <w:rPr>
                <w:sz w:val="24"/>
                <w:szCs w:val="24"/>
              </w:rPr>
              <w:t xml:space="preserve"> kritērijs snieguma finansējuma aprēķināšanai par pašvaldību pētniecības un attīstības (turpmāk – P&amp;A) līgumdarbiem un </w:t>
            </w:r>
            <w:proofErr w:type="spellStart"/>
            <w:r w:rsidRPr="001D1241">
              <w:rPr>
                <w:sz w:val="24"/>
                <w:szCs w:val="24"/>
              </w:rPr>
              <w:t>transfertiem</w:t>
            </w:r>
            <w:proofErr w:type="spellEnd"/>
            <w:r w:rsidRPr="001D1241">
              <w:rPr>
                <w:sz w:val="24"/>
                <w:szCs w:val="24"/>
              </w:rPr>
              <w:t>. Kopš 2015.</w:t>
            </w:r>
            <w:r w:rsidR="00700548">
              <w:rPr>
                <w:sz w:val="24"/>
                <w:szCs w:val="24"/>
              </w:rPr>
              <w:t xml:space="preserve"> </w:t>
            </w:r>
            <w:r w:rsidRPr="001D1241">
              <w:rPr>
                <w:sz w:val="24"/>
                <w:szCs w:val="24"/>
              </w:rPr>
              <w:t xml:space="preserve">gada, kad tapa MK noteikumu grozījumi, </w:t>
            </w:r>
            <w:proofErr w:type="spellStart"/>
            <w:r w:rsidRPr="001D1241">
              <w:rPr>
                <w:sz w:val="24"/>
                <w:szCs w:val="24"/>
              </w:rPr>
              <w:t>Rz</w:t>
            </w:r>
            <w:proofErr w:type="spellEnd"/>
            <w:r w:rsidRPr="001D1241">
              <w:rPr>
                <w:sz w:val="24"/>
                <w:szCs w:val="24"/>
              </w:rPr>
              <w:t xml:space="preserve"> rādītājs nav sasniedzis progresu augstskolu rezultātos lielākā P&amp;A piesaistītajā finansējumā no pašvaldībām. Zemie rezultāti </w:t>
            </w:r>
            <w:proofErr w:type="spellStart"/>
            <w:r w:rsidRPr="001D1241">
              <w:rPr>
                <w:sz w:val="24"/>
                <w:szCs w:val="24"/>
              </w:rPr>
              <w:t>Rz</w:t>
            </w:r>
            <w:proofErr w:type="spellEnd"/>
            <w:r w:rsidRPr="001D1241">
              <w:rPr>
                <w:sz w:val="24"/>
                <w:szCs w:val="24"/>
              </w:rPr>
              <w:t xml:space="preserve"> kritērijā 2020.</w:t>
            </w:r>
            <w:r w:rsidR="00700548">
              <w:rPr>
                <w:sz w:val="24"/>
                <w:szCs w:val="24"/>
              </w:rPr>
              <w:t xml:space="preserve"> </w:t>
            </w:r>
            <w:r w:rsidRPr="001D1241">
              <w:rPr>
                <w:sz w:val="24"/>
                <w:szCs w:val="24"/>
              </w:rPr>
              <w:t>gadā 5 gadus kopš snieguma finansējuma komponentes ieviešanas noved pie vajadzības pārskatīt līdzšinējos kritērijus, paredzot korekcijas, kuru rezultātā tiktu novirzīti papildus stimuli citiem aktuālākiem augstskolu sniegumu apliecinošiem kritērijiem.</w:t>
            </w:r>
          </w:p>
          <w:p w14:paraId="0C89D3B7" w14:textId="2A436E81" w:rsidR="005D736D" w:rsidRPr="001D1241" w:rsidRDefault="005D736D" w:rsidP="001D1241">
            <w:pPr>
              <w:pStyle w:val="naisc"/>
              <w:jc w:val="both"/>
              <w:rPr>
                <w:sz w:val="24"/>
                <w:szCs w:val="24"/>
              </w:rPr>
            </w:pPr>
            <w:r w:rsidRPr="001D1241">
              <w:rPr>
                <w:sz w:val="24"/>
                <w:szCs w:val="24"/>
              </w:rPr>
              <w:t>Noteikumu projekts (1.</w:t>
            </w:r>
            <w:r w:rsidR="0075529E" w:rsidRPr="001D1241">
              <w:rPr>
                <w:sz w:val="24"/>
                <w:szCs w:val="24"/>
              </w:rPr>
              <w:t>2</w:t>
            </w:r>
            <w:r w:rsidRPr="001D1241">
              <w:rPr>
                <w:sz w:val="24"/>
                <w:szCs w:val="24"/>
              </w:rPr>
              <w:t>. apakšpunkts) paredz pašvaldību līgumdarbu (</w:t>
            </w:r>
            <w:proofErr w:type="spellStart"/>
            <w:r w:rsidRPr="001D1241">
              <w:rPr>
                <w:sz w:val="24"/>
                <w:szCs w:val="24"/>
              </w:rPr>
              <w:t>Rz</w:t>
            </w:r>
            <w:proofErr w:type="spellEnd"/>
            <w:r w:rsidRPr="001D1241">
              <w:rPr>
                <w:sz w:val="24"/>
                <w:szCs w:val="24"/>
              </w:rPr>
              <w:t xml:space="preserve"> kritērijs pašreizējā formulā) pielīdzināšanu </w:t>
            </w:r>
            <w:proofErr w:type="spellStart"/>
            <w:r w:rsidRPr="001D1241">
              <w:rPr>
                <w:sz w:val="24"/>
                <w:szCs w:val="24"/>
              </w:rPr>
              <w:t>Lz</w:t>
            </w:r>
            <w:proofErr w:type="spellEnd"/>
            <w:r w:rsidRPr="001D1241">
              <w:rPr>
                <w:sz w:val="24"/>
                <w:szCs w:val="24"/>
              </w:rPr>
              <w:t xml:space="preserve"> kritērijam, kas nosaka augstākās izglītības institūcijas īstenotos pētniecības un attīstības līgumdarbus ar komersantiem, publiskām  personām (izņemot pašvaldības) un citiem pasūtītājiem (piemēram, fiziskām personām, biedrībām, nodibinājumiem). Turpmāk līgumdarbi ar pašvaldībām tiks ņemti vērā snieguma finansējuma aprēķinos ar tādu pašu nozīmi kā citi līgumdarbi. Savukārt pašvaldību </w:t>
            </w:r>
            <w:proofErr w:type="spellStart"/>
            <w:r w:rsidRPr="001D1241">
              <w:rPr>
                <w:sz w:val="24"/>
                <w:szCs w:val="24"/>
              </w:rPr>
              <w:t>transferti</w:t>
            </w:r>
            <w:proofErr w:type="spellEnd"/>
            <w:r w:rsidRPr="001D1241">
              <w:rPr>
                <w:sz w:val="24"/>
                <w:szCs w:val="24"/>
              </w:rPr>
              <w:t xml:space="preserve"> pētniecībai un attīstībai tiek svītroti, jo šis kritērijs nav attaisnojis ieceri tādā veidā palielināt pašvaldību iesaisti augstākās izglītības institūcijas veiktajā P&amp;A. Šāds 17.4. </w:t>
            </w:r>
            <w:r w:rsidR="00C70C13" w:rsidRPr="001D1241">
              <w:rPr>
                <w:sz w:val="24"/>
                <w:szCs w:val="24"/>
              </w:rPr>
              <w:t>apakš</w:t>
            </w:r>
            <w:r w:rsidRPr="001D1241">
              <w:rPr>
                <w:sz w:val="24"/>
                <w:szCs w:val="24"/>
              </w:rPr>
              <w:t xml:space="preserve">punkta grozījums noteikumu projektā arī izvairītos no esošās situācijas, kurā pašvaldību pētniecības un attīstības finansējums un </w:t>
            </w:r>
            <w:proofErr w:type="spellStart"/>
            <w:r w:rsidRPr="001D1241">
              <w:rPr>
                <w:sz w:val="24"/>
                <w:szCs w:val="24"/>
              </w:rPr>
              <w:t>transferti</w:t>
            </w:r>
            <w:proofErr w:type="spellEnd"/>
            <w:r w:rsidRPr="001D1241">
              <w:rPr>
                <w:sz w:val="24"/>
                <w:szCs w:val="24"/>
              </w:rPr>
              <w:t xml:space="preserve"> pētniecībai tiek atalgoti būtiski vairāk nekā citi ar finansējumu saistītie snieguma finansējuma kritēriji</w:t>
            </w:r>
            <w:r w:rsidR="0046226F">
              <w:rPr>
                <w:sz w:val="24"/>
                <w:szCs w:val="24"/>
              </w:rPr>
              <w:t xml:space="preserve"> (piemēram, starptautiskajā konkursā iegūtais P&amp;A finansējums)</w:t>
            </w:r>
            <w:r w:rsidRPr="001D1241">
              <w:rPr>
                <w:sz w:val="24"/>
                <w:szCs w:val="24"/>
              </w:rPr>
              <w:t>.</w:t>
            </w:r>
          </w:p>
          <w:p w14:paraId="1E8BD293" w14:textId="7BC755FA" w:rsidR="005D736D" w:rsidRPr="00BB1F37" w:rsidRDefault="005D736D" w:rsidP="001D1241">
            <w:pPr>
              <w:pStyle w:val="naisc"/>
              <w:jc w:val="both"/>
              <w:rPr>
                <w:sz w:val="24"/>
                <w:szCs w:val="24"/>
              </w:rPr>
            </w:pPr>
            <w:r w:rsidRPr="001D1241">
              <w:rPr>
                <w:sz w:val="24"/>
                <w:szCs w:val="24"/>
              </w:rPr>
              <w:t xml:space="preserve">Kopš MK noteikumu ieviešanas </w:t>
            </w:r>
            <w:proofErr w:type="spellStart"/>
            <w:r w:rsidRPr="001D1241">
              <w:rPr>
                <w:sz w:val="24"/>
                <w:szCs w:val="24"/>
              </w:rPr>
              <w:t>Rz</w:t>
            </w:r>
            <w:proofErr w:type="spellEnd"/>
            <w:r w:rsidRPr="001D1241">
              <w:rPr>
                <w:sz w:val="24"/>
                <w:szCs w:val="24"/>
              </w:rPr>
              <w:t xml:space="preserve"> kritērija vērtības kopējais visu augstskolu apmērs ir samazinājies no 1 115 951 </w:t>
            </w:r>
            <w:proofErr w:type="spellStart"/>
            <w:r w:rsidRPr="00BB1F37">
              <w:rPr>
                <w:i/>
                <w:sz w:val="24"/>
                <w:szCs w:val="24"/>
              </w:rPr>
              <w:t>euro</w:t>
            </w:r>
            <w:proofErr w:type="spellEnd"/>
            <w:r w:rsidRPr="001D1241">
              <w:rPr>
                <w:sz w:val="24"/>
                <w:szCs w:val="24"/>
              </w:rPr>
              <w:t xml:space="preserve"> 2014. gadā līdz 895 </w:t>
            </w:r>
            <w:r w:rsidRPr="00BB1F37">
              <w:rPr>
                <w:sz w:val="24"/>
                <w:szCs w:val="24"/>
              </w:rPr>
              <w:t>685</w:t>
            </w:r>
            <w:r w:rsidRPr="00BB1F37">
              <w:rPr>
                <w:i/>
                <w:sz w:val="24"/>
                <w:szCs w:val="24"/>
              </w:rPr>
              <w:t xml:space="preserve"> </w:t>
            </w:r>
            <w:proofErr w:type="spellStart"/>
            <w:r w:rsidRPr="00BB1F37">
              <w:rPr>
                <w:i/>
                <w:sz w:val="24"/>
                <w:szCs w:val="24"/>
              </w:rPr>
              <w:t>euro</w:t>
            </w:r>
            <w:proofErr w:type="spellEnd"/>
            <w:r w:rsidRPr="001D1241">
              <w:rPr>
                <w:sz w:val="24"/>
                <w:szCs w:val="24"/>
              </w:rPr>
              <w:t xml:space="preserve"> 2018.</w:t>
            </w:r>
            <w:r w:rsidR="00BB1F37">
              <w:rPr>
                <w:sz w:val="24"/>
                <w:szCs w:val="24"/>
              </w:rPr>
              <w:t xml:space="preserve"> </w:t>
            </w:r>
            <w:r w:rsidRPr="001D1241">
              <w:rPr>
                <w:sz w:val="24"/>
                <w:szCs w:val="24"/>
              </w:rPr>
              <w:t xml:space="preserve">gadā (kas ir ticis izmantots 2020.gada snieguma finansējuma aprēķinam). Tā rezultātā 2020.gada piešķirtajā snieguma finansējumā par 1 </w:t>
            </w:r>
            <w:proofErr w:type="spellStart"/>
            <w:r w:rsidRPr="00BB1F37">
              <w:rPr>
                <w:i/>
                <w:sz w:val="24"/>
                <w:szCs w:val="24"/>
              </w:rPr>
              <w:t>euro</w:t>
            </w:r>
            <w:proofErr w:type="spellEnd"/>
            <w:r w:rsidRPr="00BB1F37">
              <w:rPr>
                <w:sz w:val="24"/>
                <w:szCs w:val="24"/>
              </w:rPr>
              <w:t>, ko aug</w:t>
            </w:r>
            <w:r w:rsidRPr="001D1241">
              <w:rPr>
                <w:sz w:val="24"/>
                <w:szCs w:val="24"/>
              </w:rPr>
              <w:t xml:space="preserve">stskola ir piesaistījusi kā P&amp;A projektu finansējumu vai </w:t>
            </w:r>
            <w:proofErr w:type="spellStart"/>
            <w:r w:rsidRPr="001D1241">
              <w:rPr>
                <w:sz w:val="24"/>
                <w:szCs w:val="24"/>
              </w:rPr>
              <w:lastRenderedPageBreak/>
              <w:t>transfertus</w:t>
            </w:r>
            <w:proofErr w:type="spellEnd"/>
            <w:r w:rsidRPr="001D1241">
              <w:rPr>
                <w:sz w:val="24"/>
                <w:szCs w:val="24"/>
              </w:rPr>
              <w:t xml:space="preserve"> no pašvaldībām valsts maksā snieguma finansējumu vairāk nekā </w:t>
            </w:r>
            <w:r w:rsidR="00BB1F37">
              <w:rPr>
                <w:sz w:val="24"/>
                <w:szCs w:val="24"/>
              </w:rPr>
              <w:t>0,</w:t>
            </w:r>
            <w:r w:rsidRPr="001D1241">
              <w:rPr>
                <w:sz w:val="24"/>
                <w:szCs w:val="24"/>
              </w:rPr>
              <w:t xml:space="preserve">72 </w:t>
            </w:r>
            <w:proofErr w:type="spellStart"/>
            <w:r w:rsidRPr="00BB1F37">
              <w:rPr>
                <w:i/>
                <w:sz w:val="24"/>
                <w:szCs w:val="24"/>
              </w:rPr>
              <w:t>euro</w:t>
            </w:r>
            <w:proofErr w:type="spellEnd"/>
            <w:r w:rsidRPr="001D1241">
              <w:rPr>
                <w:sz w:val="24"/>
                <w:szCs w:val="24"/>
              </w:rPr>
              <w:t xml:space="preserve"> apmērā. Tas nostāda </w:t>
            </w:r>
            <w:proofErr w:type="spellStart"/>
            <w:r w:rsidRPr="001D1241">
              <w:rPr>
                <w:sz w:val="24"/>
                <w:szCs w:val="24"/>
              </w:rPr>
              <w:t>Rz</w:t>
            </w:r>
            <w:proofErr w:type="spellEnd"/>
            <w:r w:rsidRPr="001D1241">
              <w:rPr>
                <w:sz w:val="24"/>
                <w:szCs w:val="24"/>
              </w:rPr>
              <w:t xml:space="preserve"> neproporcionāli labākā situācijā salīdzinājumā ar, piemēram, </w:t>
            </w:r>
            <w:proofErr w:type="spellStart"/>
            <w:r w:rsidRPr="001D1241">
              <w:rPr>
                <w:sz w:val="24"/>
                <w:szCs w:val="24"/>
              </w:rPr>
              <w:t>Sz</w:t>
            </w:r>
            <w:proofErr w:type="spellEnd"/>
            <w:r w:rsidRPr="001D1241">
              <w:rPr>
                <w:sz w:val="24"/>
                <w:szCs w:val="24"/>
              </w:rPr>
              <w:t xml:space="preserve"> kritēriju, kur starptautiskais P&amp;A finansējums par 1 </w:t>
            </w:r>
            <w:proofErr w:type="spellStart"/>
            <w:r w:rsidRPr="00BB1F37">
              <w:rPr>
                <w:i/>
                <w:sz w:val="24"/>
                <w:szCs w:val="24"/>
              </w:rPr>
              <w:t>euro</w:t>
            </w:r>
            <w:proofErr w:type="spellEnd"/>
            <w:r w:rsidR="00BB1F37">
              <w:rPr>
                <w:sz w:val="24"/>
                <w:szCs w:val="24"/>
              </w:rPr>
              <w:t xml:space="preserve"> augstskolām tiek atalgots ar 0,</w:t>
            </w:r>
            <w:r w:rsidRPr="00BB1F37">
              <w:rPr>
                <w:sz w:val="24"/>
                <w:szCs w:val="24"/>
              </w:rPr>
              <w:t xml:space="preserve">18 </w:t>
            </w:r>
            <w:proofErr w:type="spellStart"/>
            <w:r w:rsidRPr="00BB1F37">
              <w:rPr>
                <w:i/>
                <w:sz w:val="24"/>
                <w:szCs w:val="24"/>
              </w:rPr>
              <w:t>euro</w:t>
            </w:r>
            <w:proofErr w:type="spellEnd"/>
            <w:r w:rsidRPr="00BB1F37">
              <w:rPr>
                <w:i/>
                <w:sz w:val="24"/>
                <w:szCs w:val="24"/>
              </w:rPr>
              <w:t xml:space="preserve"> </w:t>
            </w:r>
            <w:r w:rsidRPr="00BB1F37">
              <w:rPr>
                <w:sz w:val="24"/>
                <w:szCs w:val="24"/>
              </w:rPr>
              <w:t>no snieguma finansējuma, jeb 4 reizes mazāk.</w:t>
            </w:r>
          </w:p>
          <w:p w14:paraId="751A02A1" w14:textId="5AF9DC00" w:rsidR="005D736D" w:rsidRPr="001D1241" w:rsidRDefault="005D736D" w:rsidP="001D1241">
            <w:pPr>
              <w:pStyle w:val="naisc"/>
              <w:jc w:val="both"/>
              <w:rPr>
                <w:sz w:val="24"/>
                <w:szCs w:val="24"/>
              </w:rPr>
            </w:pPr>
            <w:r w:rsidRPr="001D1241">
              <w:rPr>
                <w:sz w:val="24"/>
                <w:szCs w:val="24"/>
              </w:rPr>
              <w:t xml:space="preserve">Konkrētais </w:t>
            </w:r>
            <w:proofErr w:type="spellStart"/>
            <w:r w:rsidRPr="001D1241">
              <w:rPr>
                <w:sz w:val="24"/>
                <w:szCs w:val="24"/>
              </w:rPr>
              <w:t>Rz</w:t>
            </w:r>
            <w:proofErr w:type="spellEnd"/>
            <w:r w:rsidRPr="001D1241">
              <w:rPr>
                <w:sz w:val="24"/>
                <w:szCs w:val="24"/>
              </w:rPr>
              <w:t xml:space="preserve"> kritērijs nav arī attaisnojis savas cerības attiecībā par pašvaldību skaita palielinājumu, kuras veiktu nozīmīgus ieguldījumus P&amp;A, jo visos gados visā 2014.-2018.</w:t>
            </w:r>
            <w:r w:rsidR="00BB1F37">
              <w:rPr>
                <w:sz w:val="24"/>
                <w:szCs w:val="24"/>
              </w:rPr>
              <w:t xml:space="preserve"> </w:t>
            </w:r>
            <w:r w:rsidRPr="001D1241">
              <w:rPr>
                <w:sz w:val="24"/>
                <w:szCs w:val="24"/>
              </w:rPr>
              <w:t xml:space="preserve">gada periodā  vairāk nekā pusi šī kritērija vērtības veido tikai vienas pašvaldības </w:t>
            </w:r>
            <w:proofErr w:type="spellStart"/>
            <w:r w:rsidRPr="001D1241">
              <w:rPr>
                <w:sz w:val="24"/>
                <w:szCs w:val="24"/>
              </w:rPr>
              <w:t>transferti</w:t>
            </w:r>
            <w:proofErr w:type="spellEnd"/>
            <w:r w:rsidRPr="001D1241">
              <w:rPr>
                <w:sz w:val="24"/>
                <w:szCs w:val="24"/>
              </w:rPr>
              <w:t xml:space="preserve"> P&amp;A</w:t>
            </w:r>
            <w:r w:rsidR="0046226F">
              <w:rPr>
                <w:sz w:val="24"/>
                <w:szCs w:val="24"/>
              </w:rPr>
              <w:t xml:space="preserve"> (Ventspils pašvaldības)</w:t>
            </w:r>
            <w:r w:rsidRPr="001D1241">
              <w:rPr>
                <w:sz w:val="24"/>
                <w:szCs w:val="24"/>
              </w:rPr>
              <w:t>.</w:t>
            </w:r>
          </w:p>
          <w:p w14:paraId="01E3C14B" w14:textId="77777777" w:rsidR="005D736D" w:rsidRPr="001D1241" w:rsidRDefault="005D736D" w:rsidP="001D1241">
            <w:pPr>
              <w:pStyle w:val="naisc"/>
              <w:jc w:val="both"/>
              <w:rPr>
                <w:sz w:val="24"/>
                <w:szCs w:val="24"/>
              </w:rPr>
            </w:pPr>
            <w:r w:rsidRPr="001D1241">
              <w:rPr>
                <w:sz w:val="24"/>
                <w:szCs w:val="24"/>
              </w:rPr>
              <w:t xml:space="preserve">Attiecībā uz </w:t>
            </w:r>
            <w:proofErr w:type="spellStart"/>
            <w:r w:rsidRPr="001D1241">
              <w:rPr>
                <w:sz w:val="24"/>
                <w:szCs w:val="24"/>
              </w:rPr>
              <w:t>Mz</w:t>
            </w:r>
            <w:proofErr w:type="spellEnd"/>
            <w:r w:rsidRPr="001D1241">
              <w:rPr>
                <w:sz w:val="24"/>
                <w:szCs w:val="24"/>
              </w:rPr>
              <w:t xml:space="preserve"> kritēriju pašvaldību un pašvaldību uzņēmumu finansētie mākslas un radošie līgumdarbi tiek attiecināti kā līgumdarbi ar publiskām personām un komersantiem.</w:t>
            </w:r>
          </w:p>
          <w:p w14:paraId="197B15D1" w14:textId="78B0F3AE" w:rsidR="005D736D" w:rsidRPr="001D1241" w:rsidRDefault="005D736D" w:rsidP="001D1241">
            <w:pPr>
              <w:pStyle w:val="naisc"/>
              <w:jc w:val="both"/>
              <w:rPr>
                <w:sz w:val="24"/>
                <w:szCs w:val="24"/>
              </w:rPr>
            </w:pPr>
            <w:r w:rsidRPr="001D1241">
              <w:rPr>
                <w:sz w:val="24"/>
                <w:szCs w:val="24"/>
              </w:rPr>
              <w:t xml:space="preserve">Noteikumu projekts (1.2. un 1.3. apakšpunktā) paredz svītrot </w:t>
            </w:r>
            <w:proofErr w:type="spellStart"/>
            <w:r w:rsidRPr="001D1241">
              <w:rPr>
                <w:sz w:val="24"/>
                <w:szCs w:val="24"/>
              </w:rPr>
              <w:t>Rz</w:t>
            </w:r>
            <w:proofErr w:type="spellEnd"/>
            <w:r w:rsidRPr="001D1241">
              <w:rPr>
                <w:sz w:val="24"/>
                <w:szCs w:val="24"/>
              </w:rPr>
              <w:t xml:space="preserve"> kritēriju, tā vietā (1.</w:t>
            </w:r>
            <w:r w:rsidR="0075529E" w:rsidRPr="001D1241">
              <w:rPr>
                <w:sz w:val="24"/>
                <w:szCs w:val="24"/>
              </w:rPr>
              <w:t>2.</w:t>
            </w:r>
            <w:r w:rsidRPr="001D1241">
              <w:rPr>
                <w:sz w:val="24"/>
                <w:szCs w:val="24"/>
              </w:rPr>
              <w:t xml:space="preserve"> un 1.</w:t>
            </w:r>
            <w:r w:rsidR="0075529E" w:rsidRPr="001D1241">
              <w:rPr>
                <w:sz w:val="24"/>
                <w:szCs w:val="24"/>
              </w:rPr>
              <w:t>3</w:t>
            </w:r>
            <w:r w:rsidRPr="001D1241">
              <w:rPr>
                <w:sz w:val="24"/>
                <w:szCs w:val="24"/>
              </w:rPr>
              <w:t xml:space="preserve">. apakšpunktā) ieviešot jaunu </w:t>
            </w:r>
            <w:proofErr w:type="spellStart"/>
            <w:r w:rsidRPr="001D1241">
              <w:rPr>
                <w:sz w:val="24"/>
                <w:szCs w:val="24"/>
              </w:rPr>
              <w:t>Dz</w:t>
            </w:r>
            <w:proofErr w:type="spellEnd"/>
            <w:r w:rsidRPr="001D1241">
              <w:rPr>
                <w:sz w:val="24"/>
                <w:szCs w:val="24"/>
              </w:rPr>
              <w:t xml:space="preserve"> kritēriju (ar identisku 0,1 svaru), kurš piešķirtu finansējumu augstskolām atkarībā no tā, cik sekmīgi tās ir spējušas iepriekšējā gadā sagatavot doktora grāda ieguvējus. Tādējādi tiktu nodrošināta laicīga un tieša snieguma finansējuma sasaiste ar Izglītības un zinātnes ministrijas virzīto un 2020. gada 16. jūnijā Ministru kabinetā atbalstīto konceptuālo ziņojumu “Par jauna doktorantūras modeļa ieviešanu Latvijā”.</w:t>
            </w:r>
          </w:p>
          <w:p w14:paraId="2200B5EB" w14:textId="6A47BB1F" w:rsidR="005D736D" w:rsidRPr="001D1241" w:rsidRDefault="005D736D" w:rsidP="001D1241">
            <w:pPr>
              <w:pStyle w:val="naisc"/>
              <w:jc w:val="both"/>
              <w:rPr>
                <w:sz w:val="24"/>
                <w:szCs w:val="24"/>
              </w:rPr>
            </w:pPr>
            <w:r w:rsidRPr="001D1241">
              <w:rPr>
                <w:sz w:val="24"/>
                <w:szCs w:val="24"/>
              </w:rPr>
              <w:t>Saskaņā ar Ekonomiskās Sadarbības un Attīstības organizācijas (turpmāk – OECD) 2017. gada datiem</w:t>
            </w:r>
            <w:r w:rsidRPr="001D1241">
              <w:rPr>
                <w:rStyle w:val="FootnoteReference"/>
                <w:sz w:val="24"/>
                <w:szCs w:val="24"/>
              </w:rPr>
              <w:footnoteReference w:id="1"/>
            </w:r>
            <w:r w:rsidRPr="001D1241">
              <w:rPr>
                <w:sz w:val="24"/>
                <w:szCs w:val="24"/>
              </w:rPr>
              <w:t xml:space="preserve"> Latvijā ir ļoti zems doktora grādu ieguvušo īpatsvars uz iedzīvotāju skaitu (Latvijā 0,3 %, citās OECD valstīs vidēji 1,1</w:t>
            </w:r>
            <w:r w:rsidR="00BB1F37">
              <w:rPr>
                <w:sz w:val="24"/>
                <w:szCs w:val="24"/>
              </w:rPr>
              <w:t> </w:t>
            </w:r>
            <w:r w:rsidRPr="001D1241">
              <w:rPr>
                <w:sz w:val="24"/>
                <w:szCs w:val="24"/>
              </w:rPr>
              <w:t>%). Zemu doktora grādu ieguvušo skaitu izskaidro vairāki faktori – taču ievērojama nozīme ir tam, ka esošajā doktorantūras finansēšanas modelī nepastāv pilnvērtīgi stimuli augstskolām nodrošināt doktorantu vadīšanu līdz sekmīgi iegūtajam doktora grādam. Noteikumu projekta 1.</w:t>
            </w:r>
            <w:r w:rsidR="0075529E" w:rsidRPr="001D1241">
              <w:rPr>
                <w:sz w:val="24"/>
                <w:szCs w:val="24"/>
              </w:rPr>
              <w:t>2</w:t>
            </w:r>
            <w:r w:rsidRPr="001D1241">
              <w:rPr>
                <w:sz w:val="24"/>
                <w:szCs w:val="24"/>
              </w:rPr>
              <w:t>.</w:t>
            </w:r>
            <w:r w:rsidR="00BB1F37">
              <w:rPr>
                <w:sz w:val="24"/>
                <w:szCs w:val="24"/>
              </w:rPr>
              <w:t> </w:t>
            </w:r>
            <w:r w:rsidRPr="001D1241">
              <w:rPr>
                <w:sz w:val="24"/>
                <w:szCs w:val="24"/>
              </w:rPr>
              <w:t xml:space="preserve">apakšpunktā ieviešot </w:t>
            </w:r>
            <w:proofErr w:type="spellStart"/>
            <w:r w:rsidRPr="001D1241">
              <w:rPr>
                <w:sz w:val="24"/>
                <w:szCs w:val="24"/>
              </w:rPr>
              <w:t>Dz</w:t>
            </w:r>
            <w:proofErr w:type="spellEnd"/>
            <w:r w:rsidRPr="001D1241">
              <w:rPr>
                <w:sz w:val="24"/>
                <w:szCs w:val="24"/>
              </w:rPr>
              <w:t xml:space="preserve"> kritēriju, tiks ieviests būtisks stimuls, kas būtu nozīmīgs sākotnējais solis konceptuālā ziņojuma “Par jauna doktorantūras modeļa ieviešanu Latvijā” mērķu sasniegšanā. Šī ziņojuma 48. </w:t>
            </w:r>
            <w:proofErr w:type="spellStart"/>
            <w:r w:rsidRPr="001D1241">
              <w:rPr>
                <w:sz w:val="24"/>
                <w:szCs w:val="24"/>
              </w:rPr>
              <w:t>lpp</w:t>
            </w:r>
            <w:proofErr w:type="spellEnd"/>
            <w:r w:rsidRPr="001D1241">
              <w:rPr>
                <w:sz w:val="24"/>
                <w:szCs w:val="24"/>
              </w:rPr>
              <w:t xml:space="preserve"> ir norādīts, ka </w:t>
            </w:r>
            <w:r w:rsidRPr="001D1241">
              <w:t>l</w:t>
            </w:r>
            <w:r w:rsidRPr="001D1241">
              <w:rPr>
                <w:sz w:val="24"/>
                <w:szCs w:val="24"/>
              </w:rPr>
              <w:t>ai nodrošinātu lielāku motivāciju sasniegt augstāku doktora grāda iegūšanas intensitāti, valsts budžeta studiju vietās doktorantūrā ir jāievieš papildu stimulējošie mehānismi augstākās izglītības finansēšanā, piemēram, veicot grozījumus MK noteikumos, tajos nosakot jaunus sasniedzamos rezultātus snieguma finansējumā par rezultātiem pētniecībā balstītas augstākās izglītības nodrošināšanā sasaistē ar doktora grāda iegūšanu.</w:t>
            </w:r>
          </w:p>
          <w:p w14:paraId="104FAB53" w14:textId="20A2E110" w:rsidR="005D736D" w:rsidRPr="001D1241" w:rsidRDefault="005D736D" w:rsidP="001D1241">
            <w:pPr>
              <w:pStyle w:val="naisc"/>
              <w:jc w:val="both"/>
              <w:rPr>
                <w:sz w:val="24"/>
                <w:szCs w:val="24"/>
              </w:rPr>
            </w:pPr>
            <w:r w:rsidRPr="001D1241">
              <w:rPr>
                <w:sz w:val="24"/>
                <w:szCs w:val="24"/>
              </w:rPr>
              <w:t xml:space="preserve">Attiecībā par informācijas iegūšanu par </w:t>
            </w:r>
            <w:proofErr w:type="spellStart"/>
            <w:r w:rsidRPr="001D1241">
              <w:rPr>
                <w:sz w:val="24"/>
                <w:szCs w:val="24"/>
              </w:rPr>
              <w:t>Dz</w:t>
            </w:r>
            <w:proofErr w:type="spellEnd"/>
            <w:r w:rsidRPr="001D1241">
              <w:rPr>
                <w:sz w:val="24"/>
                <w:szCs w:val="24"/>
              </w:rPr>
              <w:t xml:space="preserve"> kritērija doktora grāda ieguvējiem, to nodrošina noteikumu projekta 1.</w:t>
            </w:r>
            <w:r w:rsidR="0075529E" w:rsidRPr="001D1241">
              <w:rPr>
                <w:sz w:val="24"/>
                <w:szCs w:val="24"/>
              </w:rPr>
              <w:t>3</w:t>
            </w:r>
            <w:r w:rsidRPr="001D1241">
              <w:rPr>
                <w:sz w:val="24"/>
                <w:szCs w:val="24"/>
              </w:rPr>
              <w:t>. apakšpunkts, kurš paredz šo informāciju iegūt no</w:t>
            </w:r>
            <w:r w:rsidRPr="001D1241">
              <w:t xml:space="preserve"> </w:t>
            </w:r>
            <w:r w:rsidRPr="001D1241">
              <w:rPr>
                <w:sz w:val="24"/>
                <w:szCs w:val="24"/>
              </w:rPr>
              <w:t>Valsts izglītības informācijas sistēmas.</w:t>
            </w:r>
          </w:p>
          <w:p w14:paraId="03B08FF6" w14:textId="5D3971D5" w:rsidR="00355E42" w:rsidRDefault="005D736D" w:rsidP="001D1241">
            <w:pPr>
              <w:pStyle w:val="naisc"/>
              <w:jc w:val="both"/>
              <w:rPr>
                <w:sz w:val="24"/>
                <w:szCs w:val="24"/>
              </w:rPr>
            </w:pPr>
            <w:r w:rsidRPr="001D1241">
              <w:rPr>
                <w:sz w:val="24"/>
                <w:szCs w:val="24"/>
              </w:rPr>
              <w:t>Noteikumu projekts stāsies spēkā 2021. gada 1. aprīlī, kas nozīmē, ka šogad snieguma finansējuma aprēķini augstskolām un koledžām 2021. gadam tiks veikti pēc pašlaik spēkā esošā regulējum</w:t>
            </w:r>
            <w:r w:rsidR="0075529E" w:rsidRPr="001D1241">
              <w:rPr>
                <w:sz w:val="24"/>
                <w:szCs w:val="24"/>
              </w:rPr>
              <w:t>a</w:t>
            </w:r>
            <w:r w:rsidRPr="001D1241">
              <w:rPr>
                <w:sz w:val="24"/>
                <w:szCs w:val="24"/>
              </w:rPr>
              <w:t xml:space="preserve">, bet sākot ar 2021. gadu veicot pirmo reizi snieguma finansējuma aprēķinus augstskolām un koledžām  </w:t>
            </w:r>
            <w:r w:rsidRPr="001D1241">
              <w:rPr>
                <w:sz w:val="24"/>
                <w:szCs w:val="24"/>
              </w:rPr>
              <w:lastRenderedPageBreak/>
              <w:t>2022. gadam (balstoties uz 2020. gada datiem) - pēc noteikumu projektā noteiktās (jaunās) formulas (2. punkts).</w:t>
            </w:r>
          </w:p>
          <w:p w14:paraId="1B759257" w14:textId="775067AE" w:rsidR="00017C1F" w:rsidRPr="001D1241" w:rsidRDefault="0021547C" w:rsidP="0021547C">
            <w:pPr>
              <w:pStyle w:val="naisc"/>
              <w:jc w:val="both"/>
              <w:rPr>
                <w:sz w:val="24"/>
                <w:szCs w:val="24"/>
              </w:rPr>
            </w:pPr>
            <w:r>
              <w:rPr>
                <w:sz w:val="24"/>
                <w:szCs w:val="24"/>
              </w:rPr>
              <w:t>Noteikumu p</w:t>
            </w:r>
            <w:r w:rsidR="00D25E68">
              <w:rPr>
                <w:sz w:val="24"/>
                <w:szCs w:val="24"/>
              </w:rPr>
              <w:t>r</w:t>
            </w:r>
            <w:r>
              <w:rPr>
                <w:sz w:val="24"/>
                <w:szCs w:val="24"/>
              </w:rPr>
              <w:t xml:space="preserve">ojektā arī tiek svītrota atsauce uz </w:t>
            </w:r>
            <w:r w:rsidRPr="001D1241">
              <w:rPr>
                <w:sz w:val="24"/>
                <w:szCs w:val="24"/>
              </w:rPr>
              <w:t>Ministru kabinet</w:t>
            </w:r>
            <w:r>
              <w:rPr>
                <w:sz w:val="24"/>
                <w:szCs w:val="24"/>
              </w:rPr>
              <w:t>a 2001. gada 29. maija noteikumiem</w:t>
            </w:r>
            <w:r w:rsidRPr="001D1241">
              <w:rPr>
                <w:sz w:val="24"/>
                <w:szCs w:val="24"/>
              </w:rPr>
              <w:t xml:space="preserve"> Nr. 219 "</w:t>
            </w:r>
            <w:hyperlink r:id="rId7" w:tgtFrame="_blank" w:history="1">
              <w:r w:rsidRPr="001D1241">
                <w:rPr>
                  <w:rStyle w:val="Hyperlink"/>
                  <w:sz w:val="24"/>
                  <w:szCs w:val="24"/>
                </w:rPr>
                <w:t>Kārtība, kādā tiek piešķirts, atmaksāts un dzēsts studiju kredīts no valsts budžeta līdzekļiem</w:t>
              </w:r>
            </w:hyperlink>
            <w:r w:rsidRPr="001D1241">
              <w:rPr>
                <w:sz w:val="24"/>
                <w:szCs w:val="24"/>
              </w:rPr>
              <w:t>" (turpmāk – MK noteikumi Nr. 219)</w:t>
            </w:r>
            <w:r>
              <w:rPr>
                <w:sz w:val="24"/>
                <w:szCs w:val="24"/>
              </w:rPr>
              <w:t>.</w:t>
            </w:r>
            <w:r w:rsidRPr="001D1241">
              <w:rPr>
                <w:sz w:val="24"/>
                <w:szCs w:val="24"/>
              </w:rPr>
              <w:t xml:space="preserve"> </w:t>
            </w:r>
            <w:r w:rsidR="00017C1F" w:rsidRPr="001D1241">
              <w:rPr>
                <w:sz w:val="24"/>
                <w:szCs w:val="24"/>
              </w:rPr>
              <w:t xml:space="preserve">Atbilstoši Ministru kabineta 2020. gada 21. aprīļa noteikumu Nr. 231 "Noteikumi par studiju un studējošo kreditēšanu studijām Latvijā no kredītiestāžu līdzekļiem, kas ir garantēti no valsts budžeta līdzekļiem" (turpmāk – MK noteikumi Nr. 231) 57. punktu, to studiju un studējošo kredītu līgumu pilnīgai izpildei, kuri noslēgti tai skaitā uz </w:t>
            </w:r>
            <w:r>
              <w:rPr>
                <w:sz w:val="24"/>
                <w:szCs w:val="24"/>
              </w:rPr>
              <w:t>MK</w:t>
            </w:r>
            <w:r w:rsidR="00017C1F" w:rsidRPr="001D1241">
              <w:rPr>
                <w:sz w:val="24"/>
                <w:szCs w:val="24"/>
              </w:rPr>
              <w:t xml:space="preserve"> </w:t>
            </w:r>
            <w:r>
              <w:rPr>
                <w:sz w:val="24"/>
                <w:szCs w:val="24"/>
              </w:rPr>
              <w:t>noteikumus Nr. 219</w:t>
            </w:r>
            <w:r w:rsidR="00017C1F" w:rsidRPr="001D1241">
              <w:rPr>
                <w:sz w:val="24"/>
                <w:szCs w:val="24"/>
              </w:rPr>
              <w:t xml:space="preserve"> pamata, piemēro minētos Ministru kabineta noteikumus. Saskaņā ar MK noteiktumiem Nr. 219  kredīti tika izsniegti no budžeta līdzekļiem, taču </w:t>
            </w:r>
            <w:r>
              <w:rPr>
                <w:sz w:val="24"/>
                <w:szCs w:val="24"/>
              </w:rPr>
              <w:t xml:space="preserve">tas vairs nenotiek kopš 2001. </w:t>
            </w:r>
            <w:r w:rsidR="00017C1F" w:rsidRPr="001D1241">
              <w:rPr>
                <w:sz w:val="24"/>
                <w:szCs w:val="24"/>
              </w:rPr>
              <w:t xml:space="preserve">gada un tie tiek piemēroti tikai attiecībā uz kredītu atmaksu un piedziņu. Tātad, augstskolas vairs nesaņem studiju maksu </w:t>
            </w:r>
            <w:r w:rsidR="00407180">
              <w:t xml:space="preserve"> </w:t>
            </w:r>
            <w:r w:rsidR="00407180" w:rsidRPr="00407180">
              <w:rPr>
                <w:sz w:val="24"/>
                <w:szCs w:val="24"/>
              </w:rPr>
              <w:t xml:space="preserve">no valsts budžeta līdzekļiem </w:t>
            </w:r>
            <w:r w:rsidR="00017C1F" w:rsidRPr="001D1241">
              <w:rPr>
                <w:sz w:val="24"/>
                <w:szCs w:val="24"/>
              </w:rPr>
              <w:t>saskaņā ar MK noteikumiem nr. 219, līdz ar to atsauce uz tiem šajā regulējumā tiek svītrota (1.1. apakšpunkts).</w:t>
            </w:r>
          </w:p>
        </w:tc>
      </w:tr>
      <w:tr w:rsidR="001F6F6E" w:rsidRPr="0008377A" w14:paraId="0207A88E" w14:textId="77777777" w:rsidTr="00344FD2">
        <w:tc>
          <w:tcPr>
            <w:tcW w:w="203" w:type="pct"/>
          </w:tcPr>
          <w:p w14:paraId="1326390D" w14:textId="61FBCF93" w:rsidR="002D0EC7" w:rsidRPr="0008377A" w:rsidRDefault="002D0EC7" w:rsidP="001D1241">
            <w:pPr>
              <w:jc w:val="both"/>
              <w:rPr>
                <w:rFonts w:eastAsia="Times New Roman"/>
                <w:sz w:val="24"/>
                <w:szCs w:val="24"/>
                <w:lang w:val="lv-LV" w:eastAsia="lv-LV"/>
              </w:rPr>
            </w:pPr>
            <w:r w:rsidRPr="0008377A">
              <w:rPr>
                <w:rFonts w:eastAsia="Times New Roman"/>
                <w:lang w:val="lv-LV" w:eastAsia="lv-LV"/>
              </w:rPr>
              <w:lastRenderedPageBreak/>
              <w:t>3.</w:t>
            </w:r>
          </w:p>
        </w:tc>
        <w:tc>
          <w:tcPr>
            <w:tcW w:w="997" w:type="pct"/>
          </w:tcPr>
          <w:p w14:paraId="3C67507C" w14:textId="77777777" w:rsidR="002D0EC7" w:rsidRPr="00394C6C" w:rsidRDefault="002D0EC7" w:rsidP="001D1241">
            <w:pPr>
              <w:jc w:val="both"/>
              <w:rPr>
                <w:rFonts w:eastAsia="Times New Roman"/>
                <w:sz w:val="24"/>
                <w:szCs w:val="24"/>
                <w:lang w:val="lv-LV" w:eastAsia="lv-LV"/>
              </w:rPr>
            </w:pPr>
            <w:r w:rsidRPr="00394C6C">
              <w:rPr>
                <w:rFonts w:eastAsia="Times New Roman"/>
                <w:sz w:val="24"/>
                <w:szCs w:val="24"/>
                <w:lang w:val="lv-LV" w:eastAsia="lv-LV"/>
              </w:rPr>
              <w:t>Projekta izstrādē iesaistītās institūcijas un publiskas personas kapitālsabiedrības</w:t>
            </w:r>
          </w:p>
        </w:tc>
        <w:tc>
          <w:tcPr>
            <w:tcW w:w="3800" w:type="pct"/>
          </w:tcPr>
          <w:p w14:paraId="628777B1" w14:textId="63EB0D8E" w:rsidR="002D0EC7" w:rsidRPr="001D0086" w:rsidRDefault="007D6EA6" w:rsidP="001D1241">
            <w:pPr>
              <w:jc w:val="both"/>
              <w:rPr>
                <w:rFonts w:eastAsia="Times New Roman"/>
                <w:sz w:val="24"/>
                <w:szCs w:val="24"/>
                <w:lang w:val="lv-LV" w:eastAsia="lv-LV"/>
              </w:rPr>
            </w:pPr>
            <w:r w:rsidRPr="001D0086">
              <w:rPr>
                <w:rFonts w:eastAsia="Times New Roman"/>
                <w:bCs/>
                <w:sz w:val="24"/>
                <w:szCs w:val="24"/>
                <w:lang w:val="lv-LV" w:eastAsia="lv-LV"/>
              </w:rPr>
              <w:t>Izglītības un zinātnes m</w:t>
            </w:r>
            <w:r w:rsidR="002D0EC7" w:rsidRPr="001D0086">
              <w:rPr>
                <w:rFonts w:eastAsia="Times New Roman"/>
                <w:bCs/>
                <w:sz w:val="24"/>
                <w:szCs w:val="24"/>
                <w:lang w:val="lv-LV" w:eastAsia="lv-LV"/>
              </w:rPr>
              <w:t>inistrija.</w:t>
            </w:r>
          </w:p>
        </w:tc>
      </w:tr>
      <w:tr w:rsidR="001F6F6E" w:rsidRPr="0008377A" w14:paraId="5461624E" w14:textId="77777777" w:rsidTr="00344FD2">
        <w:tc>
          <w:tcPr>
            <w:tcW w:w="203" w:type="pct"/>
          </w:tcPr>
          <w:p w14:paraId="7ADA0E99" w14:textId="77777777" w:rsidR="002D0EC7" w:rsidRPr="0008377A" w:rsidRDefault="002D0EC7" w:rsidP="001D1241">
            <w:pPr>
              <w:jc w:val="both"/>
              <w:rPr>
                <w:rFonts w:eastAsia="Times New Roman"/>
                <w:sz w:val="24"/>
                <w:szCs w:val="24"/>
                <w:lang w:val="lv-LV" w:eastAsia="lv-LV"/>
              </w:rPr>
            </w:pPr>
            <w:r w:rsidRPr="0008377A">
              <w:rPr>
                <w:rFonts w:eastAsia="Times New Roman"/>
                <w:lang w:val="lv-LV" w:eastAsia="lv-LV"/>
              </w:rPr>
              <w:t>4.</w:t>
            </w:r>
          </w:p>
        </w:tc>
        <w:tc>
          <w:tcPr>
            <w:tcW w:w="997" w:type="pct"/>
          </w:tcPr>
          <w:p w14:paraId="1A6EFA93" w14:textId="77777777" w:rsidR="002D0EC7" w:rsidRPr="00394C6C" w:rsidRDefault="002D0EC7" w:rsidP="001D1241">
            <w:pPr>
              <w:jc w:val="both"/>
              <w:rPr>
                <w:rFonts w:eastAsia="Times New Roman"/>
                <w:sz w:val="24"/>
                <w:szCs w:val="24"/>
                <w:lang w:val="lv-LV" w:eastAsia="lv-LV"/>
              </w:rPr>
            </w:pPr>
            <w:r w:rsidRPr="00394C6C">
              <w:rPr>
                <w:rFonts w:eastAsia="Times New Roman"/>
                <w:sz w:val="24"/>
                <w:szCs w:val="24"/>
                <w:lang w:val="lv-LV" w:eastAsia="lv-LV"/>
              </w:rPr>
              <w:t>Cita informācija</w:t>
            </w:r>
          </w:p>
        </w:tc>
        <w:tc>
          <w:tcPr>
            <w:tcW w:w="3800" w:type="pct"/>
          </w:tcPr>
          <w:p w14:paraId="2E8F8EAE" w14:textId="7615A148" w:rsidR="002D0EC7" w:rsidRPr="001D0086" w:rsidRDefault="00344FD2" w:rsidP="00017C1F">
            <w:pPr>
              <w:jc w:val="both"/>
              <w:rPr>
                <w:rFonts w:eastAsia="Times New Roman"/>
                <w:sz w:val="24"/>
                <w:szCs w:val="24"/>
                <w:lang w:val="lv-LV" w:eastAsia="lv-LV"/>
              </w:rPr>
            </w:pPr>
            <w:r>
              <w:rPr>
                <w:rFonts w:eastAsia="Times New Roman"/>
                <w:sz w:val="24"/>
                <w:szCs w:val="24"/>
                <w:lang w:val="lv-LV" w:eastAsia="lv-LV"/>
              </w:rPr>
              <w:t>Nav.</w:t>
            </w:r>
          </w:p>
        </w:tc>
      </w:tr>
    </w:tbl>
    <w:p w14:paraId="370533E9" w14:textId="77777777" w:rsidR="002D0EC7" w:rsidRPr="0008377A" w:rsidRDefault="002D0EC7" w:rsidP="001D1241">
      <w:pPr>
        <w:spacing w:line="360" w:lineRule="auto"/>
        <w:jc w:val="both"/>
        <w:rPr>
          <w:i/>
          <w:lang w:val="lv-LV"/>
        </w:rPr>
      </w:pPr>
    </w:p>
    <w:tbl>
      <w:tblPr>
        <w:tblW w:w="523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5"/>
        <w:gridCol w:w="3780"/>
        <w:gridCol w:w="5528"/>
      </w:tblGrid>
      <w:tr w:rsidR="001F6F6E" w:rsidRPr="001D1241" w14:paraId="28E90A3F" w14:textId="77777777" w:rsidTr="006C03F7">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DA548DC" w14:textId="77777777" w:rsidR="002D0EC7" w:rsidRPr="0008377A" w:rsidRDefault="002D0EC7" w:rsidP="00B25C64">
            <w:pPr>
              <w:spacing w:before="100" w:beforeAutospacing="1" w:after="100" w:afterAutospacing="1" w:line="293" w:lineRule="atLeast"/>
              <w:jc w:val="center"/>
              <w:rPr>
                <w:b/>
                <w:bCs/>
                <w:lang w:val="lv-LV"/>
              </w:rPr>
            </w:pPr>
            <w:r w:rsidRPr="0008377A">
              <w:rPr>
                <w:lang w:val="lv-LV"/>
              </w:rPr>
              <w:t> </w:t>
            </w:r>
            <w:r w:rsidRPr="0008377A">
              <w:rPr>
                <w:b/>
                <w:bCs/>
                <w:lang w:val="lv-LV"/>
              </w:rPr>
              <w:t>II. Tiesību akta projekta ietekme uz sabiedrību, tautsaimniecības attīstību un administratīvo slogu</w:t>
            </w:r>
          </w:p>
        </w:tc>
      </w:tr>
      <w:tr w:rsidR="001F6F6E" w:rsidRPr="001D1241" w14:paraId="571EC113" w14:textId="77777777" w:rsidTr="006C03F7">
        <w:trPr>
          <w:trHeight w:val="465"/>
        </w:trPr>
        <w:tc>
          <w:tcPr>
            <w:tcW w:w="238" w:type="pct"/>
            <w:tcBorders>
              <w:top w:val="outset" w:sz="6" w:space="0" w:color="414142"/>
              <w:left w:val="outset" w:sz="6" w:space="0" w:color="414142"/>
              <w:bottom w:val="outset" w:sz="6" w:space="0" w:color="414142"/>
              <w:right w:val="outset" w:sz="6" w:space="0" w:color="414142"/>
            </w:tcBorders>
            <w:hideMark/>
          </w:tcPr>
          <w:p w14:paraId="0F3AE310" w14:textId="77777777" w:rsidR="002D0EC7" w:rsidRPr="0008377A" w:rsidRDefault="002D0EC7" w:rsidP="00B25C64">
            <w:pPr>
              <w:rPr>
                <w:lang w:val="lv-LV"/>
              </w:rPr>
            </w:pPr>
            <w:r w:rsidRPr="0008377A">
              <w:rPr>
                <w:lang w:val="lv-LV"/>
              </w:rPr>
              <w:t>1.</w:t>
            </w:r>
          </w:p>
        </w:tc>
        <w:tc>
          <w:tcPr>
            <w:tcW w:w="1934" w:type="pct"/>
            <w:tcBorders>
              <w:top w:val="outset" w:sz="6" w:space="0" w:color="414142"/>
              <w:left w:val="outset" w:sz="6" w:space="0" w:color="414142"/>
              <w:bottom w:val="outset" w:sz="6" w:space="0" w:color="414142"/>
              <w:right w:val="outset" w:sz="6" w:space="0" w:color="414142"/>
            </w:tcBorders>
            <w:hideMark/>
          </w:tcPr>
          <w:p w14:paraId="61259DEC" w14:textId="77777777" w:rsidR="002D0EC7" w:rsidRPr="0008377A" w:rsidRDefault="002D0EC7" w:rsidP="00B25C64">
            <w:pPr>
              <w:rPr>
                <w:lang w:val="lv-LV"/>
              </w:rPr>
            </w:pPr>
            <w:r w:rsidRPr="0008377A">
              <w:rPr>
                <w:lang w:val="lv-LV"/>
              </w:rPr>
              <w:t xml:space="preserve">Sabiedrības </w:t>
            </w:r>
            <w:proofErr w:type="spellStart"/>
            <w:r w:rsidRPr="0008377A">
              <w:rPr>
                <w:lang w:val="lv-LV"/>
              </w:rPr>
              <w:t>mērķgrupas</w:t>
            </w:r>
            <w:proofErr w:type="spellEnd"/>
            <w:r w:rsidRPr="0008377A">
              <w:rPr>
                <w:lang w:val="lv-LV"/>
              </w:rPr>
              <w:t>, kuras tiesiskais regulējums ietekmē vai varētu ietekmēt</w:t>
            </w:r>
          </w:p>
        </w:tc>
        <w:tc>
          <w:tcPr>
            <w:tcW w:w="2828" w:type="pct"/>
            <w:tcBorders>
              <w:top w:val="outset" w:sz="6" w:space="0" w:color="414142"/>
              <w:left w:val="outset" w:sz="6" w:space="0" w:color="414142"/>
              <w:bottom w:val="outset" w:sz="6" w:space="0" w:color="414142"/>
              <w:right w:val="outset" w:sz="6" w:space="0" w:color="414142"/>
            </w:tcBorders>
          </w:tcPr>
          <w:p w14:paraId="7B286104" w14:textId="5585290D" w:rsidR="002D0EC7" w:rsidRPr="0008377A" w:rsidRDefault="00263B8A" w:rsidP="001C6068">
            <w:pPr>
              <w:jc w:val="both"/>
              <w:rPr>
                <w:lang w:val="lv-LV"/>
              </w:rPr>
            </w:pPr>
            <w:r>
              <w:rPr>
                <w:lang w:val="lv-LV"/>
              </w:rPr>
              <w:t>Noteikumu p</w:t>
            </w:r>
            <w:r w:rsidR="00BF654B" w:rsidRPr="00BF654B">
              <w:rPr>
                <w:lang w:val="lv-LV"/>
              </w:rPr>
              <w:t>rojekts attiecas uz Iz</w:t>
            </w:r>
            <w:r w:rsidR="001C6068">
              <w:rPr>
                <w:lang w:val="lv-LV"/>
              </w:rPr>
              <w:t>glītības un zinātnes ministriju,</w:t>
            </w:r>
            <w:r w:rsidR="006C3492">
              <w:rPr>
                <w:lang w:val="lv-LV"/>
              </w:rPr>
              <w:t xml:space="preserve"> pašvaldībām,</w:t>
            </w:r>
            <w:r w:rsidR="006F1416" w:rsidRPr="00CE6F4D">
              <w:rPr>
                <w:rFonts w:eastAsia="Times New Roman"/>
                <w:lang w:val="lv-LV" w:eastAsia="lv-LV"/>
              </w:rPr>
              <w:t xml:space="preserve"> zvērināti</w:t>
            </w:r>
            <w:r w:rsidR="006F1416">
              <w:rPr>
                <w:rFonts w:eastAsia="Times New Roman"/>
                <w:lang w:val="lv-LV" w:eastAsia="lv-LV"/>
              </w:rPr>
              <w:t>em</w:t>
            </w:r>
            <w:r w:rsidR="006F1416" w:rsidRPr="00CE6F4D">
              <w:rPr>
                <w:rFonts w:eastAsia="Times New Roman"/>
                <w:lang w:val="lv-LV" w:eastAsia="lv-LV"/>
              </w:rPr>
              <w:t xml:space="preserve"> revidenti</w:t>
            </w:r>
            <w:r w:rsidR="006F1416">
              <w:rPr>
                <w:rFonts w:eastAsia="Times New Roman"/>
                <w:lang w:val="lv-LV" w:eastAsia="lv-LV"/>
              </w:rPr>
              <w:t>em,</w:t>
            </w:r>
            <w:r w:rsidR="001C6068">
              <w:rPr>
                <w:lang w:val="lv-LV"/>
              </w:rPr>
              <w:t xml:space="preserve"> </w:t>
            </w:r>
            <w:r w:rsidR="00A82312" w:rsidRPr="00CE6F4D">
              <w:rPr>
                <w:lang w:val="lv-LV"/>
              </w:rPr>
              <w:t>augstskolām</w:t>
            </w:r>
            <w:r w:rsidR="008D36BA" w:rsidRPr="00CE6F4D">
              <w:rPr>
                <w:lang w:val="lv-LV"/>
              </w:rPr>
              <w:t xml:space="preserve"> un koledžām</w:t>
            </w:r>
            <w:r w:rsidR="0005276F">
              <w:rPr>
                <w:lang w:val="lv-LV"/>
              </w:rPr>
              <w:t xml:space="preserve"> un </w:t>
            </w:r>
            <w:r w:rsidR="00937789">
              <w:rPr>
                <w:lang w:val="lv-LV"/>
              </w:rPr>
              <w:t xml:space="preserve">netieši – uz </w:t>
            </w:r>
            <w:r w:rsidR="0005276F">
              <w:rPr>
                <w:lang w:val="lv-LV"/>
              </w:rPr>
              <w:t>studējošiem</w:t>
            </w:r>
            <w:r w:rsidR="00721676" w:rsidRPr="00CE6F4D">
              <w:rPr>
                <w:lang w:val="lv-LV"/>
              </w:rPr>
              <w:t>.</w:t>
            </w:r>
          </w:p>
        </w:tc>
      </w:tr>
      <w:tr w:rsidR="001F6F6E" w:rsidRPr="00327FCE" w14:paraId="20392BCA" w14:textId="77777777" w:rsidTr="006C03F7">
        <w:trPr>
          <w:trHeight w:val="510"/>
        </w:trPr>
        <w:tc>
          <w:tcPr>
            <w:tcW w:w="238" w:type="pct"/>
            <w:tcBorders>
              <w:top w:val="outset" w:sz="6" w:space="0" w:color="414142"/>
              <w:left w:val="outset" w:sz="6" w:space="0" w:color="414142"/>
              <w:bottom w:val="outset" w:sz="6" w:space="0" w:color="414142"/>
              <w:right w:val="outset" w:sz="6" w:space="0" w:color="414142"/>
            </w:tcBorders>
            <w:hideMark/>
          </w:tcPr>
          <w:p w14:paraId="51E1E206" w14:textId="77777777" w:rsidR="002D0EC7" w:rsidRPr="0008377A" w:rsidRDefault="002D0EC7" w:rsidP="00B25C64">
            <w:pPr>
              <w:rPr>
                <w:lang w:val="lv-LV"/>
              </w:rPr>
            </w:pPr>
            <w:r w:rsidRPr="0008377A">
              <w:rPr>
                <w:lang w:val="lv-LV"/>
              </w:rPr>
              <w:t>2.</w:t>
            </w:r>
          </w:p>
        </w:tc>
        <w:tc>
          <w:tcPr>
            <w:tcW w:w="1934" w:type="pct"/>
            <w:tcBorders>
              <w:top w:val="outset" w:sz="6" w:space="0" w:color="414142"/>
              <w:left w:val="outset" w:sz="6" w:space="0" w:color="414142"/>
              <w:bottom w:val="outset" w:sz="6" w:space="0" w:color="414142"/>
              <w:right w:val="outset" w:sz="6" w:space="0" w:color="414142"/>
            </w:tcBorders>
            <w:hideMark/>
          </w:tcPr>
          <w:p w14:paraId="61A8DE23" w14:textId="77777777" w:rsidR="002D0EC7" w:rsidRPr="001D1241" w:rsidRDefault="002D0EC7" w:rsidP="00B25C64">
            <w:pPr>
              <w:rPr>
                <w:lang w:val="lv-LV"/>
              </w:rPr>
            </w:pPr>
            <w:r w:rsidRPr="001D1241">
              <w:rPr>
                <w:lang w:val="lv-LV"/>
              </w:rPr>
              <w:t>Tiesiskā regulējuma ietekme uz tautsaimniecību un administratīvo slogu</w:t>
            </w:r>
          </w:p>
        </w:tc>
        <w:tc>
          <w:tcPr>
            <w:tcW w:w="2828" w:type="pct"/>
            <w:tcBorders>
              <w:top w:val="outset" w:sz="6" w:space="0" w:color="414142"/>
              <w:left w:val="outset" w:sz="6" w:space="0" w:color="414142"/>
              <w:bottom w:val="outset" w:sz="6" w:space="0" w:color="414142"/>
              <w:right w:val="outset" w:sz="6" w:space="0" w:color="414142"/>
            </w:tcBorders>
          </w:tcPr>
          <w:p w14:paraId="58E762D4" w14:textId="77777777" w:rsidR="00327FCE" w:rsidRDefault="00887573" w:rsidP="00CA3084">
            <w:pPr>
              <w:jc w:val="both"/>
              <w:rPr>
                <w:lang w:val="lv-LV"/>
              </w:rPr>
            </w:pPr>
            <w:r w:rsidRPr="001D1241">
              <w:rPr>
                <w:lang w:val="lv-LV"/>
              </w:rPr>
              <w:t>Administratīvais slogs nemainās.</w:t>
            </w:r>
            <w:r w:rsidR="00C16ED2" w:rsidRPr="001D1241">
              <w:rPr>
                <w:lang w:val="lv-LV"/>
              </w:rPr>
              <w:t xml:space="preserve"> </w:t>
            </w:r>
            <w:r w:rsidR="00263B8A" w:rsidRPr="001D1241">
              <w:rPr>
                <w:lang w:val="lv-LV"/>
              </w:rPr>
              <w:t>Noteikumu p</w:t>
            </w:r>
            <w:r w:rsidR="00DF2873" w:rsidRPr="001D1241">
              <w:rPr>
                <w:lang w:val="lv-LV"/>
              </w:rPr>
              <w:t xml:space="preserve">rojekta tiesiskais regulējums nemaina iesaistīto </w:t>
            </w:r>
            <w:proofErr w:type="spellStart"/>
            <w:r w:rsidR="00DF2873" w:rsidRPr="001D1241">
              <w:rPr>
                <w:lang w:val="lv-LV"/>
              </w:rPr>
              <w:t>mērķgrupu</w:t>
            </w:r>
            <w:proofErr w:type="spellEnd"/>
            <w:r w:rsidR="00DF2873" w:rsidRPr="001D1241">
              <w:rPr>
                <w:lang w:val="lv-LV"/>
              </w:rPr>
              <w:t xml:space="preserve"> tiesības un pienākumus. </w:t>
            </w:r>
            <w:r w:rsidR="00CE6F4D" w:rsidRPr="001D1241">
              <w:rPr>
                <w:lang w:val="lv-LV"/>
              </w:rPr>
              <w:t xml:space="preserve">Augstskolas </w:t>
            </w:r>
            <w:r w:rsidR="000C11E1" w:rsidRPr="001D1241">
              <w:rPr>
                <w:lang w:val="lv-LV"/>
              </w:rPr>
              <w:t xml:space="preserve">jau tagad </w:t>
            </w:r>
            <w:r w:rsidR="00C16ED2" w:rsidRPr="001D1241">
              <w:rPr>
                <w:lang w:val="lv-LV"/>
              </w:rPr>
              <w:t>ievada Valsts izglītības informācijas sistēmā informācij</w:t>
            </w:r>
            <w:r w:rsidR="002144FC" w:rsidRPr="001D1241">
              <w:rPr>
                <w:lang w:val="lv-LV"/>
              </w:rPr>
              <w:t>u</w:t>
            </w:r>
            <w:r w:rsidR="00C16ED2" w:rsidRPr="001D1241">
              <w:rPr>
                <w:lang w:val="lv-LV"/>
              </w:rPr>
              <w:t xml:space="preserve"> par doktora grāda ieguvējiem</w:t>
            </w:r>
            <w:r w:rsidR="00075746" w:rsidRPr="001D1241">
              <w:rPr>
                <w:lang w:val="lv-LV"/>
              </w:rPr>
              <w:t xml:space="preserve"> (saskaņā ar </w:t>
            </w:r>
            <w:r w:rsidR="00F95498" w:rsidRPr="001D1241">
              <w:rPr>
                <w:lang w:val="lv-LV"/>
              </w:rPr>
              <w:t>Ministru kabineta 2019. gada 25. jūnija n</w:t>
            </w:r>
            <w:r w:rsidR="00075746" w:rsidRPr="001D1241">
              <w:rPr>
                <w:lang w:val="lv-LV"/>
              </w:rPr>
              <w:t xml:space="preserve">oteikumu Nr. 276 Valsts izglītības </w:t>
            </w:r>
            <w:r w:rsidR="00075746" w:rsidRPr="00327FCE">
              <w:rPr>
                <w:lang w:val="lv-LV"/>
              </w:rPr>
              <w:t>informācijas sistēmas noteikumi” 12.7</w:t>
            </w:r>
            <w:r w:rsidR="00F95498" w:rsidRPr="00327FCE">
              <w:rPr>
                <w:lang w:val="lv-LV"/>
              </w:rPr>
              <w:t>.</w:t>
            </w:r>
            <w:r w:rsidR="00075746" w:rsidRPr="00327FCE">
              <w:rPr>
                <w:lang w:val="lv-LV"/>
              </w:rPr>
              <w:t xml:space="preserve"> </w:t>
            </w:r>
            <w:r w:rsidR="00547CA9" w:rsidRPr="00327FCE">
              <w:rPr>
                <w:lang w:val="lv-LV"/>
              </w:rPr>
              <w:t>apakš</w:t>
            </w:r>
            <w:r w:rsidR="00CA3084" w:rsidRPr="00327FCE">
              <w:rPr>
                <w:lang w:val="lv-LV"/>
              </w:rPr>
              <w:t>punktu</w:t>
            </w:r>
            <w:r w:rsidR="00075746" w:rsidRPr="00327FCE">
              <w:rPr>
                <w:lang w:val="lv-LV"/>
              </w:rPr>
              <w:t>)</w:t>
            </w:r>
            <w:r w:rsidR="00C16ED2" w:rsidRPr="00327FCE">
              <w:rPr>
                <w:lang w:val="lv-LV"/>
              </w:rPr>
              <w:t>.</w:t>
            </w:r>
            <w:r w:rsidR="00075746" w:rsidRPr="00327FCE">
              <w:rPr>
                <w:lang w:val="lv-LV"/>
              </w:rPr>
              <w:t xml:space="preserve"> </w:t>
            </w:r>
          </w:p>
          <w:p w14:paraId="5A1EECBF" w14:textId="6E7B7D6B" w:rsidR="00327FCE" w:rsidRDefault="00327FCE" w:rsidP="00CA3084">
            <w:pPr>
              <w:jc w:val="both"/>
              <w:rPr>
                <w:lang w:val="lv-LV"/>
              </w:rPr>
            </w:pPr>
            <w:r>
              <w:rPr>
                <w:lang w:val="lv-LV"/>
              </w:rPr>
              <w:t xml:space="preserve">Tiesības pretendēt uz snieguma finansējumu un pienākumi sniegt informāciju no tā nemainās. Nemainās arī sniegtās informācijas apjoms. </w:t>
            </w:r>
          </w:p>
          <w:p w14:paraId="265EDC61" w14:textId="4F2A55FD" w:rsidR="00F95498" w:rsidRPr="001D1241" w:rsidRDefault="00F95498" w:rsidP="00327FCE">
            <w:pPr>
              <w:jc w:val="both"/>
              <w:rPr>
                <w:lang w:val="lv-LV"/>
              </w:rPr>
            </w:pPr>
          </w:p>
        </w:tc>
      </w:tr>
      <w:tr w:rsidR="001F6F6E" w:rsidRPr="0008377A" w14:paraId="1882AB4F" w14:textId="77777777" w:rsidTr="006C03F7">
        <w:trPr>
          <w:trHeight w:val="510"/>
        </w:trPr>
        <w:tc>
          <w:tcPr>
            <w:tcW w:w="238" w:type="pct"/>
            <w:tcBorders>
              <w:top w:val="outset" w:sz="6" w:space="0" w:color="414142"/>
              <w:left w:val="outset" w:sz="6" w:space="0" w:color="414142"/>
              <w:bottom w:val="outset" w:sz="6" w:space="0" w:color="414142"/>
              <w:right w:val="outset" w:sz="6" w:space="0" w:color="414142"/>
            </w:tcBorders>
            <w:hideMark/>
          </w:tcPr>
          <w:p w14:paraId="4C51A0D9" w14:textId="77777777" w:rsidR="002D0EC7" w:rsidRPr="0008377A" w:rsidRDefault="002D0EC7" w:rsidP="00B25C64">
            <w:pPr>
              <w:rPr>
                <w:lang w:val="lv-LV"/>
              </w:rPr>
            </w:pPr>
            <w:r w:rsidRPr="0008377A">
              <w:rPr>
                <w:lang w:val="lv-LV"/>
              </w:rPr>
              <w:t>3.</w:t>
            </w:r>
          </w:p>
        </w:tc>
        <w:tc>
          <w:tcPr>
            <w:tcW w:w="1934" w:type="pct"/>
            <w:tcBorders>
              <w:top w:val="outset" w:sz="6" w:space="0" w:color="414142"/>
              <w:left w:val="outset" w:sz="6" w:space="0" w:color="414142"/>
              <w:bottom w:val="outset" w:sz="6" w:space="0" w:color="414142"/>
              <w:right w:val="outset" w:sz="6" w:space="0" w:color="414142"/>
            </w:tcBorders>
            <w:hideMark/>
          </w:tcPr>
          <w:p w14:paraId="72949512" w14:textId="77777777" w:rsidR="002D0EC7" w:rsidRPr="0008377A" w:rsidRDefault="002D0EC7" w:rsidP="00B25C64">
            <w:pPr>
              <w:rPr>
                <w:lang w:val="lv-LV"/>
              </w:rPr>
            </w:pPr>
            <w:r w:rsidRPr="0008377A">
              <w:rPr>
                <w:lang w:val="lv-LV"/>
              </w:rPr>
              <w:t>Administratīvo izmaksu monetārs novērtējums</w:t>
            </w:r>
          </w:p>
        </w:tc>
        <w:tc>
          <w:tcPr>
            <w:tcW w:w="2828" w:type="pct"/>
            <w:tcBorders>
              <w:top w:val="outset" w:sz="6" w:space="0" w:color="414142"/>
              <w:left w:val="outset" w:sz="6" w:space="0" w:color="414142"/>
              <w:bottom w:val="outset" w:sz="6" w:space="0" w:color="414142"/>
              <w:right w:val="outset" w:sz="6" w:space="0" w:color="414142"/>
            </w:tcBorders>
            <w:hideMark/>
          </w:tcPr>
          <w:p w14:paraId="4927D77D" w14:textId="77777777" w:rsidR="002D0EC7" w:rsidRPr="0008377A" w:rsidRDefault="002D0EC7" w:rsidP="00B25C64">
            <w:pPr>
              <w:jc w:val="both"/>
              <w:rPr>
                <w:lang w:val="lv-LV"/>
              </w:rPr>
            </w:pPr>
            <w:r w:rsidRPr="0008377A">
              <w:rPr>
                <w:lang w:val="lv-LV"/>
              </w:rPr>
              <w:t>Noteikumu projekts šo jomu neskar.</w:t>
            </w:r>
          </w:p>
        </w:tc>
      </w:tr>
      <w:tr w:rsidR="0032385C" w:rsidRPr="0008377A" w14:paraId="439BBAAA" w14:textId="77777777" w:rsidTr="006C03F7">
        <w:trPr>
          <w:trHeight w:val="510"/>
        </w:trPr>
        <w:tc>
          <w:tcPr>
            <w:tcW w:w="238" w:type="pct"/>
            <w:tcBorders>
              <w:top w:val="outset" w:sz="6" w:space="0" w:color="414142"/>
              <w:left w:val="outset" w:sz="6" w:space="0" w:color="414142"/>
              <w:bottom w:val="outset" w:sz="6" w:space="0" w:color="414142"/>
              <w:right w:val="outset" w:sz="6" w:space="0" w:color="414142"/>
            </w:tcBorders>
          </w:tcPr>
          <w:p w14:paraId="545E3505" w14:textId="4854F721" w:rsidR="0032385C" w:rsidRPr="0008377A" w:rsidRDefault="0032385C" w:rsidP="00B25C64">
            <w:pPr>
              <w:rPr>
                <w:lang w:val="lv-LV"/>
              </w:rPr>
            </w:pPr>
            <w:r>
              <w:rPr>
                <w:lang w:val="lv-LV"/>
              </w:rPr>
              <w:t>4</w:t>
            </w:r>
          </w:p>
        </w:tc>
        <w:tc>
          <w:tcPr>
            <w:tcW w:w="1934" w:type="pct"/>
            <w:tcBorders>
              <w:top w:val="outset" w:sz="6" w:space="0" w:color="414142"/>
              <w:left w:val="outset" w:sz="6" w:space="0" w:color="414142"/>
              <w:bottom w:val="outset" w:sz="6" w:space="0" w:color="414142"/>
              <w:right w:val="outset" w:sz="6" w:space="0" w:color="414142"/>
            </w:tcBorders>
          </w:tcPr>
          <w:p w14:paraId="3D24D124" w14:textId="0B26F06D" w:rsidR="0032385C" w:rsidRPr="0008377A" w:rsidRDefault="0032385C" w:rsidP="00B25C64">
            <w:pPr>
              <w:rPr>
                <w:lang w:val="lv-LV"/>
              </w:rPr>
            </w:pPr>
            <w:r>
              <w:rPr>
                <w:lang w:val="lv-LV"/>
              </w:rPr>
              <w:t>Atbilstības izmaksu monetārs izvērtējums</w:t>
            </w:r>
          </w:p>
        </w:tc>
        <w:tc>
          <w:tcPr>
            <w:tcW w:w="2828" w:type="pct"/>
            <w:tcBorders>
              <w:top w:val="outset" w:sz="6" w:space="0" w:color="414142"/>
              <w:left w:val="outset" w:sz="6" w:space="0" w:color="414142"/>
              <w:bottom w:val="outset" w:sz="6" w:space="0" w:color="414142"/>
              <w:right w:val="outset" w:sz="6" w:space="0" w:color="414142"/>
            </w:tcBorders>
          </w:tcPr>
          <w:p w14:paraId="48782121" w14:textId="7EBFDE83" w:rsidR="0032385C" w:rsidRPr="0008377A" w:rsidRDefault="0032385C" w:rsidP="00B25C64">
            <w:pPr>
              <w:jc w:val="both"/>
              <w:rPr>
                <w:lang w:val="lv-LV"/>
              </w:rPr>
            </w:pPr>
            <w:r w:rsidRPr="0008377A">
              <w:rPr>
                <w:lang w:val="lv-LV"/>
              </w:rPr>
              <w:t>Noteikumu projekts šo jomu neskar</w:t>
            </w:r>
            <w:r>
              <w:rPr>
                <w:lang w:val="lv-LV"/>
              </w:rPr>
              <w:t>.</w:t>
            </w:r>
          </w:p>
        </w:tc>
      </w:tr>
      <w:tr w:rsidR="001F6F6E" w:rsidRPr="0008377A" w14:paraId="2A786C99" w14:textId="77777777" w:rsidTr="006C03F7">
        <w:trPr>
          <w:trHeight w:val="345"/>
        </w:trPr>
        <w:tc>
          <w:tcPr>
            <w:tcW w:w="238" w:type="pct"/>
            <w:tcBorders>
              <w:top w:val="outset" w:sz="6" w:space="0" w:color="414142"/>
              <w:left w:val="outset" w:sz="6" w:space="0" w:color="414142"/>
              <w:bottom w:val="outset" w:sz="6" w:space="0" w:color="414142"/>
              <w:right w:val="outset" w:sz="6" w:space="0" w:color="414142"/>
            </w:tcBorders>
            <w:hideMark/>
          </w:tcPr>
          <w:p w14:paraId="67F2A175" w14:textId="2F4E71A6" w:rsidR="002D0EC7" w:rsidRPr="0008377A" w:rsidRDefault="0032385C" w:rsidP="00B25C64">
            <w:pPr>
              <w:rPr>
                <w:lang w:val="lv-LV"/>
              </w:rPr>
            </w:pPr>
            <w:r>
              <w:rPr>
                <w:lang w:val="lv-LV"/>
              </w:rPr>
              <w:t>5</w:t>
            </w:r>
            <w:r w:rsidR="002D0EC7" w:rsidRPr="0008377A">
              <w:rPr>
                <w:lang w:val="lv-LV"/>
              </w:rPr>
              <w:t>.</w:t>
            </w:r>
          </w:p>
        </w:tc>
        <w:tc>
          <w:tcPr>
            <w:tcW w:w="1934" w:type="pct"/>
            <w:tcBorders>
              <w:top w:val="outset" w:sz="6" w:space="0" w:color="414142"/>
              <w:left w:val="outset" w:sz="6" w:space="0" w:color="414142"/>
              <w:bottom w:val="outset" w:sz="6" w:space="0" w:color="414142"/>
              <w:right w:val="outset" w:sz="6" w:space="0" w:color="414142"/>
            </w:tcBorders>
            <w:hideMark/>
          </w:tcPr>
          <w:p w14:paraId="6228E257" w14:textId="77777777" w:rsidR="002D0EC7" w:rsidRPr="0008377A" w:rsidRDefault="002D0EC7" w:rsidP="00B25C64">
            <w:pPr>
              <w:rPr>
                <w:lang w:val="lv-LV"/>
              </w:rPr>
            </w:pPr>
            <w:r w:rsidRPr="0008377A">
              <w:rPr>
                <w:lang w:val="lv-LV"/>
              </w:rPr>
              <w:t>Cita informācija</w:t>
            </w:r>
          </w:p>
        </w:tc>
        <w:tc>
          <w:tcPr>
            <w:tcW w:w="2828" w:type="pct"/>
            <w:tcBorders>
              <w:top w:val="outset" w:sz="6" w:space="0" w:color="414142"/>
              <w:left w:val="outset" w:sz="6" w:space="0" w:color="414142"/>
              <w:bottom w:val="outset" w:sz="6" w:space="0" w:color="414142"/>
              <w:right w:val="outset" w:sz="6" w:space="0" w:color="414142"/>
            </w:tcBorders>
            <w:hideMark/>
          </w:tcPr>
          <w:p w14:paraId="557FFF77" w14:textId="5E491FE2" w:rsidR="002D0EC7" w:rsidRPr="0008377A" w:rsidRDefault="00887573" w:rsidP="00EB0B5C">
            <w:pPr>
              <w:jc w:val="both"/>
              <w:rPr>
                <w:rFonts w:eastAsia="Times New Roman"/>
                <w:iCs/>
                <w:lang w:val="lv-LV" w:eastAsia="lv-LV"/>
              </w:rPr>
            </w:pPr>
            <w:r>
              <w:rPr>
                <w:rFonts w:eastAsia="Times New Roman"/>
                <w:iCs/>
                <w:lang w:val="lv-LV" w:eastAsia="lv-LV"/>
              </w:rPr>
              <w:t>Nav.</w:t>
            </w:r>
          </w:p>
        </w:tc>
      </w:tr>
    </w:tbl>
    <w:p w14:paraId="68EAE06D" w14:textId="77777777" w:rsidR="002D0EC7" w:rsidRPr="0008377A" w:rsidRDefault="002D0EC7" w:rsidP="002D0EC7">
      <w:pPr>
        <w:jc w:val="both"/>
        <w:rPr>
          <w:rFonts w:eastAsia="Times New Roman"/>
          <w:lang w:val="lv-LV" w:eastAsia="lv-LV"/>
        </w:rPr>
      </w:pPr>
    </w:p>
    <w:tbl>
      <w:tblPr>
        <w:tblW w:w="523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773"/>
      </w:tblGrid>
      <w:tr w:rsidR="001F6F6E" w:rsidRPr="001D1241" w14:paraId="3701CDBB" w14:textId="77777777" w:rsidTr="006C03F7">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15B0B44E" w14:textId="77777777" w:rsidR="002D0EC7" w:rsidRPr="0008377A" w:rsidRDefault="002D0EC7" w:rsidP="00B25C64">
            <w:pPr>
              <w:spacing w:before="100" w:beforeAutospacing="1" w:after="100" w:afterAutospacing="1" w:line="293" w:lineRule="atLeast"/>
              <w:jc w:val="center"/>
              <w:rPr>
                <w:b/>
                <w:bCs/>
                <w:lang w:val="lv-LV"/>
              </w:rPr>
            </w:pPr>
            <w:r w:rsidRPr="0008377A">
              <w:rPr>
                <w:lang w:val="lv-LV"/>
              </w:rPr>
              <w:lastRenderedPageBreak/>
              <w:t> </w:t>
            </w:r>
            <w:r w:rsidRPr="0008377A">
              <w:rPr>
                <w:b/>
                <w:bCs/>
                <w:lang w:val="lv-LV"/>
              </w:rPr>
              <w:t>III. Tiesību akta projekta ietekme uz valsts budžetu un pašvaldību budžetiem</w:t>
            </w:r>
          </w:p>
        </w:tc>
      </w:tr>
      <w:tr w:rsidR="00B31019" w:rsidRPr="0008377A" w14:paraId="02A9AC8E" w14:textId="77777777" w:rsidTr="006C03F7">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5B3E5E04" w14:textId="5B089D6B" w:rsidR="002D0EC7" w:rsidRPr="0008377A" w:rsidRDefault="00FB568D" w:rsidP="00BB668E">
            <w:pPr>
              <w:jc w:val="center"/>
              <w:rPr>
                <w:lang w:val="lv-LV"/>
              </w:rPr>
            </w:pPr>
            <w:r w:rsidRPr="0008377A">
              <w:rPr>
                <w:lang w:val="lv-LV"/>
              </w:rPr>
              <w:t>Noteikumu projekts šo jomu ne</w:t>
            </w:r>
            <w:r w:rsidR="004D6D8A">
              <w:rPr>
                <w:lang w:val="lv-LV"/>
              </w:rPr>
              <w:t>s</w:t>
            </w:r>
            <w:r w:rsidRPr="0008377A">
              <w:rPr>
                <w:lang w:val="lv-LV"/>
              </w:rPr>
              <w:t>kar</w:t>
            </w:r>
            <w:r w:rsidR="005A5B88" w:rsidRPr="0008377A">
              <w:rPr>
                <w:lang w:val="lv-LV"/>
              </w:rPr>
              <w:t>.</w:t>
            </w:r>
          </w:p>
        </w:tc>
      </w:tr>
      <w:tr w:rsidR="001F6F6E" w:rsidRPr="001D1241" w14:paraId="0FAD6D2F" w14:textId="77777777" w:rsidTr="006C03F7">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2DCF95AA" w14:textId="77777777" w:rsidR="002D0EC7" w:rsidRPr="0008377A" w:rsidRDefault="002D0EC7" w:rsidP="00B25C64">
            <w:pPr>
              <w:spacing w:before="100" w:beforeAutospacing="1" w:after="100" w:afterAutospacing="1" w:line="293" w:lineRule="atLeast"/>
              <w:jc w:val="center"/>
              <w:rPr>
                <w:b/>
                <w:bCs/>
                <w:lang w:val="lv-LV"/>
              </w:rPr>
            </w:pPr>
            <w:r w:rsidRPr="0008377A">
              <w:rPr>
                <w:lang w:val="lv-LV"/>
              </w:rPr>
              <w:t> </w:t>
            </w:r>
            <w:r w:rsidRPr="0008377A">
              <w:rPr>
                <w:b/>
                <w:bCs/>
                <w:lang w:val="lv-LV"/>
              </w:rPr>
              <w:t>IV. Tiesību akta projekta ietekme uz spēkā esošo tiesību normu sistēmu</w:t>
            </w:r>
          </w:p>
        </w:tc>
      </w:tr>
      <w:tr w:rsidR="00B31019" w:rsidRPr="0008377A" w14:paraId="0A061AD5" w14:textId="77777777" w:rsidTr="006C03F7">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0B425010" w14:textId="782C66F8" w:rsidR="002D0EC7" w:rsidRPr="0008377A" w:rsidRDefault="00FB568D" w:rsidP="00B25C64">
            <w:pPr>
              <w:jc w:val="center"/>
              <w:rPr>
                <w:lang w:val="lv-LV"/>
              </w:rPr>
            </w:pPr>
            <w:r w:rsidRPr="0008377A">
              <w:rPr>
                <w:lang w:val="lv-LV"/>
              </w:rPr>
              <w:t>Noteikumu projekts šo jomu neskar</w:t>
            </w:r>
            <w:r w:rsidR="005A5B88" w:rsidRPr="0008377A">
              <w:rPr>
                <w:lang w:val="lv-LV"/>
              </w:rPr>
              <w:t>.</w:t>
            </w:r>
          </w:p>
        </w:tc>
      </w:tr>
    </w:tbl>
    <w:p w14:paraId="27400684" w14:textId="77777777" w:rsidR="002D0EC7" w:rsidRPr="0008377A" w:rsidRDefault="002D0EC7" w:rsidP="002D0EC7">
      <w:pPr>
        <w:rPr>
          <w:rFonts w:eastAsia="Times New Roman"/>
          <w:lang w:val="lv-LV" w:eastAsia="lv-LV"/>
        </w:rPr>
      </w:pPr>
    </w:p>
    <w:tbl>
      <w:tblPr>
        <w:tblW w:w="523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773"/>
      </w:tblGrid>
      <w:tr w:rsidR="001F6F6E" w:rsidRPr="0008377A" w14:paraId="5C0362E9" w14:textId="77777777" w:rsidTr="006C03F7">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E46C513" w14:textId="77777777" w:rsidR="002D0EC7" w:rsidRPr="0008377A" w:rsidRDefault="002D0EC7" w:rsidP="00B25C64">
            <w:pPr>
              <w:spacing w:before="100" w:beforeAutospacing="1" w:after="100" w:afterAutospacing="1" w:line="293" w:lineRule="atLeast"/>
              <w:jc w:val="center"/>
              <w:rPr>
                <w:b/>
                <w:bCs/>
                <w:lang w:val="lv-LV"/>
              </w:rPr>
            </w:pPr>
            <w:r w:rsidRPr="0008377A">
              <w:rPr>
                <w:lang w:val="lv-LV"/>
              </w:rPr>
              <w:t> </w:t>
            </w:r>
            <w:r w:rsidRPr="0008377A">
              <w:rPr>
                <w:b/>
                <w:bCs/>
                <w:lang w:val="lv-LV"/>
              </w:rPr>
              <w:t>V. Tiesību akta projekta atbilstība Latvijas Republikas starptautiskajām saistībām</w:t>
            </w:r>
          </w:p>
        </w:tc>
      </w:tr>
      <w:tr w:rsidR="00B31019" w:rsidRPr="0008377A" w14:paraId="70961591" w14:textId="77777777" w:rsidTr="006C03F7">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08F66BE6" w14:textId="4D129C4B" w:rsidR="002D0EC7" w:rsidRPr="0008377A" w:rsidRDefault="00FB568D" w:rsidP="00FB568D">
            <w:pPr>
              <w:jc w:val="center"/>
              <w:rPr>
                <w:lang w:val="lv-LV"/>
              </w:rPr>
            </w:pPr>
            <w:r w:rsidRPr="0008377A">
              <w:rPr>
                <w:lang w:val="lv-LV"/>
              </w:rPr>
              <w:t>Noteikumu p</w:t>
            </w:r>
            <w:r w:rsidR="002D0EC7" w:rsidRPr="0008377A">
              <w:rPr>
                <w:lang w:val="lv-LV"/>
              </w:rPr>
              <w:t>rojekts</w:t>
            </w:r>
            <w:r w:rsidRPr="0008377A">
              <w:rPr>
                <w:lang w:val="lv-LV"/>
              </w:rPr>
              <w:t xml:space="preserve"> šo jomu neskar</w:t>
            </w:r>
            <w:r w:rsidR="002D0EC7" w:rsidRPr="0008377A">
              <w:rPr>
                <w:lang w:val="lv-LV"/>
              </w:rPr>
              <w:t>.</w:t>
            </w:r>
          </w:p>
        </w:tc>
      </w:tr>
    </w:tbl>
    <w:p w14:paraId="48C652A9" w14:textId="77777777" w:rsidR="002D0EC7" w:rsidRPr="0008377A" w:rsidRDefault="002D0EC7" w:rsidP="002D0EC7">
      <w:pPr>
        <w:rPr>
          <w:rFonts w:eastAsia="Times New Roman"/>
          <w:lang w:val="lv-LV" w:eastAsia="lv-LV"/>
        </w:rPr>
      </w:pPr>
    </w:p>
    <w:tbl>
      <w:tblPr>
        <w:tblStyle w:val="TableGrid"/>
        <w:tblW w:w="5230" w:type="pct"/>
        <w:tblLook w:val="04A0" w:firstRow="1" w:lastRow="0" w:firstColumn="1" w:lastColumn="0" w:noHBand="0" w:noVBand="1"/>
      </w:tblPr>
      <w:tblGrid>
        <w:gridCol w:w="421"/>
        <w:gridCol w:w="3828"/>
        <w:gridCol w:w="5527"/>
      </w:tblGrid>
      <w:tr w:rsidR="00CC4C82" w:rsidRPr="001D1241" w14:paraId="1D1A8CA7" w14:textId="77777777" w:rsidTr="00CC4C82">
        <w:trPr>
          <w:trHeight w:val="420"/>
        </w:trPr>
        <w:tc>
          <w:tcPr>
            <w:tcW w:w="215" w:type="pct"/>
          </w:tcPr>
          <w:p w14:paraId="65D46DDE" w14:textId="77777777" w:rsidR="00CC4C82" w:rsidRPr="00DD3625" w:rsidRDefault="00CC4C82" w:rsidP="00B01942">
            <w:pPr>
              <w:jc w:val="center"/>
              <w:rPr>
                <w:b/>
                <w:bCs/>
                <w:lang w:val="lv-LV"/>
              </w:rPr>
            </w:pPr>
          </w:p>
        </w:tc>
        <w:tc>
          <w:tcPr>
            <w:tcW w:w="4785" w:type="pct"/>
            <w:gridSpan w:val="2"/>
            <w:hideMark/>
          </w:tcPr>
          <w:p w14:paraId="607C56CB" w14:textId="18F40E47" w:rsidR="00CC4C82" w:rsidRPr="00DD3625" w:rsidRDefault="00CC4C82" w:rsidP="00B01942">
            <w:pPr>
              <w:jc w:val="center"/>
              <w:rPr>
                <w:b/>
                <w:bCs/>
                <w:sz w:val="24"/>
                <w:szCs w:val="24"/>
                <w:lang w:val="lv-LV"/>
              </w:rPr>
            </w:pPr>
            <w:r w:rsidRPr="00DD3625">
              <w:rPr>
                <w:b/>
                <w:bCs/>
                <w:sz w:val="24"/>
                <w:szCs w:val="24"/>
                <w:lang w:val="lv-LV"/>
              </w:rPr>
              <w:t>VI. Sabiedrības līdzdalība un komunikācijas aktivitātes</w:t>
            </w:r>
          </w:p>
        </w:tc>
      </w:tr>
      <w:tr w:rsidR="00CC4C82" w:rsidRPr="001D1241" w14:paraId="05D66E6D" w14:textId="77777777" w:rsidTr="00D121CC">
        <w:trPr>
          <w:trHeight w:val="540"/>
        </w:trPr>
        <w:tc>
          <w:tcPr>
            <w:tcW w:w="215" w:type="pct"/>
          </w:tcPr>
          <w:p w14:paraId="6FF8982C" w14:textId="70D0C5EB" w:rsidR="00CC4C82" w:rsidRPr="00CC4C82" w:rsidRDefault="00CC4C82" w:rsidP="00B01942">
            <w:pPr>
              <w:rPr>
                <w:sz w:val="24"/>
                <w:szCs w:val="24"/>
                <w:lang w:val="lv-LV"/>
              </w:rPr>
            </w:pPr>
            <w:r w:rsidRPr="00CC4C82">
              <w:rPr>
                <w:sz w:val="24"/>
                <w:szCs w:val="24"/>
                <w:lang w:val="lv-LV"/>
              </w:rPr>
              <w:t>1.</w:t>
            </w:r>
          </w:p>
        </w:tc>
        <w:tc>
          <w:tcPr>
            <w:tcW w:w="1958" w:type="pct"/>
            <w:hideMark/>
          </w:tcPr>
          <w:p w14:paraId="1E92B385" w14:textId="2187C0B5" w:rsidR="00CC4C82" w:rsidRPr="00DD3625" w:rsidRDefault="00CC4C82" w:rsidP="00B01942">
            <w:pPr>
              <w:rPr>
                <w:sz w:val="24"/>
                <w:szCs w:val="24"/>
                <w:lang w:val="lv-LV"/>
              </w:rPr>
            </w:pPr>
            <w:r w:rsidRPr="00DD3625">
              <w:rPr>
                <w:sz w:val="24"/>
                <w:szCs w:val="24"/>
                <w:lang w:val="lv-LV"/>
              </w:rPr>
              <w:t>Plānotās sabiedrības līdzdalības un komunikācijas aktivitātes saistībā ar projektu</w:t>
            </w:r>
          </w:p>
        </w:tc>
        <w:tc>
          <w:tcPr>
            <w:tcW w:w="2827" w:type="pct"/>
          </w:tcPr>
          <w:p w14:paraId="10408D0E" w14:textId="77777777" w:rsidR="0075529E" w:rsidRPr="001D1241" w:rsidRDefault="0075529E" w:rsidP="0075529E">
            <w:pPr>
              <w:ind w:right="57"/>
              <w:jc w:val="both"/>
              <w:rPr>
                <w:sz w:val="24"/>
                <w:szCs w:val="24"/>
                <w:lang w:val="lv-LV"/>
              </w:rPr>
            </w:pPr>
            <w:r w:rsidRPr="001D1241">
              <w:rPr>
                <w:sz w:val="24"/>
                <w:szCs w:val="24"/>
                <w:lang w:val="lv-LV"/>
              </w:rPr>
              <w:t>Saskaņā ar Ministru kabineta 2009. gada 25. augusta noteikumu Nr. 970 “Sabiedrības līdzdalības kārtība attīstības plānošanas procesā” 7.4.</w:t>
            </w:r>
            <w:r w:rsidRPr="001D1241">
              <w:rPr>
                <w:sz w:val="24"/>
                <w:szCs w:val="24"/>
                <w:vertAlign w:val="superscript"/>
                <w:lang w:val="lv-LV"/>
              </w:rPr>
              <w:t>1</w:t>
            </w:r>
            <w:r w:rsidRPr="001D1241">
              <w:rPr>
                <w:sz w:val="24"/>
                <w:szCs w:val="24"/>
                <w:lang w:val="lv-LV"/>
              </w:rPr>
              <w:t> apakšpunktu sabiedrības pārstāvji tika aicināti līdzdarboties, rakstiski sniedzot viedokli par noteikumu projektu tā izstrādes stadijā.</w:t>
            </w:r>
          </w:p>
          <w:p w14:paraId="7DB0E1E1" w14:textId="1D3C7D9F" w:rsidR="00CC4C82" w:rsidRPr="00097B57" w:rsidRDefault="00CC4C82" w:rsidP="004471D5">
            <w:pPr>
              <w:jc w:val="both"/>
              <w:rPr>
                <w:bCs/>
                <w:sz w:val="24"/>
                <w:szCs w:val="24"/>
                <w:lang w:val="lv-LV"/>
              </w:rPr>
            </w:pPr>
            <w:r w:rsidRPr="00097B57">
              <w:rPr>
                <w:bCs/>
                <w:sz w:val="24"/>
                <w:szCs w:val="24"/>
                <w:lang w:val="lv-LV"/>
              </w:rPr>
              <w:t xml:space="preserve"> </w:t>
            </w:r>
          </w:p>
        </w:tc>
      </w:tr>
      <w:tr w:rsidR="00CC4C82" w:rsidRPr="001D1241" w14:paraId="1B6D8D5A" w14:textId="77777777" w:rsidTr="00D121CC">
        <w:trPr>
          <w:trHeight w:val="330"/>
        </w:trPr>
        <w:tc>
          <w:tcPr>
            <w:tcW w:w="215" w:type="pct"/>
          </w:tcPr>
          <w:p w14:paraId="32DF01FC" w14:textId="77777777" w:rsidR="00CC4C82" w:rsidRPr="00DD3625" w:rsidRDefault="00CC4C82" w:rsidP="00B01942">
            <w:pPr>
              <w:rPr>
                <w:lang w:val="lv-LV"/>
              </w:rPr>
            </w:pPr>
          </w:p>
        </w:tc>
        <w:tc>
          <w:tcPr>
            <w:tcW w:w="1958" w:type="pct"/>
            <w:hideMark/>
          </w:tcPr>
          <w:p w14:paraId="0E56FE7A" w14:textId="2EF2C792" w:rsidR="00CC4C82" w:rsidRPr="00DD3625" w:rsidRDefault="00CC4C82" w:rsidP="00B01942">
            <w:pPr>
              <w:rPr>
                <w:sz w:val="24"/>
                <w:szCs w:val="24"/>
                <w:lang w:val="lv-LV"/>
              </w:rPr>
            </w:pPr>
            <w:r w:rsidRPr="00DD3625">
              <w:rPr>
                <w:sz w:val="24"/>
                <w:szCs w:val="24"/>
                <w:lang w:val="lv-LV"/>
              </w:rPr>
              <w:t>Sabiedrības līdzdalība projekta izstrādē</w:t>
            </w:r>
          </w:p>
        </w:tc>
        <w:tc>
          <w:tcPr>
            <w:tcW w:w="2827" w:type="pct"/>
          </w:tcPr>
          <w:p w14:paraId="477A9890" w14:textId="77777777" w:rsidR="0075529E" w:rsidRPr="001D1241" w:rsidRDefault="0075529E" w:rsidP="0075529E">
            <w:pPr>
              <w:jc w:val="both"/>
              <w:rPr>
                <w:i/>
                <w:sz w:val="24"/>
                <w:szCs w:val="24"/>
                <w:lang w:val="lv-LV"/>
              </w:rPr>
            </w:pPr>
            <w:r w:rsidRPr="001D1241">
              <w:rPr>
                <w:sz w:val="24"/>
                <w:szCs w:val="24"/>
                <w:lang w:val="lv-LV"/>
              </w:rPr>
              <w:t xml:space="preserve">Noteikumu projekts 2020. gada 13. augustā publicēts Izglītības un zinātnes ministrijas tīmekļa vietnē </w:t>
            </w:r>
            <w:hyperlink r:id="rId8" w:history="1">
              <w:r w:rsidRPr="001D1241">
                <w:rPr>
                  <w:color w:val="0000FF"/>
                  <w:sz w:val="24"/>
                  <w:szCs w:val="24"/>
                  <w:u w:val="single"/>
                </w:rPr>
                <w:t>https://izm.gov.lv/lv/sabiedribas-lidzdaliba/sabiedriskajai-apspriesanai-nodotie-normativo-aktu-projekti/4229-grozijumi-ministru-kabineta-2006-gada-12-decembra-noteikumos-nr-994</w:t>
              </w:r>
            </w:hyperlink>
            <w:r w:rsidRPr="001D1241">
              <w:rPr>
                <w:rFonts w:eastAsiaTheme="minorHAnsi"/>
                <w:sz w:val="24"/>
                <w:szCs w:val="24"/>
                <w:lang w:val="en-GB"/>
              </w:rPr>
              <w:t>.</w:t>
            </w:r>
          </w:p>
          <w:p w14:paraId="63C9E62B" w14:textId="453BA2A1" w:rsidR="0075529E" w:rsidRPr="001D1241" w:rsidRDefault="0075529E" w:rsidP="0075529E">
            <w:pPr>
              <w:jc w:val="both"/>
              <w:rPr>
                <w:sz w:val="24"/>
                <w:szCs w:val="24"/>
                <w:lang w:val="lv-LV"/>
              </w:rPr>
            </w:pPr>
            <w:r w:rsidRPr="001D1241">
              <w:rPr>
                <w:sz w:val="24"/>
                <w:szCs w:val="24"/>
                <w:lang w:val="lv-LV"/>
              </w:rPr>
              <w:t xml:space="preserve">un Valsts kancelejas tīmekļa vietnē </w:t>
            </w:r>
            <w:hyperlink r:id="rId9" w:history="1">
              <w:r w:rsidRPr="001D1241">
                <w:rPr>
                  <w:rStyle w:val="Hyperlink"/>
                  <w:sz w:val="24"/>
                  <w:szCs w:val="24"/>
                </w:rPr>
                <w:t>https://www.mk.gov.lv/content/ministru-kabineta-diskusiju-dokumenti</w:t>
              </w:r>
            </w:hyperlink>
            <w:r w:rsidRPr="001D1241">
              <w:rPr>
                <w:sz w:val="24"/>
                <w:szCs w:val="24"/>
                <w:lang w:val="lv-LV"/>
              </w:rPr>
              <w:t>.</w:t>
            </w:r>
          </w:p>
          <w:p w14:paraId="00DE4256" w14:textId="77777777" w:rsidR="00CC4C82" w:rsidRPr="00097B57" w:rsidRDefault="00CC4C82" w:rsidP="00E43235">
            <w:pPr>
              <w:jc w:val="both"/>
              <w:rPr>
                <w:sz w:val="24"/>
                <w:szCs w:val="24"/>
                <w:lang w:val="lv-LV"/>
              </w:rPr>
            </w:pPr>
          </w:p>
          <w:p w14:paraId="35E2EF01" w14:textId="46F1366D" w:rsidR="00CC4C82" w:rsidRPr="001D1241" w:rsidRDefault="00CC4C82" w:rsidP="00E43235">
            <w:pPr>
              <w:jc w:val="both"/>
              <w:rPr>
                <w:sz w:val="24"/>
                <w:szCs w:val="24"/>
                <w:lang w:val="lv-LV"/>
              </w:rPr>
            </w:pPr>
            <w:r w:rsidRPr="001D1241">
              <w:rPr>
                <w:sz w:val="24"/>
                <w:szCs w:val="24"/>
                <w:lang w:val="lv-LV"/>
              </w:rPr>
              <w:t>2020. gadā 22.</w:t>
            </w:r>
            <w:r w:rsidR="001D1241">
              <w:rPr>
                <w:sz w:val="24"/>
                <w:szCs w:val="24"/>
                <w:lang w:val="lv-LV"/>
              </w:rPr>
              <w:t xml:space="preserve"> </w:t>
            </w:r>
            <w:r w:rsidRPr="001D1241">
              <w:rPr>
                <w:sz w:val="24"/>
                <w:szCs w:val="24"/>
                <w:lang w:val="lv-LV"/>
              </w:rPr>
              <w:t xml:space="preserve">septembrī ministrija rīkoja </w:t>
            </w:r>
            <w:r w:rsidR="0075529E" w:rsidRPr="001D1241">
              <w:rPr>
                <w:sz w:val="24"/>
                <w:szCs w:val="24"/>
                <w:lang w:val="lv-LV"/>
              </w:rPr>
              <w:t xml:space="preserve">noteikumu </w:t>
            </w:r>
            <w:r w:rsidRPr="001D1241">
              <w:rPr>
                <w:sz w:val="24"/>
                <w:szCs w:val="24"/>
                <w:lang w:val="lv-LV"/>
              </w:rPr>
              <w:t xml:space="preserve">projekta saskaņošanas sanāksmi. Tajā piedalījās pārstāvji no Latvijas Universitāšu asociācijas un Lielo pilsētu asociācijas. Pārējie uzaicinātie dalībnieki nav piedalījušies (Finanšu ministrija, Kultūras </w:t>
            </w:r>
            <w:r w:rsidR="00F95498" w:rsidRPr="001D1241">
              <w:rPr>
                <w:sz w:val="24"/>
                <w:szCs w:val="24"/>
                <w:lang w:val="lv-LV"/>
              </w:rPr>
              <w:t>m</w:t>
            </w:r>
            <w:r w:rsidRPr="001D1241">
              <w:rPr>
                <w:sz w:val="24"/>
                <w:szCs w:val="24"/>
                <w:lang w:val="lv-LV"/>
              </w:rPr>
              <w:t xml:space="preserve">inistrija, Zemkopības ministrija, Veselības ministrija, Tieslietu ministrija, Labklājības ministrija, Latvijas Brīvo arodbiedrību asociācija). </w:t>
            </w:r>
          </w:p>
          <w:p w14:paraId="0E6D8AAB" w14:textId="26617250" w:rsidR="00CC4C82" w:rsidRPr="00097B57" w:rsidRDefault="00CC4C82" w:rsidP="00F95498">
            <w:pPr>
              <w:jc w:val="both"/>
              <w:rPr>
                <w:sz w:val="24"/>
                <w:szCs w:val="24"/>
                <w:lang w:val="lv-LV"/>
              </w:rPr>
            </w:pPr>
          </w:p>
        </w:tc>
      </w:tr>
      <w:tr w:rsidR="00CC4C82" w:rsidRPr="007544B0" w14:paraId="11CA5FDE" w14:textId="77777777" w:rsidTr="00D121CC">
        <w:trPr>
          <w:trHeight w:val="465"/>
        </w:trPr>
        <w:tc>
          <w:tcPr>
            <w:tcW w:w="215" w:type="pct"/>
          </w:tcPr>
          <w:p w14:paraId="4FD8C538" w14:textId="17914489" w:rsidR="00CC4C82" w:rsidRPr="00DD3625" w:rsidRDefault="00CC4C82" w:rsidP="00B01942">
            <w:pPr>
              <w:rPr>
                <w:lang w:val="lv-LV"/>
              </w:rPr>
            </w:pPr>
            <w:r>
              <w:rPr>
                <w:sz w:val="24"/>
                <w:szCs w:val="24"/>
                <w:lang w:val="lv-LV"/>
              </w:rPr>
              <w:t>2</w:t>
            </w:r>
            <w:r w:rsidRPr="00CC4C82">
              <w:rPr>
                <w:sz w:val="24"/>
                <w:szCs w:val="24"/>
                <w:lang w:val="lv-LV"/>
              </w:rPr>
              <w:t>.</w:t>
            </w:r>
          </w:p>
        </w:tc>
        <w:tc>
          <w:tcPr>
            <w:tcW w:w="1958" w:type="pct"/>
            <w:hideMark/>
          </w:tcPr>
          <w:p w14:paraId="54D47742" w14:textId="305BE123" w:rsidR="00CC4C82" w:rsidRPr="00DD3625" w:rsidRDefault="00CC4C82" w:rsidP="00B01942">
            <w:pPr>
              <w:rPr>
                <w:sz w:val="24"/>
                <w:szCs w:val="24"/>
                <w:lang w:val="lv-LV"/>
              </w:rPr>
            </w:pPr>
            <w:r w:rsidRPr="00DD3625">
              <w:rPr>
                <w:sz w:val="24"/>
                <w:szCs w:val="24"/>
                <w:lang w:val="lv-LV"/>
              </w:rPr>
              <w:t>Sabiedrības līdzdalības rezultāti</w:t>
            </w:r>
          </w:p>
        </w:tc>
        <w:tc>
          <w:tcPr>
            <w:tcW w:w="2827" w:type="pct"/>
          </w:tcPr>
          <w:p w14:paraId="1087D795" w14:textId="3EA3F377" w:rsidR="0075529E" w:rsidRPr="001D1241" w:rsidRDefault="0075529E" w:rsidP="00AA21AF">
            <w:pPr>
              <w:jc w:val="both"/>
              <w:rPr>
                <w:sz w:val="24"/>
                <w:szCs w:val="24"/>
                <w:highlight w:val="yellow"/>
                <w:lang w:val="lv-LV"/>
              </w:rPr>
            </w:pPr>
            <w:r w:rsidRPr="001D1241">
              <w:rPr>
                <w:sz w:val="24"/>
                <w:szCs w:val="24"/>
                <w:lang w:val="lv-LV"/>
              </w:rPr>
              <w:t>Priekšlikumi un iebildumi pēc noteikumu projekta publicēšanas Izglītības un zinātnes ministrijas un Valsts kancelejas tīmekļvietnē nav saņemti.</w:t>
            </w:r>
          </w:p>
          <w:p w14:paraId="46662AEC" w14:textId="77777777" w:rsidR="0075529E" w:rsidRPr="001D1241" w:rsidRDefault="0075529E" w:rsidP="00AA21AF">
            <w:pPr>
              <w:jc w:val="both"/>
              <w:rPr>
                <w:sz w:val="24"/>
                <w:szCs w:val="24"/>
                <w:lang w:val="lv-LV"/>
              </w:rPr>
            </w:pPr>
          </w:p>
          <w:p w14:paraId="72275D8C" w14:textId="77777777" w:rsidR="0075529E" w:rsidRPr="001D1241" w:rsidRDefault="0075529E" w:rsidP="0075529E">
            <w:pPr>
              <w:jc w:val="both"/>
              <w:rPr>
                <w:sz w:val="24"/>
                <w:szCs w:val="24"/>
                <w:lang w:val="lv-LV"/>
              </w:rPr>
            </w:pPr>
            <w:r w:rsidRPr="001D1241">
              <w:rPr>
                <w:sz w:val="24"/>
                <w:szCs w:val="24"/>
                <w:lang w:val="lv-LV"/>
              </w:rPr>
              <w:t>Latvijas Universitāšu asociācija ir sniegusi pozitīvu atzinumu, atbalstot noteikumu projekta virzīšanu apstiprināšanai Ministru kabinetā.</w:t>
            </w:r>
          </w:p>
          <w:p w14:paraId="6B3CC662" w14:textId="77777777" w:rsidR="0075529E" w:rsidRPr="001D1241" w:rsidRDefault="0075529E" w:rsidP="0075529E">
            <w:pPr>
              <w:jc w:val="both"/>
              <w:rPr>
                <w:sz w:val="24"/>
                <w:szCs w:val="24"/>
                <w:lang w:val="lv-LV"/>
              </w:rPr>
            </w:pPr>
            <w:r w:rsidRPr="001D1241">
              <w:rPr>
                <w:sz w:val="24"/>
                <w:szCs w:val="24"/>
                <w:lang w:val="lv-LV"/>
              </w:rPr>
              <w:lastRenderedPageBreak/>
              <w:t>Latvijas Lielo pilsētu asociācija iebilst pret ierosinātajiem grozījumiem, norādot uz to, ka grozījumiem būs negatīva ietekme uz Ventspils Augstskolu (konkrētie aprēķini nav sniegti).</w:t>
            </w:r>
          </w:p>
          <w:p w14:paraId="75EFF657" w14:textId="2E24DF71" w:rsidR="00CC4C82" w:rsidRPr="00222C27" w:rsidRDefault="0075529E" w:rsidP="002E4896">
            <w:pPr>
              <w:jc w:val="both"/>
              <w:rPr>
                <w:sz w:val="24"/>
                <w:szCs w:val="24"/>
                <w:lang w:val="lv-LV"/>
              </w:rPr>
            </w:pPr>
            <w:r w:rsidRPr="001D1241">
              <w:rPr>
                <w:sz w:val="24"/>
                <w:szCs w:val="24"/>
                <w:lang w:val="lv-LV"/>
              </w:rPr>
              <w:t>Ministrijas ieskatā tiesiskais regulējums jāveido, pamatojoties nevis uz vienas atsevišķas augstskolas interesēm, bet līdzsvarojot visas nozares intereses, tai skaitā novirzot snieguma finansējumu par kritērijiem, kas demonstrē izaugsmi un atdevi (piesaistītais starptautiskais pētniecības finansējums un doktorantu ataudze). Latvijas Universitāšu asociācijas pozitīvais atzinums apliecina atbalstu šādai pieejai.</w:t>
            </w:r>
            <w:r w:rsidR="002E4896">
              <w:rPr>
                <w:sz w:val="24"/>
                <w:szCs w:val="24"/>
                <w:lang w:val="lv-LV"/>
              </w:rPr>
              <w:t xml:space="preserve"> </w:t>
            </w:r>
            <w:bookmarkStart w:id="0" w:name="_GoBack"/>
            <w:bookmarkEnd w:id="0"/>
          </w:p>
        </w:tc>
      </w:tr>
      <w:tr w:rsidR="00CC4C82" w:rsidRPr="00547CA9" w14:paraId="24852F0B" w14:textId="77777777" w:rsidTr="00D121CC">
        <w:trPr>
          <w:trHeight w:val="465"/>
        </w:trPr>
        <w:tc>
          <w:tcPr>
            <w:tcW w:w="215" w:type="pct"/>
          </w:tcPr>
          <w:p w14:paraId="4FB9E333" w14:textId="1F175A52" w:rsidR="00CC4C82" w:rsidRPr="00DD3625" w:rsidRDefault="00CC4C82" w:rsidP="00B01942">
            <w:pPr>
              <w:rPr>
                <w:lang w:val="lv-LV"/>
              </w:rPr>
            </w:pPr>
            <w:r>
              <w:rPr>
                <w:sz w:val="24"/>
                <w:szCs w:val="24"/>
                <w:lang w:val="lv-LV"/>
              </w:rPr>
              <w:lastRenderedPageBreak/>
              <w:t>3</w:t>
            </w:r>
            <w:r w:rsidRPr="00CC4C82">
              <w:rPr>
                <w:sz w:val="24"/>
                <w:szCs w:val="24"/>
                <w:lang w:val="lv-LV"/>
              </w:rPr>
              <w:t>.</w:t>
            </w:r>
          </w:p>
        </w:tc>
        <w:tc>
          <w:tcPr>
            <w:tcW w:w="1958" w:type="pct"/>
            <w:hideMark/>
          </w:tcPr>
          <w:p w14:paraId="1BCC8FA8" w14:textId="4A12D673" w:rsidR="00CC4C82" w:rsidRPr="00DD3625" w:rsidRDefault="00CC4C82" w:rsidP="00B01942">
            <w:pPr>
              <w:rPr>
                <w:sz w:val="24"/>
                <w:szCs w:val="24"/>
                <w:lang w:val="lv-LV"/>
              </w:rPr>
            </w:pPr>
            <w:r w:rsidRPr="00DD3625">
              <w:rPr>
                <w:sz w:val="24"/>
                <w:szCs w:val="24"/>
                <w:lang w:val="lv-LV"/>
              </w:rPr>
              <w:t>Cita informācija</w:t>
            </w:r>
          </w:p>
        </w:tc>
        <w:tc>
          <w:tcPr>
            <w:tcW w:w="2827" w:type="pct"/>
            <w:hideMark/>
          </w:tcPr>
          <w:p w14:paraId="11AFE8DD" w14:textId="61CF8D45" w:rsidR="00CC4C82" w:rsidRPr="00DD3625" w:rsidRDefault="001D1241" w:rsidP="006552FF">
            <w:pPr>
              <w:jc w:val="both"/>
              <w:rPr>
                <w:sz w:val="24"/>
                <w:szCs w:val="24"/>
                <w:lang w:val="lv-LV"/>
              </w:rPr>
            </w:pPr>
            <w:r>
              <w:rPr>
                <w:sz w:val="24"/>
                <w:szCs w:val="24"/>
                <w:lang w:val="lv-LV"/>
              </w:rPr>
              <w:t>Nav.</w:t>
            </w:r>
          </w:p>
        </w:tc>
      </w:tr>
    </w:tbl>
    <w:p w14:paraId="0FD0EE99" w14:textId="77777777" w:rsidR="002D0EC7" w:rsidRDefault="002D0EC7" w:rsidP="002D0EC7">
      <w:pPr>
        <w:rPr>
          <w:rFonts w:eastAsia="Times New Roman"/>
          <w:lang w:val="lv-LV" w:eastAsia="lv-LV"/>
        </w:rPr>
      </w:pPr>
    </w:p>
    <w:p w14:paraId="5608FB82" w14:textId="77777777" w:rsidR="00DD3625" w:rsidRPr="0008377A" w:rsidRDefault="00DD3625" w:rsidP="002D0EC7">
      <w:pPr>
        <w:rPr>
          <w:rFonts w:eastAsia="Times New Roman"/>
          <w:lang w:val="lv-LV" w:eastAsia="lv-LV"/>
        </w:rPr>
      </w:pPr>
    </w:p>
    <w:tbl>
      <w:tblPr>
        <w:tblStyle w:val="TableGrid"/>
        <w:tblW w:w="5230" w:type="pct"/>
        <w:tblLook w:val="04A0" w:firstRow="1" w:lastRow="0" w:firstColumn="1" w:lastColumn="0" w:noHBand="0" w:noVBand="1"/>
      </w:tblPr>
      <w:tblGrid>
        <w:gridCol w:w="466"/>
        <w:gridCol w:w="3781"/>
        <w:gridCol w:w="5529"/>
      </w:tblGrid>
      <w:tr w:rsidR="001F6F6E" w:rsidRPr="001D1241" w14:paraId="7EC9BF0E" w14:textId="77777777" w:rsidTr="009740A6">
        <w:trPr>
          <w:trHeight w:val="375"/>
        </w:trPr>
        <w:tc>
          <w:tcPr>
            <w:tcW w:w="5000" w:type="pct"/>
            <w:gridSpan w:val="3"/>
            <w:hideMark/>
          </w:tcPr>
          <w:p w14:paraId="5D5E1EA0" w14:textId="77777777" w:rsidR="002D0EC7" w:rsidRPr="001019C6" w:rsidRDefault="002D0EC7" w:rsidP="00B25C64">
            <w:pPr>
              <w:spacing w:before="100" w:beforeAutospacing="1" w:after="100" w:afterAutospacing="1" w:line="360" w:lineRule="auto"/>
              <w:ind w:firstLine="300"/>
              <w:jc w:val="center"/>
              <w:rPr>
                <w:rFonts w:eastAsia="Times New Roman"/>
                <w:b/>
                <w:bCs/>
                <w:sz w:val="24"/>
                <w:szCs w:val="24"/>
                <w:lang w:val="lv-LV" w:eastAsia="lv-LV"/>
              </w:rPr>
            </w:pPr>
            <w:r w:rsidRPr="001019C6">
              <w:rPr>
                <w:rFonts w:eastAsia="Times New Roman"/>
                <w:b/>
                <w:bCs/>
                <w:sz w:val="24"/>
                <w:szCs w:val="24"/>
                <w:lang w:val="lv-LV" w:eastAsia="lv-LV"/>
              </w:rPr>
              <w:t>VII. Tiesību akta projekta izpildes nodrošināšana un tās ietekme uz institūcijām</w:t>
            </w:r>
          </w:p>
        </w:tc>
      </w:tr>
      <w:tr w:rsidR="001F6F6E" w:rsidRPr="001D1241" w14:paraId="4152E8B7" w14:textId="77777777" w:rsidTr="009740A6">
        <w:trPr>
          <w:trHeight w:val="420"/>
        </w:trPr>
        <w:tc>
          <w:tcPr>
            <w:tcW w:w="238" w:type="pct"/>
            <w:hideMark/>
          </w:tcPr>
          <w:p w14:paraId="1CB3819C" w14:textId="77777777" w:rsidR="002D0EC7" w:rsidRPr="001019C6" w:rsidRDefault="002D0EC7" w:rsidP="00B25C64">
            <w:pPr>
              <w:rPr>
                <w:rFonts w:eastAsia="Times New Roman"/>
                <w:sz w:val="24"/>
                <w:szCs w:val="24"/>
                <w:lang w:val="lv-LV" w:eastAsia="lv-LV"/>
              </w:rPr>
            </w:pPr>
            <w:r w:rsidRPr="001019C6">
              <w:rPr>
                <w:rFonts w:eastAsia="Times New Roman"/>
                <w:sz w:val="24"/>
                <w:szCs w:val="24"/>
                <w:lang w:val="lv-LV" w:eastAsia="lv-LV"/>
              </w:rPr>
              <w:t>1.</w:t>
            </w:r>
          </w:p>
        </w:tc>
        <w:tc>
          <w:tcPr>
            <w:tcW w:w="1934" w:type="pct"/>
            <w:hideMark/>
          </w:tcPr>
          <w:p w14:paraId="2D800B86" w14:textId="77777777" w:rsidR="002D0EC7" w:rsidRPr="001019C6" w:rsidRDefault="002D0EC7" w:rsidP="00B25C64">
            <w:pPr>
              <w:rPr>
                <w:rFonts w:eastAsia="Times New Roman"/>
                <w:sz w:val="24"/>
                <w:szCs w:val="24"/>
                <w:lang w:val="lv-LV" w:eastAsia="lv-LV"/>
              </w:rPr>
            </w:pPr>
            <w:r w:rsidRPr="001019C6">
              <w:rPr>
                <w:rFonts w:eastAsia="Times New Roman"/>
                <w:sz w:val="24"/>
                <w:szCs w:val="24"/>
                <w:lang w:val="lv-LV" w:eastAsia="lv-LV"/>
              </w:rPr>
              <w:t>Projekta izpildē iesaistītās institūcijas</w:t>
            </w:r>
          </w:p>
        </w:tc>
        <w:tc>
          <w:tcPr>
            <w:tcW w:w="2828" w:type="pct"/>
            <w:hideMark/>
          </w:tcPr>
          <w:p w14:paraId="4E7D8B39" w14:textId="7741FCA1" w:rsidR="002D0EC7" w:rsidRPr="001019C6" w:rsidRDefault="00A73F74" w:rsidP="000E2981">
            <w:pPr>
              <w:jc w:val="both"/>
              <w:rPr>
                <w:rFonts w:eastAsia="Times New Roman"/>
                <w:sz w:val="24"/>
                <w:szCs w:val="24"/>
                <w:lang w:val="lv-LV" w:eastAsia="lv-LV"/>
              </w:rPr>
            </w:pPr>
            <w:r>
              <w:rPr>
                <w:rFonts w:eastAsia="Times New Roman"/>
                <w:sz w:val="24"/>
                <w:szCs w:val="24"/>
                <w:lang w:val="lv-LV" w:eastAsia="lv-LV"/>
              </w:rPr>
              <w:t>Noteikumu projekta izpildē būs iesaistīta Izgl</w:t>
            </w:r>
            <w:r w:rsidR="000E2981">
              <w:rPr>
                <w:rFonts w:eastAsia="Times New Roman"/>
                <w:sz w:val="24"/>
                <w:szCs w:val="24"/>
                <w:lang w:val="lv-LV" w:eastAsia="lv-LV"/>
              </w:rPr>
              <w:t>ītības un zinātnes ministrija</w:t>
            </w:r>
            <w:r w:rsidR="000E2981" w:rsidRPr="00CE6F4D">
              <w:rPr>
                <w:rFonts w:eastAsia="Times New Roman"/>
                <w:sz w:val="24"/>
                <w:szCs w:val="24"/>
                <w:lang w:val="lv-LV" w:eastAsia="lv-LV"/>
              </w:rPr>
              <w:t>,</w:t>
            </w:r>
            <w:r w:rsidR="00BF654B" w:rsidRPr="00CE6F4D">
              <w:rPr>
                <w:rFonts w:eastAsia="Times New Roman"/>
                <w:sz w:val="24"/>
                <w:szCs w:val="24"/>
                <w:lang w:val="lv-LV" w:eastAsia="lv-LV"/>
              </w:rPr>
              <w:t xml:space="preserve"> augstskolas</w:t>
            </w:r>
            <w:r w:rsidR="0005276F">
              <w:rPr>
                <w:rFonts w:eastAsia="Times New Roman"/>
                <w:sz w:val="24"/>
                <w:szCs w:val="24"/>
                <w:lang w:val="lv-LV" w:eastAsia="lv-LV"/>
              </w:rPr>
              <w:t xml:space="preserve">, koledžas, pašvaldības </w:t>
            </w:r>
            <w:r w:rsidR="000E2981" w:rsidRPr="00CE6F4D">
              <w:rPr>
                <w:rFonts w:eastAsia="Times New Roman"/>
                <w:sz w:val="24"/>
                <w:szCs w:val="24"/>
                <w:lang w:val="lv-LV" w:eastAsia="lv-LV"/>
              </w:rPr>
              <w:t>un zvērināti revidenti</w:t>
            </w:r>
            <w:r w:rsidR="00BF654B" w:rsidRPr="00CE6F4D">
              <w:rPr>
                <w:rFonts w:eastAsia="Times New Roman"/>
                <w:sz w:val="24"/>
                <w:szCs w:val="24"/>
                <w:lang w:val="lv-LV" w:eastAsia="lv-LV"/>
              </w:rPr>
              <w:t>.</w:t>
            </w:r>
          </w:p>
        </w:tc>
      </w:tr>
      <w:tr w:rsidR="001F6F6E" w:rsidRPr="001019C6" w14:paraId="5A20CBA6" w14:textId="77777777" w:rsidTr="009740A6">
        <w:trPr>
          <w:trHeight w:val="450"/>
        </w:trPr>
        <w:tc>
          <w:tcPr>
            <w:tcW w:w="238" w:type="pct"/>
            <w:hideMark/>
          </w:tcPr>
          <w:p w14:paraId="24B69A9C" w14:textId="77777777" w:rsidR="002D0EC7" w:rsidRPr="001019C6" w:rsidRDefault="002D0EC7" w:rsidP="00B25C64">
            <w:pPr>
              <w:rPr>
                <w:rFonts w:eastAsia="Times New Roman"/>
                <w:sz w:val="24"/>
                <w:szCs w:val="24"/>
                <w:lang w:val="lv-LV" w:eastAsia="lv-LV"/>
              </w:rPr>
            </w:pPr>
            <w:r w:rsidRPr="001019C6">
              <w:rPr>
                <w:rFonts w:eastAsia="Times New Roman"/>
                <w:sz w:val="24"/>
                <w:szCs w:val="24"/>
                <w:lang w:val="lv-LV" w:eastAsia="lv-LV"/>
              </w:rPr>
              <w:t>2.</w:t>
            </w:r>
          </w:p>
        </w:tc>
        <w:tc>
          <w:tcPr>
            <w:tcW w:w="1934" w:type="pct"/>
            <w:hideMark/>
          </w:tcPr>
          <w:p w14:paraId="0C561C41" w14:textId="77777777" w:rsidR="002D0EC7" w:rsidRPr="001019C6" w:rsidRDefault="002D0EC7" w:rsidP="00B25C64">
            <w:pPr>
              <w:jc w:val="both"/>
              <w:rPr>
                <w:rFonts w:eastAsia="Times New Roman"/>
                <w:sz w:val="24"/>
                <w:szCs w:val="24"/>
                <w:lang w:val="lv-LV" w:eastAsia="lv-LV"/>
              </w:rPr>
            </w:pPr>
            <w:r w:rsidRPr="001019C6">
              <w:rPr>
                <w:rFonts w:eastAsia="Times New Roman"/>
                <w:sz w:val="24"/>
                <w:szCs w:val="24"/>
                <w:lang w:val="lv-LV" w:eastAsia="lv-LV"/>
              </w:rPr>
              <w:t>Projekta izpildes ietekme uz pārvaldes funkcijām un institucionālo struktūru. Jaunu institūciju izveide, esošu institūciju likvidācija vai reorganizācija, to ietekme uz institūcijas cilvēkresursiem</w:t>
            </w:r>
          </w:p>
        </w:tc>
        <w:tc>
          <w:tcPr>
            <w:tcW w:w="2828" w:type="pct"/>
            <w:hideMark/>
          </w:tcPr>
          <w:p w14:paraId="5E86AB53" w14:textId="0754E2B3" w:rsidR="002D0EC7" w:rsidRPr="001019C6" w:rsidRDefault="005A5B88" w:rsidP="00B25C64">
            <w:pPr>
              <w:jc w:val="both"/>
              <w:rPr>
                <w:rFonts w:eastAsia="Times New Roman"/>
                <w:sz w:val="24"/>
                <w:szCs w:val="24"/>
                <w:lang w:val="lv-LV" w:eastAsia="lv-LV"/>
              </w:rPr>
            </w:pPr>
            <w:r w:rsidRPr="001019C6">
              <w:rPr>
                <w:rFonts w:eastAsia="Times New Roman"/>
                <w:sz w:val="24"/>
                <w:szCs w:val="24"/>
                <w:lang w:val="lv-LV" w:eastAsia="lv-LV"/>
              </w:rPr>
              <w:t>Noteikumu p</w:t>
            </w:r>
            <w:r w:rsidR="002D0EC7" w:rsidRPr="001019C6">
              <w:rPr>
                <w:rFonts w:eastAsia="Times New Roman"/>
                <w:sz w:val="24"/>
                <w:szCs w:val="24"/>
                <w:lang w:val="lv-LV" w:eastAsia="lv-LV"/>
              </w:rPr>
              <w:t>rojektam nav ietekmes uz valsts pārvaldes funkcijām un institucionālo struktūru.</w:t>
            </w:r>
          </w:p>
          <w:p w14:paraId="6EEB7628" w14:textId="5E89A526" w:rsidR="002D0EC7" w:rsidRPr="001019C6" w:rsidRDefault="002D0EC7" w:rsidP="00B25C64">
            <w:pPr>
              <w:jc w:val="both"/>
              <w:rPr>
                <w:rFonts w:eastAsia="Times New Roman"/>
                <w:sz w:val="24"/>
                <w:szCs w:val="24"/>
                <w:lang w:val="lv-LV" w:eastAsia="lv-LV"/>
              </w:rPr>
            </w:pPr>
            <w:r w:rsidRPr="001019C6">
              <w:rPr>
                <w:rFonts w:eastAsia="Times New Roman"/>
                <w:sz w:val="24"/>
                <w:szCs w:val="24"/>
                <w:lang w:val="lv-LV" w:eastAsia="lv-LV"/>
              </w:rPr>
              <w:t>Jaunas institūcijas netiek veidotas.</w:t>
            </w:r>
            <w:r w:rsidR="005A5B88" w:rsidRPr="001019C6">
              <w:rPr>
                <w:rFonts w:eastAsia="Times New Roman"/>
                <w:sz w:val="24"/>
                <w:szCs w:val="24"/>
                <w:lang w:val="lv-LV" w:eastAsia="lv-LV"/>
              </w:rPr>
              <w:t xml:space="preserve"> </w:t>
            </w:r>
            <w:r w:rsidRPr="001019C6">
              <w:rPr>
                <w:rFonts w:eastAsia="Times New Roman"/>
                <w:sz w:val="24"/>
                <w:szCs w:val="24"/>
                <w:lang w:val="lv-LV" w:eastAsia="lv-LV"/>
              </w:rPr>
              <w:t>Esošās institūcijas netiek likvidētas vai reorganizētas.</w:t>
            </w:r>
            <w:r w:rsidR="00432CA1" w:rsidRPr="001019C6">
              <w:rPr>
                <w:rFonts w:eastAsia="Times New Roman"/>
                <w:sz w:val="24"/>
                <w:szCs w:val="24"/>
                <w:lang w:val="lv-LV" w:eastAsia="lv-LV"/>
              </w:rPr>
              <w:t xml:space="preserve"> Noteikumu projekta izpilde tiks nodrošināta esošo cilvēkresursu ietvaros.</w:t>
            </w:r>
          </w:p>
        </w:tc>
      </w:tr>
      <w:tr w:rsidR="00B31019" w:rsidRPr="001019C6" w14:paraId="1F84A842" w14:textId="77777777" w:rsidTr="009740A6">
        <w:trPr>
          <w:trHeight w:val="390"/>
        </w:trPr>
        <w:tc>
          <w:tcPr>
            <w:tcW w:w="238" w:type="pct"/>
            <w:hideMark/>
          </w:tcPr>
          <w:p w14:paraId="37318788" w14:textId="77777777" w:rsidR="002D0EC7" w:rsidRPr="001019C6" w:rsidRDefault="002D0EC7" w:rsidP="00B25C64">
            <w:pPr>
              <w:rPr>
                <w:rFonts w:eastAsia="Times New Roman"/>
                <w:sz w:val="24"/>
                <w:szCs w:val="24"/>
                <w:lang w:val="lv-LV" w:eastAsia="lv-LV"/>
              </w:rPr>
            </w:pPr>
            <w:r w:rsidRPr="001019C6">
              <w:rPr>
                <w:rFonts w:eastAsia="Times New Roman"/>
                <w:sz w:val="24"/>
                <w:szCs w:val="24"/>
                <w:lang w:val="lv-LV" w:eastAsia="lv-LV"/>
              </w:rPr>
              <w:t>3.</w:t>
            </w:r>
          </w:p>
        </w:tc>
        <w:tc>
          <w:tcPr>
            <w:tcW w:w="1934" w:type="pct"/>
            <w:hideMark/>
          </w:tcPr>
          <w:p w14:paraId="02293949" w14:textId="77777777" w:rsidR="002D0EC7" w:rsidRPr="001019C6" w:rsidRDefault="002D0EC7" w:rsidP="00B25C64">
            <w:pPr>
              <w:rPr>
                <w:rFonts w:eastAsia="Times New Roman"/>
                <w:sz w:val="24"/>
                <w:szCs w:val="24"/>
                <w:lang w:val="lv-LV" w:eastAsia="lv-LV"/>
              </w:rPr>
            </w:pPr>
            <w:r w:rsidRPr="001019C6">
              <w:rPr>
                <w:rFonts w:eastAsia="Times New Roman"/>
                <w:sz w:val="24"/>
                <w:szCs w:val="24"/>
                <w:lang w:val="lv-LV" w:eastAsia="lv-LV"/>
              </w:rPr>
              <w:t>Cita informācija</w:t>
            </w:r>
          </w:p>
        </w:tc>
        <w:tc>
          <w:tcPr>
            <w:tcW w:w="2828" w:type="pct"/>
            <w:hideMark/>
          </w:tcPr>
          <w:p w14:paraId="028766F0" w14:textId="77777777" w:rsidR="002D0EC7" w:rsidRPr="001019C6" w:rsidRDefault="002D0EC7" w:rsidP="00B25C64">
            <w:pPr>
              <w:spacing w:before="100" w:beforeAutospacing="1" w:after="100" w:afterAutospacing="1" w:line="360" w:lineRule="auto"/>
              <w:rPr>
                <w:rFonts w:eastAsia="Times New Roman"/>
                <w:sz w:val="24"/>
                <w:szCs w:val="24"/>
                <w:lang w:val="lv-LV" w:eastAsia="lv-LV"/>
              </w:rPr>
            </w:pPr>
            <w:r w:rsidRPr="001019C6">
              <w:rPr>
                <w:rFonts w:eastAsia="Times New Roman"/>
                <w:sz w:val="24"/>
                <w:szCs w:val="24"/>
                <w:lang w:val="lv-LV" w:eastAsia="lv-LV"/>
              </w:rPr>
              <w:t>Nav.</w:t>
            </w:r>
          </w:p>
        </w:tc>
      </w:tr>
    </w:tbl>
    <w:p w14:paraId="356B165B" w14:textId="77777777" w:rsidR="002D0EC7" w:rsidRPr="001019C6" w:rsidRDefault="002D0EC7" w:rsidP="002D0EC7">
      <w:pPr>
        <w:autoSpaceDE w:val="0"/>
        <w:autoSpaceDN w:val="0"/>
        <w:adjustRightInd w:val="0"/>
        <w:rPr>
          <w:lang w:val="lv-LV"/>
        </w:rPr>
      </w:pPr>
    </w:p>
    <w:p w14:paraId="59EAE8CE" w14:textId="77777777" w:rsidR="00BF654B" w:rsidRDefault="004209C1" w:rsidP="002D0EC7">
      <w:pPr>
        <w:jc w:val="both"/>
        <w:rPr>
          <w:rFonts w:eastAsia="Times New Roman"/>
          <w:lang w:val="lv-LV" w:eastAsia="lv-LV"/>
        </w:rPr>
      </w:pPr>
      <w:r w:rsidRPr="0008377A">
        <w:rPr>
          <w:rFonts w:eastAsia="Times New Roman"/>
          <w:lang w:val="lv-LV" w:eastAsia="lv-LV"/>
        </w:rPr>
        <w:t xml:space="preserve">        </w:t>
      </w:r>
    </w:p>
    <w:p w14:paraId="68456F0F" w14:textId="0DC50203" w:rsidR="002D0EC7" w:rsidRPr="006E4304" w:rsidRDefault="002D0EC7" w:rsidP="00BF654B">
      <w:pPr>
        <w:ind w:firstLine="720"/>
        <w:jc w:val="both"/>
        <w:rPr>
          <w:rFonts w:eastAsia="Times New Roman"/>
          <w:lang w:val="lv-LV" w:eastAsia="lv-LV"/>
        </w:rPr>
      </w:pPr>
      <w:r w:rsidRPr="006E4304">
        <w:rPr>
          <w:rFonts w:eastAsia="Times New Roman"/>
          <w:lang w:val="lv-LV" w:eastAsia="lv-LV"/>
        </w:rPr>
        <w:t>Izglītības un zinātnes ministre</w:t>
      </w:r>
      <w:r w:rsidRPr="006E4304">
        <w:rPr>
          <w:rFonts w:eastAsia="Times New Roman"/>
          <w:lang w:val="lv-LV" w:eastAsia="lv-LV"/>
        </w:rPr>
        <w:tab/>
        <w:t xml:space="preserve"> </w:t>
      </w:r>
      <w:r w:rsidRPr="006E4304">
        <w:rPr>
          <w:rFonts w:eastAsia="Times New Roman"/>
          <w:lang w:val="lv-LV" w:eastAsia="lv-LV"/>
        </w:rPr>
        <w:tab/>
      </w:r>
      <w:r w:rsidRPr="006E4304">
        <w:rPr>
          <w:rFonts w:eastAsia="Times New Roman"/>
          <w:lang w:val="lv-LV" w:eastAsia="lv-LV"/>
        </w:rPr>
        <w:tab/>
      </w:r>
      <w:r w:rsidRPr="006E4304">
        <w:rPr>
          <w:rFonts w:eastAsia="Times New Roman"/>
          <w:lang w:val="lv-LV" w:eastAsia="lv-LV"/>
        </w:rPr>
        <w:tab/>
        <w:t xml:space="preserve">    </w:t>
      </w:r>
      <w:r w:rsidRPr="006E4304">
        <w:rPr>
          <w:rFonts w:eastAsia="Times New Roman"/>
          <w:lang w:val="lv-LV" w:eastAsia="lv-LV"/>
        </w:rPr>
        <w:tab/>
        <w:t>Ilga Šuplinska</w:t>
      </w:r>
    </w:p>
    <w:p w14:paraId="20427EBD" w14:textId="77777777" w:rsidR="002D0EC7" w:rsidRPr="006E4304" w:rsidRDefault="002D0EC7" w:rsidP="002D0EC7">
      <w:pPr>
        <w:jc w:val="both"/>
        <w:rPr>
          <w:rFonts w:eastAsia="Times New Roman"/>
          <w:lang w:val="lv-LV" w:eastAsia="lv-LV"/>
        </w:rPr>
      </w:pPr>
    </w:p>
    <w:p w14:paraId="3204D20E" w14:textId="77BDA5D7" w:rsidR="002D0EC7" w:rsidRPr="006E4304" w:rsidRDefault="006E4304" w:rsidP="00BF654B">
      <w:pPr>
        <w:ind w:firstLine="720"/>
        <w:jc w:val="both"/>
        <w:rPr>
          <w:rFonts w:eastAsia="Times New Roman"/>
          <w:lang w:val="lv-LV" w:eastAsia="lv-LV"/>
        </w:rPr>
      </w:pPr>
      <w:r w:rsidRPr="006E4304">
        <w:rPr>
          <w:rFonts w:eastAsia="Times New Roman"/>
          <w:lang w:val="lv-LV" w:eastAsia="lv-LV"/>
        </w:rPr>
        <w:t>Vīza</w:t>
      </w:r>
      <w:r w:rsidR="002D0EC7" w:rsidRPr="006E4304">
        <w:rPr>
          <w:rFonts w:eastAsia="Times New Roman"/>
          <w:lang w:val="lv-LV" w:eastAsia="lv-LV"/>
        </w:rPr>
        <w:t>:</w:t>
      </w:r>
    </w:p>
    <w:p w14:paraId="7DFB422B" w14:textId="035E9A87" w:rsidR="002D0EC7" w:rsidRDefault="002D0EC7" w:rsidP="00BF654B">
      <w:pPr>
        <w:ind w:firstLine="720"/>
        <w:jc w:val="both"/>
        <w:rPr>
          <w:rFonts w:eastAsia="Times New Roman"/>
          <w:bCs/>
          <w:kern w:val="32"/>
          <w:lang w:val="lv-LV" w:eastAsia="lv-LV"/>
        </w:rPr>
      </w:pPr>
      <w:r w:rsidRPr="006E4304">
        <w:rPr>
          <w:rFonts w:eastAsia="Times New Roman"/>
          <w:bCs/>
          <w:kern w:val="32"/>
          <w:lang w:val="lv-LV" w:eastAsia="lv-LV"/>
        </w:rPr>
        <w:t>Valsts sekretāre</w:t>
      </w:r>
      <w:r w:rsidRPr="006E4304">
        <w:rPr>
          <w:rFonts w:eastAsia="Times New Roman"/>
          <w:bCs/>
          <w:kern w:val="32"/>
          <w:lang w:val="lv-LV" w:eastAsia="lv-LV"/>
        </w:rPr>
        <w:tab/>
      </w:r>
      <w:r w:rsidRPr="006E4304">
        <w:rPr>
          <w:rFonts w:eastAsia="Times New Roman"/>
          <w:bCs/>
          <w:kern w:val="32"/>
          <w:lang w:val="lv-LV" w:eastAsia="lv-LV"/>
        </w:rPr>
        <w:tab/>
      </w:r>
      <w:r w:rsidRPr="006E4304">
        <w:rPr>
          <w:rFonts w:eastAsia="Times New Roman"/>
          <w:bCs/>
          <w:kern w:val="32"/>
          <w:lang w:val="lv-LV" w:eastAsia="lv-LV"/>
        </w:rPr>
        <w:tab/>
      </w:r>
      <w:r w:rsidRPr="006E4304">
        <w:rPr>
          <w:rFonts w:eastAsia="Times New Roman"/>
          <w:bCs/>
          <w:kern w:val="32"/>
          <w:lang w:val="lv-LV" w:eastAsia="lv-LV"/>
        </w:rPr>
        <w:tab/>
      </w:r>
      <w:r w:rsidRPr="006E4304">
        <w:rPr>
          <w:rFonts w:eastAsia="Times New Roman"/>
          <w:bCs/>
          <w:kern w:val="32"/>
          <w:lang w:val="lv-LV" w:eastAsia="lv-LV"/>
        </w:rPr>
        <w:tab/>
      </w:r>
      <w:r w:rsidRPr="006E4304">
        <w:rPr>
          <w:rFonts w:eastAsia="Times New Roman"/>
          <w:bCs/>
          <w:kern w:val="32"/>
          <w:lang w:val="lv-LV" w:eastAsia="lv-LV"/>
        </w:rPr>
        <w:tab/>
      </w:r>
      <w:r w:rsidRPr="006E4304">
        <w:rPr>
          <w:rFonts w:eastAsia="Times New Roman"/>
          <w:bCs/>
          <w:kern w:val="32"/>
          <w:lang w:val="lv-LV" w:eastAsia="lv-LV"/>
        </w:rPr>
        <w:tab/>
        <w:t>Līga Lejiņa</w:t>
      </w:r>
    </w:p>
    <w:p w14:paraId="7A74BDA7" w14:textId="77777777" w:rsidR="00A95E50" w:rsidRDefault="00A95E50" w:rsidP="002D0EC7">
      <w:pPr>
        <w:jc w:val="both"/>
        <w:rPr>
          <w:rFonts w:eastAsia="Times New Roman"/>
          <w:bCs/>
          <w:kern w:val="32"/>
          <w:lang w:val="lv-LV" w:eastAsia="lv-LV"/>
        </w:rPr>
      </w:pPr>
    </w:p>
    <w:p w14:paraId="6B9CA275" w14:textId="77777777" w:rsidR="00A95E50" w:rsidRPr="006E4304" w:rsidRDefault="00A95E50" w:rsidP="002D0EC7">
      <w:pPr>
        <w:jc w:val="both"/>
        <w:rPr>
          <w:rFonts w:eastAsia="Times New Roman"/>
          <w:lang w:val="lv-LV" w:eastAsia="lv-LV"/>
        </w:rPr>
      </w:pPr>
    </w:p>
    <w:p w14:paraId="06973924" w14:textId="77777777" w:rsidR="004209C1" w:rsidRPr="0008377A" w:rsidRDefault="004209C1" w:rsidP="002D0EC7">
      <w:pPr>
        <w:autoSpaceDE w:val="0"/>
        <w:autoSpaceDN w:val="0"/>
        <w:adjustRightInd w:val="0"/>
        <w:rPr>
          <w:lang w:val="lv-LV"/>
        </w:rPr>
      </w:pPr>
    </w:p>
    <w:p w14:paraId="308E1F96" w14:textId="3ED0061E" w:rsidR="00BF654B" w:rsidRPr="00BF654B" w:rsidRDefault="00BF654B" w:rsidP="00BF654B">
      <w:pPr>
        <w:autoSpaceDE w:val="0"/>
        <w:autoSpaceDN w:val="0"/>
        <w:adjustRightInd w:val="0"/>
        <w:rPr>
          <w:sz w:val="20"/>
          <w:szCs w:val="20"/>
          <w:lang w:val="lv-LV"/>
        </w:rPr>
      </w:pPr>
      <w:r w:rsidRPr="00BF654B">
        <w:rPr>
          <w:sz w:val="20"/>
          <w:szCs w:val="20"/>
          <w:lang w:val="lv-LV"/>
        </w:rPr>
        <w:t>K. Zommere-Rotčenkova, 67047849</w:t>
      </w:r>
    </w:p>
    <w:p w14:paraId="0B2992B4" w14:textId="07168C76" w:rsidR="006946E0" w:rsidRDefault="002E4896" w:rsidP="00BF654B">
      <w:pPr>
        <w:autoSpaceDE w:val="0"/>
        <w:autoSpaceDN w:val="0"/>
        <w:adjustRightInd w:val="0"/>
        <w:rPr>
          <w:sz w:val="20"/>
          <w:szCs w:val="20"/>
          <w:lang w:val="lv-LV"/>
        </w:rPr>
      </w:pPr>
      <w:hyperlink r:id="rId10" w:history="1">
        <w:r w:rsidR="000D0238" w:rsidRPr="00C85479">
          <w:rPr>
            <w:rStyle w:val="Hyperlink"/>
            <w:sz w:val="20"/>
            <w:szCs w:val="20"/>
            <w:lang w:val="lv-LV"/>
          </w:rPr>
          <w:t>Kristine.zommere-rotcenkova@izm.gov.lv</w:t>
        </w:r>
      </w:hyperlink>
    </w:p>
    <w:p w14:paraId="45177B55" w14:textId="2EC84AFF" w:rsidR="000D0238" w:rsidRDefault="000D0238" w:rsidP="00BF654B">
      <w:pPr>
        <w:autoSpaceDE w:val="0"/>
        <w:autoSpaceDN w:val="0"/>
        <w:adjustRightInd w:val="0"/>
        <w:rPr>
          <w:sz w:val="20"/>
          <w:szCs w:val="20"/>
          <w:lang w:val="lv-LV"/>
        </w:rPr>
      </w:pPr>
      <w:r>
        <w:rPr>
          <w:sz w:val="20"/>
          <w:szCs w:val="20"/>
          <w:lang w:val="lv-LV"/>
        </w:rPr>
        <w:t>J.</w:t>
      </w:r>
      <w:r w:rsidR="007324BD">
        <w:rPr>
          <w:sz w:val="20"/>
          <w:szCs w:val="20"/>
          <w:lang w:val="lv-LV"/>
        </w:rPr>
        <w:t xml:space="preserve"> </w:t>
      </w:r>
      <w:r>
        <w:rPr>
          <w:sz w:val="20"/>
          <w:szCs w:val="20"/>
          <w:lang w:val="lv-LV"/>
        </w:rPr>
        <w:t>Paiders, 67047936</w:t>
      </w:r>
    </w:p>
    <w:p w14:paraId="63D18DB3" w14:textId="4489DD27" w:rsidR="000D0238" w:rsidRDefault="002E4896" w:rsidP="00BF654B">
      <w:pPr>
        <w:autoSpaceDE w:val="0"/>
        <w:autoSpaceDN w:val="0"/>
        <w:adjustRightInd w:val="0"/>
        <w:rPr>
          <w:sz w:val="20"/>
          <w:szCs w:val="20"/>
          <w:lang w:val="lv-LV"/>
        </w:rPr>
      </w:pPr>
      <w:hyperlink r:id="rId11" w:history="1">
        <w:r w:rsidR="000D0238" w:rsidRPr="00C85479">
          <w:rPr>
            <w:rStyle w:val="Hyperlink"/>
            <w:sz w:val="20"/>
            <w:szCs w:val="20"/>
            <w:lang w:val="lv-LV"/>
          </w:rPr>
          <w:t>Janis.Paiders@izm.gov.lv</w:t>
        </w:r>
      </w:hyperlink>
    </w:p>
    <w:p w14:paraId="2601BE2E" w14:textId="77777777" w:rsidR="000D0238" w:rsidRPr="00BF654B" w:rsidRDefault="000D0238" w:rsidP="00BF654B">
      <w:pPr>
        <w:autoSpaceDE w:val="0"/>
        <w:autoSpaceDN w:val="0"/>
        <w:adjustRightInd w:val="0"/>
        <w:rPr>
          <w:sz w:val="20"/>
          <w:szCs w:val="20"/>
          <w:lang w:val="lv-LV"/>
        </w:rPr>
      </w:pPr>
    </w:p>
    <w:sectPr w:rsidR="000D0238" w:rsidRPr="00BF654B" w:rsidSect="00FD4A16">
      <w:headerReference w:type="default" r:id="rId12"/>
      <w:footerReference w:type="default" r:id="rId13"/>
      <w:footerReference w:type="first" r:id="rId14"/>
      <w:pgSz w:w="11906" w:h="16838"/>
      <w:pgMar w:top="567" w:right="1274" w:bottom="1560" w:left="1276" w:header="51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59501" w14:textId="77777777" w:rsidR="007D1431" w:rsidRDefault="007D1431">
      <w:r>
        <w:separator/>
      </w:r>
    </w:p>
  </w:endnote>
  <w:endnote w:type="continuationSeparator" w:id="0">
    <w:p w14:paraId="4FBA0853" w14:textId="77777777" w:rsidR="007D1431" w:rsidRDefault="007D1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DokChampa">
    <w:altName w:val="Arial Unicode MS"/>
    <w:panose1 w:val="020B0604020202020204"/>
    <w:charset w:val="00"/>
    <w:family w:val="swiss"/>
    <w:pitch w:val="variable"/>
    <w:sig w:usb0="03000003" w:usb1="00000000" w:usb2="00000000" w:usb3="00000000" w:csb0="00010001"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62869" w14:textId="0E97E9B8" w:rsidR="008F7CBC" w:rsidRPr="008F7CBC" w:rsidRDefault="008F7CBC">
    <w:pPr>
      <w:pStyle w:val="Footer"/>
      <w:rPr>
        <w:rFonts w:ascii="Times New Roman" w:hAnsi="Times New Roman"/>
      </w:rPr>
    </w:pPr>
    <w:r w:rsidRPr="008F7CBC">
      <w:rPr>
        <w:rFonts w:ascii="Times New Roman" w:hAnsi="Times New Roman"/>
      </w:rPr>
      <w:t>IZMAnot_</w:t>
    </w:r>
    <w:r w:rsidR="00E26344">
      <w:rPr>
        <w:rFonts w:ascii="Times New Roman" w:hAnsi="Times New Roman"/>
      </w:rPr>
      <w:t>0510</w:t>
    </w:r>
    <w:r w:rsidRPr="008F7CBC">
      <w:rPr>
        <w:rFonts w:ascii="Times New Roman" w:hAnsi="Times New Roman"/>
      </w:rPr>
      <w:t>20_994.724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10D80" w14:textId="61CFFC26" w:rsidR="008F7CBC" w:rsidRPr="008F7CBC" w:rsidRDefault="008F7CBC" w:rsidP="008F7CBC">
    <w:pPr>
      <w:pStyle w:val="Footer"/>
      <w:rPr>
        <w:rFonts w:ascii="Times New Roman" w:hAnsi="Times New Roman"/>
      </w:rPr>
    </w:pPr>
    <w:r w:rsidRPr="008F7CBC">
      <w:rPr>
        <w:rFonts w:ascii="Times New Roman" w:hAnsi="Times New Roman"/>
      </w:rPr>
      <w:t>IZMAnot_</w:t>
    </w:r>
    <w:r w:rsidR="00E26344">
      <w:rPr>
        <w:rFonts w:ascii="Times New Roman" w:hAnsi="Times New Roman"/>
      </w:rPr>
      <w:t>0510</w:t>
    </w:r>
    <w:r w:rsidRPr="008F7CBC">
      <w:rPr>
        <w:rFonts w:ascii="Times New Roman" w:hAnsi="Times New Roman"/>
      </w:rPr>
      <w:t>20_994.724</w:t>
    </w:r>
  </w:p>
  <w:p w14:paraId="5C6E7640" w14:textId="6D47D194" w:rsidR="00F4546D" w:rsidRPr="003E5801" w:rsidRDefault="002E4896" w:rsidP="00B65994">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063B1" w14:textId="77777777" w:rsidR="007D1431" w:rsidRDefault="007D1431">
      <w:r>
        <w:separator/>
      </w:r>
    </w:p>
  </w:footnote>
  <w:footnote w:type="continuationSeparator" w:id="0">
    <w:p w14:paraId="0BD863EA" w14:textId="77777777" w:rsidR="007D1431" w:rsidRDefault="007D1431">
      <w:r>
        <w:continuationSeparator/>
      </w:r>
    </w:p>
  </w:footnote>
  <w:footnote w:id="1">
    <w:p w14:paraId="663BCA04" w14:textId="77777777" w:rsidR="005D736D" w:rsidRPr="004D366E" w:rsidRDefault="005D736D" w:rsidP="005D736D">
      <w:pPr>
        <w:pStyle w:val="FootnoteText"/>
        <w:rPr>
          <w:lang w:val="en-US"/>
        </w:rPr>
      </w:pPr>
      <w:r w:rsidRPr="004D366E">
        <w:rPr>
          <w:rStyle w:val="FootnoteReference"/>
        </w:rPr>
        <w:footnoteRef/>
      </w:r>
      <w:r w:rsidRPr="004D366E">
        <w:t xml:space="preserve"> Sk. </w:t>
      </w:r>
      <w:r w:rsidRPr="004D366E">
        <w:rPr>
          <w:i/>
          <w:iCs/>
        </w:rPr>
        <w:t>OECD Education statistics 2018</w:t>
      </w:r>
      <w:r w:rsidRPr="004D366E">
        <w:t xml:space="preserve">: </w:t>
      </w:r>
      <w:hyperlink r:id="rId1" w:history="1">
        <w:r w:rsidRPr="004D366E">
          <w:t>http://www.oecd.org/science/inno/careers-of-doctorate-holders.htm</w:t>
        </w:r>
      </w:hyperlink>
      <w:r w:rsidRPr="004D366E">
        <w:t xml:space="preserve">; Excel tabula: </w:t>
      </w:r>
      <w:hyperlink r:id="rId2" w:history="1">
        <w:r w:rsidRPr="004D366E">
          <w:t>https://doi.org/10.1787/888933941538</w:t>
        </w:r>
      </w:hyperlink>
      <w:r w:rsidRPr="004D366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3739B" w14:textId="77777777" w:rsidR="00F4546D" w:rsidRDefault="002D0EC7" w:rsidP="00F4546D">
    <w:pPr>
      <w:pStyle w:val="Header"/>
      <w:spacing w:after="0"/>
      <w:jc w:val="center"/>
      <w:rPr>
        <w:rFonts w:ascii="Times New Roman" w:hAnsi="Times New Roman"/>
        <w:sz w:val="24"/>
        <w:szCs w:val="24"/>
      </w:rPr>
    </w:pPr>
    <w:r w:rsidRPr="00F4546D">
      <w:rPr>
        <w:rFonts w:ascii="Times New Roman" w:hAnsi="Times New Roman"/>
        <w:sz w:val="24"/>
        <w:szCs w:val="24"/>
      </w:rPr>
      <w:fldChar w:fldCharType="begin"/>
    </w:r>
    <w:r w:rsidRPr="00F4546D">
      <w:rPr>
        <w:rFonts w:ascii="Times New Roman" w:hAnsi="Times New Roman"/>
        <w:sz w:val="24"/>
        <w:szCs w:val="24"/>
      </w:rPr>
      <w:instrText xml:space="preserve"> PAGE   \* MERGEFORMAT </w:instrText>
    </w:r>
    <w:r w:rsidRPr="00F4546D">
      <w:rPr>
        <w:rFonts w:ascii="Times New Roman" w:hAnsi="Times New Roman"/>
        <w:sz w:val="24"/>
        <w:szCs w:val="24"/>
      </w:rPr>
      <w:fldChar w:fldCharType="separate"/>
    </w:r>
    <w:r w:rsidR="002E4896">
      <w:rPr>
        <w:rFonts w:ascii="Times New Roman" w:hAnsi="Times New Roman"/>
        <w:noProof/>
        <w:sz w:val="24"/>
        <w:szCs w:val="24"/>
      </w:rPr>
      <w:t>5</w:t>
    </w:r>
    <w:r w:rsidRPr="00F4546D">
      <w:rPr>
        <w:rFonts w:ascii="Times New Roman" w:hAnsi="Times New Roman"/>
        <w:sz w:val="24"/>
        <w:szCs w:val="24"/>
      </w:rPr>
      <w:fldChar w:fldCharType="end"/>
    </w:r>
  </w:p>
  <w:p w14:paraId="2236E9FC" w14:textId="77777777" w:rsidR="00F4546D" w:rsidRPr="006C03F7" w:rsidRDefault="002E4896" w:rsidP="00F4546D">
    <w:pPr>
      <w:pStyle w:val="Header"/>
      <w:spacing w:after="0"/>
      <w:jc w:val="center"/>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C6A"/>
    <w:rsid w:val="00000314"/>
    <w:rsid w:val="00002205"/>
    <w:rsid w:val="00005E29"/>
    <w:rsid w:val="00017C1F"/>
    <w:rsid w:val="00024A41"/>
    <w:rsid w:val="0003271F"/>
    <w:rsid w:val="00036105"/>
    <w:rsid w:val="00041F55"/>
    <w:rsid w:val="00051EAE"/>
    <w:rsid w:val="0005276F"/>
    <w:rsid w:val="000708E5"/>
    <w:rsid w:val="0007365C"/>
    <w:rsid w:val="00075746"/>
    <w:rsid w:val="00076F88"/>
    <w:rsid w:val="00082714"/>
    <w:rsid w:val="0008377A"/>
    <w:rsid w:val="00087C5F"/>
    <w:rsid w:val="0009762D"/>
    <w:rsid w:val="00097B57"/>
    <w:rsid w:val="000A10AB"/>
    <w:rsid w:val="000A139F"/>
    <w:rsid w:val="000A4EB4"/>
    <w:rsid w:val="000B3263"/>
    <w:rsid w:val="000B3D39"/>
    <w:rsid w:val="000B60EC"/>
    <w:rsid w:val="000C059C"/>
    <w:rsid w:val="000C06CF"/>
    <w:rsid w:val="000C11E1"/>
    <w:rsid w:val="000C2DB7"/>
    <w:rsid w:val="000C64BB"/>
    <w:rsid w:val="000D0238"/>
    <w:rsid w:val="000D0F42"/>
    <w:rsid w:val="000D30E2"/>
    <w:rsid w:val="000D572D"/>
    <w:rsid w:val="000D6777"/>
    <w:rsid w:val="000E2981"/>
    <w:rsid w:val="000E6FA7"/>
    <w:rsid w:val="000E702E"/>
    <w:rsid w:val="000E766C"/>
    <w:rsid w:val="000F0AE3"/>
    <w:rsid w:val="000F4517"/>
    <w:rsid w:val="000F7EA7"/>
    <w:rsid w:val="0010071E"/>
    <w:rsid w:val="001019C6"/>
    <w:rsid w:val="00103818"/>
    <w:rsid w:val="00112ABD"/>
    <w:rsid w:val="001134AC"/>
    <w:rsid w:val="00114BFB"/>
    <w:rsid w:val="001215AD"/>
    <w:rsid w:val="0012369F"/>
    <w:rsid w:val="00127847"/>
    <w:rsid w:val="00137808"/>
    <w:rsid w:val="00144936"/>
    <w:rsid w:val="00153FA2"/>
    <w:rsid w:val="00155DC0"/>
    <w:rsid w:val="001568F1"/>
    <w:rsid w:val="00156F83"/>
    <w:rsid w:val="00174C52"/>
    <w:rsid w:val="001761F0"/>
    <w:rsid w:val="0017736C"/>
    <w:rsid w:val="001775E2"/>
    <w:rsid w:val="00183530"/>
    <w:rsid w:val="0018617E"/>
    <w:rsid w:val="00186391"/>
    <w:rsid w:val="0018698F"/>
    <w:rsid w:val="001913C4"/>
    <w:rsid w:val="0019305D"/>
    <w:rsid w:val="00196CD0"/>
    <w:rsid w:val="001971EC"/>
    <w:rsid w:val="00197692"/>
    <w:rsid w:val="001A0600"/>
    <w:rsid w:val="001A11E6"/>
    <w:rsid w:val="001B6804"/>
    <w:rsid w:val="001C0E8B"/>
    <w:rsid w:val="001C5018"/>
    <w:rsid w:val="001C6068"/>
    <w:rsid w:val="001C628B"/>
    <w:rsid w:val="001D0086"/>
    <w:rsid w:val="001D1241"/>
    <w:rsid w:val="001D7836"/>
    <w:rsid w:val="001E7978"/>
    <w:rsid w:val="001F43C4"/>
    <w:rsid w:val="001F6F6E"/>
    <w:rsid w:val="00200746"/>
    <w:rsid w:val="002056FE"/>
    <w:rsid w:val="00206019"/>
    <w:rsid w:val="00207091"/>
    <w:rsid w:val="002103A2"/>
    <w:rsid w:val="00210833"/>
    <w:rsid w:val="00211023"/>
    <w:rsid w:val="00211097"/>
    <w:rsid w:val="00212E10"/>
    <w:rsid w:val="002144FC"/>
    <w:rsid w:val="0021547C"/>
    <w:rsid w:val="002156B2"/>
    <w:rsid w:val="00221AEE"/>
    <w:rsid w:val="00222C27"/>
    <w:rsid w:val="002238EA"/>
    <w:rsid w:val="00230846"/>
    <w:rsid w:val="00231621"/>
    <w:rsid w:val="002329DF"/>
    <w:rsid w:val="00237669"/>
    <w:rsid w:val="00240DA6"/>
    <w:rsid w:val="002410D8"/>
    <w:rsid w:val="002414A0"/>
    <w:rsid w:val="00245C01"/>
    <w:rsid w:val="0025352E"/>
    <w:rsid w:val="00256401"/>
    <w:rsid w:val="002577A8"/>
    <w:rsid w:val="00263B8A"/>
    <w:rsid w:val="002643B7"/>
    <w:rsid w:val="00265669"/>
    <w:rsid w:val="00266A6B"/>
    <w:rsid w:val="00266C5F"/>
    <w:rsid w:val="002716E3"/>
    <w:rsid w:val="0027432A"/>
    <w:rsid w:val="00282EF2"/>
    <w:rsid w:val="002836DD"/>
    <w:rsid w:val="002864E5"/>
    <w:rsid w:val="00290DC0"/>
    <w:rsid w:val="002916A7"/>
    <w:rsid w:val="00295554"/>
    <w:rsid w:val="00297667"/>
    <w:rsid w:val="002A32FB"/>
    <w:rsid w:val="002A64CB"/>
    <w:rsid w:val="002A7412"/>
    <w:rsid w:val="002B2318"/>
    <w:rsid w:val="002C0C4A"/>
    <w:rsid w:val="002C19EF"/>
    <w:rsid w:val="002D0EC7"/>
    <w:rsid w:val="002E2D47"/>
    <w:rsid w:val="002E4896"/>
    <w:rsid w:val="002E5319"/>
    <w:rsid w:val="002E5907"/>
    <w:rsid w:val="002E67B5"/>
    <w:rsid w:val="002F0047"/>
    <w:rsid w:val="002F55EB"/>
    <w:rsid w:val="003047BA"/>
    <w:rsid w:val="003100FE"/>
    <w:rsid w:val="00315ABB"/>
    <w:rsid w:val="0032385C"/>
    <w:rsid w:val="003247C2"/>
    <w:rsid w:val="00327FCE"/>
    <w:rsid w:val="00332B43"/>
    <w:rsid w:val="003347A4"/>
    <w:rsid w:val="00336AF3"/>
    <w:rsid w:val="0033751A"/>
    <w:rsid w:val="00344FD2"/>
    <w:rsid w:val="00355E42"/>
    <w:rsid w:val="003636B9"/>
    <w:rsid w:val="00366DD9"/>
    <w:rsid w:val="003705A0"/>
    <w:rsid w:val="00375D41"/>
    <w:rsid w:val="003763FE"/>
    <w:rsid w:val="00377CB8"/>
    <w:rsid w:val="00385ED6"/>
    <w:rsid w:val="0039082B"/>
    <w:rsid w:val="003908CF"/>
    <w:rsid w:val="003909EA"/>
    <w:rsid w:val="003913FC"/>
    <w:rsid w:val="00394C6C"/>
    <w:rsid w:val="0039539B"/>
    <w:rsid w:val="00396F0D"/>
    <w:rsid w:val="00397893"/>
    <w:rsid w:val="003A32C9"/>
    <w:rsid w:val="003B0469"/>
    <w:rsid w:val="003B1242"/>
    <w:rsid w:val="003B31A6"/>
    <w:rsid w:val="003B5B59"/>
    <w:rsid w:val="003C4BAA"/>
    <w:rsid w:val="003C5173"/>
    <w:rsid w:val="003D2146"/>
    <w:rsid w:val="003D2FA2"/>
    <w:rsid w:val="003D5B4D"/>
    <w:rsid w:val="003D69C6"/>
    <w:rsid w:val="003D6FEB"/>
    <w:rsid w:val="003E1257"/>
    <w:rsid w:val="003E3E0B"/>
    <w:rsid w:val="003E3EAA"/>
    <w:rsid w:val="003E461E"/>
    <w:rsid w:val="003E47FA"/>
    <w:rsid w:val="003F1D50"/>
    <w:rsid w:val="003F684B"/>
    <w:rsid w:val="003F6AD4"/>
    <w:rsid w:val="003F6F30"/>
    <w:rsid w:val="00407180"/>
    <w:rsid w:val="004124AA"/>
    <w:rsid w:val="00412728"/>
    <w:rsid w:val="0041478D"/>
    <w:rsid w:val="004209C1"/>
    <w:rsid w:val="0042495D"/>
    <w:rsid w:val="0042622D"/>
    <w:rsid w:val="00432CA1"/>
    <w:rsid w:val="00435096"/>
    <w:rsid w:val="004373CA"/>
    <w:rsid w:val="00437749"/>
    <w:rsid w:val="00441B1B"/>
    <w:rsid w:val="00444F94"/>
    <w:rsid w:val="0044549C"/>
    <w:rsid w:val="00446145"/>
    <w:rsid w:val="004471D5"/>
    <w:rsid w:val="0046226F"/>
    <w:rsid w:val="004660B9"/>
    <w:rsid w:val="00472E81"/>
    <w:rsid w:val="004731E3"/>
    <w:rsid w:val="00476AE6"/>
    <w:rsid w:val="004777B6"/>
    <w:rsid w:val="004812A6"/>
    <w:rsid w:val="004855FF"/>
    <w:rsid w:val="00494568"/>
    <w:rsid w:val="004A006A"/>
    <w:rsid w:val="004A24C3"/>
    <w:rsid w:val="004A3B05"/>
    <w:rsid w:val="004A5F55"/>
    <w:rsid w:val="004C0E27"/>
    <w:rsid w:val="004C4133"/>
    <w:rsid w:val="004C6225"/>
    <w:rsid w:val="004D0AC4"/>
    <w:rsid w:val="004D0F39"/>
    <w:rsid w:val="004D144E"/>
    <w:rsid w:val="004D366E"/>
    <w:rsid w:val="004D5317"/>
    <w:rsid w:val="004D60E8"/>
    <w:rsid w:val="004D6BCF"/>
    <w:rsid w:val="004D6D8A"/>
    <w:rsid w:val="004E0ED6"/>
    <w:rsid w:val="004E4302"/>
    <w:rsid w:val="004E480C"/>
    <w:rsid w:val="004F0CD5"/>
    <w:rsid w:val="004F0DAC"/>
    <w:rsid w:val="004F6422"/>
    <w:rsid w:val="004F7B67"/>
    <w:rsid w:val="004F7D79"/>
    <w:rsid w:val="00500426"/>
    <w:rsid w:val="005148F6"/>
    <w:rsid w:val="00514B6F"/>
    <w:rsid w:val="00515E59"/>
    <w:rsid w:val="005176E1"/>
    <w:rsid w:val="00522999"/>
    <w:rsid w:val="005320BC"/>
    <w:rsid w:val="00533C08"/>
    <w:rsid w:val="00541333"/>
    <w:rsid w:val="005426EC"/>
    <w:rsid w:val="00544457"/>
    <w:rsid w:val="00546029"/>
    <w:rsid w:val="00547CA9"/>
    <w:rsid w:val="0055250B"/>
    <w:rsid w:val="00554BB6"/>
    <w:rsid w:val="00554BC4"/>
    <w:rsid w:val="00555A75"/>
    <w:rsid w:val="00557F66"/>
    <w:rsid w:val="00564677"/>
    <w:rsid w:val="00575660"/>
    <w:rsid w:val="005870E3"/>
    <w:rsid w:val="005A44CB"/>
    <w:rsid w:val="005A5B88"/>
    <w:rsid w:val="005B0A31"/>
    <w:rsid w:val="005B5A9E"/>
    <w:rsid w:val="005B6F0C"/>
    <w:rsid w:val="005C03CD"/>
    <w:rsid w:val="005C1454"/>
    <w:rsid w:val="005C176F"/>
    <w:rsid w:val="005C2BDF"/>
    <w:rsid w:val="005D07BE"/>
    <w:rsid w:val="005D4689"/>
    <w:rsid w:val="005D736D"/>
    <w:rsid w:val="005D73B5"/>
    <w:rsid w:val="005E19FE"/>
    <w:rsid w:val="005E3558"/>
    <w:rsid w:val="005E420F"/>
    <w:rsid w:val="005F4A7C"/>
    <w:rsid w:val="00607092"/>
    <w:rsid w:val="006103D2"/>
    <w:rsid w:val="0061724B"/>
    <w:rsid w:val="00630AAF"/>
    <w:rsid w:val="0063300F"/>
    <w:rsid w:val="0063342B"/>
    <w:rsid w:val="00640F1B"/>
    <w:rsid w:val="00642A27"/>
    <w:rsid w:val="00646892"/>
    <w:rsid w:val="0065073C"/>
    <w:rsid w:val="006519C8"/>
    <w:rsid w:val="00651B2D"/>
    <w:rsid w:val="006552FF"/>
    <w:rsid w:val="006562AC"/>
    <w:rsid w:val="00656F86"/>
    <w:rsid w:val="00660AE9"/>
    <w:rsid w:val="006657B0"/>
    <w:rsid w:val="0067157C"/>
    <w:rsid w:val="00686757"/>
    <w:rsid w:val="0068749D"/>
    <w:rsid w:val="006933D6"/>
    <w:rsid w:val="00694135"/>
    <w:rsid w:val="006946E0"/>
    <w:rsid w:val="00697724"/>
    <w:rsid w:val="006A3401"/>
    <w:rsid w:val="006B4591"/>
    <w:rsid w:val="006B64DC"/>
    <w:rsid w:val="006C03F7"/>
    <w:rsid w:val="006C3294"/>
    <w:rsid w:val="006C3492"/>
    <w:rsid w:val="006C3744"/>
    <w:rsid w:val="006C5794"/>
    <w:rsid w:val="006C7C4C"/>
    <w:rsid w:val="006D125B"/>
    <w:rsid w:val="006D14F4"/>
    <w:rsid w:val="006D2FC5"/>
    <w:rsid w:val="006D3C1F"/>
    <w:rsid w:val="006D72E9"/>
    <w:rsid w:val="006E4304"/>
    <w:rsid w:val="006E5F6B"/>
    <w:rsid w:val="006E5FFC"/>
    <w:rsid w:val="006E6038"/>
    <w:rsid w:val="006F1416"/>
    <w:rsid w:val="006F1E42"/>
    <w:rsid w:val="006F37BD"/>
    <w:rsid w:val="006F6967"/>
    <w:rsid w:val="006F6FAE"/>
    <w:rsid w:val="00700548"/>
    <w:rsid w:val="007006CD"/>
    <w:rsid w:val="00701E2A"/>
    <w:rsid w:val="00702F8D"/>
    <w:rsid w:val="00704CDC"/>
    <w:rsid w:val="00716ABC"/>
    <w:rsid w:val="00721676"/>
    <w:rsid w:val="00722FD4"/>
    <w:rsid w:val="00724B5C"/>
    <w:rsid w:val="00726A54"/>
    <w:rsid w:val="007324BD"/>
    <w:rsid w:val="00737ADC"/>
    <w:rsid w:val="00741F98"/>
    <w:rsid w:val="0074301B"/>
    <w:rsid w:val="00744544"/>
    <w:rsid w:val="00746BF3"/>
    <w:rsid w:val="00750588"/>
    <w:rsid w:val="007544B0"/>
    <w:rsid w:val="0075529E"/>
    <w:rsid w:val="007618E5"/>
    <w:rsid w:val="00762C91"/>
    <w:rsid w:val="00771263"/>
    <w:rsid w:val="0077300C"/>
    <w:rsid w:val="00777FC9"/>
    <w:rsid w:val="0078134E"/>
    <w:rsid w:val="00781BBD"/>
    <w:rsid w:val="00785149"/>
    <w:rsid w:val="00791765"/>
    <w:rsid w:val="00791FCF"/>
    <w:rsid w:val="00792F75"/>
    <w:rsid w:val="007A2542"/>
    <w:rsid w:val="007A6B3E"/>
    <w:rsid w:val="007A7176"/>
    <w:rsid w:val="007B2C12"/>
    <w:rsid w:val="007B4D3A"/>
    <w:rsid w:val="007C39F8"/>
    <w:rsid w:val="007C3B7D"/>
    <w:rsid w:val="007C596C"/>
    <w:rsid w:val="007C73F7"/>
    <w:rsid w:val="007D1431"/>
    <w:rsid w:val="007D51BE"/>
    <w:rsid w:val="007D596B"/>
    <w:rsid w:val="007D6EA6"/>
    <w:rsid w:val="007F51C1"/>
    <w:rsid w:val="007F5791"/>
    <w:rsid w:val="007F6C8F"/>
    <w:rsid w:val="007F7AB0"/>
    <w:rsid w:val="008011B0"/>
    <w:rsid w:val="00802103"/>
    <w:rsid w:val="00803B93"/>
    <w:rsid w:val="0081053C"/>
    <w:rsid w:val="00814668"/>
    <w:rsid w:val="00826BC7"/>
    <w:rsid w:val="00831C5E"/>
    <w:rsid w:val="008334A4"/>
    <w:rsid w:val="00834D30"/>
    <w:rsid w:val="00835216"/>
    <w:rsid w:val="00843CC0"/>
    <w:rsid w:val="008470E8"/>
    <w:rsid w:val="008531B8"/>
    <w:rsid w:val="00854CAD"/>
    <w:rsid w:val="00864730"/>
    <w:rsid w:val="00864E77"/>
    <w:rsid w:val="008722CF"/>
    <w:rsid w:val="00874A3E"/>
    <w:rsid w:val="0088064D"/>
    <w:rsid w:val="0088174C"/>
    <w:rsid w:val="00886A70"/>
    <w:rsid w:val="00887573"/>
    <w:rsid w:val="008930B7"/>
    <w:rsid w:val="008949D2"/>
    <w:rsid w:val="008A617A"/>
    <w:rsid w:val="008A633D"/>
    <w:rsid w:val="008B0426"/>
    <w:rsid w:val="008B3B54"/>
    <w:rsid w:val="008B6676"/>
    <w:rsid w:val="008C2F20"/>
    <w:rsid w:val="008C3F83"/>
    <w:rsid w:val="008C53FB"/>
    <w:rsid w:val="008C5B0F"/>
    <w:rsid w:val="008C7EC0"/>
    <w:rsid w:val="008D36BA"/>
    <w:rsid w:val="008D7825"/>
    <w:rsid w:val="008E6394"/>
    <w:rsid w:val="008F7CBC"/>
    <w:rsid w:val="009009CC"/>
    <w:rsid w:val="0090215E"/>
    <w:rsid w:val="00904E56"/>
    <w:rsid w:val="00906232"/>
    <w:rsid w:val="009109C0"/>
    <w:rsid w:val="00912478"/>
    <w:rsid w:val="00912A6A"/>
    <w:rsid w:val="00914D32"/>
    <w:rsid w:val="00915465"/>
    <w:rsid w:val="00920816"/>
    <w:rsid w:val="0092440B"/>
    <w:rsid w:val="00924E6D"/>
    <w:rsid w:val="009375DC"/>
    <w:rsid w:val="00937789"/>
    <w:rsid w:val="00951956"/>
    <w:rsid w:val="00954D6B"/>
    <w:rsid w:val="0095731A"/>
    <w:rsid w:val="00961411"/>
    <w:rsid w:val="009628DD"/>
    <w:rsid w:val="00963D36"/>
    <w:rsid w:val="00972530"/>
    <w:rsid w:val="009740A6"/>
    <w:rsid w:val="00977305"/>
    <w:rsid w:val="00985A30"/>
    <w:rsid w:val="00992905"/>
    <w:rsid w:val="0099630C"/>
    <w:rsid w:val="00997037"/>
    <w:rsid w:val="009A590B"/>
    <w:rsid w:val="009B1666"/>
    <w:rsid w:val="009C6667"/>
    <w:rsid w:val="009C691A"/>
    <w:rsid w:val="009D10D4"/>
    <w:rsid w:val="009D29E8"/>
    <w:rsid w:val="009D7837"/>
    <w:rsid w:val="009E41FE"/>
    <w:rsid w:val="009E660F"/>
    <w:rsid w:val="009F184B"/>
    <w:rsid w:val="00A03306"/>
    <w:rsid w:val="00A0776A"/>
    <w:rsid w:val="00A14B73"/>
    <w:rsid w:val="00A14C0D"/>
    <w:rsid w:val="00A227C6"/>
    <w:rsid w:val="00A23651"/>
    <w:rsid w:val="00A2516E"/>
    <w:rsid w:val="00A31FDF"/>
    <w:rsid w:val="00A32DA8"/>
    <w:rsid w:val="00A364A5"/>
    <w:rsid w:val="00A41576"/>
    <w:rsid w:val="00A41D92"/>
    <w:rsid w:val="00A43283"/>
    <w:rsid w:val="00A45539"/>
    <w:rsid w:val="00A56F13"/>
    <w:rsid w:val="00A645AF"/>
    <w:rsid w:val="00A6620D"/>
    <w:rsid w:val="00A671E0"/>
    <w:rsid w:val="00A6735D"/>
    <w:rsid w:val="00A73F74"/>
    <w:rsid w:val="00A75245"/>
    <w:rsid w:val="00A80F80"/>
    <w:rsid w:val="00A8118A"/>
    <w:rsid w:val="00A82305"/>
    <w:rsid w:val="00A82312"/>
    <w:rsid w:val="00A90485"/>
    <w:rsid w:val="00A931A5"/>
    <w:rsid w:val="00A93E40"/>
    <w:rsid w:val="00A95E50"/>
    <w:rsid w:val="00AA037D"/>
    <w:rsid w:val="00AA21AF"/>
    <w:rsid w:val="00AA26E9"/>
    <w:rsid w:val="00AA30D2"/>
    <w:rsid w:val="00AA3D43"/>
    <w:rsid w:val="00AA4EE8"/>
    <w:rsid w:val="00AA72F7"/>
    <w:rsid w:val="00AA7A39"/>
    <w:rsid w:val="00AB172C"/>
    <w:rsid w:val="00AB1BCA"/>
    <w:rsid w:val="00AB2069"/>
    <w:rsid w:val="00AB261C"/>
    <w:rsid w:val="00AB4016"/>
    <w:rsid w:val="00AB53A6"/>
    <w:rsid w:val="00AB601E"/>
    <w:rsid w:val="00AC1502"/>
    <w:rsid w:val="00AC5864"/>
    <w:rsid w:val="00AC68A9"/>
    <w:rsid w:val="00AD179B"/>
    <w:rsid w:val="00AD285B"/>
    <w:rsid w:val="00AD3424"/>
    <w:rsid w:val="00AD508B"/>
    <w:rsid w:val="00AD7DB3"/>
    <w:rsid w:val="00AE3D78"/>
    <w:rsid w:val="00AF2E0E"/>
    <w:rsid w:val="00AF32B3"/>
    <w:rsid w:val="00AF4D1C"/>
    <w:rsid w:val="00AF6DDD"/>
    <w:rsid w:val="00B03B56"/>
    <w:rsid w:val="00B0765C"/>
    <w:rsid w:val="00B10ED6"/>
    <w:rsid w:val="00B12EB7"/>
    <w:rsid w:val="00B21631"/>
    <w:rsid w:val="00B235AB"/>
    <w:rsid w:val="00B244E9"/>
    <w:rsid w:val="00B27DC8"/>
    <w:rsid w:val="00B30964"/>
    <w:rsid w:val="00B31019"/>
    <w:rsid w:val="00B31385"/>
    <w:rsid w:val="00B31CA1"/>
    <w:rsid w:val="00B31FD6"/>
    <w:rsid w:val="00B40559"/>
    <w:rsid w:val="00B42023"/>
    <w:rsid w:val="00B47B07"/>
    <w:rsid w:val="00B5161A"/>
    <w:rsid w:val="00B571D1"/>
    <w:rsid w:val="00B57CAC"/>
    <w:rsid w:val="00B60C5B"/>
    <w:rsid w:val="00B6116E"/>
    <w:rsid w:val="00B65994"/>
    <w:rsid w:val="00B66F62"/>
    <w:rsid w:val="00B6709B"/>
    <w:rsid w:val="00B8090B"/>
    <w:rsid w:val="00B96F47"/>
    <w:rsid w:val="00B97D82"/>
    <w:rsid w:val="00BA117C"/>
    <w:rsid w:val="00BA4F48"/>
    <w:rsid w:val="00BB1F37"/>
    <w:rsid w:val="00BB3645"/>
    <w:rsid w:val="00BB668E"/>
    <w:rsid w:val="00BB6E21"/>
    <w:rsid w:val="00BB72DE"/>
    <w:rsid w:val="00BD3A20"/>
    <w:rsid w:val="00BE7555"/>
    <w:rsid w:val="00BF441E"/>
    <w:rsid w:val="00BF654B"/>
    <w:rsid w:val="00C0267A"/>
    <w:rsid w:val="00C10976"/>
    <w:rsid w:val="00C10C2F"/>
    <w:rsid w:val="00C16ED2"/>
    <w:rsid w:val="00C17B30"/>
    <w:rsid w:val="00C32C09"/>
    <w:rsid w:val="00C34C87"/>
    <w:rsid w:val="00C36022"/>
    <w:rsid w:val="00C40B95"/>
    <w:rsid w:val="00C464B4"/>
    <w:rsid w:val="00C51114"/>
    <w:rsid w:val="00C53AC2"/>
    <w:rsid w:val="00C5405A"/>
    <w:rsid w:val="00C658C1"/>
    <w:rsid w:val="00C6751D"/>
    <w:rsid w:val="00C70C13"/>
    <w:rsid w:val="00C74C4A"/>
    <w:rsid w:val="00C9121D"/>
    <w:rsid w:val="00C9384A"/>
    <w:rsid w:val="00CA3084"/>
    <w:rsid w:val="00CA3402"/>
    <w:rsid w:val="00CB4C5B"/>
    <w:rsid w:val="00CB5ED1"/>
    <w:rsid w:val="00CB6666"/>
    <w:rsid w:val="00CB6BAA"/>
    <w:rsid w:val="00CC0A19"/>
    <w:rsid w:val="00CC2EEB"/>
    <w:rsid w:val="00CC4C82"/>
    <w:rsid w:val="00CC579E"/>
    <w:rsid w:val="00CD0F53"/>
    <w:rsid w:val="00CE2AE6"/>
    <w:rsid w:val="00CE4697"/>
    <w:rsid w:val="00CE499E"/>
    <w:rsid w:val="00CE6F4D"/>
    <w:rsid w:val="00CF143F"/>
    <w:rsid w:val="00CF1656"/>
    <w:rsid w:val="00CF2D75"/>
    <w:rsid w:val="00CF7540"/>
    <w:rsid w:val="00D04FAF"/>
    <w:rsid w:val="00D07D10"/>
    <w:rsid w:val="00D121CC"/>
    <w:rsid w:val="00D1614C"/>
    <w:rsid w:val="00D17B59"/>
    <w:rsid w:val="00D2033D"/>
    <w:rsid w:val="00D25E68"/>
    <w:rsid w:val="00D32570"/>
    <w:rsid w:val="00D32CCE"/>
    <w:rsid w:val="00D34E01"/>
    <w:rsid w:val="00D354D0"/>
    <w:rsid w:val="00D40BAA"/>
    <w:rsid w:val="00D51194"/>
    <w:rsid w:val="00D521BE"/>
    <w:rsid w:val="00D573B6"/>
    <w:rsid w:val="00D61914"/>
    <w:rsid w:val="00D67424"/>
    <w:rsid w:val="00D829A0"/>
    <w:rsid w:val="00D846BA"/>
    <w:rsid w:val="00D86086"/>
    <w:rsid w:val="00D9030F"/>
    <w:rsid w:val="00D95F96"/>
    <w:rsid w:val="00D96C38"/>
    <w:rsid w:val="00DA4242"/>
    <w:rsid w:val="00DB2F11"/>
    <w:rsid w:val="00DB3F53"/>
    <w:rsid w:val="00DC183F"/>
    <w:rsid w:val="00DC3886"/>
    <w:rsid w:val="00DC6565"/>
    <w:rsid w:val="00DC7322"/>
    <w:rsid w:val="00DC79A6"/>
    <w:rsid w:val="00DD3625"/>
    <w:rsid w:val="00DD4232"/>
    <w:rsid w:val="00DD7E27"/>
    <w:rsid w:val="00DE0DD2"/>
    <w:rsid w:val="00DE4A1E"/>
    <w:rsid w:val="00DF055D"/>
    <w:rsid w:val="00DF2707"/>
    <w:rsid w:val="00DF2873"/>
    <w:rsid w:val="00DF2FAC"/>
    <w:rsid w:val="00E01912"/>
    <w:rsid w:val="00E06C6A"/>
    <w:rsid w:val="00E06F94"/>
    <w:rsid w:val="00E108BD"/>
    <w:rsid w:val="00E1617E"/>
    <w:rsid w:val="00E20895"/>
    <w:rsid w:val="00E20B2D"/>
    <w:rsid w:val="00E26344"/>
    <w:rsid w:val="00E27E8F"/>
    <w:rsid w:val="00E318B0"/>
    <w:rsid w:val="00E324F0"/>
    <w:rsid w:val="00E43235"/>
    <w:rsid w:val="00E43340"/>
    <w:rsid w:val="00E46AFA"/>
    <w:rsid w:val="00E47453"/>
    <w:rsid w:val="00E605DA"/>
    <w:rsid w:val="00E63780"/>
    <w:rsid w:val="00E67102"/>
    <w:rsid w:val="00E70AF7"/>
    <w:rsid w:val="00E76EE0"/>
    <w:rsid w:val="00E81032"/>
    <w:rsid w:val="00E82A4E"/>
    <w:rsid w:val="00E86030"/>
    <w:rsid w:val="00E86C53"/>
    <w:rsid w:val="00E924CF"/>
    <w:rsid w:val="00E95F4E"/>
    <w:rsid w:val="00E968BB"/>
    <w:rsid w:val="00EA42A3"/>
    <w:rsid w:val="00EB0B5C"/>
    <w:rsid w:val="00EB1CE9"/>
    <w:rsid w:val="00EB47EB"/>
    <w:rsid w:val="00EC6D29"/>
    <w:rsid w:val="00ED5299"/>
    <w:rsid w:val="00EF0A05"/>
    <w:rsid w:val="00EF188F"/>
    <w:rsid w:val="00EF2296"/>
    <w:rsid w:val="00EF23E5"/>
    <w:rsid w:val="00EF7A05"/>
    <w:rsid w:val="00F00844"/>
    <w:rsid w:val="00F041A1"/>
    <w:rsid w:val="00F07651"/>
    <w:rsid w:val="00F148C7"/>
    <w:rsid w:val="00F16EB4"/>
    <w:rsid w:val="00F20743"/>
    <w:rsid w:val="00F363E5"/>
    <w:rsid w:val="00F41E21"/>
    <w:rsid w:val="00F42E7E"/>
    <w:rsid w:val="00F46CC4"/>
    <w:rsid w:val="00F4723F"/>
    <w:rsid w:val="00F472EF"/>
    <w:rsid w:val="00F54F98"/>
    <w:rsid w:val="00F55466"/>
    <w:rsid w:val="00F56EBD"/>
    <w:rsid w:val="00F62A99"/>
    <w:rsid w:val="00F7187D"/>
    <w:rsid w:val="00F73F5B"/>
    <w:rsid w:val="00F813ED"/>
    <w:rsid w:val="00F85F14"/>
    <w:rsid w:val="00F93989"/>
    <w:rsid w:val="00F95498"/>
    <w:rsid w:val="00FA1F6B"/>
    <w:rsid w:val="00FB3D47"/>
    <w:rsid w:val="00FB449C"/>
    <w:rsid w:val="00FB4DC7"/>
    <w:rsid w:val="00FB568D"/>
    <w:rsid w:val="00FC448F"/>
    <w:rsid w:val="00FD44F6"/>
    <w:rsid w:val="00FD4A16"/>
    <w:rsid w:val="00FE4405"/>
    <w:rsid w:val="00FF0997"/>
    <w:rsid w:val="00FF4EB3"/>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1BD2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DA8"/>
    <w:rPr>
      <w:rFonts w:ascii="Times New Roman" w:hAnsi="Times New Roman" w:cs="Times New Roman"/>
      <w:lang w:eastAsia="en-GB"/>
    </w:rPr>
  </w:style>
  <w:style w:type="paragraph" w:styleId="Heading3">
    <w:name w:val="heading 3"/>
    <w:basedOn w:val="Normal"/>
    <w:next w:val="Normal"/>
    <w:link w:val="Heading3Char"/>
    <w:uiPriority w:val="9"/>
    <w:semiHidden/>
    <w:unhideWhenUsed/>
    <w:qFormat/>
    <w:rsid w:val="00DF055D"/>
    <w:pPr>
      <w:keepNext/>
      <w:keepLines/>
      <w:widowControl w:val="0"/>
      <w:spacing w:before="40" w:line="276" w:lineRule="auto"/>
      <w:outlineLvl w:val="2"/>
    </w:pPr>
    <w:rPr>
      <w:rFonts w:asciiTheme="majorHAnsi" w:eastAsiaTheme="majorEastAsia" w:hAnsiTheme="majorHAnsi" w:cstheme="majorBidi"/>
      <w:color w:val="1F3763" w:themeColor="accent1" w:themeShade="7F"/>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EC7"/>
    <w:pPr>
      <w:tabs>
        <w:tab w:val="center" w:pos="4153"/>
        <w:tab w:val="right" w:pos="8306"/>
      </w:tabs>
      <w:spacing w:after="200" w:line="276" w:lineRule="auto"/>
    </w:pPr>
    <w:rPr>
      <w:rFonts w:ascii="Calibri" w:eastAsia="Calibri" w:hAnsi="Calibri"/>
      <w:sz w:val="22"/>
      <w:szCs w:val="22"/>
      <w:lang w:val="lv-LV" w:eastAsia="en-US"/>
    </w:rPr>
  </w:style>
  <w:style w:type="character" w:customStyle="1" w:styleId="HeaderChar">
    <w:name w:val="Header Char"/>
    <w:basedOn w:val="DefaultParagraphFont"/>
    <w:link w:val="Header"/>
    <w:uiPriority w:val="99"/>
    <w:rsid w:val="002D0EC7"/>
    <w:rPr>
      <w:rFonts w:ascii="Calibri" w:eastAsia="Calibri" w:hAnsi="Calibri" w:cs="Times New Roman"/>
      <w:sz w:val="22"/>
      <w:szCs w:val="22"/>
      <w:lang w:val="lv-LV"/>
    </w:rPr>
  </w:style>
  <w:style w:type="paragraph" w:styleId="Footer">
    <w:name w:val="footer"/>
    <w:basedOn w:val="Normal"/>
    <w:link w:val="FooterChar"/>
    <w:uiPriority w:val="99"/>
    <w:unhideWhenUsed/>
    <w:rsid w:val="002D0EC7"/>
    <w:pPr>
      <w:tabs>
        <w:tab w:val="center" w:pos="4153"/>
        <w:tab w:val="right" w:pos="8306"/>
      </w:tabs>
      <w:spacing w:after="200" w:line="276" w:lineRule="auto"/>
    </w:pPr>
    <w:rPr>
      <w:rFonts w:ascii="Calibri" w:eastAsia="Calibri" w:hAnsi="Calibri"/>
      <w:sz w:val="22"/>
      <w:szCs w:val="22"/>
      <w:lang w:val="lv-LV" w:eastAsia="en-US"/>
    </w:rPr>
  </w:style>
  <w:style w:type="character" w:customStyle="1" w:styleId="FooterChar">
    <w:name w:val="Footer Char"/>
    <w:basedOn w:val="DefaultParagraphFont"/>
    <w:link w:val="Footer"/>
    <w:uiPriority w:val="99"/>
    <w:rsid w:val="002D0EC7"/>
    <w:rPr>
      <w:rFonts w:ascii="Calibri" w:eastAsia="Calibri" w:hAnsi="Calibri" w:cs="Times New Roman"/>
      <w:sz w:val="22"/>
      <w:szCs w:val="22"/>
      <w:lang w:val="lv-LV"/>
    </w:rPr>
  </w:style>
  <w:style w:type="table" w:styleId="TableGrid">
    <w:name w:val="Table Grid"/>
    <w:basedOn w:val="TableNormal"/>
    <w:uiPriority w:val="39"/>
    <w:rsid w:val="002D0EC7"/>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DF055D"/>
    <w:rPr>
      <w:rFonts w:asciiTheme="majorHAnsi" w:eastAsiaTheme="majorEastAsia" w:hAnsiTheme="majorHAnsi" w:cstheme="majorBidi"/>
      <w:color w:val="1F3763" w:themeColor="accent1" w:themeShade="7F"/>
      <w:lang w:val="lv-LV"/>
    </w:rPr>
  </w:style>
  <w:style w:type="character" w:customStyle="1" w:styleId="apple-converted-space">
    <w:name w:val="apple-converted-space"/>
    <w:basedOn w:val="DefaultParagraphFont"/>
    <w:rsid w:val="003913FC"/>
  </w:style>
  <w:style w:type="paragraph" w:styleId="BalloonText">
    <w:name w:val="Balloon Text"/>
    <w:basedOn w:val="Normal"/>
    <w:link w:val="BalloonTextChar"/>
    <w:uiPriority w:val="99"/>
    <w:semiHidden/>
    <w:unhideWhenUsed/>
    <w:rsid w:val="00041F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F55"/>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B30964"/>
    <w:rPr>
      <w:sz w:val="16"/>
      <w:szCs w:val="16"/>
    </w:rPr>
  </w:style>
  <w:style w:type="paragraph" w:styleId="CommentText">
    <w:name w:val="annotation text"/>
    <w:basedOn w:val="Normal"/>
    <w:link w:val="CommentTextChar"/>
    <w:uiPriority w:val="99"/>
    <w:unhideWhenUsed/>
    <w:rsid w:val="00B30964"/>
    <w:rPr>
      <w:sz w:val="20"/>
      <w:szCs w:val="20"/>
    </w:rPr>
  </w:style>
  <w:style w:type="character" w:customStyle="1" w:styleId="CommentTextChar">
    <w:name w:val="Comment Text Char"/>
    <w:basedOn w:val="DefaultParagraphFont"/>
    <w:link w:val="CommentText"/>
    <w:uiPriority w:val="99"/>
    <w:rsid w:val="00B30964"/>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30964"/>
    <w:rPr>
      <w:b/>
      <w:bCs/>
    </w:rPr>
  </w:style>
  <w:style w:type="character" w:customStyle="1" w:styleId="CommentSubjectChar">
    <w:name w:val="Comment Subject Char"/>
    <w:basedOn w:val="CommentTextChar"/>
    <w:link w:val="CommentSubject"/>
    <w:uiPriority w:val="99"/>
    <w:semiHidden/>
    <w:rsid w:val="00B30964"/>
    <w:rPr>
      <w:rFonts w:ascii="Times New Roman" w:hAnsi="Times New Roman" w:cs="Times New Roman"/>
      <w:b/>
      <w:bCs/>
      <w:sz w:val="20"/>
      <w:szCs w:val="20"/>
      <w:lang w:eastAsia="en-GB"/>
    </w:rPr>
  </w:style>
  <w:style w:type="character" w:styleId="Hyperlink">
    <w:name w:val="Hyperlink"/>
    <w:basedOn w:val="DefaultParagraphFont"/>
    <w:uiPriority w:val="99"/>
    <w:unhideWhenUsed/>
    <w:rsid w:val="00FF0997"/>
    <w:rPr>
      <w:color w:val="0000FF"/>
      <w:u w:val="single"/>
    </w:rPr>
  </w:style>
  <w:style w:type="paragraph" w:styleId="Revision">
    <w:name w:val="Revision"/>
    <w:hidden/>
    <w:uiPriority w:val="99"/>
    <w:semiHidden/>
    <w:rsid w:val="00DB2F11"/>
    <w:rPr>
      <w:rFonts w:ascii="Times New Roman" w:hAnsi="Times New Roman" w:cs="Times New Roman"/>
      <w:lang w:eastAsia="en-GB"/>
    </w:rPr>
  </w:style>
  <w:style w:type="paragraph" w:customStyle="1" w:styleId="naisc">
    <w:name w:val="naisc"/>
    <w:basedOn w:val="Normal"/>
    <w:rsid w:val="0009762D"/>
    <w:pPr>
      <w:spacing w:before="75" w:after="75"/>
      <w:jc w:val="center"/>
    </w:pPr>
    <w:rPr>
      <w:rFonts w:eastAsia="Times New Roman"/>
      <w:lang w:val="lv-LV" w:eastAsia="lv-LV"/>
    </w:rPr>
  </w:style>
  <w:style w:type="paragraph" w:styleId="FootnoteText">
    <w:name w:val="footnote text"/>
    <w:basedOn w:val="Normal"/>
    <w:link w:val="FootnoteTextChar"/>
    <w:uiPriority w:val="99"/>
    <w:semiHidden/>
    <w:unhideWhenUsed/>
    <w:rsid w:val="00D521BE"/>
    <w:rPr>
      <w:sz w:val="20"/>
      <w:szCs w:val="20"/>
    </w:rPr>
  </w:style>
  <w:style w:type="character" w:customStyle="1" w:styleId="FootnoteTextChar">
    <w:name w:val="Footnote Text Char"/>
    <w:basedOn w:val="DefaultParagraphFont"/>
    <w:link w:val="FootnoteText"/>
    <w:uiPriority w:val="99"/>
    <w:semiHidden/>
    <w:rsid w:val="00D521BE"/>
    <w:rPr>
      <w:rFonts w:ascii="Times New Roman" w:hAnsi="Times New Roman" w:cs="Times New Roman"/>
      <w:sz w:val="20"/>
      <w:szCs w:val="20"/>
      <w:lang w:eastAsia="en-GB"/>
    </w:rPr>
  </w:style>
  <w:style w:type="character" w:styleId="FootnoteReference">
    <w:name w:val="footnote reference"/>
    <w:aliases w:val="Footnote Reference Number,SUPERS,Footnote symbol,Footnote Refernece,ftref,Footnote Reference Superscript,stylish,BVI fnr,Fußnotenzeichen_Raxen,callout,Odwołanie przypisu,Footnotes refss,Ref,de nota al pie,Times 10 Point,Vēres atsauce"/>
    <w:basedOn w:val="DefaultParagraphFont"/>
    <w:link w:val="CharCharCharChar"/>
    <w:uiPriority w:val="99"/>
    <w:unhideWhenUsed/>
    <w:qFormat/>
    <w:rsid w:val="00D521BE"/>
    <w:rPr>
      <w:vertAlign w:val="superscript"/>
    </w:rPr>
  </w:style>
  <w:style w:type="paragraph" w:customStyle="1" w:styleId="CharCharCharChar">
    <w:name w:val="Char Char Char Char"/>
    <w:aliases w:val="Char2"/>
    <w:basedOn w:val="Normal"/>
    <w:next w:val="Normal"/>
    <w:link w:val="FootnoteReference"/>
    <w:uiPriority w:val="99"/>
    <w:rsid w:val="00D521BE"/>
    <w:pPr>
      <w:spacing w:after="160" w:line="240" w:lineRule="exact"/>
      <w:jc w:val="both"/>
      <w:textAlignment w:val="baseline"/>
    </w:pPr>
    <w:rPr>
      <w:rFonts w:asciiTheme="minorHAnsi" w:hAnsiTheme="minorHAnsi" w:cstheme="minorBidi"/>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07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m.gov.lv/lv/sabiedribas-lidzdaliba/sabiedriskajai-apspriesanai-nodotie-normativo-aktu-projekti/4229-grozijumi-ministru-kabineta-2006-gada-12-decembra-noteikumos-nr-99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kumi.lv/ta/id/25576-kartiba-kada-tiek-pieskirts-atmaksats-un-dzests-studiju-kredits-no-valsts-budzeta-lidzeklie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anis.Paiders@izm.gov.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ristine.zommere-rotcenkova@izm.gov.lv" TargetMode="External"/><Relationship Id="rId4" Type="http://schemas.openxmlformats.org/officeDocument/2006/relationships/webSettings" Target="webSettings.xml"/><Relationship Id="rId9" Type="http://schemas.openxmlformats.org/officeDocument/2006/relationships/hyperlink" Target="https://www.mk.gov.lv/content/ministru-kabineta-diskusiju-dokumenti"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doi.org/10.1787/888933941538" TargetMode="External"/><Relationship Id="rId1" Type="http://schemas.openxmlformats.org/officeDocument/2006/relationships/hyperlink" Target="http://www.oecd.org/science/inno/careers-of-doctorate-hold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721BD-B3FF-4C7E-B3C8-7820EA2CA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8236</Words>
  <Characters>4696</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Diāna Laipniece</cp:lastModifiedBy>
  <cp:revision>14</cp:revision>
  <cp:lastPrinted>2019-10-25T07:01:00Z</cp:lastPrinted>
  <dcterms:created xsi:type="dcterms:W3CDTF">2020-10-05T08:52:00Z</dcterms:created>
  <dcterms:modified xsi:type="dcterms:W3CDTF">2020-10-06T06:23:00Z</dcterms:modified>
</cp:coreProperties>
</file>