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07C6CFFC" w:rsidR="00681E25" w:rsidRDefault="002B531E" w:rsidP="00F464E2">
      <w:pPr>
        <w:ind w:left="-142" w:right="-143"/>
        <w:jc w:val="center"/>
        <w:rPr>
          <w:b/>
          <w:sz w:val="26"/>
          <w:szCs w:val="26"/>
        </w:rPr>
      </w:pPr>
      <w:bookmarkStart w:id="0" w:name="OLE_LINK3"/>
      <w:bookmarkStart w:id="1" w:name="OLE_LINK4"/>
      <w:bookmarkStart w:id="2" w:name="OLE_LINK1"/>
      <w:r w:rsidRPr="00920A52">
        <w:rPr>
          <w:b/>
          <w:sz w:val="26"/>
          <w:szCs w:val="26"/>
        </w:rPr>
        <w:t>Minis</w:t>
      </w:r>
      <w:r>
        <w:rPr>
          <w:b/>
          <w:sz w:val="26"/>
          <w:szCs w:val="26"/>
        </w:rPr>
        <w:t>tru kabineta rīkojuma projekta „</w:t>
      </w:r>
      <w:r w:rsidR="009C55AA" w:rsidRPr="009C55AA">
        <w:rPr>
          <w:b/>
          <w:sz w:val="26"/>
          <w:szCs w:val="26"/>
        </w:rPr>
        <w:t>Par apropriācijas pārdali no Izglītības un zinātnes ministrijas budžeta uz valsts budžeta programmu 02.00.00 „Līdzekļi neparedzētiem gadījumiem”</w:t>
      </w:r>
      <w:r>
        <w:rPr>
          <w:b/>
          <w:sz w:val="26"/>
          <w:szCs w:val="26"/>
        </w:rPr>
        <w:t xml:space="preserve">” un </w:t>
      </w:r>
      <w:r w:rsidR="00920A52" w:rsidRPr="00920A52">
        <w:rPr>
          <w:b/>
          <w:sz w:val="26"/>
          <w:szCs w:val="26"/>
        </w:rPr>
        <w:t>Minis</w:t>
      </w:r>
      <w:r w:rsidR="00113533">
        <w:rPr>
          <w:b/>
          <w:sz w:val="26"/>
          <w:szCs w:val="26"/>
        </w:rPr>
        <w:t>tru kabineta rīkojuma projekta „</w:t>
      </w:r>
      <w:r w:rsidR="00DA68E7" w:rsidRPr="00DA68E7">
        <w:rPr>
          <w:b/>
          <w:sz w:val="26"/>
          <w:szCs w:val="26"/>
        </w:rPr>
        <w:t xml:space="preserve">Par finanšu līdzekļu piešķiršanu no valsts budžeta programmas </w:t>
      </w:r>
      <w:r w:rsidR="00DA68E7">
        <w:rPr>
          <w:b/>
          <w:sz w:val="26"/>
          <w:szCs w:val="26"/>
        </w:rPr>
        <w:t>„</w:t>
      </w:r>
      <w:r w:rsidR="00DA68E7" w:rsidRPr="00DA68E7">
        <w:rPr>
          <w:b/>
          <w:sz w:val="26"/>
          <w:szCs w:val="26"/>
        </w:rPr>
        <w:t>Lī</w:t>
      </w:r>
      <w:r w:rsidR="00DA68E7">
        <w:rPr>
          <w:b/>
          <w:sz w:val="26"/>
          <w:szCs w:val="26"/>
        </w:rPr>
        <w:t>dzekļi neparedzētiem gadījumiem””</w:t>
      </w:r>
      <w:r w:rsidR="00667B86">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03A3C3C7" w:rsidR="009C55AA" w:rsidRPr="00317B6A" w:rsidRDefault="00017AF5" w:rsidP="006E7A0E">
            <w:pPr>
              <w:ind w:left="82" w:right="141"/>
              <w:jc w:val="both"/>
            </w:pPr>
            <w:r>
              <w:t>Rīkojuma projekti</w:t>
            </w:r>
            <w:r w:rsidR="000E0E1B">
              <w:t xml:space="preserve"> paredz risinājumu, lai </w:t>
            </w:r>
            <w:r w:rsidR="00B93328">
              <w:t>2020. gadā paredzēto un 2021. gadā plānoto valsts budžeta līdzek</w:t>
            </w:r>
            <w:r w:rsidR="000E0E1B">
              <w:t xml:space="preserve">ļu ietvaros, veicot fiskāli neitrālu valsts budžeta līdzekļu iekšēju pārdali, nodrošinātu līdzekļu </w:t>
            </w:r>
            <w:r w:rsidR="00DB0F9C" w:rsidRPr="00DB0F9C">
              <w:t xml:space="preserve">1 379 486 </w:t>
            </w:r>
            <w:r w:rsidR="000E0E1B" w:rsidRPr="000E0E1B">
              <w:rPr>
                <w:i/>
              </w:rPr>
              <w:t xml:space="preserve">euro </w:t>
            </w:r>
            <w:r w:rsidR="000E0E1B">
              <w:t xml:space="preserve">apmērā novirzīšanu Izglītības un zinātnes ministrijas prioritārā pasākuma „Valsts funkciju sporta nozarē izpildes nodrošināšana nemainīgā līmenī” (15_01_P) </w:t>
            </w:r>
            <w:r w:rsidR="006E7A0E">
              <w:t>daļējai īstenošanai 2021. gadā.</w:t>
            </w:r>
          </w:p>
        </w:tc>
      </w:tr>
    </w:tbl>
    <w:p w14:paraId="1F80B51E" w14:textId="6E0DE20B"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0E5748">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6E2E2767" w14:textId="6897EADA" w:rsidR="009B701E" w:rsidRDefault="0018757E" w:rsidP="00DB0F9C">
            <w:pPr>
              <w:pStyle w:val="ListParagraph"/>
              <w:numPr>
                <w:ilvl w:val="0"/>
                <w:numId w:val="26"/>
              </w:numPr>
              <w:ind w:right="142"/>
              <w:jc w:val="both"/>
            </w:pPr>
            <w:r>
              <w:t xml:space="preserve">Nepieciešamība </w:t>
            </w:r>
            <w:r w:rsidR="0083459D" w:rsidRPr="0083459D">
              <w:t>2020. gadā paredzēto un 2021. gadā plānoto valsts budžeta līdzekļu ietvaros</w:t>
            </w:r>
            <w:r w:rsidR="0083459D">
              <w:t xml:space="preserve"> veikt fiskāli neitrālu </w:t>
            </w:r>
            <w:r w:rsidR="0083459D" w:rsidRPr="0083459D">
              <w:t xml:space="preserve">valsts budžeta līdzekļu iekšēju pārdali, </w:t>
            </w:r>
            <w:r w:rsidR="0083459D">
              <w:t xml:space="preserve">lai </w:t>
            </w:r>
            <w:r w:rsidR="0083459D" w:rsidRPr="0083459D">
              <w:t xml:space="preserve">nodrošinātu līdzekļu </w:t>
            </w:r>
            <w:r w:rsidR="00DB0F9C" w:rsidRPr="00DB0F9C">
              <w:t xml:space="preserve">1 379 486 </w:t>
            </w:r>
            <w:r w:rsidR="0083459D" w:rsidRPr="0083459D">
              <w:rPr>
                <w:i/>
              </w:rPr>
              <w:t>euro</w:t>
            </w:r>
            <w:r w:rsidR="0083459D" w:rsidRPr="0083459D">
              <w:t xml:space="preserve"> apmērā novirzīšanu Izglītības un zinātnes ministrijas </w:t>
            </w:r>
            <w:r w:rsidR="0083459D">
              <w:t xml:space="preserve">(turpmāk – IZM) </w:t>
            </w:r>
            <w:r w:rsidR="0083459D" w:rsidRPr="0083459D">
              <w:t>prioritārā pasākuma „Valsts funkciju sporta nozarē izpildes nodrošināšana nemainīgā līmenī” (15_01_P) daļējai īstenošanai 2021. gadā.</w:t>
            </w:r>
          </w:p>
          <w:p w14:paraId="76132158" w14:textId="7EC3A8B8" w:rsidR="009B701E" w:rsidRDefault="009B701E" w:rsidP="009B701E">
            <w:pPr>
              <w:pStyle w:val="ListParagraph"/>
              <w:numPr>
                <w:ilvl w:val="0"/>
                <w:numId w:val="26"/>
              </w:numPr>
              <w:ind w:left="461" w:right="142"/>
              <w:jc w:val="both"/>
            </w:pPr>
            <w:r w:rsidRPr="009B701E">
              <w:t>Latvijas Nacionālās sporta padome</w:t>
            </w:r>
            <w:bookmarkStart w:id="3" w:name="_GoBack"/>
            <w:bookmarkEnd w:id="3"/>
            <w:r w:rsidRPr="009B701E">
              <w:t>s (turpmāk – LNSP) 2020. gada 17. jūnija sēdes protokollēmums „Par sporta organizācijām 2020. gadā piešķirtā finansējuma izmantošanas kārtību un nosacījumiem, ņemot vērā Covid-19 infekcijas izplatības dēļ atceltos sporta pasākumus” (prot</w:t>
            </w:r>
            <w:r w:rsidR="000E5748">
              <w:t>.</w:t>
            </w:r>
            <w:r w:rsidRPr="009B701E">
              <w:t xml:space="preserve"> Nr.2 3.§, </w:t>
            </w:r>
            <w:r w:rsidR="00E31785">
              <w:t xml:space="preserve">3.2.5. un </w:t>
            </w:r>
            <w:r w:rsidRPr="009B701E">
              <w:t>3.2.6. apakšpunkts).</w:t>
            </w:r>
          </w:p>
          <w:p w14:paraId="36073D1A" w14:textId="77777777" w:rsidR="009B701E" w:rsidRDefault="00D715DB" w:rsidP="009B701E">
            <w:pPr>
              <w:pStyle w:val="ListParagraph"/>
              <w:numPr>
                <w:ilvl w:val="0"/>
                <w:numId w:val="26"/>
              </w:numPr>
              <w:ind w:left="461" w:right="142"/>
              <w:jc w:val="both"/>
            </w:pPr>
            <w:r>
              <w:t>Nepieciešamība nodrošināt lietderīgu rīcību ar IZM pamatbudžeta apakšprogrammās ietaupītajiem valsts budžeta līdzekļiem.</w:t>
            </w:r>
          </w:p>
          <w:p w14:paraId="0B2512EA" w14:textId="77777777" w:rsidR="009B701E" w:rsidRDefault="007A5A59" w:rsidP="009B701E">
            <w:pPr>
              <w:pStyle w:val="ListParagraph"/>
              <w:numPr>
                <w:ilvl w:val="0"/>
                <w:numId w:val="26"/>
              </w:numPr>
              <w:ind w:left="461" w:right="142"/>
              <w:jc w:val="both"/>
            </w:pPr>
            <w:r w:rsidRPr="007A5A59">
              <w:t>Covid-19 infekcijas izplatības sek</w:t>
            </w:r>
            <w:r>
              <w:t>u pārvarēšanas likuma 25. pants</w:t>
            </w:r>
            <w:r w:rsidRPr="007A5A59">
              <w:t>.</w:t>
            </w:r>
          </w:p>
          <w:p w14:paraId="48181FD2" w14:textId="77777777" w:rsidR="008F001D" w:rsidRDefault="007A5A59" w:rsidP="008F001D">
            <w:pPr>
              <w:pStyle w:val="ListParagraph"/>
              <w:numPr>
                <w:ilvl w:val="0"/>
                <w:numId w:val="26"/>
              </w:numPr>
              <w:ind w:left="461" w:right="142"/>
              <w:jc w:val="both"/>
            </w:pPr>
            <w:r>
              <w:t>Likuma par budžetu un finanšu vadību 9. panta 13. daļas 1. punkts</w:t>
            </w:r>
            <w:r w:rsidR="00C820C7">
              <w:t>, 9. panta 13.</w:t>
            </w:r>
            <w:r w:rsidR="00C820C7" w:rsidRPr="00C820C7">
              <w:rPr>
                <w:vertAlign w:val="superscript"/>
              </w:rPr>
              <w:t>3</w:t>
            </w:r>
            <w:r w:rsidR="00C820C7">
              <w:t xml:space="preserve"> daļas 3. punkts</w:t>
            </w:r>
            <w:r w:rsidR="009D5B37">
              <w:t xml:space="preserve"> un 12. panta pirmā daļa.</w:t>
            </w:r>
          </w:p>
          <w:p w14:paraId="1D237FA7" w14:textId="77777777" w:rsidR="008F001D" w:rsidRDefault="008F001D" w:rsidP="008F001D">
            <w:pPr>
              <w:pStyle w:val="ListParagraph"/>
              <w:numPr>
                <w:ilvl w:val="0"/>
                <w:numId w:val="26"/>
              </w:numPr>
              <w:ind w:left="461" w:right="142"/>
              <w:jc w:val="both"/>
            </w:pPr>
            <w:r w:rsidRPr="008F001D">
              <w:t xml:space="preserve">Saistība ar </w:t>
            </w:r>
            <w:r>
              <w:t xml:space="preserve">IZM </w:t>
            </w:r>
            <w:r w:rsidRPr="008F001D">
              <w:t xml:space="preserve">izstrādāto Ministru kabineta rīkojuma projektu   „Grozījumi Ministru kabineta 2017. gada 19. aprīļa rīkojumā Nr. 196 „Par valsts budžeta ilgtermiņa saistību precizēšanu valsts galvoto reģionālo olimpisko centru projektu īstenošanai””, </w:t>
            </w:r>
            <w:r>
              <w:t xml:space="preserve">kas </w:t>
            </w:r>
            <w:r w:rsidRPr="008F001D">
              <w:t>tiek virzīt</w:t>
            </w:r>
            <w:r>
              <w:t>s</w:t>
            </w:r>
            <w:r w:rsidRPr="008F001D">
              <w:t xml:space="preserve"> vienotā dokumentu paketē ar š</w:t>
            </w:r>
            <w:r>
              <w:t>iem Rīkojuma projektiem</w:t>
            </w:r>
            <w:r w:rsidRPr="008F001D">
              <w:t>.</w:t>
            </w:r>
          </w:p>
          <w:p w14:paraId="672926A5" w14:textId="77777777" w:rsidR="008F001D" w:rsidRDefault="00E251D1" w:rsidP="008F001D">
            <w:pPr>
              <w:pStyle w:val="ListParagraph"/>
              <w:numPr>
                <w:ilvl w:val="0"/>
                <w:numId w:val="26"/>
              </w:numPr>
              <w:ind w:left="461" w:right="142"/>
              <w:jc w:val="both"/>
            </w:pPr>
            <w:r w:rsidRPr="008E6979">
              <w:t>Ministru kabineta 2018.</w:t>
            </w:r>
            <w:r>
              <w:t xml:space="preserve"> </w:t>
            </w:r>
            <w:r w:rsidRPr="008E6979">
              <w:t>gada 17.</w:t>
            </w:r>
            <w:r>
              <w:t xml:space="preserve"> </w:t>
            </w:r>
            <w:r w:rsidRPr="008E6979">
              <w:t>jūlija noteikumu Nr.</w:t>
            </w:r>
            <w:r>
              <w:t xml:space="preserve"> </w:t>
            </w:r>
            <w:r w:rsidRPr="008E6979">
              <w:t xml:space="preserve">421 „Kārtība, kādā veic gadskārtējā valsts budžeta likumā noteiktās apropriācijas izmaiņas” </w:t>
            </w:r>
            <w:r w:rsidR="0018757E">
              <w:t>41.</w:t>
            </w:r>
            <w:r w:rsidR="007A5A59">
              <w:t xml:space="preserve">, </w:t>
            </w:r>
            <w:r w:rsidRPr="008E6979">
              <w:t>43.</w:t>
            </w:r>
            <w:r>
              <w:t xml:space="preserve"> </w:t>
            </w:r>
            <w:r w:rsidR="007A5A59">
              <w:t xml:space="preserve">un 55. </w:t>
            </w:r>
            <w:r w:rsidRPr="008E6979">
              <w:t>p</w:t>
            </w:r>
            <w:r>
              <w:t>unkts</w:t>
            </w:r>
            <w:r w:rsidR="0018757E">
              <w:t>.</w:t>
            </w:r>
          </w:p>
          <w:p w14:paraId="689444FE" w14:textId="30BC81B3" w:rsidR="00E344AF" w:rsidRPr="00B24229" w:rsidRDefault="00E344AF" w:rsidP="008F001D">
            <w:pPr>
              <w:pStyle w:val="ListParagraph"/>
              <w:numPr>
                <w:ilvl w:val="0"/>
                <w:numId w:val="26"/>
              </w:numPr>
              <w:ind w:left="461" w:right="142"/>
              <w:jc w:val="both"/>
            </w:pPr>
            <w:r>
              <w:t>Ministru prezidenta 2020. gada 14. aprīļa rezolūcija Nr. 2020-1.1.1./38-38.</w:t>
            </w:r>
          </w:p>
        </w:tc>
      </w:tr>
      <w:tr w:rsidR="00585B7B" w:rsidRPr="00317B6A" w14:paraId="4917C93B" w14:textId="77777777" w:rsidTr="000E5748">
        <w:trPr>
          <w:trHeight w:val="562"/>
        </w:trPr>
        <w:tc>
          <w:tcPr>
            <w:tcW w:w="562" w:type="dxa"/>
          </w:tcPr>
          <w:p w14:paraId="5FDD0BAA" w14:textId="6A645FAF"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4AC35505" w14:textId="6E13778F" w:rsidR="007F0DF6" w:rsidRDefault="00732ADE" w:rsidP="00185DB8">
            <w:pPr>
              <w:ind w:left="141" w:right="142" w:firstLine="567"/>
              <w:jc w:val="both"/>
            </w:pPr>
            <w:r>
              <w:t>2018.</w:t>
            </w:r>
            <w:r w:rsidR="005E7B85">
              <w:t xml:space="preserve"> </w:t>
            </w:r>
            <w:r>
              <w:t>gada valsts budžeta projekta izskatīšanas gaitā tika atbalstīts IZM prioritārais pasākums „Valsts funkciju sporta nozarē izpildes nodrošināšana nemainīgā līmenī” (15_06_P), kas paredzēja nodrošināt valsts funkciju sporta nozarē izpildei paredzēto finansējumu vismaz 2017.</w:t>
            </w:r>
            <w:r w:rsidR="005E7B85">
              <w:t xml:space="preserve"> </w:t>
            </w:r>
            <w:r>
              <w:t>gada līmenī. Minētais prioritārais pasākums paredzēja papildus finansējumu valsts budžeta programmas 09.00.00 „Sports” apakšprogrammās (09.09., 09.17., 09.21. un 09.25) tikai 2018.</w:t>
            </w:r>
            <w:r w:rsidR="005E7B85" w:rsidRPr="00B11AF2">
              <w:t>–</w:t>
            </w:r>
            <w:r>
              <w:t>2020.gadā. Ievērojot minēto, 2021.</w:t>
            </w:r>
            <w:r w:rsidR="00185DB8">
              <w:t xml:space="preserve"> </w:t>
            </w:r>
            <w:r>
              <w:t>gadā šo apakšprogrammu finansējum</w:t>
            </w:r>
            <w:r w:rsidR="00185DB8">
              <w:t>am</w:t>
            </w:r>
            <w:r>
              <w:t xml:space="preserve"> paredzēts būtisks samazinājums (par </w:t>
            </w:r>
            <w:r>
              <w:br/>
            </w:r>
            <w:r w:rsidRPr="00732ADE">
              <w:t>2 889</w:t>
            </w:r>
            <w:r>
              <w:t> </w:t>
            </w:r>
            <w:r w:rsidRPr="00732ADE">
              <w:t>281</w:t>
            </w:r>
            <w:r>
              <w:t xml:space="preserve"> </w:t>
            </w:r>
            <w:r w:rsidRPr="00732ADE">
              <w:rPr>
                <w:i/>
              </w:rPr>
              <w:t>euro</w:t>
            </w:r>
            <w:r>
              <w:t xml:space="preserve">), kā rezultātā identificējamas šāda problēmas (uzskaitītas tikai nozīmīgākās): (1) netiks nodrošināta plānveidīga sportistu gatavošana un dalība sporta sacensībās, kā arī netiks nodrošināts plānveidīgs darbs sporta </w:t>
            </w:r>
            <w:r>
              <w:lastRenderedPageBreak/>
              <w:t>attīstības veicināšanai; (2) pastāv risks, ka 2021. gadā Latvijas sportisti un komandu sporta spēļu izlases būs jāatsauc no dalības starptautiskajās sporta sacensībās, kurās tiesības startēt sp</w:t>
            </w:r>
            <w:r w:rsidR="00225773">
              <w:t>ortists/komanda ieguvušas</w:t>
            </w:r>
            <w:r>
              <w:t xml:space="preserve"> (kvalificē</w:t>
            </w:r>
            <w:r w:rsidR="00225773">
              <w:t>jušās</w:t>
            </w:r>
            <w:r w:rsidR="00346C05">
              <w:t>)</w:t>
            </w:r>
            <w:r w:rsidR="00225773">
              <w:t xml:space="preserve"> 2019. vai </w:t>
            </w:r>
            <w:r>
              <w:t>2020.</w:t>
            </w:r>
            <w:r w:rsidR="00256019">
              <w:t xml:space="preserve"> </w:t>
            </w:r>
            <w:r>
              <w:t>gadā, kā rezultātā attiecīgi tiks apdraudēta arī iepriekšējos gados ieguldīto līdzekļu lietderība un efektivitāte; (3) ņemot vērā 2014.</w:t>
            </w:r>
            <w:r w:rsidR="005E7B85" w:rsidRPr="00B11AF2">
              <w:t>–</w:t>
            </w:r>
            <w:r>
              <w:t>2016.gada pieredzi, prognozējams, ka 2021.gada otrajā pusē sporta organizācijas vairākkārt vērsīsies ar objektīviem un pamatoties papildus valsts budžeta līdzekļu pieprasījumiem no valsts budžeta programmas 02.00.00 „Līdzekļi neparedzētiem gadījumiem”.</w:t>
            </w:r>
            <w:r w:rsidR="007F0DF6">
              <w:t xml:space="preserve"> Lai risinātu minēto problēmu, IZM 2021. gada valsts budžeta projekta sagatavošanas procesā iesniedza prioritāro pasākumu  </w:t>
            </w:r>
            <w:r w:rsidR="007F0DF6" w:rsidRPr="007F0DF6">
              <w:t>„Valsts funkciju sporta nozarē izpildes nodrošināš</w:t>
            </w:r>
            <w:r w:rsidR="007F0DF6">
              <w:t>ana nemainīgā līmenī” (15_01_P), kas paredzēja n</w:t>
            </w:r>
            <w:r w:rsidR="007F0DF6" w:rsidRPr="007F0DF6">
              <w:t>odrošināt valsts funkciju sporta nozarē izpildei paredzēto finansējumu pamatfunkciju izpildē nemainīgā līmenī, tādejādi nepieļaujot sporta nozares finansējuma samazinājumu un nodrošinot plānveidīgu darbu sporta nozares attīstības veicināšanai.</w:t>
            </w:r>
            <w:r w:rsidR="007F0DF6">
              <w:t xml:space="preserve"> Lai gan ierobežotu valsts budžeta līdzekļu dēļ minētais prioritārais pasākums netika atbalstīts, IZM turpināja meklēt līdzekļus tā īstenošanai</w:t>
            </w:r>
            <w:r w:rsidR="00185DB8">
              <w:t xml:space="preserve"> vismaz daļējā apjomā</w:t>
            </w:r>
            <w:r w:rsidR="007F0DF6">
              <w:t>.</w:t>
            </w:r>
          </w:p>
          <w:p w14:paraId="29734E0D" w14:textId="544D4CF6" w:rsidR="002A4D85" w:rsidRDefault="00593FD5" w:rsidP="002A4D85">
            <w:pPr>
              <w:ind w:left="141" w:right="142" w:firstLine="567"/>
              <w:jc w:val="both"/>
            </w:pPr>
            <w:r>
              <w:t xml:space="preserve">Izvērtējot </w:t>
            </w:r>
            <w:r w:rsidR="002A4D85">
              <w:t>potenciālos valsts budžeta līdzekļ</w:t>
            </w:r>
            <w:r w:rsidR="007F0DF6">
              <w:t xml:space="preserve">u avotus, kurus varētu novirzīt minētā prioritārā pasākuma īstenošanai, </w:t>
            </w:r>
            <w:r w:rsidR="002A4D85">
              <w:t>konstatējams:</w:t>
            </w:r>
          </w:p>
          <w:p w14:paraId="419DDA8F" w14:textId="1C9730D4" w:rsidR="000727CB" w:rsidRDefault="00A83E63" w:rsidP="00A17BA6">
            <w:pPr>
              <w:ind w:left="141" w:right="142" w:firstLine="567"/>
              <w:jc w:val="both"/>
            </w:pPr>
            <w:r>
              <w:t>(</w:t>
            </w:r>
            <w:r w:rsidR="000D0EED">
              <w:t>1</w:t>
            </w:r>
            <w:r>
              <w:t xml:space="preserve">)  </w:t>
            </w:r>
            <w:r w:rsidR="00A3622E">
              <w:t xml:space="preserve">Valsts kontrole </w:t>
            </w:r>
            <w:r w:rsidR="000727CB">
              <w:t xml:space="preserve">revīzijas </w:t>
            </w:r>
            <w:r w:rsidR="00A3622E">
              <w:t>ziņojumā par IZM 2019. gada pārskatu</w:t>
            </w:r>
            <w:r w:rsidR="00A3622E">
              <w:rPr>
                <w:rStyle w:val="FootnoteReference"/>
              </w:rPr>
              <w:footnoteReference w:id="1"/>
            </w:r>
            <w:r w:rsidR="00A3622E">
              <w:t xml:space="preserve"> </w:t>
            </w:r>
            <w:r w:rsidR="000727CB">
              <w:t xml:space="preserve">(Nr. </w:t>
            </w:r>
            <w:r w:rsidR="000727CB" w:rsidRPr="000727CB">
              <w:t>2.4.1-19/2019</w:t>
            </w:r>
            <w:r w:rsidR="000727CB">
              <w:t xml:space="preserve">) </w:t>
            </w:r>
            <w:r w:rsidR="00A3622E">
              <w:t>ietvēra izskatāmo atbilstības jautājumu: „Vai IZM ir nodrošinājusi piešķirtā valsts budžeta finansējuma (dotāciju) brīvpusdienu nodrošināšanai 1.</w:t>
            </w:r>
            <w:r w:rsidR="00131E29" w:rsidRPr="00B11AF2">
              <w:t>–</w:t>
            </w:r>
            <w:r w:rsidR="00A3622E">
              <w:t xml:space="preserve">4.klases izglītojamajiem izlietojumu atbilstoši mērķim normatīvajos aktos noteiktajā kārtībā un apjomā”. </w:t>
            </w:r>
            <w:r w:rsidR="000727CB">
              <w:t>V</w:t>
            </w:r>
            <w:r w:rsidR="00A3622E">
              <w:t xml:space="preserve">alsts kontroles ieskatā </w:t>
            </w:r>
            <w:r w:rsidR="00F345D3">
              <w:t xml:space="preserve"> attiecībā uz brīvpusdienu nodrošināšanai 1.</w:t>
            </w:r>
            <w:r w:rsidR="00131E29" w:rsidRPr="00B11AF2">
              <w:t>–</w:t>
            </w:r>
            <w:r w:rsidR="00F345D3">
              <w:t xml:space="preserve">4.klases izglītojamajiem piešķirtajiem valsts budžeta līdzekļiem </w:t>
            </w:r>
            <w:r w:rsidR="001830AB">
              <w:t xml:space="preserve">nav tikusi nodrošināta </w:t>
            </w:r>
            <w:r w:rsidR="00F345D3">
              <w:t>tādas gadskārtējā valsts budžeta likumā noteiktās apropriācijas izpildes kontroles sistēmas izveid</w:t>
            </w:r>
            <w:r w:rsidR="001830AB">
              <w:t>e</w:t>
            </w:r>
            <w:r w:rsidR="00F345D3">
              <w:t xml:space="preserve">, kas paredzētu, ka pašvaldības, kuras saimnieciskā gada laikā ir saņēmušas valsts pamatbudžeta kontā transferta ieņēmumus no dotācijas no vispārējiem ieņēmumiem un nav tos izlietojušas, veic transferta atlikuma atmaksu līdz saimnieciskā gada beigām. </w:t>
            </w:r>
            <w:r w:rsidR="000468F9">
              <w:t>P</w:t>
            </w:r>
            <w:r w:rsidR="00F345D3">
              <w:t xml:space="preserve">ienākums veikt attiecīgu atmaksu valsts budžetā izriet no </w:t>
            </w:r>
            <w:r w:rsidR="00A3622E">
              <w:t xml:space="preserve">Ministru kabineta 2010. gada 28. decembra noteikumu Nr. 1220 „Asignējumu piešķiršanas un izpildes kārtība” </w:t>
            </w:r>
            <w:r w:rsidR="00A17BA6">
              <w:t xml:space="preserve">48. un </w:t>
            </w:r>
            <w:r w:rsidR="00A3622E">
              <w:t>49. punkt</w:t>
            </w:r>
            <w:r w:rsidR="00F345D3">
              <w:t>a</w:t>
            </w:r>
            <w:r w:rsidR="00A3622E">
              <w:t xml:space="preserve">. </w:t>
            </w:r>
            <w:r w:rsidR="000727CB">
              <w:t xml:space="preserve">Ievērojot minēto, </w:t>
            </w:r>
            <w:r w:rsidR="001830AB">
              <w:t>IZM</w:t>
            </w:r>
            <w:r w:rsidR="000468F9">
              <w:t xml:space="preserve"> norādīja Rīgas pilsētas </w:t>
            </w:r>
            <w:r w:rsidR="000727CB">
              <w:t>pašvaldība</w:t>
            </w:r>
            <w:r w:rsidR="000468F9">
              <w:t xml:space="preserve">i, ka </w:t>
            </w:r>
            <w:r w:rsidR="000727CB">
              <w:t xml:space="preserve">tai piešķirtos valsts budžeta līdzekļus, kas bija paredzēti izglītojamo ēdināšanai līdz 2019. gada 31. decembrim, </w:t>
            </w:r>
            <w:r w:rsidR="000468F9">
              <w:t xml:space="preserve">tā </w:t>
            </w:r>
            <w:r w:rsidR="000727CB">
              <w:t xml:space="preserve">nebija tiesīga izlietot citam mērķim, un tādējādi neizlietotais finansējums atmaksājams valsts budžetā. </w:t>
            </w:r>
            <w:r w:rsidR="000468F9">
              <w:t xml:space="preserve"> Rīgas domes Izglītības, kultūras un sporta departaments </w:t>
            </w:r>
            <w:r w:rsidR="000727CB">
              <w:t>2020. gada 28.</w:t>
            </w:r>
            <w:r w:rsidR="001830AB">
              <w:t xml:space="preserve"> </w:t>
            </w:r>
            <w:r w:rsidR="000727CB">
              <w:t>jūli</w:t>
            </w:r>
            <w:r w:rsidR="000468F9">
              <w:t xml:space="preserve">ja vēstulē Nr.  </w:t>
            </w:r>
            <w:r w:rsidR="000727CB">
              <w:t>DIKS-20-1852-nd</w:t>
            </w:r>
            <w:r w:rsidR="00A17BA6">
              <w:t xml:space="preserve">, piekrītot IZM prasībai, </w:t>
            </w:r>
            <w:r w:rsidR="00A17BA6" w:rsidRPr="00A17BA6">
              <w:t>ierosinā</w:t>
            </w:r>
            <w:r w:rsidR="00A17BA6">
              <w:t>ja</w:t>
            </w:r>
            <w:r w:rsidR="00A17BA6" w:rsidRPr="00A17BA6">
              <w:t xml:space="preserve"> samazināt finansējuma ieņēmumu daļu, ko plānots pārskaitīt pašvaldībai brīvpusdienu nodrošināšanai 1.-4.</w:t>
            </w:r>
            <w:r w:rsidR="001830AB">
              <w:t xml:space="preserve"> </w:t>
            </w:r>
            <w:r w:rsidR="00A17BA6" w:rsidRPr="00A17BA6">
              <w:t xml:space="preserve">klašu izglītojamiem </w:t>
            </w:r>
            <w:r w:rsidR="00A17BA6">
              <w:t xml:space="preserve">2020. gada </w:t>
            </w:r>
            <w:r w:rsidR="00A17BA6" w:rsidRPr="00A17BA6">
              <w:t xml:space="preserve">septembra, oktobra, novembra, decembra mēnešiem, attiecīgi par šo summu samazinot iepriekšējo gadu neizlietotā atlikuma </w:t>
            </w:r>
            <w:r w:rsidR="00A17BA6">
              <w:t>(</w:t>
            </w:r>
            <w:r w:rsidR="00A17BA6" w:rsidRPr="00A17BA6">
              <w:t xml:space="preserve">2 128 174,02 </w:t>
            </w:r>
            <w:r w:rsidR="00A17BA6" w:rsidRPr="00A17BA6">
              <w:rPr>
                <w:i/>
              </w:rPr>
              <w:t>euro</w:t>
            </w:r>
            <w:r w:rsidR="00A17BA6">
              <w:t>)</w:t>
            </w:r>
            <w:r w:rsidR="00A17BA6" w:rsidRPr="00A17BA6">
              <w:t xml:space="preserve"> apmēru</w:t>
            </w:r>
            <w:r w:rsidR="00A17BA6">
              <w:t xml:space="preserve">, kam IZM arī piekrita. Iepriekšminētā rezultātā </w:t>
            </w:r>
            <w:r w:rsidR="000727CB">
              <w:t xml:space="preserve">IZM </w:t>
            </w:r>
            <w:r w:rsidR="006C3F17">
              <w:t>jau veic un turpinās veikt</w:t>
            </w:r>
            <w:r w:rsidR="000727CB">
              <w:t xml:space="preserve"> ieturējumu Rīgas pašvaldībai sākot no 2020. gada septembrim aprēķinātā finansējuma 1.</w:t>
            </w:r>
            <w:r w:rsidR="000E5748">
              <w:t>–</w:t>
            </w:r>
            <w:r w:rsidR="000727CB">
              <w:t>4.</w:t>
            </w:r>
            <w:r w:rsidR="001830AB">
              <w:t xml:space="preserve"> </w:t>
            </w:r>
            <w:r w:rsidR="000727CB">
              <w:t xml:space="preserve">klašu izglītojamo ēdināšanas nodrošināšanai par neizlietoto valsts budžeta līdzekļu apmēru 2 128 174,02 </w:t>
            </w:r>
            <w:r w:rsidR="000727CB" w:rsidRPr="000727CB">
              <w:rPr>
                <w:i/>
              </w:rPr>
              <w:t>euro</w:t>
            </w:r>
            <w:r w:rsidR="000727CB">
              <w:t>, kas Rīgas pašvaldīb</w:t>
            </w:r>
            <w:r w:rsidR="00F345D3">
              <w:t>ā</w:t>
            </w:r>
            <w:r w:rsidR="000727CB">
              <w:t xml:space="preserve"> netika izlietots 1.</w:t>
            </w:r>
            <w:r w:rsidR="000E5748">
              <w:t>–</w:t>
            </w:r>
            <w:r w:rsidR="000727CB">
              <w:t>4.</w:t>
            </w:r>
            <w:r w:rsidR="001830AB">
              <w:t xml:space="preserve"> </w:t>
            </w:r>
            <w:r w:rsidR="000727CB">
              <w:t xml:space="preserve">klašu izglītojamo ēdināšanas nodrošināšanai uz 2019. gada 31. decembri. </w:t>
            </w:r>
            <w:r w:rsidR="00A17BA6">
              <w:t xml:space="preserve">No minētā ietaupījuma </w:t>
            </w:r>
            <w:r w:rsidR="00144EA3">
              <w:t>s</w:t>
            </w:r>
            <w:r w:rsidR="00A17BA6">
              <w:t xml:space="preserve">porta nozares vajadzībām </w:t>
            </w:r>
            <w:r w:rsidR="00144EA3">
              <w:t xml:space="preserve">(IZM prioritārā pasākuma „Valsts funkciju sporta nozarē izpildes </w:t>
            </w:r>
            <w:r w:rsidR="00144EA3">
              <w:lastRenderedPageBreak/>
              <w:t xml:space="preserve">nodrošināšana nemainīgā līmenī” (15_01_P) daļējai īstenošanai 2021. gadā) </w:t>
            </w:r>
            <w:r w:rsidR="00A17BA6">
              <w:t xml:space="preserve">IZM rosina pārdalīt </w:t>
            </w:r>
            <w:r w:rsidR="00DB0F9C">
              <w:t>808 484</w:t>
            </w:r>
            <w:r w:rsidR="00A17BA6">
              <w:t xml:space="preserve"> </w:t>
            </w:r>
            <w:r w:rsidR="00A17BA6" w:rsidRPr="00A17BA6">
              <w:rPr>
                <w:i/>
              </w:rPr>
              <w:t>euro</w:t>
            </w:r>
            <w:r w:rsidR="00A17BA6">
              <w:t>.</w:t>
            </w:r>
          </w:p>
          <w:p w14:paraId="1C367C39" w14:textId="273AB74C" w:rsidR="00F079EA" w:rsidRDefault="00F079EA" w:rsidP="00A17BA6">
            <w:pPr>
              <w:ind w:left="141" w:right="142" w:firstLine="567"/>
              <w:jc w:val="both"/>
            </w:pPr>
            <w:r>
              <w:t xml:space="preserve">(2) Covid-19 pandēmijas rezultātā 2020. gadā pasaulē nenorisinās daudzas iepriekš plānotas nozīmīgas sporta sacensības, tai skaitā uz 2021. gadu ir pārceltas Vasaras Olimpiskās spēles Tokijā, kā rezultātā biedrība „Latvijas Olimpiskā komiteja” (turpmāk – LOK) ir informējusi IZM par līdzekļu atlikumu no 2020. gada valsts budžeta apakšprogrammas 09.21.00 „Augstas klases sasniegumu sports” piešķirtajiem valsts budžeta līdzekļiem  327 699 </w:t>
            </w:r>
            <w:r w:rsidRPr="00DF7A77">
              <w:rPr>
                <w:i/>
              </w:rPr>
              <w:t>euro</w:t>
            </w:r>
            <w:r>
              <w:t xml:space="preserve"> apmērā, kurus IZM rosina pārdalīt spor</w:t>
            </w:r>
            <w:r w:rsidR="00144EA3">
              <w:t>t</w:t>
            </w:r>
            <w:r>
              <w:t>a nozares vajadzībām.</w:t>
            </w:r>
          </w:p>
          <w:p w14:paraId="4D39B406" w14:textId="035CC7C7" w:rsidR="00F079EA" w:rsidRPr="00DF7A77" w:rsidRDefault="00F079EA" w:rsidP="00A17BA6">
            <w:pPr>
              <w:ind w:left="141" w:right="142" w:firstLine="567"/>
              <w:jc w:val="both"/>
            </w:pPr>
            <w:r>
              <w:t xml:space="preserve">(3)  Covid-19 pandēmijas rezultātā 2020. gadā Latvijā nenotiks vairāki iepriekš plānoti starptautiski sporta pasākumi, kā arī </w:t>
            </w:r>
            <w:r w:rsidR="007F54AB">
              <w:t xml:space="preserve">netiks organizēti  vairāki </w:t>
            </w:r>
            <w:r>
              <w:t xml:space="preserve">biedrības „Latvijas Sporta federāciju padome” (turpmāk – LSFP) organizētā konkursā atbalstīti sabiedriski nozīmīgi tautas un skolu jaunatnes sporta pasākumi, </w:t>
            </w:r>
            <w:r w:rsidR="00DF7A77">
              <w:t xml:space="preserve">kā rezultātā LSFP ir informējusi IZM par līdzekļu atlikumu no 2020. gada valsts budžeta apakšprogrammas </w:t>
            </w:r>
            <w:r>
              <w:t xml:space="preserve">09.09.00 „Sporta federācijas un sporta pasākumi” 188 303 </w:t>
            </w:r>
            <w:r w:rsidRPr="00F079EA">
              <w:rPr>
                <w:i/>
              </w:rPr>
              <w:t>euro</w:t>
            </w:r>
            <w:r w:rsidR="007F54AB">
              <w:t xml:space="preserve"> apmērā</w:t>
            </w:r>
            <w:r w:rsidR="00373F4F">
              <w:t>, kurus IZM rosina pārdalīt spor</w:t>
            </w:r>
            <w:r w:rsidR="005F24D7">
              <w:t>t</w:t>
            </w:r>
            <w:r w:rsidR="00373F4F">
              <w:t>a nozares vajadzībām.</w:t>
            </w:r>
          </w:p>
          <w:p w14:paraId="51B68EC4" w14:textId="1296A319" w:rsidR="00F079EA" w:rsidRDefault="00084909" w:rsidP="00A17BA6">
            <w:pPr>
              <w:ind w:left="141" w:right="142" w:firstLine="567"/>
              <w:jc w:val="both"/>
            </w:pPr>
            <w:r>
              <w:t xml:space="preserve">(4) </w:t>
            </w:r>
            <w:r w:rsidR="00DD45C0">
              <w:t xml:space="preserve"> Covid-19 pandēmijas rezultātā </w:t>
            </w:r>
            <w:r w:rsidR="00F079EA">
              <w:t xml:space="preserve">Latvijā nenotiks </w:t>
            </w:r>
            <w:r>
              <w:t xml:space="preserve">2020. gada Eiropas čempionāts kadetiem džudo, kura līdzfinansēšanai </w:t>
            </w:r>
            <w:r w:rsidR="00F079EA">
              <w:t xml:space="preserve">no 2020. gada IZM budžeta </w:t>
            </w:r>
            <w:r w:rsidR="00F079EA" w:rsidRPr="009A5550">
              <w:t>apakšprogrammas 09.16.00 „Dotācija nacionālās nozīmes starptautisku sporta pasākumu organizēšanai Latvijā”</w:t>
            </w:r>
            <w:r>
              <w:t xml:space="preserve"> tika paredzēti 55 000 </w:t>
            </w:r>
            <w:r w:rsidRPr="00084909">
              <w:rPr>
                <w:i/>
              </w:rPr>
              <w:t>euro</w:t>
            </w:r>
            <w:r w:rsidR="009B701E">
              <w:t>, kurus IZM rosina pārdalīt spor</w:t>
            </w:r>
            <w:r w:rsidR="00144EA3">
              <w:t>t</w:t>
            </w:r>
            <w:r w:rsidR="009B701E">
              <w:t>a nozares vajadzībām.</w:t>
            </w:r>
          </w:p>
          <w:p w14:paraId="0C960656" w14:textId="29054944" w:rsidR="00E31785" w:rsidRDefault="001D0FA6" w:rsidP="00214C22">
            <w:pPr>
              <w:ind w:left="141" w:right="142" w:firstLine="567"/>
              <w:jc w:val="both"/>
            </w:pPr>
            <w:r>
              <w:t xml:space="preserve">LNSP </w:t>
            </w:r>
            <w:r w:rsidR="004F380A">
              <w:t xml:space="preserve">2020. gada 17. jūnija sēdē, izskatot jautājumu par </w:t>
            </w:r>
            <w:r w:rsidR="004F380A" w:rsidRPr="00D423AF">
              <w:t>sporta organizācijām 2020. gadā piešķirtā finansējuma izmantošanas kārtību un nosacījumiem, ņemot vērā Covid-19 infekcijas izplatība</w:t>
            </w:r>
            <w:r w:rsidR="004F380A">
              <w:t xml:space="preserve">s dēļ atceltos sporta pasākumus, attiecībā uz sporta pasākumiem, kuru organizēšanai bija plānots līdzfinansējums no 2020. gada IZM budžeta </w:t>
            </w:r>
            <w:r w:rsidR="004F380A" w:rsidRPr="009A5550">
              <w:t xml:space="preserve">apakšprogrammas </w:t>
            </w:r>
            <w:r w:rsidR="00E31785">
              <w:t>09.09.00 „Sporta federācijas un sporta pasākumi”</w:t>
            </w:r>
            <w:r w:rsidR="00DD45C0">
              <w:t xml:space="preserve"> un </w:t>
            </w:r>
            <w:r w:rsidR="00E31785">
              <w:t xml:space="preserve">apakšprogrammas </w:t>
            </w:r>
            <w:r w:rsidR="004F380A" w:rsidRPr="009A5550">
              <w:t>09.16.00 „Dotācija nacionālās nozīmes starptautisku sporta pasākumu organizēšanai Latvijā”</w:t>
            </w:r>
            <w:r w:rsidR="004F380A">
              <w:t>, tika nolemts (</w:t>
            </w:r>
            <w:r w:rsidR="004F380A" w:rsidRPr="00D423AF">
              <w:t>prot</w:t>
            </w:r>
            <w:r w:rsidR="000E5748">
              <w:t>.</w:t>
            </w:r>
            <w:r w:rsidR="004F380A" w:rsidRPr="00D423AF">
              <w:t xml:space="preserve"> Nr.2 </w:t>
            </w:r>
            <w:r w:rsidR="004F380A">
              <w:t>3</w:t>
            </w:r>
            <w:r w:rsidR="004F380A" w:rsidRPr="00D423AF">
              <w:t xml:space="preserve">.§, </w:t>
            </w:r>
            <w:r w:rsidR="00E31785">
              <w:t xml:space="preserve">3.2.5. un </w:t>
            </w:r>
            <w:r w:rsidR="004F380A">
              <w:t xml:space="preserve">3.2.6. </w:t>
            </w:r>
            <w:r w:rsidR="004F380A" w:rsidRPr="00D423AF">
              <w:t>apakšpunkts)</w:t>
            </w:r>
            <w:r w:rsidR="004F380A">
              <w:t xml:space="preserve">, ka </w:t>
            </w:r>
            <w:r w:rsidR="00214C22" w:rsidRPr="00214C22">
              <w:t>šajā</w:t>
            </w:r>
            <w:r w:rsidR="00E31785">
              <w:t>s</w:t>
            </w:r>
            <w:r w:rsidR="00214C22" w:rsidRPr="00214C22">
              <w:t xml:space="preserve"> apakšprogrammā</w:t>
            </w:r>
            <w:r w:rsidR="00E31785">
              <w:t>s</w:t>
            </w:r>
            <w:r w:rsidR="00214C22" w:rsidRPr="00214C22">
              <w:t xml:space="preserve"> ietaupītie līdzekļi apropriācijas kārtībā ir pārdalāmi uz valsts budžeta programmu 02.00.00 „Līdzekļi neparedzētiem gadījumiem”, no kuras ar Ministru kabineta lēmumu tālāk tie var tikt novirzīti citu </w:t>
            </w:r>
            <w:r w:rsidR="00214C22">
              <w:t xml:space="preserve">pasākumu līdzfinansēšanai. Minētais atbilst arī Ministru prezidenta 2020. gada 14. aprīļa rezolūcijā Nr. 2020-1.1.1./38-38 noteiktam. </w:t>
            </w:r>
          </w:p>
          <w:p w14:paraId="5727A449" w14:textId="304D0A56" w:rsidR="008A7790" w:rsidRDefault="00214C22" w:rsidP="00214C22">
            <w:pPr>
              <w:ind w:left="141" w:right="142" w:firstLine="567"/>
              <w:jc w:val="both"/>
            </w:pPr>
            <w:r>
              <w:t xml:space="preserve">Ievērojot minēto, </w:t>
            </w:r>
            <w:r w:rsidR="00553137">
              <w:t xml:space="preserve">kā arī, ņemot vērā </w:t>
            </w:r>
            <w:r w:rsidR="00553137" w:rsidRPr="00553137">
              <w:t>Covid-19 infekcijas izplatības seku</w:t>
            </w:r>
            <w:r w:rsidR="00553137">
              <w:t xml:space="preserve"> pārvarēšanas likuma 25. pantā noteikto </w:t>
            </w:r>
            <w:r w:rsidR="00EE0826">
              <w:t xml:space="preserve">(par finanšu ministra tiesībām </w:t>
            </w:r>
            <w:r w:rsidR="00EE0826" w:rsidRPr="00EE0826">
              <w:t>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w:t>
            </w:r>
            <w:r w:rsidR="00EE0826">
              <w:t>)</w:t>
            </w:r>
            <w:r w:rsidR="00EE0826" w:rsidRPr="00EE0826">
              <w:t>,</w:t>
            </w:r>
            <w:r w:rsidR="008A7790">
              <w:t xml:space="preserve"> kā arī, ņemot vērā Likuma par budžetu un finanšu vadību 9. panta 13.</w:t>
            </w:r>
            <w:r w:rsidR="008A7790" w:rsidRPr="00C820C7">
              <w:rPr>
                <w:vertAlign w:val="superscript"/>
              </w:rPr>
              <w:t>3</w:t>
            </w:r>
            <w:r w:rsidR="008A7790">
              <w:t xml:space="preserve"> daļas 3. punktā noteikto (par finanšu ministra tiesībām veikt a</w:t>
            </w:r>
            <w:r w:rsidR="008A7790" w:rsidRPr="008A7790">
              <w:t>propriācijas pārdali starp programmām, apakšprogrammām un budžeta izdevumu kodiem atbilstoši ekonomiskajām kategorijām budžeta resoram gadskārtējā valsts budžeta likumā noteiktās apropriācijas ietvaros, ja ir pieņemts Ministru kabineta lēmums par apropriācijas pārdali</w:t>
            </w:r>
            <w:r w:rsidR="008A7790">
              <w:t xml:space="preserve"> un </w:t>
            </w:r>
            <w:r w:rsidR="008A7790" w:rsidRPr="008A7790">
              <w:t>Saeimas Budžeta un finanšu (nodokļu) komisija piecu darba dienu laikā no attiecīgās informācijas saņemšanas dienas nav iebildusi pret apropriācijas pārdali</w:t>
            </w:r>
            <w:r w:rsidR="008A7790">
              <w:t xml:space="preserve">), </w:t>
            </w:r>
            <w:r w:rsidR="009C6E17">
              <w:t xml:space="preserve">IZM rosina veikt </w:t>
            </w:r>
            <w:r w:rsidR="00EE0826">
              <w:t>apropriācijas</w:t>
            </w:r>
            <w:r w:rsidR="001D0FA6">
              <w:t xml:space="preserve"> </w:t>
            </w:r>
            <w:r w:rsidR="00D22BC3" w:rsidRPr="00D22BC3">
              <w:t xml:space="preserve">1 379 486 </w:t>
            </w:r>
            <w:r w:rsidR="00EE0826" w:rsidRPr="00EE0826">
              <w:rPr>
                <w:i/>
              </w:rPr>
              <w:t>euro</w:t>
            </w:r>
            <w:r w:rsidR="00EE0826">
              <w:t xml:space="preserve"> apmērā pārdal</w:t>
            </w:r>
            <w:r w:rsidR="009C6E17">
              <w:t>i</w:t>
            </w:r>
            <w:r w:rsidR="00EE0826" w:rsidRPr="00EE0826">
              <w:t xml:space="preserve"> no </w:t>
            </w:r>
            <w:r w:rsidR="00EE0826">
              <w:t>IZM</w:t>
            </w:r>
            <w:r w:rsidR="00A10B31">
              <w:t xml:space="preserve"> budžeta apakšprogrammām (tai skaitā tai skaitā </w:t>
            </w:r>
            <w:r w:rsidR="00D22BC3">
              <w:t>808 484</w:t>
            </w:r>
            <w:r w:rsidR="00A10B31">
              <w:t xml:space="preserve"> </w:t>
            </w:r>
            <w:r w:rsidR="00A10B31" w:rsidRPr="00444438">
              <w:rPr>
                <w:i/>
              </w:rPr>
              <w:t>euro</w:t>
            </w:r>
            <w:r w:rsidR="00A10B31">
              <w:t xml:space="preserve"> apmērā no apakšprogrammas 01.07.00 „Dotācija brīvpusdienu nodrošināšanai 1., 2., 3. </w:t>
            </w:r>
            <w:r w:rsidR="00A10B31">
              <w:lastRenderedPageBreak/>
              <w:t xml:space="preserve">un 4. klases izglītojamiem”, 327 699 </w:t>
            </w:r>
            <w:r w:rsidR="00A10B31" w:rsidRPr="00444438">
              <w:rPr>
                <w:i/>
              </w:rPr>
              <w:t>euro</w:t>
            </w:r>
            <w:r w:rsidR="00A10B31">
              <w:t xml:space="preserve"> apmērā no apakšprogrammas 09.21.00 „Augstas klases sasniegumu sports”, 188 303 </w:t>
            </w:r>
            <w:r w:rsidR="00A10B31" w:rsidRPr="00444438">
              <w:rPr>
                <w:i/>
              </w:rPr>
              <w:t>euro</w:t>
            </w:r>
            <w:r w:rsidR="00A10B31">
              <w:t xml:space="preserve"> apmērā no apakšprogrammas 09.09.00 „Sporta federācijas un sporta pasākumi” un 55 000 </w:t>
            </w:r>
            <w:r w:rsidR="00A10B31" w:rsidRPr="00733436">
              <w:rPr>
                <w:i/>
              </w:rPr>
              <w:t>euro</w:t>
            </w:r>
            <w:r w:rsidR="00A10B31">
              <w:t xml:space="preserve"> apmērā no apakšprogrammas 09.16.00 „Dotācija nacionālās nozīmes starptautisku sporta pasākumu organizēšanai Latvijā”)</w:t>
            </w:r>
            <w:r w:rsidR="00EE0826" w:rsidRPr="00EE0826">
              <w:t xml:space="preserve"> uz budžeta resora „74. Gadskārtējā valsts budžeta izpildes procesā pārdalāmais finansējums” programmu 02.00.00 „Līdzekļi neparedzētiem gadījumiem”</w:t>
            </w:r>
            <w:r w:rsidR="00256019">
              <w:t xml:space="preserve">, lai </w:t>
            </w:r>
            <w:r w:rsidR="00E2376D">
              <w:t xml:space="preserve">nodrošinātu </w:t>
            </w:r>
            <w:r w:rsidR="008A7790">
              <w:t xml:space="preserve">pārdalīto valsts budžeta </w:t>
            </w:r>
            <w:r w:rsidR="00E2376D">
              <w:t xml:space="preserve">līdzekļu tālāku novirzīšanu </w:t>
            </w:r>
            <w:r w:rsidR="008A7790">
              <w:t>IZM prioritārā pasākuma „Valsts funkciju sporta nozarē izpildes nodrošināšana nemainīgā līmenī” (15_01_P) daļējai īstenošanai 2021. gadā</w:t>
            </w:r>
            <w:r w:rsidR="00256019">
              <w:t>.</w:t>
            </w:r>
          </w:p>
          <w:p w14:paraId="0C5AFC19" w14:textId="6AB3B055" w:rsidR="008A7790" w:rsidRDefault="0049070E" w:rsidP="00163AAA">
            <w:pPr>
              <w:ind w:left="141" w:right="142" w:firstLine="567"/>
              <w:jc w:val="both"/>
            </w:pPr>
            <w:r>
              <w:t>Saskaņā ar  Ministru kabineta 2018.</w:t>
            </w:r>
            <w:r w:rsidR="00085333">
              <w:t xml:space="preserve"> </w:t>
            </w:r>
            <w:r>
              <w:t>gada 17.</w:t>
            </w:r>
            <w:r w:rsidR="00085333">
              <w:t xml:space="preserve"> </w:t>
            </w:r>
            <w:r>
              <w:t>jūlija noteikumu Nr.</w:t>
            </w:r>
            <w:r w:rsidR="00AF1362">
              <w:t xml:space="preserve"> </w:t>
            </w:r>
            <w:r>
              <w:t>421 „Kārtība, kādā veic gadskārtējā valsts budžeta likumā noteiktās apropriācijas izmaiņas” 41.</w:t>
            </w:r>
            <w:r w:rsidR="00085333">
              <w:t xml:space="preserve"> </w:t>
            </w:r>
            <w:r>
              <w:t xml:space="preserve">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 panta pirmā daļa. </w:t>
            </w:r>
            <w:r w:rsidR="0013778A">
              <w:t>IZM</w:t>
            </w:r>
            <w:r>
              <w:t xml:space="preserve"> ieskatā </w:t>
            </w:r>
            <w:r w:rsidR="008A7790">
              <w:t>valsts funkciju sporta nozarē izpildes nodrošināšanu nemainīgā līmenī</w:t>
            </w:r>
            <w:r>
              <w:t xml:space="preserve"> var klasificēt kā va</w:t>
            </w:r>
            <w:r w:rsidR="008A7790">
              <w:t xml:space="preserve">lstiski īpaši nozīmīgu pasākumu, jo (1) tas ļaus nodrošināt plānveidīgu sportistu gatavošanu un dalību sporta sacensībās, kā arī nodrošināt plānveidīgu darbu sporta attīstības veicināšanai; (2) tas mazinās risku, ka 2021. gadā Latvijas sportisti un komandu sporta spēļu izlases būs jāatsauc no dalības starptautiskajās sporta sacensībās, kurās tiesības startēt sportists/komanda </w:t>
            </w:r>
            <w:r w:rsidR="00A222BD">
              <w:t xml:space="preserve"> ieguvušas (kvalificējušās) </w:t>
            </w:r>
            <w:r w:rsidR="00225773">
              <w:t>2019. vai 2020. gadā, k</w:t>
            </w:r>
            <w:r w:rsidR="008A7790">
              <w:t xml:space="preserve">ā rezultātā attiecīgi </w:t>
            </w:r>
            <w:r w:rsidR="00256019">
              <w:t>ne</w:t>
            </w:r>
            <w:r w:rsidR="008A7790">
              <w:t>tiks apdraudēta arī iepriekšējos gados ieguldīto līdzekļu lietderība un efektivitāte</w:t>
            </w:r>
            <w:r w:rsidR="00256019">
              <w:t>.</w:t>
            </w:r>
          </w:p>
          <w:p w14:paraId="3457B659" w14:textId="60A66151" w:rsidR="00256019" w:rsidRPr="00444438" w:rsidRDefault="00256019" w:rsidP="00256019">
            <w:pPr>
              <w:ind w:left="141" w:right="142" w:firstLine="567"/>
              <w:jc w:val="both"/>
            </w:pPr>
            <w:r>
              <w:t>Lai nodrošinātu valsts budžeta līdzekļu tālāku novirzīšanu IZM prioritārā pasākuma „Valsts funkciju sporta nozarē izpildes nodrošināšana nemainīgā līmenī” (15_01_P) daļējai īstenošanai 2021. gadā, IZM rosina šos līdzekļus (</w:t>
            </w:r>
            <w:r w:rsidR="00D22BC3" w:rsidRPr="00D22BC3">
              <w:t xml:space="preserve">1 379 486 </w:t>
            </w:r>
            <w:r w:rsidRPr="00256019">
              <w:rPr>
                <w:i/>
              </w:rPr>
              <w:t>euro</w:t>
            </w:r>
            <w:r>
              <w:t xml:space="preserve">) sākotnēji </w:t>
            </w:r>
            <w:r w:rsidR="00580BC6">
              <w:t xml:space="preserve">2020. gadā </w:t>
            </w:r>
            <w:r>
              <w:t xml:space="preserve">novirzīt </w:t>
            </w:r>
            <w:r w:rsidR="00580BC6">
              <w:t xml:space="preserve">IZM </w:t>
            </w:r>
            <w:r>
              <w:t xml:space="preserve">pārskaitīšanai </w:t>
            </w:r>
            <w:r w:rsidR="00580BC6">
              <w:t>LOK</w:t>
            </w:r>
            <w:r>
              <w:t xml:space="preserve"> valsts galvoto aizdevuma atmaksai, </w:t>
            </w:r>
            <w:r w:rsidR="00580BC6">
              <w:t>tai skaitā (</w:t>
            </w:r>
            <w:r w:rsidR="009C6E17">
              <w:t>a</w:t>
            </w:r>
            <w:r w:rsidR="00580BC6">
              <w:t xml:space="preserve">) </w:t>
            </w:r>
            <w:r>
              <w:t xml:space="preserve">385 985 </w:t>
            </w:r>
            <w:r w:rsidRPr="00580BC6">
              <w:rPr>
                <w:i/>
              </w:rPr>
              <w:t>euro</w:t>
            </w:r>
            <w:r>
              <w:t xml:space="preserve"> </w:t>
            </w:r>
            <w:r w:rsidR="00580BC6">
              <w:t xml:space="preserve">novirzīt </w:t>
            </w:r>
            <w:r>
              <w:t>Liepājas Olimpiskā centra projekta īstenošanai saņemtā valsts galvotā aizdevuma 2021. gada maksājuma atmaksai, tādējādi nodroši</w:t>
            </w:r>
            <w:r w:rsidR="00580BC6">
              <w:t>not saistību izpildi 2020. gadā [šis būt</w:t>
            </w:r>
            <w:r w:rsidR="0091030B">
              <w:t>s</w:t>
            </w:r>
            <w:r w:rsidR="00580BC6">
              <w:t xml:space="preserve"> pēdējais maksājums par šo valsts galvoto aizdevumu); (</w:t>
            </w:r>
            <w:r w:rsidR="009C6E17">
              <w:t>b</w:t>
            </w:r>
            <w:r w:rsidR="00580BC6">
              <w:t xml:space="preserve">) </w:t>
            </w:r>
            <w:r w:rsidR="00D22BC3">
              <w:t>993 501</w:t>
            </w:r>
            <w:r>
              <w:t xml:space="preserve"> </w:t>
            </w:r>
            <w:r w:rsidRPr="00580BC6">
              <w:rPr>
                <w:i/>
              </w:rPr>
              <w:t>euro</w:t>
            </w:r>
            <w:r>
              <w:t xml:space="preserve"> </w:t>
            </w:r>
            <w:r w:rsidR="00580BC6">
              <w:t xml:space="preserve">novirzīt </w:t>
            </w:r>
            <w:r>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2021. gada maksājuma daļējai atmaksai, tādējādi nodrošinot saistību daļēju izpildi 2020. gadā.</w:t>
            </w:r>
            <w:r w:rsidR="00580BC6">
              <w:t xml:space="preserve"> </w:t>
            </w:r>
            <w:r w:rsidR="00444438">
              <w:t xml:space="preserve">Iepriekšminētā rezultātā, veicot ātrāku saistību izpildi, </w:t>
            </w:r>
            <w:r w:rsidR="00444438" w:rsidRPr="00444438">
              <w:t xml:space="preserve">2021. gada </w:t>
            </w:r>
            <w:r w:rsidR="00444438">
              <w:t xml:space="preserve">IZM </w:t>
            </w:r>
            <w:r w:rsidR="00444438" w:rsidRPr="00444438">
              <w:t xml:space="preserve">valsts budžeta apakšprogrammā 09.23.00 „Valsts ilgtermiņa saistības sportā – dotācija Latvijas Olimpiskajai komitejai (LOK) – valsts galvoto aizdevumu atmaksai” </w:t>
            </w:r>
            <w:r w:rsidR="00444438">
              <w:t xml:space="preserve">tiek ietaupīti valsts budžeta līdzekļi </w:t>
            </w:r>
            <w:r w:rsidR="00D22BC3" w:rsidRPr="00D22BC3">
              <w:t>1 379</w:t>
            </w:r>
            <w:r w:rsidR="00D22BC3">
              <w:t> </w:t>
            </w:r>
            <w:r w:rsidR="00D22BC3" w:rsidRPr="00D22BC3">
              <w:t xml:space="preserve">486 </w:t>
            </w:r>
            <w:r w:rsidR="00444438" w:rsidRPr="00256019">
              <w:rPr>
                <w:i/>
              </w:rPr>
              <w:t>euro</w:t>
            </w:r>
            <w:r w:rsidR="00BF1054">
              <w:t xml:space="preserve"> apmērā</w:t>
            </w:r>
            <w:r w:rsidR="00444438">
              <w:t xml:space="preserve">, kurus, iesniedzot attiecīgus </w:t>
            </w:r>
            <w:r w:rsidR="0071684D">
              <w:t xml:space="preserve">fiskāli neitrālus </w:t>
            </w:r>
            <w:r w:rsidR="00444438">
              <w:t xml:space="preserve">priekšlikumus </w:t>
            </w:r>
            <w:r w:rsidR="00444438" w:rsidRPr="00444438">
              <w:t xml:space="preserve">likumprojekta „Par valsts budžetu 2021. gadam” un likumprojekta „Par vidēja termiņa budžeta ietvaru 2021., 2022. un 2023. gadam” izskatīšanai Saeimā otrajā lasījumā, </w:t>
            </w:r>
            <w:r w:rsidR="00444438">
              <w:t xml:space="preserve">ir iespējams iekšēji pārdalīt </w:t>
            </w:r>
            <w:r w:rsidR="00CD1A8F">
              <w:t xml:space="preserve">uz </w:t>
            </w:r>
            <w:r w:rsidR="00444438">
              <w:t>citām 2021. gada IZM budžeta programmas 09.00.00 „Sports” apakšprogrammām</w:t>
            </w:r>
            <w:r w:rsidR="00444438" w:rsidRPr="00444438">
              <w:t xml:space="preserve"> </w:t>
            </w:r>
            <w:r w:rsidR="00444438">
              <w:t xml:space="preserve">(09.09., 09.17., 09.21. un 09.25) </w:t>
            </w:r>
            <w:r w:rsidR="00444438" w:rsidRPr="00444438">
              <w:t xml:space="preserve">prioritārā pasākuma </w:t>
            </w:r>
            <w:r w:rsidR="00444438" w:rsidRPr="00444438">
              <w:lastRenderedPageBreak/>
              <w:t>„Valsts funkciju sporta nozarē izpildes nodrošināšana nemainīgā līmenī” (15_01_P) daļējai īstenošanai 2021. gadā</w:t>
            </w:r>
            <w:r w:rsidR="00CD1A8F">
              <w:t>.</w:t>
            </w:r>
          </w:p>
          <w:p w14:paraId="57C2C950" w14:textId="5C666DB4" w:rsidR="00F86291" w:rsidRDefault="00374636" w:rsidP="00374636">
            <w:pPr>
              <w:ind w:left="141" w:right="142"/>
              <w:jc w:val="both"/>
            </w:pPr>
            <w:r>
              <w:tab/>
              <w:t>Saskaņā ar  Ministru kabineta 2018. gada 17. jūlija noteikumu Nr.</w:t>
            </w:r>
            <w:r w:rsidR="00AF1362">
              <w:t xml:space="preserve"> </w:t>
            </w:r>
            <w:r>
              <w:t>421 „Kārtība, kādā veic gadskārtējā valsts budžeta likumā noteiktās apropriācijas izmaiņas” 43. punktu ministrija pieprasījumu apropriācijas pārdalei no programmas „Līdzekļi neparedzētiem gadījumiem” sagatavo kā tiesību akta projektu, ko normatīvajos aktos noteiktajā kārtībā iesniedz izskatīšanai Ministru kabinetā.</w:t>
            </w:r>
            <w:r w:rsidR="00562344">
              <w:t xml:space="preserve"> Ņemot vērā, ka jaut</w:t>
            </w:r>
            <w:r w:rsidR="00F86291">
              <w:t xml:space="preserve">ājums ir saistīts ar veicamo apropriācijas pārdali </w:t>
            </w:r>
            <w:r w:rsidR="008B6B8F">
              <w:t xml:space="preserve">no IZM pamatbudžeta apakšprogrammām </w:t>
            </w:r>
            <w:r w:rsidR="00F86291">
              <w:t xml:space="preserve">uz budžeta </w:t>
            </w:r>
            <w:r w:rsidR="00F86291" w:rsidRPr="00352288">
              <w:t>programmu 02.00.00 „Līdzekļi neparedzētiem gadījumiem”</w:t>
            </w:r>
            <w:r w:rsidR="00F86291">
              <w:t>, lai nodrošinātu nepieciešamo finansējumu, tad arī šajā gadījumā ir nepieciešama Saeimas Budžeta un finanšu (nodokļu) komisijas piekrišana.</w:t>
            </w:r>
          </w:p>
          <w:p w14:paraId="44034AE7" w14:textId="77777777" w:rsidR="00F86291" w:rsidRDefault="00F86291" w:rsidP="00D40423">
            <w:pPr>
              <w:ind w:left="141" w:right="142" w:firstLine="567"/>
              <w:jc w:val="both"/>
            </w:pPr>
          </w:p>
          <w:p w14:paraId="45BAA221" w14:textId="186EB9DA" w:rsidR="00D40423" w:rsidRDefault="0065105A" w:rsidP="00D40423">
            <w:pPr>
              <w:ind w:left="141" w:right="142" w:firstLine="567"/>
              <w:jc w:val="both"/>
            </w:pPr>
            <w:r>
              <w:t>Ievērojot minēto</w:t>
            </w:r>
            <w:r w:rsidR="003B38AA">
              <w:t xml:space="preserve">, </w:t>
            </w:r>
            <w:r w:rsidR="0013778A">
              <w:t>IZM</w:t>
            </w:r>
            <w:r w:rsidR="00B33243" w:rsidRPr="00115792">
              <w:t xml:space="preserve"> ir izstrādājusi</w:t>
            </w:r>
            <w:r w:rsidR="00D40423">
              <w:t>:</w:t>
            </w:r>
          </w:p>
          <w:p w14:paraId="5E05BF6E" w14:textId="682DB5EA" w:rsidR="00665538" w:rsidRDefault="00D40423" w:rsidP="00733436">
            <w:pPr>
              <w:ind w:left="141" w:right="142" w:firstLine="567"/>
              <w:jc w:val="both"/>
            </w:pPr>
            <w:r>
              <w:t>(</w:t>
            </w:r>
            <w:r w:rsidR="000D0EED">
              <w:t>1</w:t>
            </w:r>
            <w:r>
              <w:t xml:space="preserve">) </w:t>
            </w:r>
            <w:r w:rsidRPr="00D40423">
              <w:t>Min</w:t>
            </w:r>
            <w:r>
              <w:t>istru kabineta rīkojuma projektu</w:t>
            </w:r>
            <w:r w:rsidRPr="00D40423">
              <w:t xml:space="preserve"> „</w:t>
            </w:r>
            <w:r w:rsidR="00352288" w:rsidRPr="00352288">
              <w:t>Par apropriācijas pārdali no Izglītības un zinātnes ministrijas budžeta uz valsts budžeta programmu 02.00.00 „Līdzekļi neparedzētiem gadījumiem”</w:t>
            </w:r>
            <w:r w:rsidR="00352288">
              <w:t>”</w:t>
            </w:r>
            <w:r w:rsidR="00665538">
              <w:t xml:space="preserve">, kas paredz (a) </w:t>
            </w:r>
            <w:r w:rsidR="00352288">
              <w:t>a</w:t>
            </w:r>
            <w:r w:rsidR="00352288" w:rsidRPr="00352288">
              <w:t xml:space="preserve">tbalstīt apropriācijas pārdali no </w:t>
            </w:r>
            <w:r w:rsidR="00352288">
              <w:t xml:space="preserve">IZM </w:t>
            </w:r>
            <w:r w:rsidR="00352288" w:rsidRPr="00352288">
              <w:t xml:space="preserve">pamatbudžeta apakšprogrammām uz budžeta resora „74. Gadskārtējā valsts budžeta izpildes procesā pārdalāmais finansējums” programmu 02.00.00 „Līdzekļi neparedzētiem gadījumiem” </w:t>
            </w:r>
            <w:r w:rsidR="00DF5C70">
              <w:br/>
            </w:r>
            <w:r w:rsidR="00D22BC3" w:rsidRPr="00D22BC3">
              <w:t>1 379</w:t>
            </w:r>
            <w:r w:rsidR="00D22BC3">
              <w:t> </w:t>
            </w:r>
            <w:r w:rsidR="00D22BC3" w:rsidRPr="00D22BC3">
              <w:t xml:space="preserve">486 </w:t>
            </w:r>
            <w:r w:rsidR="00352288" w:rsidRPr="00352288">
              <w:rPr>
                <w:i/>
              </w:rPr>
              <w:t>euro</w:t>
            </w:r>
            <w:r w:rsidR="00352288">
              <w:t xml:space="preserve"> apmērā, tai skaitā </w:t>
            </w:r>
            <w:r w:rsidR="00D22BC3">
              <w:t>808 484</w:t>
            </w:r>
            <w:r w:rsidR="00444438">
              <w:t xml:space="preserve"> </w:t>
            </w:r>
            <w:r w:rsidR="00444438" w:rsidRPr="00444438">
              <w:rPr>
                <w:i/>
              </w:rPr>
              <w:t>euro</w:t>
            </w:r>
            <w:r w:rsidR="00444438">
              <w:t xml:space="preserve"> apmērā no apakšprogrammas 01.07.00 „Dotācija brīvpusdienu nodrošināšanai 1., 2., 3. un 4. klases izglītojamiem”, 327 699 </w:t>
            </w:r>
            <w:r w:rsidR="00444438" w:rsidRPr="00444438">
              <w:rPr>
                <w:i/>
              </w:rPr>
              <w:t>euro</w:t>
            </w:r>
            <w:r w:rsidR="00444438">
              <w:t xml:space="preserve"> apmērā no apakšprogrammas 09.21.00 „Augstas klases sasniegumu sports”, 188 303 </w:t>
            </w:r>
            <w:r w:rsidR="00444438" w:rsidRPr="00444438">
              <w:rPr>
                <w:i/>
              </w:rPr>
              <w:t>euro</w:t>
            </w:r>
            <w:r w:rsidR="00444438">
              <w:t xml:space="preserve"> apmērā no apakšprogrammas 09.09.00 „Sporta federācijas un sporta pasākumi”</w:t>
            </w:r>
            <w:r w:rsidR="00733436">
              <w:t xml:space="preserve"> un</w:t>
            </w:r>
            <w:r w:rsidR="00444438">
              <w:t xml:space="preserve"> </w:t>
            </w:r>
            <w:r w:rsidR="00733436">
              <w:br/>
            </w:r>
            <w:r w:rsidR="00444438">
              <w:t xml:space="preserve">55 000 </w:t>
            </w:r>
            <w:r w:rsidR="00444438" w:rsidRPr="00733436">
              <w:rPr>
                <w:i/>
              </w:rPr>
              <w:t>euro</w:t>
            </w:r>
            <w:r w:rsidR="00444438">
              <w:t xml:space="preserve"> apmērā no apakšprogrammas 09.16.00 „Dotācija nacionālās nozīmes starptautisku sporta pasākumu organizēšanai Latvijā”</w:t>
            </w:r>
            <w:r w:rsidR="003617CA">
              <w:t xml:space="preserve">; </w:t>
            </w:r>
            <w:r w:rsidR="00665538">
              <w:t>(b) uzdevumu IZM normatīvajos aktos noteiktajā kārtībā sagatavot un iesniegt Finanšu ministrijā pieprasījumu valsts budžeta apropriācijas pārdalei</w:t>
            </w:r>
            <w:r w:rsidR="00733436">
              <w:t xml:space="preserve">, kā arī </w:t>
            </w:r>
            <w:r w:rsidR="00AF1362">
              <w:t xml:space="preserve">uzdevumu IZM </w:t>
            </w:r>
            <w:r w:rsidR="00733436">
              <w:t xml:space="preserve">nodrošināt, ka LOK un LSFP līdz 2020. gada </w:t>
            </w:r>
            <w:r w:rsidR="002478E6">
              <w:t>3</w:t>
            </w:r>
            <w:r w:rsidR="00733436">
              <w:t xml:space="preserve">. novembrim atmaksā neizlietotos valsts budžeta līdzekļus; </w:t>
            </w:r>
            <w:r w:rsidR="00665538">
              <w:t>(</w:t>
            </w:r>
            <w:r w:rsidR="000E6552">
              <w:t>c</w:t>
            </w:r>
            <w:r w:rsidR="00665538">
              <w:t>) uzdevumu finanšu ministram normatīvajos aktos noteiktajā kārtībā informēt Saeimas Budžeta un finanšu (nodokļu) komisiju par minēto apropriācijas pārdali un, ja Saeimas Budžeta un finanšu (nodokļu) komisija piecu darbdienu laikā pēc attiecīgās informācijas saņemšanas nav izteikusi iebildumus, veikt apropriācijas pārdali;</w:t>
            </w:r>
          </w:p>
          <w:p w14:paraId="55D5A287" w14:textId="0A60E61E" w:rsidR="003127FA" w:rsidRDefault="00D40423" w:rsidP="00733436">
            <w:pPr>
              <w:ind w:left="141" w:right="142" w:firstLine="567"/>
              <w:jc w:val="both"/>
            </w:pPr>
            <w:r>
              <w:t>(</w:t>
            </w:r>
            <w:r w:rsidR="000D0EED">
              <w:t>2</w:t>
            </w:r>
            <w:r>
              <w:t xml:space="preserve">) </w:t>
            </w:r>
            <w:r w:rsidRPr="00D40423">
              <w:t>Ministru kabineta rīkojuma projekt</w:t>
            </w:r>
            <w:r>
              <w:t>u</w:t>
            </w:r>
            <w:r w:rsidRPr="00D40423">
              <w:t xml:space="preserve"> „Par finanšu līdzekļu piešķiršanu no valsts budžeta programmas „Līdz</w:t>
            </w:r>
            <w:r>
              <w:t>ekļi neparedzētiem gadījumiem””, kas paredz</w:t>
            </w:r>
            <w:r w:rsidR="00F81BFB">
              <w:t xml:space="preserve"> (</w:t>
            </w:r>
            <w:r w:rsidR="008B6B8F">
              <w:t>a</w:t>
            </w:r>
            <w:r w:rsidR="00F81BFB">
              <w:t xml:space="preserve">) </w:t>
            </w:r>
            <w:r w:rsidR="001E5518">
              <w:t xml:space="preserve">uzdevumu </w:t>
            </w:r>
            <w:r w:rsidR="001E5518" w:rsidRPr="001E5518">
              <w:t xml:space="preserve">Finanšu ministrijai </w:t>
            </w:r>
            <w:r w:rsidR="00733436">
              <w:t xml:space="preserve">no valsts budžeta programmas 02.00.00 „Līdzekļi neparedzētiem gadījumiem” piešķirt IZM </w:t>
            </w:r>
            <w:r w:rsidR="00D22BC3" w:rsidRPr="00D22BC3">
              <w:t>1 379</w:t>
            </w:r>
            <w:r w:rsidR="00D22BC3">
              <w:t> </w:t>
            </w:r>
            <w:r w:rsidR="00D22BC3" w:rsidRPr="00D22BC3">
              <w:t xml:space="preserve">486 </w:t>
            </w:r>
            <w:r w:rsidR="00733436" w:rsidRPr="00733436">
              <w:rPr>
                <w:i/>
              </w:rPr>
              <w:t>euro</w:t>
            </w:r>
            <w:r w:rsidR="00733436">
              <w:t xml:space="preserve"> pārskaitīšanai LOK valsts galvoto aizdevum</w:t>
            </w:r>
            <w:r w:rsidR="002478E6">
              <w:t>u</w:t>
            </w:r>
            <w:r w:rsidR="00733436">
              <w:t xml:space="preserve"> atmaksai, tai skaitā [a] 385 985 </w:t>
            </w:r>
            <w:r w:rsidR="00733436" w:rsidRPr="00733436">
              <w:rPr>
                <w:i/>
              </w:rPr>
              <w:t>euro</w:t>
            </w:r>
            <w:r w:rsidR="00733436">
              <w:t xml:space="preserve"> Liepājas Olimpiskā centra projekta īstenošanai saņemtā valsts galvotā aizdevuma 2021. gada maksājuma atmaksai, tādējādi nodrošinot saistību izpildi 2020. gadā un [b] </w:t>
            </w:r>
            <w:r w:rsidR="00D22BC3">
              <w:t>993 501</w:t>
            </w:r>
            <w:r w:rsidR="00733436">
              <w:t xml:space="preserve"> </w:t>
            </w:r>
            <w:r w:rsidR="00733436" w:rsidRPr="00733436">
              <w:rPr>
                <w:i/>
              </w:rPr>
              <w:t>euro</w:t>
            </w:r>
            <w:r w:rsidR="00733436">
              <w:t xml:space="preserve">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2021. gada maksājuma daļējai atmaksai, tādējādi nodrošinot saistību daļēju izpildi 2020. gadā; </w:t>
            </w:r>
            <w:r w:rsidR="00F81BFB">
              <w:t>(</w:t>
            </w:r>
            <w:r w:rsidR="008B6B8F">
              <w:t>b</w:t>
            </w:r>
            <w:r w:rsidR="00F81BFB">
              <w:t xml:space="preserve">) uzdevumu IZM normatīvajos aktos noteiktajā kārtībā sagatavot un iesniegt Finanšu ministrijā pieprasījumu valsts budžeta apropriācijas pārdalei, kā arī </w:t>
            </w:r>
            <w:r w:rsidR="00287551">
              <w:t xml:space="preserve">uzdevumu IZM </w:t>
            </w:r>
            <w:r w:rsidR="00733436">
              <w:lastRenderedPageBreak/>
              <w:t xml:space="preserve">nodrošināt, ka LOK </w:t>
            </w:r>
            <w:r w:rsidR="00733436" w:rsidRPr="00733436">
              <w:t>valsts budžeta līdzekļus valsts galvoto aizdevumu 2021. gada maksājumiem izlieto līdz 2020. gada 15. decembrim</w:t>
            </w:r>
            <w:r w:rsidR="00733436">
              <w:t>;</w:t>
            </w:r>
            <w:r w:rsidR="00733436" w:rsidRPr="00733436">
              <w:t xml:space="preserve"> </w:t>
            </w:r>
            <w:r w:rsidR="00F81BFB">
              <w:t>(</w:t>
            </w:r>
            <w:r w:rsidR="008B6B8F">
              <w:t>c</w:t>
            </w:r>
            <w:r w:rsidR="00F81BFB">
              <w:t>) uzdevumu finanšu ministram normatīvajos aktos noteiktajā kārtībā informēt Saeimas Budžeta un finanšu (nodokļu) komisiju par minēto apropriācijas pārdali un, ja Saeimas Budžeta un finanšu (nodokļu) komisija piecu darbdienu laikā pēc attiecīgās informācijas saņemšanas nav izteikusi iebildum</w:t>
            </w:r>
            <w:r w:rsidR="00733436">
              <w:t>us, veikt apropriācijas pārdali;</w:t>
            </w:r>
          </w:p>
          <w:p w14:paraId="4A2A053D" w14:textId="44203B8D" w:rsidR="00287551" w:rsidRPr="00945164" w:rsidRDefault="00733436" w:rsidP="00D22BC3">
            <w:pPr>
              <w:ind w:left="141" w:right="142" w:firstLine="567"/>
              <w:jc w:val="both"/>
            </w:pPr>
            <w:r>
              <w:t>(3) Ministru kabineta sēdes protokollēmuma projektu</w:t>
            </w:r>
            <w:r w:rsidR="0024757F">
              <w:t xml:space="preserve"> (turpmāk – Protokollēmuma projekts)</w:t>
            </w:r>
            <w:r>
              <w:t xml:space="preserve">, kas </w:t>
            </w:r>
            <w:r w:rsidR="0024757F">
              <w:t xml:space="preserve">paredz (a) </w:t>
            </w:r>
            <w:r w:rsidR="00287551">
              <w:t xml:space="preserve">atbalstīt IZM priekšlikumu par finanšu resursu </w:t>
            </w:r>
            <w:r w:rsidR="00D22BC3" w:rsidRPr="00D22BC3">
              <w:t>1 379</w:t>
            </w:r>
            <w:r w:rsidR="00D22BC3">
              <w:t> </w:t>
            </w:r>
            <w:r w:rsidR="00D22BC3" w:rsidRPr="00D22BC3">
              <w:t xml:space="preserve">486 </w:t>
            </w:r>
            <w:r w:rsidR="00287551" w:rsidRPr="00287551">
              <w:rPr>
                <w:i/>
              </w:rPr>
              <w:t>euro</w:t>
            </w:r>
            <w:r w:rsidR="00287551">
              <w:t xml:space="preserve"> apmērā ietaupījuma, kas 2021. gada valsts budžeta apakšprogrammā 09.23.00 „Valsts ilgtermiņa saistības sportā – dotācija Latvijas Olimpiskajai komitejai (LOK) – valsts galvoto aizdevumu atmaksai” rodas pēc valsts budžeta līdzekļu piešķiršanas LOK valsts galvoto aizdevumu 2021. gada maksājumu daļējai atmaksai 2020. gadā, novirzīšanu IZM prioritārā pasākuma „Valsts funkciju sporta nozarē izpildes nodrošināšana nemainīgā līmenī” (15_01_P) daļējai īstenošanai 2021. gadā; (b) uzdevumu IZM iesniegt priekšlikumus likumprojekta „Par valsts budžetu 2021. gadam” un likumprojekta „Par vidēja termiņa budžeta ietvaru 2021., 2022. un 2023. gadam” izskatīšanai Saeimā otrajā lasījumā, paredzot [a] finansējuma samazinājumu 2021. gada valsts budžeta apakšprogrammā 09.23.00 „Valsts ilgtermiņa saistības sportā – dotācija Latvijas Olimpiskajai komitejai (LOK) – valsts galvoto aizdevumu atmaksai” par </w:t>
            </w:r>
            <w:r w:rsidR="00D22BC3" w:rsidRPr="00D22BC3">
              <w:t>1 379</w:t>
            </w:r>
            <w:r w:rsidR="00D22BC3">
              <w:t> </w:t>
            </w:r>
            <w:r w:rsidR="00D22BC3" w:rsidRPr="00D22BC3">
              <w:t xml:space="preserve">486 </w:t>
            </w:r>
            <w:r w:rsidR="00287551" w:rsidRPr="00287551">
              <w:rPr>
                <w:i/>
              </w:rPr>
              <w:t>euro</w:t>
            </w:r>
            <w:r w:rsidR="006866FD">
              <w:t xml:space="preserve">; [b] </w:t>
            </w:r>
            <w:r w:rsidR="00287551">
              <w:t xml:space="preserve">finansējuma palielinājumu 2021. gada valsts budžeta apakšprogrammā 09.09.00. „Sporta federācijas un sporta pasākumi” par 275 000 </w:t>
            </w:r>
            <w:r w:rsidR="00287551" w:rsidRPr="00287551">
              <w:rPr>
                <w:i/>
              </w:rPr>
              <w:t xml:space="preserve"> euro</w:t>
            </w:r>
            <w:r w:rsidR="006866FD">
              <w:t xml:space="preserve">; [c] </w:t>
            </w:r>
            <w:r w:rsidR="00287551">
              <w:t xml:space="preserve">finansējuma palielinājumu 2021. gada valsts budžeta apakšprogrammā 09.17.00. „Dotācija komandu sporta spēļu izlašu nodrošināšanai” par </w:t>
            </w:r>
            <w:r w:rsidR="006866FD">
              <w:br/>
            </w:r>
            <w:r w:rsidR="00287551">
              <w:t xml:space="preserve">139 189 </w:t>
            </w:r>
            <w:r w:rsidR="00287551" w:rsidRPr="00287551">
              <w:rPr>
                <w:i/>
              </w:rPr>
              <w:t xml:space="preserve"> euro</w:t>
            </w:r>
            <w:r w:rsidR="006866FD">
              <w:t xml:space="preserve">; [d] </w:t>
            </w:r>
            <w:r w:rsidR="00287551">
              <w:t xml:space="preserve">finansējuma palielinājumu 2021. gada valsts budžeta apakšprogrammā 09.21.00. „Augstas klases sasniegumu sports” par </w:t>
            </w:r>
            <w:r w:rsidR="006866FD">
              <w:br/>
            </w:r>
            <w:r w:rsidR="00D22BC3">
              <w:t>875 252</w:t>
            </w:r>
            <w:r w:rsidR="00287551">
              <w:t xml:space="preserve"> </w:t>
            </w:r>
            <w:r w:rsidR="00287551" w:rsidRPr="00287551">
              <w:rPr>
                <w:i/>
              </w:rPr>
              <w:t xml:space="preserve"> euro</w:t>
            </w:r>
            <w:r w:rsidR="006866FD">
              <w:t xml:space="preserve">; [e] </w:t>
            </w:r>
            <w:r w:rsidR="00287551">
              <w:t xml:space="preserve">finansējuma palielinājumu 2021. gada valsts budžeta apakšprogrammā 09.25.00. „Dotācija biedrībai „Latvijas Paralimpiskā komiteja” pielāgotā sporta attīstībai” par 90 045 </w:t>
            </w:r>
            <w:r w:rsidR="00287551" w:rsidRPr="00287551">
              <w:rPr>
                <w:i/>
              </w:rPr>
              <w:t xml:space="preserve"> euro</w:t>
            </w:r>
            <w:r w:rsidR="00287551">
              <w:t>.</w:t>
            </w:r>
          </w:p>
        </w:tc>
      </w:tr>
      <w:tr w:rsidR="00585B7B" w:rsidRPr="00317B6A" w14:paraId="42AC8649" w14:textId="77777777" w:rsidTr="000E5748">
        <w:trPr>
          <w:trHeight w:val="476"/>
        </w:trPr>
        <w:tc>
          <w:tcPr>
            <w:tcW w:w="562" w:type="dxa"/>
          </w:tcPr>
          <w:p w14:paraId="308FAEA2" w14:textId="118C4D93"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3B5200AB" w:rsidR="00643E6C" w:rsidRPr="00317B6A" w:rsidRDefault="00BB3C51" w:rsidP="0071684D">
            <w:pPr>
              <w:ind w:left="101" w:right="142"/>
              <w:jc w:val="both"/>
            </w:pPr>
            <w:r>
              <w:t xml:space="preserve">Rīkojuma </w:t>
            </w:r>
            <w:r w:rsidR="00B73BB9">
              <w:t>projektu</w:t>
            </w:r>
            <w:r w:rsidR="00665538">
              <w:t>s</w:t>
            </w:r>
            <w:r w:rsidR="00B73BB9">
              <w:t xml:space="preserve"> </w:t>
            </w:r>
            <w:r w:rsidR="0024757F">
              <w:t xml:space="preserve">un  Protokollēmuma projektu </w:t>
            </w:r>
            <w:r w:rsidR="00DC332F" w:rsidRPr="00317B6A">
              <w:t>izstrādāja IZM.</w:t>
            </w:r>
            <w:r w:rsidR="00790CFC">
              <w:t xml:space="preserve"> </w:t>
            </w:r>
            <w:r>
              <w:t xml:space="preserve">Rīkojuma </w:t>
            </w:r>
            <w:r w:rsidR="00790CFC">
              <w:t xml:space="preserve">projekta </w:t>
            </w:r>
            <w:r w:rsidR="0024757F">
              <w:t xml:space="preserve">un Protokollēmuma projekta </w:t>
            </w:r>
            <w:r w:rsidR="00790CFC">
              <w:t>izstrādes procesā notikušas konsu</w:t>
            </w:r>
            <w:r w:rsidR="0065105A">
              <w:t xml:space="preserve">ltācijas ar </w:t>
            </w:r>
            <w:r w:rsidR="00733436">
              <w:t>LOK, LSFP un biedrību „Latvijas Džudo federācija”</w:t>
            </w:r>
            <w:r w:rsidR="00665538">
              <w:t>.</w:t>
            </w:r>
          </w:p>
        </w:tc>
      </w:tr>
      <w:tr w:rsidR="00585B7B" w:rsidRPr="00317B6A" w14:paraId="26593524" w14:textId="77777777" w:rsidTr="000E5748">
        <w:tc>
          <w:tcPr>
            <w:tcW w:w="562" w:type="dxa"/>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13E4AB7F" w:rsidR="002D5B95" w:rsidRPr="00317B6A" w:rsidRDefault="00EB687E" w:rsidP="0024757F">
            <w:pPr>
              <w:ind w:left="114" w:right="127"/>
              <w:jc w:val="both"/>
            </w:pPr>
            <w:r w:rsidRPr="00EB687E">
              <w:t>Rīkojuma projekt</w:t>
            </w:r>
            <w:r w:rsidR="00665538">
              <w:t>i</w:t>
            </w:r>
            <w:r w:rsidRPr="00EB687E">
              <w:t xml:space="preserve"> </w:t>
            </w:r>
            <w:r w:rsidR="0024757F">
              <w:t xml:space="preserve">un  Protokollēmuma projekts </w:t>
            </w:r>
            <w:r w:rsidRPr="00EB687E">
              <w:t>tiešā veidā attiecas uz  budžeta un finanšu politiku</w:t>
            </w:r>
            <w:r w:rsidR="00665538">
              <w:t>. Pastarpināti Rīkojuma projekti</w:t>
            </w:r>
            <w:r w:rsidR="0024757F">
              <w:t xml:space="preserve"> un  Protokollēmuma projekts</w:t>
            </w:r>
            <w:r w:rsidR="0024757F" w:rsidRPr="00EB687E">
              <w:t xml:space="preserve"> </w:t>
            </w:r>
            <w:r w:rsidRPr="00EB687E">
              <w:t>attiecas uz tūrisma, sporta un brīvā laika politiku (sporta politiku).</w:t>
            </w:r>
          </w:p>
        </w:tc>
      </w:tr>
    </w:tbl>
    <w:p w14:paraId="3665AB6A" w14:textId="1B5A0D40" w:rsidR="00DF5C70" w:rsidRDefault="00DF5C70"/>
    <w:p w14:paraId="5E85929D" w14:textId="231F79C2" w:rsidR="00287551" w:rsidRDefault="00287551">
      <w:pPr>
        <w:rPr>
          <w:b/>
          <w:bCs/>
        </w:rPr>
      </w:pPr>
    </w:p>
    <w:p w14:paraId="39CF747C" w14:textId="66B49595" w:rsidR="006E7A0E" w:rsidRDefault="006E7A0E">
      <w:pPr>
        <w:rPr>
          <w:b/>
          <w:bCs/>
        </w:rPr>
      </w:pPr>
    </w:p>
    <w:p w14:paraId="38DB5B7B" w14:textId="77777777" w:rsidR="006E7A0E" w:rsidRDefault="006E7A0E"/>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4484E845"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4D0DCDA9" w:rsidR="00C66A35" w:rsidRPr="00B24229" w:rsidRDefault="00B5403D" w:rsidP="001B2A96">
            <w:pPr>
              <w:ind w:right="127"/>
              <w:jc w:val="center"/>
            </w:pPr>
            <w:r>
              <w:t>Projekti</w:t>
            </w:r>
            <w:r w:rsidR="00C66A35" w:rsidRPr="00C3572A">
              <w:t xml:space="preserve"> šo jomu neskar</w:t>
            </w:r>
          </w:p>
        </w:tc>
      </w:tr>
    </w:tbl>
    <w:p w14:paraId="57D827AB" w14:textId="77777777" w:rsidR="00A10B31" w:rsidRDefault="00A10B31"/>
    <w:p w14:paraId="427602C1" w14:textId="77777777" w:rsidR="006C697C" w:rsidRDefault="006C697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15"/>
        <w:gridCol w:w="1383"/>
        <w:gridCol w:w="1093"/>
        <w:gridCol w:w="1202"/>
        <w:gridCol w:w="1093"/>
        <w:gridCol w:w="1187"/>
        <w:gridCol w:w="1150"/>
      </w:tblGrid>
      <w:tr w:rsidR="00DA708F" w:rsidRPr="0033617F" w14:paraId="23001469" w14:textId="77777777" w:rsidTr="00EE6938">
        <w:trPr>
          <w:trHeight w:val="361"/>
          <w:jc w:val="center"/>
        </w:trPr>
        <w:tc>
          <w:tcPr>
            <w:tcW w:w="10343"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EE6938">
        <w:trPr>
          <w:jc w:val="center"/>
        </w:trPr>
        <w:tc>
          <w:tcPr>
            <w:tcW w:w="217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37" w:type="dxa"/>
            <w:gridSpan w:val="2"/>
            <w:vMerge w:val="restart"/>
            <w:vAlign w:val="center"/>
          </w:tcPr>
          <w:p w14:paraId="22EC0AC1" w14:textId="77777777" w:rsidR="00DA708F" w:rsidRPr="0033617F" w:rsidRDefault="008C2D86" w:rsidP="001B2A96">
            <w:pPr>
              <w:jc w:val="center"/>
              <w:rPr>
                <w:b/>
              </w:rPr>
            </w:pPr>
            <w:r>
              <w:rPr>
                <w:b/>
              </w:rPr>
              <w:t>2020</w:t>
            </w:r>
          </w:p>
        </w:tc>
        <w:tc>
          <w:tcPr>
            <w:tcW w:w="5631"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EE6938">
        <w:trPr>
          <w:jc w:val="center"/>
        </w:trPr>
        <w:tc>
          <w:tcPr>
            <w:tcW w:w="2175" w:type="dxa"/>
            <w:vMerge/>
            <w:vAlign w:val="center"/>
          </w:tcPr>
          <w:p w14:paraId="42C1DC4E" w14:textId="77777777" w:rsidR="00DA708F" w:rsidRPr="0033617F" w:rsidRDefault="00DA708F" w:rsidP="001B2A96">
            <w:pPr>
              <w:jc w:val="center"/>
              <w:rPr>
                <w:b/>
                <w:i/>
              </w:rPr>
            </w:pPr>
          </w:p>
        </w:tc>
        <w:tc>
          <w:tcPr>
            <w:tcW w:w="2537" w:type="dxa"/>
            <w:gridSpan w:val="2"/>
            <w:vMerge/>
            <w:vAlign w:val="center"/>
          </w:tcPr>
          <w:p w14:paraId="222D68FD" w14:textId="77777777" w:rsidR="00DA708F" w:rsidRPr="0033617F" w:rsidRDefault="00DA708F" w:rsidP="001B2A96">
            <w:pPr>
              <w:jc w:val="center"/>
              <w:rPr>
                <w:b/>
                <w:i/>
              </w:rPr>
            </w:pPr>
          </w:p>
        </w:tc>
        <w:tc>
          <w:tcPr>
            <w:tcW w:w="2320" w:type="dxa"/>
            <w:gridSpan w:val="2"/>
            <w:vAlign w:val="center"/>
          </w:tcPr>
          <w:p w14:paraId="432184C8" w14:textId="77777777" w:rsidR="00DA708F" w:rsidRPr="0033617F" w:rsidRDefault="008C2D86" w:rsidP="001B2A96">
            <w:pPr>
              <w:jc w:val="center"/>
              <w:rPr>
                <w:b/>
                <w:i/>
              </w:rPr>
            </w:pPr>
            <w:r>
              <w:rPr>
                <w:b/>
                <w:bCs/>
              </w:rPr>
              <w:t>2021</w:t>
            </w:r>
          </w:p>
        </w:tc>
        <w:tc>
          <w:tcPr>
            <w:tcW w:w="2303" w:type="dxa"/>
            <w:gridSpan w:val="2"/>
            <w:vAlign w:val="center"/>
          </w:tcPr>
          <w:p w14:paraId="77EFC272" w14:textId="77777777" w:rsidR="00DA708F" w:rsidRDefault="008C2D86" w:rsidP="001B2A96">
            <w:pPr>
              <w:jc w:val="center"/>
              <w:rPr>
                <w:b/>
                <w:bCs/>
              </w:rPr>
            </w:pPr>
            <w:r>
              <w:rPr>
                <w:b/>
                <w:bCs/>
              </w:rPr>
              <w:t>2022</w:t>
            </w:r>
          </w:p>
        </w:tc>
        <w:tc>
          <w:tcPr>
            <w:tcW w:w="1008"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EE6938">
        <w:trPr>
          <w:jc w:val="center"/>
        </w:trPr>
        <w:tc>
          <w:tcPr>
            <w:tcW w:w="2175" w:type="dxa"/>
            <w:vMerge/>
            <w:vAlign w:val="center"/>
          </w:tcPr>
          <w:p w14:paraId="5D836921" w14:textId="77777777" w:rsidR="00265934" w:rsidRPr="0033617F" w:rsidRDefault="00265934" w:rsidP="00265934">
            <w:pPr>
              <w:jc w:val="center"/>
              <w:rPr>
                <w:b/>
                <w:i/>
              </w:rPr>
            </w:pPr>
          </w:p>
        </w:tc>
        <w:tc>
          <w:tcPr>
            <w:tcW w:w="1123" w:type="dxa"/>
            <w:vAlign w:val="center"/>
          </w:tcPr>
          <w:p w14:paraId="15650775" w14:textId="001F54E2" w:rsidR="00265934" w:rsidRPr="0033617F" w:rsidRDefault="00265934" w:rsidP="00265934">
            <w:pPr>
              <w:jc w:val="center"/>
              <w:rPr>
                <w:b/>
                <w:i/>
              </w:rPr>
            </w:pPr>
            <w:r w:rsidRPr="003350F2">
              <w:t xml:space="preserve">saskaņā ar valsts </w:t>
            </w:r>
            <w:r w:rsidRPr="003350F2">
              <w:lastRenderedPageBreak/>
              <w:t>budžetu kārtējam gadam</w:t>
            </w:r>
          </w:p>
        </w:tc>
        <w:tc>
          <w:tcPr>
            <w:tcW w:w="1414" w:type="dxa"/>
            <w:vAlign w:val="center"/>
          </w:tcPr>
          <w:p w14:paraId="5FDBDFA1" w14:textId="4989E7F1" w:rsidR="00265934" w:rsidRPr="0033617F" w:rsidRDefault="00265934" w:rsidP="00265934">
            <w:pPr>
              <w:jc w:val="center"/>
              <w:rPr>
                <w:b/>
                <w:i/>
              </w:rPr>
            </w:pPr>
            <w:r w:rsidRPr="003350F2">
              <w:lastRenderedPageBreak/>
              <w:t xml:space="preserve">izmaiņas kārtējā </w:t>
            </w:r>
            <w:r w:rsidRPr="003350F2">
              <w:lastRenderedPageBreak/>
              <w:t>gadā, salīdzinot ar budžetu kārtējam gadam</w:t>
            </w:r>
          </w:p>
        </w:tc>
        <w:tc>
          <w:tcPr>
            <w:tcW w:w="1111" w:type="dxa"/>
            <w:vAlign w:val="center"/>
          </w:tcPr>
          <w:p w14:paraId="111F124F" w14:textId="240B02E7" w:rsidR="00265934" w:rsidRPr="00183338" w:rsidRDefault="00265934" w:rsidP="00265934">
            <w:pPr>
              <w:jc w:val="center"/>
            </w:pPr>
            <w:r w:rsidRPr="003350F2">
              <w:lastRenderedPageBreak/>
              <w:t xml:space="preserve">saskaņā ar vidēja </w:t>
            </w:r>
            <w:r w:rsidRPr="003350F2">
              <w:lastRenderedPageBreak/>
              <w:t>termiņa budžeta ietvaru</w:t>
            </w:r>
          </w:p>
        </w:tc>
        <w:tc>
          <w:tcPr>
            <w:tcW w:w="1209" w:type="dxa"/>
            <w:vAlign w:val="center"/>
          </w:tcPr>
          <w:p w14:paraId="6E599D60" w14:textId="77777777" w:rsidR="00265934" w:rsidRPr="003350F2" w:rsidRDefault="00265934" w:rsidP="00265934">
            <w:pPr>
              <w:jc w:val="center"/>
            </w:pPr>
            <w:r w:rsidRPr="003350F2">
              <w:lastRenderedPageBreak/>
              <w:t xml:space="preserve">izmaiņas, salīdzinot </w:t>
            </w:r>
            <w:r w:rsidRPr="003350F2">
              <w:lastRenderedPageBreak/>
              <w:t>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11" w:type="dxa"/>
            <w:vAlign w:val="center"/>
          </w:tcPr>
          <w:p w14:paraId="39658717" w14:textId="695023D4" w:rsidR="00265934" w:rsidRPr="00183338" w:rsidRDefault="00265934" w:rsidP="00265934">
            <w:pPr>
              <w:jc w:val="center"/>
            </w:pPr>
            <w:r w:rsidRPr="003350F2">
              <w:lastRenderedPageBreak/>
              <w:t xml:space="preserve">saskaņā ar vidēja </w:t>
            </w:r>
            <w:r w:rsidRPr="003350F2">
              <w:lastRenderedPageBreak/>
              <w:t>termiņa budžeta ietvaru</w:t>
            </w:r>
          </w:p>
        </w:tc>
        <w:tc>
          <w:tcPr>
            <w:tcW w:w="1192" w:type="dxa"/>
            <w:vAlign w:val="center"/>
          </w:tcPr>
          <w:p w14:paraId="12EF6955" w14:textId="77777777" w:rsidR="00265934" w:rsidRPr="003350F2" w:rsidRDefault="00265934" w:rsidP="00265934">
            <w:pPr>
              <w:jc w:val="center"/>
            </w:pPr>
            <w:r w:rsidRPr="003350F2">
              <w:lastRenderedPageBreak/>
              <w:t xml:space="preserve">izmaiņas, salīdzinot </w:t>
            </w:r>
            <w:r w:rsidRPr="003350F2">
              <w:lastRenderedPageBreak/>
              <w:t xml:space="preserve">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008" w:type="dxa"/>
            <w:vAlign w:val="center"/>
          </w:tcPr>
          <w:p w14:paraId="1A1F803F" w14:textId="77777777" w:rsidR="00265934" w:rsidRPr="003350F2" w:rsidRDefault="00265934" w:rsidP="00265934">
            <w:pPr>
              <w:jc w:val="center"/>
            </w:pPr>
            <w:r w:rsidRPr="003350F2">
              <w:lastRenderedPageBreak/>
              <w:t xml:space="preserve">izmaiņas, salīdzinot </w:t>
            </w:r>
            <w:r w:rsidRPr="003350F2">
              <w:lastRenderedPageBreak/>
              <w:t xml:space="preserve">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EE6938">
        <w:trPr>
          <w:jc w:val="center"/>
        </w:trPr>
        <w:tc>
          <w:tcPr>
            <w:tcW w:w="2175" w:type="dxa"/>
            <w:vAlign w:val="center"/>
          </w:tcPr>
          <w:p w14:paraId="02288EDF" w14:textId="77777777" w:rsidR="00DA708F" w:rsidRPr="0033617F" w:rsidRDefault="00DA708F" w:rsidP="001B2A96">
            <w:pPr>
              <w:jc w:val="center"/>
              <w:rPr>
                <w:bCs/>
              </w:rPr>
            </w:pPr>
            <w:r w:rsidRPr="0033617F">
              <w:rPr>
                <w:bCs/>
              </w:rPr>
              <w:lastRenderedPageBreak/>
              <w:t>1</w:t>
            </w:r>
          </w:p>
        </w:tc>
        <w:tc>
          <w:tcPr>
            <w:tcW w:w="1123" w:type="dxa"/>
            <w:vAlign w:val="center"/>
          </w:tcPr>
          <w:p w14:paraId="68FDB516" w14:textId="77777777" w:rsidR="00DA708F" w:rsidRPr="0033617F" w:rsidRDefault="00DA708F" w:rsidP="001B2A96">
            <w:pPr>
              <w:jc w:val="center"/>
              <w:rPr>
                <w:bCs/>
              </w:rPr>
            </w:pPr>
            <w:r w:rsidRPr="0033617F">
              <w:rPr>
                <w:bCs/>
              </w:rPr>
              <w:t>2</w:t>
            </w:r>
          </w:p>
        </w:tc>
        <w:tc>
          <w:tcPr>
            <w:tcW w:w="1414" w:type="dxa"/>
            <w:vAlign w:val="center"/>
          </w:tcPr>
          <w:p w14:paraId="6818F00C" w14:textId="77777777" w:rsidR="00DA708F" w:rsidRPr="0033617F" w:rsidRDefault="00DA708F" w:rsidP="001B2A96">
            <w:pPr>
              <w:jc w:val="center"/>
              <w:rPr>
                <w:bCs/>
              </w:rPr>
            </w:pPr>
            <w:r w:rsidRPr="0033617F">
              <w:rPr>
                <w:bCs/>
              </w:rPr>
              <w:t>3</w:t>
            </w:r>
          </w:p>
        </w:tc>
        <w:tc>
          <w:tcPr>
            <w:tcW w:w="1111" w:type="dxa"/>
            <w:vAlign w:val="center"/>
          </w:tcPr>
          <w:p w14:paraId="1FBDF226" w14:textId="77777777" w:rsidR="00DA708F" w:rsidRPr="0033617F" w:rsidRDefault="00DA708F" w:rsidP="001B2A96">
            <w:pPr>
              <w:jc w:val="center"/>
              <w:rPr>
                <w:bCs/>
              </w:rPr>
            </w:pPr>
            <w:r w:rsidRPr="0033617F">
              <w:rPr>
                <w:bCs/>
              </w:rPr>
              <w:t>4</w:t>
            </w:r>
          </w:p>
        </w:tc>
        <w:tc>
          <w:tcPr>
            <w:tcW w:w="1209" w:type="dxa"/>
            <w:vAlign w:val="center"/>
          </w:tcPr>
          <w:p w14:paraId="54FF63F6" w14:textId="77777777" w:rsidR="00DA708F" w:rsidRPr="0033617F" w:rsidRDefault="00DA708F" w:rsidP="001B2A96">
            <w:pPr>
              <w:jc w:val="center"/>
              <w:rPr>
                <w:bCs/>
              </w:rPr>
            </w:pPr>
            <w:r w:rsidRPr="0033617F">
              <w:rPr>
                <w:bCs/>
              </w:rPr>
              <w:t>5</w:t>
            </w:r>
          </w:p>
        </w:tc>
        <w:tc>
          <w:tcPr>
            <w:tcW w:w="1111" w:type="dxa"/>
            <w:vAlign w:val="center"/>
          </w:tcPr>
          <w:p w14:paraId="64AAAB22" w14:textId="77777777" w:rsidR="00DA708F" w:rsidRPr="0033617F" w:rsidRDefault="00DA708F" w:rsidP="001B2A96">
            <w:pPr>
              <w:jc w:val="center"/>
              <w:rPr>
                <w:bCs/>
              </w:rPr>
            </w:pPr>
            <w:r w:rsidRPr="0033617F">
              <w:rPr>
                <w:bCs/>
              </w:rPr>
              <w:t>6</w:t>
            </w:r>
          </w:p>
        </w:tc>
        <w:tc>
          <w:tcPr>
            <w:tcW w:w="1192" w:type="dxa"/>
          </w:tcPr>
          <w:p w14:paraId="02741E3B" w14:textId="77777777" w:rsidR="00DA708F" w:rsidRPr="0033617F" w:rsidRDefault="00DA708F" w:rsidP="001B2A96">
            <w:pPr>
              <w:jc w:val="center"/>
              <w:rPr>
                <w:bCs/>
              </w:rPr>
            </w:pPr>
            <w:r>
              <w:rPr>
                <w:bCs/>
              </w:rPr>
              <w:t>7</w:t>
            </w:r>
          </w:p>
        </w:tc>
        <w:tc>
          <w:tcPr>
            <w:tcW w:w="1008"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EE6938">
        <w:trPr>
          <w:jc w:val="center"/>
        </w:trPr>
        <w:tc>
          <w:tcPr>
            <w:tcW w:w="2175" w:type="dxa"/>
          </w:tcPr>
          <w:p w14:paraId="452173D7" w14:textId="77777777" w:rsidR="00DA708F" w:rsidRPr="0033617F" w:rsidRDefault="00DA708F" w:rsidP="001B2A96">
            <w:pPr>
              <w:rPr>
                <w:i/>
              </w:rPr>
            </w:pPr>
            <w:r w:rsidRPr="0033617F">
              <w:t>1. Budžeta ieņēmumi:</w:t>
            </w:r>
          </w:p>
        </w:tc>
        <w:tc>
          <w:tcPr>
            <w:tcW w:w="1123" w:type="dxa"/>
          </w:tcPr>
          <w:p w14:paraId="2F65E935" w14:textId="77777777" w:rsidR="00DA708F" w:rsidRPr="0033617F" w:rsidRDefault="00DA708F" w:rsidP="001B2A96">
            <w:pPr>
              <w:jc w:val="center"/>
              <w:rPr>
                <w:b/>
              </w:rPr>
            </w:pPr>
            <w:r w:rsidRPr="0033617F">
              <w:rPr>
                <w:b/>
              </w:rPr>
              <w:t>0</w:t>
            </w:r>
          </w:p>
        </w:tc>
        <w:tc>
          <w:tcPr>
            <w:tcW w:w="1414" w:type="dxa"/>
          </w:tcPr>
          <w:p w14:paraId="73B05185" w14:textId="77777777" w:rsidR="00DA708F" w:rsidRPr="0033617F" w:rsidRDefault="00DA708F" w:rsidP="001B2A96">
            <w:pPr>
              <w:jc w:val="center"/>
              <w:rPr>
                <w:b/>
              </w:rPr>
            </w:pPr>
            <w:r w:rsidRPr="0033617F">
              <w:rPr>
                <w:b/>
              </w:rPr>
              <w:t>0</w:t>
            </w:r>
          </w:p>
        </w:tc>
        <w:tc>
          <w:tcPr>
            <w:tcW w:w="1111" w:type="dxa"/>
          </w:tcPr>
          <w:p w14:paraId="4E344F28" w14:textId="77777777" w:rsidR="00DA708F" w:rsidRPr="0033617F" w:rsidRDefault="00DA708F" w:rsidP="001B2A96">
            <w:pPr>
              <w:jc w:val="center"/>
              <w:rPr>
                <w:b/>
              </w:rPr>
            </w:pPr>
            <w:r w:rsidRPr="0033617F">
              <w:rPr>
                <w:b/>
              </w:rPr>
              <w:t>0</w:t>
            </w:r>
          </w:p>
        </w:tc>
        <w:tc>
          <w:tcPr>
            <w:tcW w:w="1209" w:type="dxa"/>
          </w:tcPr>
          <w:p w14:paraId="47CD847A" w14:textId="77777777" w:rsidR="00DA708F" w:rsidRPr="0033617F" w:rsidRDefault="00DA708F" w:rsidP="001B2A96">
            <w:pPr>
              <w:jc w:val="center"/>
              <w:rPr>
                <w:b/>
              </w:rPr>
            </w:pPr>
            <w:r w:rsidRPr="0033617F">
              <w:rPr>
                <w:b/>
              </w:rPr>
              <w:t>0</w:t>
            </w:r>
          </w:p>
        </w:tc>
        <w:tc>
          <w:tcPr>
            <w:tcW w:w="1111" w:type="dxa"/>
          </w:tcPr>
          <w:p w14:paraId="32601915" w14:textId="77777777" w:rsidR="00DA708F" w:rsidRPr="0033617F" w:rsidRDefault="00DA708F" w:rsidP="001B2A96">
            <w:pPr>
              <w:jc w:val="center"/>
              <w:rPr>
                <w:b/>
              </w:rPr>
            </w:pPr>
            <w:r w:rsidRPr="0033617F">
              <w:rPr>
                <w:b/>
              </w:rPr>
              <w:t>0</w:t>
            </w:r>
          </w:p>
        </w:tc>
        <w:tc>
          <w:tcPr>
            <w:tcW w:w="1192" w:type="dxa"/>
          </w:tcPr>
          <w:p w14:paraId="2BAF0F86" w14:textId="77777777" w:rsidR="00DA708F" w:rsidRPr="0033617F" w:rsidRDefault="00DA708F" w:rsidP="001B2A96">
            <w:pPr>
              <w:jc w:val="center"/>
              <w:rPr>
                <w:b/>
              </w:rPr>
            </w:pPr>
            <w:r>
              <w:rPr>
                <w:b/>
              </w:rPr>
              <w:t>0</w:t>
            </w:r>
          </w:p>
        </w:tc>
        <w:tc>
          <w:tcPr>
            <w:tcW w:w="1008" w:type="dxa"/>
          </w:tcPr>
          <w:p w14:paraId="75F359CC" w14:textId="77777777" w:rsidR="00DA708F" w:rsidRPr="0033617F" w:rsidRDefault="00DA708F" w:rsidP="001B2A96">
            <w:pPr>
              <w:jc w:val="center"/>
              <w:rPr>
                <w:b/>
              </w:rPr>
            </w:pPr>
            <w:r>
              <w:rPr>
                <w:b/>
              </w:rPr>
              <w:t>0</w:t>
            </w:r>
          </w:p>
        </w:tc>
      </w:tr>
      <w:tr w:rsidR="00DA708F" w:rsidRPr="0033617F" w14:paraId="0FB39F8E" w14:textId="77777777" w:rsidTr="00EE6938">
        <w:trPr>
          <w:jc w:val="center"/>
        </w:trPr>
        <w:tc>
          <w:tcPr>
            <w:tcW w:w="217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23" w:type="dxa"/>
          </w:tcPr>
          <w:p w14:paraId="110BA630" w14:textId="77777777" w:rsidR="00DA708F" w:rsidRPr="0033617F" w:rsidRDefault="00DA708F" w:rsidP="001B2A96">
            <w:pPr>
              <w:jc w:val="center"/>
              <w:rPr>
                <w:i/>
              </w:rPr>
            </w:pPr>
          </w:p>
        </w:tc>
        <w:tc>
          <w:tcPr>
            <w:tcW w:w="1414" w:type="dxa"/>
          </w:tcPr>
          <w:p w14:paraId="06F3322B" w14:textId="77777777" w:rsidR="00DA708F" w:rsidRPr="0033617F" w:rsidRDefault="00DA708F" w:rsidP="001B2A96">
            <w:pPr>
              <w:jc w:val="center"/>
              <w:rPr>
                <w:i/>
              </w:rPr>
            </w:pPr>
          </w:p>
        </w:tc>
        <w:tc>
          <w:tcPr>
            <w:tcW w:w="1111" w:type="dxa"/>
          </w:tcPr>
          <w:p w14:paraId="3AD84DF9" w14:textId="77777777" w:rsidR="00DA708F" w:rsidRPr="0033617F" w:rsidRDefault="00DA708F" w:rsidP="001B2A96">
            <w:pPr>
              <w:jc w:val="center"/>
              <w:rPr>
                <w:i/>
              </w:rPr>
            </w:pPr>
          </w:p>
        </w:tc>
        <w:tc>
          <w:tcPr>
            <w:tcW w:w="1209" w:type="dxa"/>
          </w:tcPr>
          <w:p w14:paraId="173425B2" w14:textId="77777777" w:rsidR="00DA708F" w:rsidRPr="0033617F" w:rsidRDefault="00DA708F" w:rsidP="001B2A96">
            <w:pPr>
              <w:jc w:val="center"/>
              <w:rPr>
                <w:i/>
              </w:rPr>
            </w:pPr>
          </w:p>
        </w:tc>
        <w:tc>
          <w:tcPr>
            <w:tcW w:w="1111" w:type="dxa"/>
          </w:tcPr>
          <w:p w14:paraId="4696E825" w14:textId="77777777" w:rsidR="00DA708F" w:rsidRPr="0033617F" w:rsidRDefault="00DA708F" w:rsidP="001B2A96">
            <w:pPr>
              <w:jc w:val="center"/>
              <w:rPr>
                <w:i/>
              </w:rPr>
            </w:pPr>
          </w:p>
        </w:tc>
        <w:tc>
          <w:tcPr>
            <w:tcW w:w="1192" w:type="dxa"/>
          </w:tcPr>
          <w:p w14:paraId="26549C0C" w14:textId="77777777" w:rsidR="00DA708F" w:rsidRPr="0033617F" w:rsidRDefault="00DA708F" w:rsidP="001B2A96">
            <w:pPr>
              <w:jc w:val="center"/>
              <w:rPr>
                <w:i/>
              </w:rPr>
            </w:pPr>
          </w:p>
        </w:tc>
        <w:tc>
          <w:tcPr>
            <w:tcW w:w="1008" w:type="dxa"/>
          </w:tcPr>
          <w:p w14:paraId="16F35293" w14:textId="77777777" w:rsidR="00DA708F" w:rsidRPr="0033617F" w:rsidRDefault="00DA708F" w:rsidP="001B2A96">
            <w:pPr>
              <w:jc w:val="center"/>
              <w:rPr>
                <w:i/>
              </w:rPr>
            </w:pPr>
          </w:p>
        </w:tc>
      </w:tr>
      <w:tr w:rsidR="00DA708F" w:rsidRPr="0033617F" w14:paraId="3FD3E7F1" w14:textId="77777777" w:rsidTr="00EE6938">
        <w:trPr>
          <w:jc w:val="center"/>
        </w:trPr>
        <w:tc>
          <w:tcPr>
            <w:tcW w:w="2175" w:type="dxa"/>
          </w:tcPr>
          <w:p w14:paraId="78FCCF5E" w14:textId="77777777" w:rsidR="00DA708F" w:rsidRPr="0033617F" w:rsidRDefault="00DA708F" w:rsidP="001B2A96">
            <w:pPr>
              <w:rPr>
                <w:i/>
              </w:rPr>
            </w:pPr>
            <w:r w:rsidRPr="0033617F">
              <w:t>1.2. valsts speciālais budžets</w:t>
            </w:r>
          </w:p>
        </w:tc>
        <w:tc>
          <w:tcPr>
            <w:tcW w:w="1123" w:type="dxa"/>
          </w:tcPr>
          <w:p w14:paraId="15AC3F9D" w14:textId="77777777" w:rsidR="00DA708F" w:rsidRPr="0033617F" w:rsidRDefault="00DA708F" w:rsidP="001B2A96">
            <w:pPr>
              <w:jc w:val="center"/>
            </w:pPr>
          </w:p>
        </w:tc>
        <w:tc>
          <w:tcPr>
            <w:tcW w:w="1414" w:type="dxa"/>
          </w:tcPr>
          <w:p w14:paraId="0C112442" w14:textId="77777777" w:rsidR="00DA708F" w:rsidRPr="0033617F" w:rsidRDefault="00DA708F" w:rsidP="001B2A96">
            <w:pPr>
              <w:jc w:val="center"/>
            </w:pPr>
          </w:p>
        </w:tc>
        <w:tc>
          <w:tcPr>
            <w:tcW w:w="1111" w:type="dxa"/>
          </w:tcPr>
          <w:p w14:paraId="08A8B0A0" w14:textId="77777777" w:rsidR="00DA708F" w:rsidRPr="0033617F" w:rsidRDefault="00DA708F" w:rsidP="001B2A96">
            <w:pPr>
              <w:jc w:val="center"/>
            </w:pPr>
          </w:p>
        </w:tc>
        <w:tc>
          <w:tcPr>
            <w:tcW w:w="1209" w:type="dxa"/>
          </w:tcPr>
          <w:p w14:paraId="4A8CA9E3" w14:textId="77777777" w:rsidR="00DA708F" w:rsidRPr="0033617F" w:rsidRDefault="00DA708F" w:rsidP="001B2A96">
            <w:pPr>
              <w:jc w:val="center"/>
            </w:pPr>
          </w:p>
        </w:tc>
        <w:tc>
          <w:tcPr>
            <w:tcW w:w="1111" w:type="dxa"/>
          </w:tcPr>
          <w:p w14:paraId="115E5969" w14:textId="77777777" w:rsidR="00DA708F" w:rsidRPr="0033617F" w:rsidRDefault="00DA708F" w:rsidP="001B2A96">
            <w:pPr>
              <w:jc w:val="center"/>
            </w:pPr>
          </w:p>
        </w:tc>
        <w:tc>
          <w:tcPr>
            <w:tcW w:w="1192" w:type="dxa"/>
          </w:tcPr>
          <w:p w14:paraId="6B98D2DB" w14:textId="77777777" w:rsidR="00DA708F" w:rsidRPr="0033617F" w:rsidRDefault="00DA708F" w:rsidP="001B2A96">
            <w:pPr>
              <w:jc w:val="center"/>
            </w:pPr>
          </w:p>
        </w:tc>
        <w:tc>
          <w:tcPr>
            <w:tcW w:w="1008" w:type="dxa"/>
          </w:tcPr>
          <w:p w14:paraId="60DE00DC" w14:textId="77777777" w:rsidR="00DA708F" w:rsidRPr="0033617F" w:rsidRDefault="00DA708F" w:rsidP="001B2A96">
            <w:pPr>
              <w:jc w:val="center"/>
            </w:pPr>
          </w:p>
        </w:tc>
      </w:tr>
      <w:tr w:rsidR="00DA708F" w:rsidRPr="0033617F" w14:paraId="3BF23EE2" w14:textId="77777777" w:rsidTr="00EE6938">
        <w:trPr>
          <w:jc w:val="center"/>
        </w:trPr>
        <w:tc>
          <w:tcPr>
            <w:tcW w:w="2175" w:type="dxa"/>
          </w:tcPr>
          <w:p w14:paraId="3F75D13B" w14:textId="77777777" w:rsidR="00DA708F" w:rsidRPr="0033617F" w:rsidRDefault="00DA708F" w:rsidP="001B2A96">
            <w:pPr>
              <w:rPr>
                <w:i/>
              </w:rPr>
            </w:pPr>
            <w:r w:rsidRPr="0033617F">
              <w:t>1.3. pašvaldību budžets</w:t>
            </w:r>
          </w:p>
        </w:tc>
        <w:tc>
          <w:tcPr>
            <w:tcW w:w="1123" w:type="dxa"/>
          </w:tcPr>
          <w:p w14:paraId="25E8A59E" w14:textId="77777777" w:rsidR="00DA708F" w:rsidRPr="0033617F" w:rsidRDefault="00DA708F" w:rsidP="001B2A96">
            <w:pPr>
              <w:jc w:val="center"/>
            </w:pPr>
          </w:p>
        </w:tc>
        <w:tc>
          <w:tcPr>
            <w:tcW w:w="1414" w:type="dxa"/>
          </w:tcPr>
          <w:p w14:paraId="6926686D" w14:textId="77777777" w:rsidR="00DA708F" w:rsidRPr="0033617F" w:rsidRDefault="00DA708F" w:rsidP="001B2A96">
            <w:pPr>
              <w:jc w:val="center"/>
            </w:pPr>
          </w:p>
        </w:tc>
        <w:tc>
          <w:tcPr>
            <w:tcW w:w="1111" w:type="dxa"/>
          </w:tcPr>
          <w:p w14:paraId="01810920" w14:textId="77777777" w:rsidR="00DA708F" w:rsidRPr="0033617F" w:rsidRDefault="00DA708F" w:rsidP="001B2A96">
            <w:pPr>
              <w:jc w:val="center"/>
            </w:pPr>
          </w:p>
        </w:tc>
        <w:tc>
          <w:tcPr>
            <w:tcW w:w="1209" w:type="dxa"/>
          </w:tcPr>
          <w:p w14:paraId="4E47B6D6" w14:textId="77777777" w:rsidR="00DA708F" w:rsidRPr="0033617F" w:rsidRDefault="00DA708F" w:rsidP="001B2A96">
            <w:pPr>
              <w:jc w:val="center"/>
            </w:pPr>
          </w:p>
        </w:tc>
        <w:tc>
          <w:tcPr>
            <w:tcW w:w="1111" w:type="dxa"/>
          </w:tcPr>
          <w:p w14:paraId="303E2203" w14:textId="77777777" w:rsidR="00DA708F" w:rsidRPr="0033617F" w:rsidRDefault="00DA708F" w:rsidP="001B2A96">
            <w:pPr>
              <w:jc w:val="center"/>
            </w:pPr>
          </w:p>
        </w:tc>
        <w:tc>
          <w:tcPr>
            <w:tcW w:w="1192" w:type="dxa"/>
          </w:tcPr>
          <w:p w14:paraId="5AAB8C1A" w14:textId="77777777" w:rsidR="00DA708F" w:rsidRPr="0033617F" w:rsidRDefault="00DA708F" w:rsidP="001B2A96">
            <w:pPr>
              <w:jc w:val="center"/>
            </w:pPr>
          </w:p>
        </w:tc>
        <w:tc>
          <w:tcPr>
            <w:tcW w:w="1008" w:type="dxa"/>
          </w:tcPr>
          <w:p w14:paraId="022AB86F" w14:textId="77777777" w:rsidR="00DA708F" w:rsidRPr="0033617F" w:rsidRDefault="00DA708F" w:rsidP="001B2A96">
            <w:pPr>
              <w:jc w:val="center"/>
            </w:pPr>
          </w:p>
        </w:tc>
      </w:tr>
      <w:tr w:rsidR="00DA708F" w:rsidRPr="0033617F" w14:paraId="2BFA35C4" w14:textId="77777777" w:rsidTr="00EE6938">
        <w:trPr>
          <w:jc w:val="center"/>
        </w:trPr>
        <w:tc>
          <w:tcPr>
            <w:tcW w:w="2175" w:type="dxa"/>
          </w:tcPr>
          <w:p w14:paraId="576345A9" w14:textId="77777777" w:rsidR="00DA708F" w:rsidRPr="0033617F" w:rsidRDefault="00DA708F" w:rsidP="001B2A96">
            <w:r w:rsidRPr="0033617F">
              <w:t>2. Budžeta izdevumi:</w:t>
            </w:r>
          </w:p>
        </w:tc>
        <w:tc>
          <w:tcPr>
            <w:tcW w:w="1123" w:type="dxa"/>
          </w:tcPr>
          <w:p w14:paraId="167441E8" w14:textId="77777777" w:rsidR="00DA708F" w:rsidRPr="004B2478" w:rsidRDefault="00DA708F" w:rsidP="001B2A96">
            <w:pPr>
              <w:jc w:val="center"/>
              <w:rPr>
                <w:b/>
              </w:rPr>
            </w:pPr>
            <w:r w:rsidRPr="004B2478">
              <w:rPr>
                <w:b/>
              </w:rPr>
              <w:t>0</w:t>
            </w:r>
          </w:p>
        </w:tc>
        <w:tc>
          <w:tcPr>
            <w:tcW w:w="1414" w:type="dxa"/>
          </w:tcPr>
          <w:p w14:paraId="05112F23" w14:textId="59A7F398" w:rsidR="00DA708F" w:rsidRPr="004B2478" w:rsidRDefault="00257AD9" w:rsidP="000D0EED">
            <w:pPr>
              <w:jc w:val="center"/>
              <w:rPr>
                <w:b/>
              </w:rPr>
            </w:pPr>
            <w:r>
              <w:rPr>
                <w:b/>
              </w:rPr>
              <w:t>0</w:t>
            </w:r>
          </w:p>
        </w:tc>
        <w:tc>
          <w:tcPr>
            <w:tcW w:w="1111" w:type="dxa"/>
          </w:tcPr>
          <w:p w14:paraId="7F49FA9F" w14:textId="77777777" w:rsidR="00DA708F" w:rsidRPr="00317B6A" w:rsidRDefault="00DA708F" w:rsidP="001B2A96">
            <w:pPr>
              <w:jc w:val="center"/>
              <w:rPr>
                <w:b/>
              </w:rPr>
            </w:pPr>
            <w:r w:rsidRPr="00317B6A">
              <w:rPr>
                <w:b/>
              </w:rPr>
              <w:t>0</w:t>
            </w:r>
          </w:p>
        </w:tc>
        <w:tc>
          <w:tcPr>
            <w:tcW w:w="1209" w:type="dxa"/>
          </w:tcPr>
          <w:p w14:paraId="5420ACB5" w14:textId="77777777" w:rsidR="00DA708F" w:rsidRPr="00317B6A" w:rsidRDefault="00DA708F" w:rsidP="001B2A96">
            <w:pPr>
              <w:jc w:val="center"/>
              <w:rPr>
                <w:b/>
              </w:rPr>
            </w:pPr>
            <w:r w:rsidRPr="00317B6A">
              <w:rPr>
                <w:b/>
              </w:rPr>
              <w:t>0</w:t>
            </w:r>
          </w:p>
        </w:tc>
        <w:tc>
          <w:tcPr>
            <w:tcW w:w="1111" w:type="dxa"/>
          </w:tcPr>
          <w:p w14:paraId="048E7AD8" w14:textId="77777777" w:rsidR="00DA708F" w:rsidRPr="00317B6A" w:rsidRDefault="00DA708F" w:rsidP="001B2A96">
            <w:pPr>
              <w:jc w:val="center"/>
              <w:rPr>
                <w:b/>
              </w:rPr>
            </w:pPr>
            <w:r w:rsidRPr="00317B6A">
              <w:rPr>
                <w:b/>
              </w:rPr>
              <w:t>0</w:t>
            </w:r>
          </w:p>
        </w:tc>
        <w:tc>
          <w:tcPr>
            <w:tcW w:w="1192" w:type="dxa"/>
          </w:tcPr>
          <w:p w14:paraId="690B50D6" w14:textId="77777777" w:rsidR="00DA708F" w:rsidRPr="00317B6A" w:rsidRDefault="00DA708F" w:rsidP="001B2A96">
            <w:pPr>
              <w:jc w:val="center"/>
              <w:rPr>
                <w:b/>
              </w:rPr>
            </w:pPr>
            <w:r>
              <w:rPr>
                <w:b/>
              </w:rPr>
              <w:t>0</w:t>
            </w:r>
          </w:p>
        </w:tc>
        <w:tc>
          <w:tcPr>
            <w:tcW w:w="1008" w:type="dxa"/>
          </w:tcPr>
          <w:p w14:paraId="72290D90" w14:textId="77777777" w:rsidR="00DA708F" w:rsidRPr="00317B6A" w:rsidRDefault="00DA708F" w:rsidP="001B2A96">
            <w:pPr>
              <w:jc w:val="center"/>
              <w:rPr>
                <w:b/>
              </w:rPr>
            </w:pPr>
            <w:r>
              <w:rPr>
                <w:b/>
              </w:rPr>
              <w:t>0</w:t>
            </w:r>
          </w:p>
        </w:tc>
      </w:tr>
      <w:tr w:rsidR="00DA708F" w:rsidRPr="0033617F" w14:paraId="4725DAAC" w14:textId="77777777" w:rsidTr="00EE6938">
        <w:trPr>
          <w:jc w:val="center"/>
        </w:trPr>
        <w:tc>
          <w:tcPr>
            <w:tcW w:w="2175" w:type="dxa"/>
          </w:tcPr>
          <w:p w14:paraId="38ED5BC6" w14:textId="77777777" w:rsidR="00DA708F" w:rsidRPr="0033617F" w:rsidRDefault="00DA708F" w:rsidP="001B2A96">
            <w:r w:rsidRPr="0033617F">
              <w:t>2.1. valsts pamatbudžets</w:t>
            </w:r>
          </w:p>
        </w:tc>
        <w:tc>
          <w:tcPr>
            <w:tcW w:w="1123" w:type="dxa"/>
          </w:tcPr>
          <w:p w14:paraId="04E67DEB" w14:textId="77777777" w:rsidR="00DA708F" w:rsidRPr="004B2478" w:rsidRDefault="00DA708F" w:rsidP="001B2A96">
            <w:pPr>
              <w:jc w:val="center"/>
              <w:rPr>
                <w:i/>
              </w:rPr>
            </w:pPr>
            <w:r w:rsidRPr="004B2478">
              <w:rPr>
                <w:i/>
              </w:rPr>
              <w:t>0</w:t>
            </w:r>
          </w:p>
        </w:tc>
        <w:tc>
          <w:tcPr>
            <w:tcW w:w="1414" w:type="dxa"/>
          </w:tcPr>
          <w:p w14:paraId="197962AF" w14:textId="741F571B" w:rsidR="00DA708F" w:rsidRPr="004B2478" w:rsidRDefault="00257AD9" w:rsidP="001B2A96">
            <w:pPr>
              <w:jc w:val="center"/>
              <w:rPr>
                <w:i/>
              </w:rPr>
            </w:pPr>
            <w:r>
              <w:rPr>
                <w:i/>
              </w:rPr>
              <w:t>0</w:t>
            </w:r>
          </w:p>
        </w:tc>
        <w:tc>
          <w:tcPr>
            <w:tcW w:w="1111" w:type="dxa"/>
          </w:tcPr>
          <w:p w14:paraId="60CBA3E5" w14:textId="77777777" w:rsidR="00DA708F" w:rsidRPr="00317B6A" w:rsidRDefault="00DA708F" w:rsidP="001B2A96">
            <w:pPr>
              <w:jc w:val="center"/>
              <w:rPr>
                <w:i/>
              </w:rPr>
            </w:pPr>
            <w:r w:rsidRPr="00317B6A">
              <w:rPr>
                <w:i/>
              </w:rPr>
              <w:t>0</w:t>
            </w:r>
          </w:p>
        </w:tc>
        <w:tc>
          <w:tcPr>
            <w:tcW w:w="1209" w:type="dxa"/>
          </w:tcPr>
          <w:p w14:paraId="7F5B7D9A" w14:textId="77777777" w:rsidR="00DA708F" w:rsidRPr="00317B6A" w:rsidRDefault="00DA708F" w:rsidP="001B2A96">
            <w:pPr>
              <w:jc w:val="center"/>
              <w:rPr>
                <w:i/>
              </w:rPr>
            </w:pPr>
            <w:r w:rsidRPr="00317B6A">
              <w:rPr>
                <w:i/>
              </w:rPr>
              <w:t>0</w:t>
            </w:r>
          </w:p>
        </w:tc>
        <w:tc>
          <w:tcPr>
            <w:tcW w:w="1111" w:type="dxa"/>
          </w:tcPr>
          <w:p w14:paraId="73EE6EFC" w14:textId="77777777" w:rsidR="00DA708F" w:rsidRPr="00317B6A" w:rsidRDefault="00DA708F" w:rsidP="001B2A96">
            <w:pPr>
              <w:jc w:val="center"/>
              <w:rPr>
                <w:i/>
              </w:rPr>
            </w:pPr>
            <w:r w:rsidRPr="00317B6A">
              <w:rPr>
                <w:i/>
              </w:rPr>
              <w:t>0</w:t>
            </w:r>
          </w:p>
        </w:tc>
        <w:tc>
          <w:tcPr>
            <w:tcW w:w="1192" w:type="dxa"/>
          </w:tcPr>
          <w:p w14:paraId="1D24A512" w14:textId="77777777" w:rsidR="00DA708F" w:rsidRPr="00317B6A" w:rsidRDefault="00DA708F" w:rsidP="001B2A96">
            <w:pPr>
              <w:jc w:val="center"/>
              <w:rPr>
                <w:i/>
              </w:rPr>
            </w:pPr>
            <w:r>
              <w:rPr>
                <w:i/>
              </w:rPr>
              <w:t>0</w:t>
            </w:r>
          </w:p>
        </w:tc>
        <w:tc>
          <w:tcPr>
            <w:tcW w:w="1008" w:type="dxa"/>
          </w:tcPr>
          <w:p w14:paraId="21DD7031" w14:textId="77777777" w:rsidR="00DA708F" w:rsidRPr="00317B6A" w:rsidRDefault="00DA708F" w:rsidP="001B2A96">
            <w:pPr>
              <w:jc w:val="center"/>
              <w:rPr>
                <w:i/>
              </w:rPr>
            </w:pPr>
            <w:r>
              <w:rPr>
                <w:i/>
              </w:rPr>
              <w:t>0</w:t>
            </w:r>
          </w:p>
        </w:tc>
      </w:tr>
      <w:tr w:rsidR="00DA708F" w:rsidRPr="0033617F" w14:paraId="5715E9BE" w14:textId="77777777" w:rsidTr="00EE6938">
        <w:trPr>
          <w:jc w:val="center"/>
        </w:trPr>
        <w:tc>
          <w:tcPr>
            <w:tcW w:w="2175" w:type="dxa"/>
          </w:tcPr>
          <w:p w14:paraId="1242CE48" w14:textId="77777777" w:rsidR="00DA708F" w:rsidRPr="0033617F" w:rsidRDefault="00DA708F" w:rsidP="001B2A96">
            <w:r w:rsidRPr="0033617F">
              <w:t>2.2. valsts speciālais budžets</w:t>
            </w:r>
          </w:p>
        </w:tc>
        <w:tc>
          <w:tcPr>
            <w:tcW w:w="1123" w:type="dxa"/>
          </w:tcPr>
          <w:p w14:paraId="27F052CF" w14:textId="77777777" w:rsidR="00DA708F" w:rsidRPr="004B2478" w:rsidRDefault="00DA708F" w:rsidP="001B2A96">
            <w:pPr>
              <w:jc w:val="center"/>
            </w:pPr>
          </w:p>
        </w:tc>
        <w:tc>
          <w:tcPr>
            <w:tcW w:w="1414" w:type="dxa"/>
          </w:tcPr>
          <w:p w14:paraId="49A5A0F2" w14:textId="77777777" w:rsidR="00DA708F" w:rsidRPr="004B2478" w:rsidRDefault="00DA708F" w:rsidP="001B2A96">
            <w:pPr>
              <w:jc w:val="center"/>
            </w:pPr>
          </w:p>
        </w:tc>
        <w:tc>
          <w:tcPr>
            <w:tcW w:w="1111" w:type="dxa"/>
          </w:tcPr>
          <w:p w14:paraId="721C4445" w14:textId="77777777" w:rsidR="00DA708F" w:rsidRPr="00317B6A" w:rsidRDefault="00DA708F" w:rsidP="001B2A96">
            <w:pPr>
              <w:jc w:val="center"/>
            </w:pPr>
          </w:p>
        </w:tc>
        <w:tc>
          <w:tcPr>
            <w:tcW w:w="1209" w:type="dxa"/>
          </w:tcPr>
          <w:p w14:paraId="4173FB89" w14:textId="77777777" w:rsidR="00DA708F" w:rsidRPr="00317B6A" w:rsidRDefault="00DA708F" w:rsidP="001B2A96">
            <w:pPr>
              <w:jc w:val="center"/>
            </w:pPr>
          </w:p>
        </w:tc>
        <w:tc>
          <w:tcPr>
            <w:tcW w:w="1111" w:type="dxa"/>
          </w:tcPr>
          <w:p w14:paraId="198582F9" w14:textId="77777777" w:rsidR="00DA708F" w:rsidRPr="00317B6A" w:rsidRDefault="00DA708F" w:rsidP="001B2A96">
            <w:pPr>
              <w:jc w:val="center"/>
            </w:pPr>
          </w:p>
        </w:tc>
        <w:tc>
          <w:tcPr>
            <w:tcW w:w="1192" w:type="dxa"/>
          </w:tcPr>
          <w:p w14:paraId="31FE59E2" w14:textId="77777777" w:rsidR="00DA708F" w:rsidRPr="00317B6A" w:rsidRDefault="00DA708F" w:rsidP="001B2A96">
            <w:pPr>
              <w:jc w:val="center"/>
            </w:pPr>
          </w:p>
        </w:tc>
        <w:tc>
          <w:tcPr>
            <w:tcW w:w="1008" w:type="dxa"/>
          </w:tcPr>
          <w:p w14:paraId="05CAFB43" w14:textId="77777777" w:rsidR="00DA708F" w:rsidRPr="00317B6A" w:rsidRDefault="00DA708F" w:rsidP="001B2A96">
            <w:pPr>
              <w:jc w:val="center"/>
            </w:pPr>
          </w:p>
        </w:tc>
      </w:tr>
      <w:tr w:rsidR="00DA708F" w:rsidRPr="0033617F" w14:paraId="4668E250" w14:textId="77777777" w:rsidTr="00EE6938">
        <w:trPr>
          <w:jc w:val="center"/>
        </w:trPr>
        <w:tc>
          <w:tcPr>
            <w:tcW w:w="2175" w:type="dxa"/>
          </w:tcPr>
          <w:p w14:paraId="7EB504E5" w14:textId="77777777" w:rsidR="00DA708F" w:rsidRPr="0033617F" w:rsidRDefault="00DA708F" w:rsidP="001B2A96">
            <w:r w:rsidRPr="0033617F">
              <w:t xml:space="preserve">2.3. pašvaldību budžets </w:t>
            </w:r>
          </w:p>
        </w:tc>
        <w:tc>
          <w:tcPr>
            <w:tcW w:w="1123" w:type="dxa"/>
          </w:tcPr>
          <w:p w14:paraId="0189D475" w14:textId="77777777" w:rsidR="00DA708F" w:rsidRPr="004B2478" w:rsidRDefault="00DA708F" w:rsidP="001B2A96">
            <w:pPr>
              <w:jc w:val="center"/>
            </w:pPr>
          </w:p>
        </w:tc>
        <w:tc>
          <w:tcPr>
            <w:tcW w:w="1414" w:type="dxa"/>
          </w:tcPr>
          <w:p w14:paraId="1FA84B5F" w14:textId="77777777" w:rsidR="00DA708F" w:rsidRPr="004B2478" w:rsidRDefault="00DA708F" w:rsidP="001B2A96">
            <w:pPr>
              <w:jc w:val="center"/>
            </w:pPr>
          </w:p>
        </w:tc>
        <w:tc>
          <w:tcPr>
            <w:tcW w:w="1111" w:type="dxa"/>
          </w:tcPr>
          <w:p w14:paraId="16603E34" w14:textId="77777777" w:rsidR="00DA708F" w:rsidRPr="00317B6A" w:rsidRDefault="00DA708F" w:rsidP="001B2A96">
            <w:pPr>
              <w:jc w:val="center"/>
            </w:pPr>
          </w:p>
        </w:tc>
        <w:tc>
          <w:tcPr>
            <w:tcW w:w="1209" w:type="dxa"/>
          </w:tcPr>
          <w:p w14:paraId="053F02D6" w14:textId="77777777" w:rsidR="00DA708F" w:rsidRPr="00317B6A" w:rsidRDefault="00DA708F" w:rsidP="001B2A96">
            <w:pPr>
              <w:jc w:val="center"/>
            </w:pPr>
          </w:p>
        </w:tc>
        <w:tc>
          <w:tcPr>
            <w:tcW w:w="1111" w:type="dxa"/>
          </w:tcPr>
          <w:p w14:paraId="5D5C6E78" w14:textId="77777777" w:rsidR="00DA708F" w:rsidRPr="00317B6A" w:rsidRDefault="00DA708F" w:rsidP="001B2A96">
            <w:pPr>
              <w:jc w:val="center"/>
            </w:pPr>
          </w:p>
        </w:tc>
        <w:tc>
          <w:tcPr>
            <w:tcW w:w="1192" w:type="dxa"/>
          </w:tcPr>
          <w:p w14:paraId="3E06E5EC" w14:textId="77777777" w:rsidR="00DA708F" w:rsidRPr="00317B6A" w:rsidRDefault="00DA708F" w:rsidP="001B2A96">
            <w:pPr>
              <w:jc w:val="center"/>
            </w:pPr>
          </w:p>
        </w:tc>
        <w:tc>
          <w:tcPr>
            <w:tcW w:w="1008" w:type="dxa"/>
          </w:tcPr>
          <w:p w14:paraId="29AF5552" w14:textId="77777777" w:rsidR="00DA708F" w:rsidRPr="00317B6A" w:rsidRDefault="00DA708F" w:rsidP="001B2A96">
            <w:pPr>
              <w:jc w:val="center"/>
            </w:pPr>
          </w:p>
        </w:tc>
      </w:tr>
      <w:tr w:rsidR="00DA708F" w:rsidRPr="0033617F" w14:paraId="5EF983C5" w14:textId="77777777" w:rsidTr="00EE6938">
        <w:trPr>
          <w:jc w:val="center"/>
        </w:trPr>
        <w:tc>
          <w:tcPr>
            <w:tcW w:w="2175" w:type="dxa"/>
          </w:tcPr>
          <w:p w14:paraId="40BEE164" w14:textId="77777777" w:rsidR="00DA708F" w:rsidRPr="0033617F" w:rsidRDefault="00DA708F" w:rsidP="001B2A96">
            <w:r w:rsidRPr="0033617F">
              <w:t>3. Finansiālā ietekme:</w:t>
            </w:r>
          </w:p>
        </w:tc>
        <w:tc>
          <w:tcPr>
            <w:tcW w:w="1123" w:type="dxa"/>
            <w:shd w:val="clear" w:color="auto" w:fill="auto"/>
          </w:tcPr>
          <w:p w14:paraId="75D99A5B" w14:textId="77777777" w:rsidR="00DA708F" w:rsidRPr="004B2478" w:rsidRDefault="00DA708F" w:rsidP="001B2A96">
            <w:pPr>
              <w:jc w:val="center"/>
              <w:rPr>
                <w:b/>
              </w:rPr>
            </w:pPr>
            <w:r w:rsidRPr="004B2478">
              <w:rPr>
                <w:b/>
              </w:rPr>
              <w:t>0</w:t>
            </w:r>
          </w:p>
        </w:tc>
        <w:tc>
          <w:tcPr>
            <w:tcW w:w="1414" w:type="dxa"/>
          </w:tcPr>
          <w:p w14:paraId="38039DE1" w14:textId="2F58E139" w:rsidR="00DA708F" w:rsidRPr="004B2478" w:rsidRDefault="00257AD9" w:rsidP="000D0EED">
            <w:pPr>
              <w:jc w:val="center"/>
              <w:rPr>
                <w:b/>
              </w:rPr>
            </w:pPr>
            <w:r>
              <w:rPr>
                <w:b/>
              </w:rPr>
              <w:t>0</w:t>
            </w:r>
          </w:p>
        </w:tc>
        <w:tc>
          <w:tcPr>
            <w:tcW w:w="1111" w:type="dxa"/>
          </w:tcPr>
          <w:p w14:paraId="7DCC8E49" w14:textId="77777777" w:rsidR="00DA708F" w:rsidRPr="00317B6A" w:rsidRDefault="00DA708F" w:rsidP="001B2A96">
            <w:pPr>
              <w:jc w:val="center"/>
              <w:rPr>
                <w:b/>
              </w:rPr>
            </w:pPr>
            <w:r w:rsidRPr="00317B6A">
              <w:rPr>
                <w:b/>
              </w:rPr>
              <w:t>0</w:t>
            </w:r>
          </w:p>
        </w:tc>
        <w:tc>
          <w:tcPr>
            <w:tcW w:w="1209" w:type="dxa"/>
          </w:tcPr>
          <w:p w14:paraId="2B7B86A6" w14:textId="77777777" w:rsidR="00DA708F" w:rsidRPr="00317B6A" w:rsidRDefault="00DA708F" w:rsidP="001B2A96">
            <w:pPr>
              <w:jc w:val="center"/>
              <w:rPr>
                <w:b/>
              </w:rPr>
            </w:pPr>
            <w:r w:rsidRPr="00317B6A">
              <w:rPr>
                <w:b/>
              </w:rPr>
              <w:t>0</w:t>
            </w:r>
          </w:p>
        </w:tc>
        <w:tc>
          <w:tcPr>
            <w:tcW w:w="1111" w:type="dxa"/>
          </w:tcPr>
          <w:p w14:paraId="3CE95929" w14:textId="77777777" w:rsidR="00DA708F" w:rsidRPr="00317B6A" w:rsidRDefault="00DA708F" w:rsidP="001B2A96">
            <w:pPr>
              <w:jc w:val="center"/>
              <w:rPr>
                <w:b/>
              </w:rPr>
            </w:pPr>
            <w:r w:rsidRPr="00317B6A">
              <w:rPr>
                <w:b/>
              </w:rPr>
              <w:t>0</w:t>
            </w:r>
          </w:p>
        </w:tc>
        <w:tc>
          <w:tcPr>
            <w:tcW w:w="1192" w:type="dxa"/>
          </w:tcPr>
          <w:p w14:paraId="5F0E3EFA" w14:textId="77777777" w:rsidR="00DA708F" w:rsidRPr="00317B6A" w:rsidRDefault="00DA708F" w:rsidP="001B2A96">
            <w:pPr>
              <w:jc w:val="center"/>
              <w:rPr>
                <w:b/>
              </w:rPr>
            </w:pPr>
            <w:r>
              <w:rPr>
                <w:b/>
              </w:rPr>
              <w:t>0</w:t>
            </w:r>
          </w:p>
        </w:tc>
        <w:tc>
          <w:tcPr>
            <w:tcW w:w="1008" w:type="dxa"/>
          </w:tcPr>
          <w:p w14:paraId="4092E8CB" w14:textId="77777777" w:rsidR="00DA708F" w:rsidRPr="00317B6A" w:rsidRDefault="00DA708F" w:rsidP="001B2A96">
            <w:pPr>
              <w:jc w:val="center"/>
              <w:rPr>
                <w:b/>
              </w:rPr>
            </w:pPr>
            <w:r>
              <w:rPr>
                <w:b/>
              </w:rPr>
              <w:t>0</w:t>
            </w:r>
          </w:p>
        </w:tc>
      </w:tr>
      <w:tr w:rsidR="00DA708F" w:rsidRPr="0033617F" w14:paraId="0C81E4A5" w14:textId="77777777" w:rsidTr="00EE6938">
        <w:trPr>
          <w:jc w:val="center"/>
        </w:trPr>
        <w:tc>
          <w:tcPr>
            <w:tcW w:w="2175" w:type="dxa"/>
          </w:tcPr>
          <w:p w14:paraId="2540F61C" w14:textId="77777777" w:rsidR="00DA708F" w:rsidRPr="0033617F" w:rsidRDefault="00DA708F" w:rsidP="001B2A96">
            <w:r w:rsidRPr="0033617F">
              <w:t>3.1. valsts pamatbudžets</w:t>
            </w:r>
          </w:p>
        </w:tc>
        <w:tc>
          <w:tcPr>
            <w:tcW w:w="1123" w:type="dxa"/>
            <w:shd w:val="clear" w:color="auto" w:fill="auto"/>
          </w:tcPr>
          <w:p w14:paraId="482E45F8" w14:textId="77777777" w:rsidR="00DA708F" w:rsidRPr="004B2478" w:rsidRDefault="00DA708F" w:rsidP="001B2A96">
            <w:pPr>
              <w:jc w:val="center"/>
              <w:rPr>
                <w:i/>
              </w:rPr>
            </w:pPr>
            <w:r w:rsidRPr="004B2478">
              <w:rPr>
                <w:i/>
              </w:rPr>
              <w:t>0</w:t>
            </w:r>
          </w:p>
        </w:tc>
        <w:tc>
          <w:tcPr>
            <w:tcW w:w="1414" w:type="dxa"/>
          </w:tcPr>
          <w:p w14:paraId="323F24F8" w14:textId="45B96B28" w:rsidR="00DA708F" w:rsidRPr="004B2478" w:rsidRDefault="00257AD9" w:rsidP="000D0EED">
            <w:pPr>
              <w:jc w:val="center"/>
              <w:rPr>
                <w:i/>
              </w:rPr>
            </w:pPr>
            <w:r>
              <w:rPr>
                <w:i/>
              </w:rPr>
              <w:t>0</w:t>
            </w:r>
          </w:p>
        </w:tc>
        <w:tc>
          <w:tcPr>
            <w:tcW w:w="1111" w:type="dxa"/>
          </w:tcPr>
          <w:p w14:paraId="3B7A0AD2" w14:textId="77777777" w:rsidR="00DA708F" w:rsidRPr="00317B6A" w:rsidRDefault="00DA708F" w:rsidP="001B2A96">
            <w:pPr>
              <w:jc w:val="center"/>
              <w:rPr>
                <w:i/>
              </w:rPr>
            </w:pPr>
            <w:r w:rsidRPr="00317B6A">
              <w:rPr>
                <w:i/>
              </w:rPr>
              <w:t>0</w:t>
            </w:r>
          </w:p>
        </w:tc>
        <w:tc>
          <w:tcPr>
            <w:tcW w:w="1209" w:type="dxa"/>
          </w:tcPr>
          <w:p w14:paraId="53FDF421" w14:textId="77777777" w:rsidR="00DA708F" w:rsidRPr="00317B6A" w:rsidRDefault="00DA708F" w:rsidP="001B2A96">
            <w:pPr>
              <w:jc w:val="center"/>
              <w:rPr>
                <w:i/>
              </w:rPr>
            </w:pPr>
            <w:r w:rsidRPr="00317B6A">
              <w:rPr>
                <w:i/>
              </w:rPr>
              <w:t>0</w:t>
            </w:r>
          </w:p>
        </w:tc>
        <w:tc>
          <w:tcPr>
            <w:tcW w:w="1111" w:type="dxa"/>
          </w:tcPr>
          <w:p w14:paraId="508B67A9" w14:textId="77777777" w:rsidR="00DA708F" w:rsidRPr="00317B6A" w:rsidRDefault="00DA708F" w:rsidP="001B2A96">
            <w:pPr>
              <w:jc w:val="center"/>
              <w:rPr>
                <w:i/>
              </w:rPr>
            </w:pPr>
            <w:r w:rsidRPr="00317B6A">
              <w:rPr>
                <w:i/>
              </w:rPr>
              <w:t>0</w:t>
            </w:r>
          </w:p>
        </w:tc>
        <w:tc>
          <w:tcPr>
            <w:tcW w:w="1192" w:type="dxa"/>
          </w:tcPr>
          <w:p w14:paraId="0F1497CA" w14:textId="77777777" w:rsidR="00DA708F" w:rsidRPr="00317B6A" w:rsidRDefault="00DA708F" w:rsidP="001B2A96">
            <w:pPr>
              <w:jc w:val="center"/>
              <w:rPr>
                <w:i/>
              </w:rPr>
            </w:pPr>
            <w:r>
              <w:rPr>
                <w:i/>
              </w:rPr>
              <w:t>0</w:t>
            </w:r>
          </w:p>
        </w:tc>
        <w:tc>
          <w:tcPr>
            <w:tcW w:w="1008" w:type="dxa"/>
          </w:tcPr>
          <w:p w14:paraId="240FC83F" w14:textId="77777777" w:rsidR="00DA708F" w:rsidRPr="00317B6A" w:rsidRDefault="00DA708F" w:rsidP="001B2A96">
            <w:pPr>
              <w:jc w:val="center"/>
              <w:rPr>
                <w:i/>
              </w:rPr>
            </w:pPr>
            <w:r>
              <w:rPr>
                <w:i/>
              </w:rPr>
              <w:t>0</w:t>
            </w:r>
          </w:p>
        </w:tc>
      </w:tr>
      <w:tr w:rsidR="00DA708F" w:rsidRPr="0033617F" w14:paraId="7ADBC024" w14:textId="77777777" w:rsidTr="00EE6938">
        <w:trPr>
          <w:jc w:val="center"/>
        </w:trPr>
        <w:tc>
          <w:tcPr>
            <w:tcW w:w="2175" w:type="dxa"/>
          </w:tcPr>
          <w:p w14:paraId="6E2D338E" w14:textId="77777777" w:rsidR="00DA708F" w:rsidRPr="0033617F" w:rsidRDefault="00DA708F" w:rsidP="001B2A96">
            <w:r w:rsidRPr="0033617F">
              <w:t>3.2. speciālais budžets</w:t>
            </w:r>
          </w:p>
        </w:tc>
        <w:tc>
          <w:tcPr>
            <w:tcW w:w="1123" w:type="dxa"/>
            <w:shd w:val="clear" w:color="auto" w:fill="auto"/>
          </w:tcPr>
          <w:p w14:paraId="571FAF78" w14:textId="77777777" w:rsidR="00DA708F" w:rsidRPr="004B2478" w:rsidRDefault="00DA708F" w:rsidP="001B2A96">
            <w:pPr>
              <w:jc w:val="center"/>
            </w:pPr>
          </w:p>
        </w:tc>
        <w:tc>
          <w:tcPr>
            <w:tcW w:w="1414" w:type="dxa"/>
          </w:tcPr>
          <w:p w14:paraId="759B632F" w14:textId="77777777" w:rsidR="00DA708F" w:rsidRPr="004B2478" w:rsidRDefault="00DA708F" w:rsidP="001B2A96">
            <w:pPr>
              <w:jc w:val="center"/>
            </w:pPr>
          </w:p>
        </w:tc>
        <w:tc>
          <w:tcPr>
            <w:tcW w:w="1111" w:type="dxa"/>
          </w:tcPr>
          <w:p w14:paraId="6539050C" w14:textId="77777777" w:rsidR="00DA708F" w:rsidRPr="00317B6A" w:rsidRDefault="00DA708F" w:rsidP="001B2A96">
            <w:pPr>
              <w:jc w:val="center"/>
            </w:pPr>
          </w:p>
        </w:tc>
        <w:tc>
          <w:tcPr>
            <w:tcW w:w="1209" w:type="dxa"/>
          </w:tcPr>
          <w:p w14:paraId="57838AAE" w14:textId="77777777" w:rsidR="00DA708F" w:rsidRPr="00317B6A" w:rsidRDefault="00DA708F" w:rsidP="001B2A96">
            <w:pPr>
              <w:jc w:val="center"/>
            </w:pPr>
          </w:p>
        </w:tc>
        <w:tc>
          <w:tcPr>
            <w:tcW w:w="1111" w:type="dxa"/>
          </w:tcPr>
          <w:p w14:paraId="6C6C0F92" w14:textId="77777777" w:rsidR="00DA708F" w:rsidRPr="00317B6A" w:rsidRDefault="00DA708F" w:rsidP="001B2A96">
            <w:pPr>
              <w:jc w:val="center"/>
            </w:pPr>
          </w:p>
        </w:tc>
        <w:tc>
          <w:tcPr>
            <w:tcW w:w="1192" w:type="dxa"/>
          </w:tcPr>
          <w:p w14:paraId="089E567E" w14:textId="77777777" w:rsidR="00DA708F" w:rsidRPr="00317B6A" w:rsidRDefault="00DA708F" w:rsidP="001B2A96">
            <w:pPr>
              <w:jc w:val="center"/>
            </w:pPr>
          </w:p>
        </w:tc>
        <w:tc>
          <w:tcPr>
            <w:tcW w:w="1008" w:type="dxa"/>
          </w:tcPr>
          <w:p w14:paraId="3D68DC64" w14:textId="77777777" w:rsidR="00DA708F" w:rsidRPr="00317B6A" w:rsidRDefault="00DA708F" w:rsidP="001B2A96">
            <w:pPr>
              <w:jc w:val="center"/>
            </w:pPr>
          </w:p>
        </w:tc>
      </w:tr>
      <w:tr w:rsidR="00DA708F" w:rsidRPr="0033617F" w14:paraId="34AFC7C3" w14:textId="77777777" w:rsidTr="00EE6938">
        <w:trPr>
          <w:jc w:val="center"/>
        </w:trPr>
        <w:tc>
          <w:tcPr>
            <w:tcW w:w="2175" w:type="dxa"/>
          </w:tcPr>
          <w:p w14:paraId="5B6720C9" w14:textId="77777777" w:rsidR="00DA708F" w:rsidRPr="0033617F" w:rsidRDefault="00DA708F" w:rsidP="001B2A96">
            <w:r w:rsidRPr="0033617F">
              <w:t xml:space="preserve">3.3. pašvaldību budžets </w:t>
            </w:r>
          </w:p>
        </w:tc>
        <w:tc>
          <w:tcPr>
            <w:tcW w:w="1123" w:type="dxa"/>
            <w:shd w:val="clear" w:color="auto" w:fill="auto"/>
          </w:tcPr>
          <w:p w14:paraId="1E6194AA" w14:textId="77777777" w:rsidR="00DA708F" w:rsidRPr="004B2478" w:rsidRDefault="00DA708F" w:rsidP="001B2A96">
            <w:pPr>
              <w:jc w:val="center"/>
            </w:pPr>
          </w:p>
        </w:tc>
        <w:tc>
          <w:tcPr>
            <w:tcW w:w="1414" w:type="dxa"/>
          </w:tcPr>
          <w:p w14:paraId="209108D7" w14:textId="77777777" w:rsidR="00DA708F" w:rsidRPr="004B2478" w:rsidRDefault="00DA708F" w:rsidP="001B2A96">
            <w:pPr>
              <w:jc w:val="center"/>
            </w:pPr>
          </w:p>
        </w:tc>
        <w:tc>
          <w:tcPr>
            <w:tcW w:w="1111" w:type="dxa"/>
          </w:tcPr>
          <w:p w14:paraId="770CD3BA" w14:textId="77777777" w:rsidR="00DA708F" w:rsidRPr="00317B6A" w:rsidRDefault="00DA708F" w:rsidP="001B2A96">
            <w:pPr>
              <w:jc w:val="center"/>
            </w:pPr>
          </w:p>
        </w:tc>
        <w:tc>
          <w:tcPr>
            <w:tcW w:w="1209" w:type="dxa"/>
          </w:tcPr>
          <w:p w14:paraId="42238C8B" w14:textId="77777777" w:rsidR="00DA708F" w:rsidRPr="00317B6A" w:rsidRDefault="00DA708F" w:rsidP="001B2A96">
            <w:pPr>
              <w:jc w:val="center"/>
            </w:pPr>
          </w:p>
        </w:tc>
        <w:tc>
          <w:tcPr>
            <w:tcW w:w="1111" w:type="dxa"/>
          </w:tcPr>
          <w:p w14:paraId="68D381A4" w14:textId="77777777" w:rsidR="00DA708F" w:rsidRPr="00317B6A" w:rsidRDefault="00DA708F" w:rsidP="001B2A96">
            <w:pPr>
              <w:jc w:val="center"/>
            </w:pPr>
          </w:p>
        </w:tc>
        <w:tc>
          <w:tcPr>
            <w:tcW w:w="1192" w:type="dxa"/>
          </w:tcPr>
          <w:p w14:paraId="152165EB" w14:textId="77777777" w:rsidR="00DA708F" w:rsidRPr="00317B6A" w:rsidRDefault="00DA708F" w:rsidP="001B2A96">
            <w:pPr>
              <w:jc w:val="center"/>
            </w:pPr>
          </w:p>
        </w:tc>
        <w:tc>
          <w:tcPr>
            <w:tcW w:w="1008" w:type="dxa"/>
          </w:tcPr>
          <w:p w14:paraId="3D4FAD15" w14:textId="77777777" w:rsidR="00DA708F" w:rsidRPr="00317B6A" w:rsidRDefault="00DA708F" w:rsidP="001B2A96">
            <w:pPr>
              <w:jc w:val="center"/>
            </w:pPr>
          </w:p>
        </w:tc>
      </w:tr>
      <w:tr w:rsidR="00DA708F" w:rsidRPr="0033617F" w14:paraId="73332940" w14:textId="77777777" w:rsidTr="00EE6938">
        <w:trPr>
          <w:jc w:val="center"/>
        </w:trPr>
        <w:tc>
          <w:tcPr>
            <w:tcW w:w="2175"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23" w:type="dxa"/>
            <w:vMerge w:val="restart"/>
          </w:tcPr>
          <w:p w14:paraId="50E7DD79" w14:textId="77777777" w:rsidR="00DA708F" w:rsidRPr="004B2478" w:rsidRDefault="00DA708F" w:rsidP="001B2A96">
            <w:pPr>
              <w:jc w:val="center"/>
              <w:rPr>
                <w:i/>
              </w:rPr>
            </w:pPr>
            <w:r w:rsidRPr="004B2478">
              <w:t>X</w:t>
            </w:r>
          </w:p>
        </w:tc>
        <w:tc>
          <w:tcPr>
            <w:tcW w:w="1414" w:type="dxa"/>
          </w:tcPr>
          <w:p w14:paraId="6A2858BA" w14:textId="34248E5C" w:rsidR="00DA708F" w:rsidRPr="004B2478" w:rsidRDefault="00257AD9" w:rsidP="00AE20AD">
            <w:pPr>
              <w:jc w:val="center"/>
            </w:pPr>
            <w:r>
              <w:t>0</w:t>
            </w:r>
          </w:p>
        </w:tc>
        <w:tc>
          <w:tcPr>
            <w:tcW w:w="1111" w:type="dxa"/>
          </w:tcPr>
          <w:p w14:paraId="28E0B562" w14:textId="77777777" w:rsidR="00DA708F" w:rsidRPr="00317B6A" w:rsidRDefault="00DA708F" w:rsidP="001B2A96">
            <w:pPr>
              <w:jc w:val="center"/>
            </w:pPr>
            <w:r w:rsidRPr="00317B6A">
              <w:t>0</w:t>
            </w:r>
          </w:p>
        </w:tc>
        <w:tc>
          <w:tcPr>
            <w:tcW w:w="1209" w:type="dxa"/>
          </w:tcPr>
          <w:p w14:paraId="4F9B33F6" w14:textId="77777777" w:rsidR="00DA708F" w:rsidRPr="00317B6A" w:rsidRDefault="00DA708F" w:rsidP="001B2A96">
            <w:pPr>
              <w:jc w:val="center"/>
            </w:pPr>
            <w:r w:rsidRPr="00317B6A">
              <w:t>0</w:t>
            </w:r>
          </w:p>
        </w:tc>
        <w:tc>
          <w:tcPr>
            <w:tcW w:w="1111" w:type="dxa"/>
          </w:tcPr>
          <w:p w14:paraId="10254986" w14:textId="77777777" w:rsidR="00DA708F" w:rsidRPr="00317B6A" w:rsidRDefault="00DA708F" w:rsidP="001B2A96">
            <w:pPr>
              <w:jc w:val="center"/>
            </w:pPr>
            <w:r w:rsidRPr="00317B6A">
              <w:t>0</w:t>
            </w:r>
          </w:p>
        </w:tc>
        <w:tc>
          <w:tcPr>
            <w:tcW w:w="1192" w:type="dxa"/>
          </w:tcPr>
          <w:p w14:paraId="01825567" w14:textId="77777777" w:rsidR="00DA708F" w:rsidRPr="00317B6A" w:rsidRDefault="00DA708F" w:rsidP="001B2A96">
            <w:pPr>
              <w:jc w:val="center"/>
            </w:pPr>
            <w:r>
              <w:t>0</w:t>
            </w:r>
          </w:p>
        </w:tc>
        <w:tc>
          <w:tcPr>
            <w:tcW w:w="1008" w:type="dxa"/>
          </w:tcPr>
          <w:p w14:paraId="0012FAFB" w14:textId="77777777" w:rsidR="00DA708F" w:rsidRPr="00317B6A" w:rsidRDefault="00DA708F" w:rsidP="001B2A96">
            <w:pPr>
              <w:jc w:val="center"/>
            </w:pPr>
            <w:r>
              <w:t>0</w:t>
            </w:r>
          </w:p>
        </w:tc>
      </w:tr>
      <w:tr w:rsidR="00DA708F" w:rsidRPr="0033617F" w14:paraId="3971BAD6" w14:textId="77777777" w:rsidTr="00EE6938">
        <w:trPr>
          <w:jc w:val="center"/>
        </w:trPr>
        <w:tc>
          <w:tcPr>
            <w:tcW w:w="2175" w:type="dxa"/>
            <w:vMerge/>
          </w:tcPr>
          <w:p w14:paraId="0CC27F30" w14:textId="77777777" w:rsidR="00DA708F" w:rsidRPr="0033617F" w:rsidRDefault="00DA708F" w:rsidP="001B2A96"/>
        </w:tc>
        <w:tc>
          <w:tcPr>
            <w:tcW w:w="1123" w:type="dxa"/>
            <w:vMerge/>
          </w:tcPr>
          <w:p w14:paraId="1C96164D" w14:textId="77777777" w:rsidR="00DA708F" w:rsidRPr="004B2478" w:rsidRDefault="00DA708F" w:rsidP="001B2A96">
            <w:pPr>
              <w:jc w:val="center"/>
              <w:rPr>
                <w:i/>
              </w:rPr>
            </w:pPr>
          </w:p>
        </w:tc>
        <w:tc>
          <w:tcPr>
            <w:tcW w:w="1414" w:type="dxa"/>
          </w:tcPr>
          <w:p w14:paraId="44E254D9" w14:textId="77777777" w:rsidR="00DA708F" w:rsidRPr="004B2478" w:rsidRDefault="00DA708F" w:rsidP="001B2A96">
            <w:pPr>
              <w:jc w:val="center"/>
            </w:pPr>
          </w:p>
        </w:tc>
        <w:tc>
          <w:tcPr>
            <w:tcW w:w="1111" w:type="dxa"/>
          </w:tcPr>
          <w:p w14:paraId="39DDF09C" w14:textId="77777777" w:rsidR="00DA708F" w:rsidRPr="0033617F" w:rsidRDefault="00DA708F" w:rsidP="001B2A96">
            <w:pPr>
              <w:jc w:val="center"/>
            </w:pPr>
          </w:p>
        </w:tc>
        <w:tc>
          <w:tcPr>
            <w:tcW w:w="1209" w:type="dxa"/>
          </w:tcPr>
          <w:p w14:paraId="12645A1B" w14:textId="77777777" w:rsidR="00DA708F" w:rsidRPr="0033617F" w:rsidRDefault="00DA708F" w:rsidP="001B2A96">
            <w:pPr>
              <w:jc w:val="center"/>
            </w:pPr>
          </w:p>
        </w:tc>
        <w:tc>
          <w:tcPr>
            <w:tcW w:w="1111" w:type="dxa"/>
          </w:tcPr>
          <w:p w14:paraId="2EE17196" w14:textId="77777777" w:rsidR="00DA708F" w:rsidRPr="0033617F" w:rsidRDefault="00DA708F" w:rsidP="001B2A96">
            <w:pPr>
              <w:jc w:val="center"/>
            </w:pPr>
          </w:p>
        </w:tc>
        <w:tc>
          <w:tcPr>
            <w:tcW w:w="1192" w:type="dxa"/>
          </w:tcPr>
          <w:p w14:paraId="19CF4EAD" w14:textId="77777777" w:rsidR="00DA708F" w:rsidRPr="0033617F" w:rsidRDefault="00DA708F" w:rsidP="001B2A96">
            <w:pPr>
              <w:jc w:val="center"/>
            </w:pPr>
          </w:p>
        </w:tc>
        <w:tc>
          <w:tcPr>
            <w:tcW w:w="1008" w:type="dxa"/>
          </w:tcPr>
          <w:p w14:paraId="410A0BC1" w14:textId="77777777" w:rsidR="00DA708F" w:rsidRPr="0033617F" w:rsidRDefault="00DA708F" w:rsidP="001B2A96">
            <w:pPr>
              <w:jc w:val="center"/>
            </w:pPr>
          </w:p>
        </w:tc>
      </w:tr>
      <w:tr w:rsidR="00DA708F" w:rsidRPr="0033617F" w14:paraId="17DABB5B" w14:textId="77777777" w:rsidTr="00EE6938">
        <w:trPr>
          <w:jc w:val="center"/>
        </w:trPr>
        <w:tc>
          <w:tcPr>
            <w:tcW w:w="2175" w:type="dxa"/>
            <w:vMerge/>
          </w:tcPr>
          <w:p w14:paraId="5B1987C5" w14:textId="77777777" w:rsidR="00DA708F" w:rsidRPr="0033617F" w:rsidRDefault="00DA708F" w:rsidP="001B2A96"/>
        </w:tc>
        <w:tc>
          <w:tcPr>
            <w:tcW w:w="1123" w:type="dxa"/>
            <w:vMerge/>
          </w:tcPr>
          <w:p w14:paraId="7D7A7D36" w14:textId="77777777" w:rsidR="00DA708F" w:rsidRPr="0033617F" w:rsidRDefault="00DA708F" w:rsidP="001B2A96">
            <w:pPr>
              <w:jc w:val="center"/>
              <w:rPr>
                <w:i/>
              </w:rPr>
            </w:pPr>
          </w:p>
        </w:tc>
        <w:tc>
          <w:tcPr>
            <w:tcW w:w="1414"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11" w:type="dxa"/>
          </w:tcPr>
          <w:p w14:paraId="3C401266" w14:textId="77777777" w:rsidR="00DA708F" w:rsidRPr="0033617F" w:rsidRDefault="00DA708F" w:rsidP="001B2A96">
            <w:pPr>
              <w:jc w:val="center"/>
            </w:pPr>
          </w:p>
        </w:tc>
        <w:tc>
          <w:tcPr>
            <w:tcW w:w="1209" w:type="dxa"/>
          </w:tcPr>
          <w:p w14:paraId="010E991E" w14:textId="77777777" w:rsidR="00DA708F" w:rsidRPr="0033617F" w:rsidRDefault="00DA708F" w:rsidP="001B2A96">
            <w:pPr>
              <w:jc w:val="center"/>
            </w:pPr>
          </w:p>
        </w:tc>
        <w:tc>
          <w:tcPr>
            <w:tcW w:w="1111" w:type="dxa"/>
          </w:tcPr>
          <w:p w14:paraId="2814C102" w14:textId="77777777" w:rsidR="00DA708F" w:rsidRPr="0033617F" w:rsidRDefault="00DA708F" w:rsidP="001B2A96">
            <w:pPr>
              <w:jc w:val="center"/>
            </w:pPr>
          </w:p>
        </w:tc>
        <w:tc>
          <w:tcPr>
            <w:tcW w:w="1192" w:type="dxa"/>
          </w:tcPr>
          <w:p w14:paraId="3F3D2A8B" w14:textId="77777777" w:rsidR="00DA708F" w:rsidRPr="0033617F" w:rsidRDefault="00DA708F" w:rsidP="001B2A96">
            <w:pPr>
              <w:jc w:val="center"/>
            </w:pPr>
          </w:p>
        </w:tc>
        <w:tc>
          <w:tcPr>
            <w:tcW w:w="1008" w:type="dxa"/>
          </w:tcPr>
          <w:p w14:paraId="2895DA0C" w14:textId="77777777" w:rsidR="00DA708F" w:rsidRPr="0033617F" w:rsidRDefault="00DA708F" w:rsidP="001B2A96">
            <w:pPr>
              <w:jc w:val="center"/>
            </w:pPr>
          </w:p>
        </w:tc>
      </w:tr>
      <w:tr w:rsidR="00DA708F" w:rsidRPr="0033617F" w14:paraId="3FAD8564" w14:textId="77777777" w:rsidTr="00EE6938">
        <w:trPr>
          <w:jc w:val="center"/>
        </w:trPr>
        <w:tc>
          <w:tcPr>
            <w:tcW w:w="2175" w:type="dxa"/>
          </w:tcPr>
          <w:p w14:paraId="3D523FFD" w14:textId="77777777" w:rsidR="00DA708F" w:rsidRPr="0033617F" w:rsidRDefault="00DA708F" w:rsidP="001B2A96">
            <w:r w:rsidRPr="0033617F">
              <w:t>5. Precizēta finansiālā ietekme:</w:t>
            </w:r>
          </w:p>
        </w:tc>
        <w:tc>
          <w:tcPr>
            <w:tcW w:w="1123"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414" w:type="dxa"/>
          </w:tcPr>
          <w:p w14:paraId="16F77046" w14:textId="77777777" w:rsidR="00DA708F" w:rsidRPr="00317B6A" w:rsidRDefault="00DA708F" w:rsidP="001B2A96">
            <w:pPr>
              <w:jc w:val="center"/>
            </w:pPr>
            <w:r w:rsidRPr="00317B6A">
              <w:t>0</w:t>
            </w:r>
          </w:p>
        </w:tc>
        <w:tc>
          <w:tcPr>
            <w:tcW w:w="1111" w:type="dxa"/>
          </w:tcPr>
          <w:p w14:paraId="2D9AF13E" w14:textId="77777777" w:rsidR="00DA708F" w:rsidRPr="00317B6A" w:rsidRDefault="00DA708F" w:rsidP="001B2A96">
            <w:pPr>
              <w:jc w:val="center"/>
            </w:pPr>
            <w:r w:rsidRPr="00317B6A">
              <w:t>0</w:t>
            </w:r>
          </w:p>
        </w:tc>
        <w:tc>
          <w:tcPr>
            <w:tcW w:w="1209" w:type="dxa"/>
          </w:tcPr>
          <w:p w14:paraId="2C2599C3" w14:textId="77777777" w:rsidR="00DA708F" w:rsidRPr="00317B6A" w:rsidRDefault="00DA708F" w:rsidP="001B2A96">
            <w:pPr>
              <w:jc w:val="center"/>
            </w:pPr>
            <w:r w:rsidRPr="00317B6A">
              <w:t>0</w:t>
            </w:r>
          </w:p>
        </w:tc>
        <w:tc>
          <w:tcPr>
            <w:tcW w:w="1111" w:type="dxa"/>
          </w:tcPr>
          <w:p w14:paraId="39889732" w14:textId="77777777" w:rsidR="00DA708F" w:rsidRPr="00317B6A" w:rsidRDefault="00DA708F" w:rsidP="001B2A96">
            <w:pPr>
              <w:jc w:val="center"/>
            </w:pPr>
            <w:r w:rsidRPr="00317B6A">
              <w:t>0</w:t>
            </w:r>
          </w:p>
        </w:tc>
        <w:tc>
          <w:tcPr>
            <w:tcW w:w="1192" w:type="dxa"/>
          </w:tcPr>
          <w:p w14:paraId="481D2C56" w14:textId="77777777" w:rsidR="00DA708F" w:rsidRPr="00317B6A" w:rsidRDefault="00DA708F" w:rsidP="001B2A96">
            <w:pPr>
              <w:jc w:val="center"/>
            </w:pPr>
            <w:r>
              <w:t>0</w:t>
            </w:r>
          </w:p>
        </w:tc>
        <w:tc>
          <w:tcPr>
            <w:tcW w:w="1008" w:type="dxa"/>
          </w:tcPr>
          <w:p w14:paraId="223AAA8C" w14:textId="77777777" w:rsidR="00DA708F" w:rsidRPr="00317B6A" w:rsidRDefault="00DA708F" w:rsidP="001B2A96">
            <w:pPr>
              <w:jc w:val="center"/>
            </w:pPr>
            <w:r>
              <w:t>0</w:t>
            </w:r>
          </w:p>
        </w:tc>
      </w:tr>
      <w:tr w:rsidR="00DA708F" w:rsidRPr="0033617F" w14:paraId="506C80D8" w14:textId="77777777" w:rsidTr="00EE6938">
        <w:trPr>
          <w:jc w:val="center"/>
        </w:trPr>
        <w:tc>
          <w:tcPr>
            <w:tcW w:w="2175" w:type="dxa"/>
          </w:tcPr>
          <w:p w14:paraId="7EE32092" w14:textId="77777777" w:rsidR="00DA708F" w:rsidRPr="0033617F" w:rsidRDefault="00DA708F" w:rsidP="001B2A96">
            <w:r w:rsidRPr="0033617F">
              <w:t>5.1. valsts pamatbudžets</w:t>
            </w:r>
          </w:p>
        </w:tc>
        <w:tc>
          <w:tcPr>
            <w:tcW w:w="1123" w:type="dxa"/>
            <w:vMerge/>
            <w:vAlign w:val="center"/>
          </w:tcPr>
          <w:p w14:paraId="6A6579AC" w14:textId="77777777" w:rsidR="00DA708F" w:rsidRPr="0033617F" w:rsidRDefault="00DA708F" w:rsidP="001B2A96">
            <w:pPr>
              <w:jc w:val="center"/>
              <w:rPr>
                <w:i/>
              </w:rPr>
            </w:pPr>
          </w:p>
        </w:tc>
        <w:tc>
          <w:tcPr>
            <w:tcW w:w="1414" w:type="dxa"/>
          </w:tcPr>
          <w:p w14:paraId="51F9A668" w14:textId="77777777" w:rsidR="00DA708F" w:rsidRPr="0033617F" w:rsidRDefault="00DA708F" w:rsidP="001B2A96">
            <w:pPr>
              <w:jc w:val="center"/>
            </w:pPr>
            <w:r w:rsidRPr="00317B6A">
              <w:t>0</w:t>
            </w:r>
          </w:p>
        </w:tc>
        <w:tc>
          <w:tcPr>
            <w:tcW w:w="1111" w:type="dxa"/>
          </w:tcPr>
          <w:p w14:paraId="7171C556" w14:textId="77777777" w:rsidR="00DA708F" w:rsidRPr="0033617F" w:rsidRDefault="00DA708F" w:rsidP="001B2A96">
            <w:pPr>
              <w:jc w:val="center"/>
            </w:pPr>
            <w:r w:rsidRPr="00317B6A">
              <w:t>0</w:t>
            </w:r>
          </w:p>
        </w:tc>
        <w:tc>
          <w:tcPr>
            <w:tcW w:w="1209" w:type="dxa"/>
          </w:tcPr>
          <w:p w14:paraId="34AC611D" w14:textId="77777777" w:rsidR="00DA708F" w:rsidRPr="0033617F" w:rsidRDefault="00DA708F" w:rsidP="001B2A96">
            <w:pPr>
              <w:jc w:val="center"/>
            </w:pPr>
            <w:r w:rsidRPr="00317B6A">
              <w:t>0</w:t>
            </w:r>
          </w:p>
        </w:tc>
        <w:tc>
          <w:tcPr>
            <w:tcW w:w="1111" w:type="dxa"/>
          </w:tcPr>
          <w:p w14:paraId="54166C87" w14:textId="77777777" w:rsidR="00DA708F" w:rsidRPr="0033617F" w:rsidRDefault="00DA708F" w:rsidP="001B2A96">
            <w:pPr>
              <w:jc w:val="center"/>
            </w:pPr>
            <w:r w:rsidRPr="00317B6A">
              <w:t>0</w:t>
            </w:r>
          </w:p>
        </w:tc>
        <w:tc>
          <w:tcPr>
            <w:tcW w:w="1192" w:type="dxa"/>
          </w:tcPr>
          <w:p w14:paraId="7B4E4C75" w14:textId="4A42652C" w:rsidR="00DA708F" w:rsidRPr="00317B6A" w:rsidRDefault="007E7D78" w:rsidP="001B2A96">
            <w:pPr>
              <w:jc w:val="center"/>
            </w:pPr>
            <w:r>
              <w:t>0</w:t>
            </w:r>
          </w:p>
        </w:tc>
        <w:tc>
          <w:tcPr>
            <w:tcW w:w="1008" w:type="dxa"/>
          </w:tcPr>
          <w:p w14:paraId="05D82768" w14:textId="703019D4" w:rsidR="00DA708F" w:rsidRPr="00317B6A" w:rsidRDefault="007E7D78" w:rsidP="001B2A96">
            <w:pPr>
              <w:jc w:val="center"/>
            </w:pPr>
            <w:r>
              <w:t>0</w:t>
            </w:r>
          </w:p>
        </w:tc>
      </w:tr>
      <w:tr w:rsidR="00DA708F" w:rsidRPr="0033617F" w14:paraId="06297BD6" w14:textId="77777777" w:rsidTr="00EE6938">
        <w:trPr>
          <w:jc w:val="center"/>
        </w:trPr>
        <w:tc>
          <w:tcPr>
            <w:tcW w:w="2175" w:type="dxa"/>
          </w:tcPr>
          <w:p w14:paraId="6D97C3EB" w14:textId="77777777" w:rsidR="00DA708F" w:rsidRPr="0033617F" w:rsidRDefault="00DA708F" w:rsidP="001B2A96">
            <w:r w:rsidRPr="0033617F">
              <w:t>5.2. speciālais budžets</w:t>
            </w:r>
          </w:p>
        </w:tc>
        <w:tc>
          <w:tcPr>
            <w:tcW w:w="1123" w:type="dxa"/>
            <w:vMerge/>
            <w:vAlign w:val="center"/>
          </w:tcPr>
          <w:p w14:paraId="72440C53" w14:textId="77777777" w:rsidR="00DA708F" w:rsidRPr="0033617F" w:rsidRDefault="00DA708F" w:rsidP="001B2A96">
            <w:pPr>
              <w:jc w:val="center"/>
              <w:rPr>
                <w:i/>
              </w:rPr>
            </w:pPr>
          </w:p>
        </w:tc>
        <w:tc>
          <w:tcPr>
            <w:tcW w:w="1414" w:type="dxa"/>
          </w:tcPr>
          <w:p w14:paraId="3799B308" w14:textId="77777777" w:rsidR="00DA708F" w:rsidRPr="0033617F" w:rsidRDefault="00DA708F" w:rsidP="001B2A96">
            <w:pPr>
              <w:jc w:val="center"/>
            </w:pPr>
          </w:p>
        </w:tc>
        <w:tc>
          <w:tcPr>
            <w:tcW w:w="1111" w:type="dxa"/>
          </w:tcPr>
          <w:p w14:paraId="1E75FC85" w14:textId="77777777" w:rsidR="00DA708F" w:rsidRPr="0033617F" w:rsidRDefault="00DA708F" w:rsidP="001B2A96">
            <w:pPr>
              <w:jc w:val="center"/>
            </w:pPr>
          </w:p>
        </w:tc>
        <w:tc>
          <w:tcPr>
            <w:tcW w:w="1209" w:type="dxa"/>
          </w:tcPr>
          <w:p w14:paraId="2F654027" w14:textId="77777777" w:rsidR="00DA708F" w:rsidRPr="0033617F" w:rsidRDefault="00DA708F" w:rsidP="001B2A96">
            <w:pPr>
              <w:jc w:val="center"/>
            </w:pPr>
          </w:p>
        </w:tc>
        <w:tc>
          <w:tcPr>
            <w:tcW w:w="1111" w:type="dxa"/>
          </w:tcPr>
          <w:p w14:paraId="5A5AD6BB" w14:textId="77777777" w:rsidR="00DA708F" w:rsidRPr="0033617F" w:rsidRDefault="00DA708F" w:rsidP="001B2A96">
            <w:pPr>
              <w:jc w:val="center"/>
            </w:pPr>
          </w:p>
        </w:tc>
        <w:tc>
          <w:tcPr>
            <w:tcW w:w="1192" w:type="dxa"/>
          </w:tcPr>
          <w:p w14:paraId="69ECB779" w14:textId="77777777" w:rsidR="00DA708F" w:rsidRPr="0033617F" w:rsidRDefault="00DA708F" w:rsidP="001B2A96">
            <w:pPr>
              <w:jc w:val="center"/>
            </w:pPr>
          </w:p>
        </w:tc>
        <w:tc>
          <w:tcPr>
            <w:tcW w:w="1008" w:type="dxa"/>
          </w:tcPr>
          <w:p w14:paraId="39477A3E" w14:textId="77777777" w:rsidR="00DA708F" w:rsidRPr="0033617F" w:rsidRDefault="00DA708F" w:rsidP="001B2A96">
            <w:pPr>
              <w:jc w:val="center"/>
            </w:pPr>
          </w:p>
        </w:tc>
      </w:tr>
      <w:tr w:rsidR="00DA708F" w:rsidRPr="0033617F" w14:paraId="5E2EA37A" w14:textId="77777777" w:rsidTr="00EE6938">
        <w:trPr>
          <w:jc w:val="center"/>
        </w:trPr>
        <w:tc>
          <w:tcPr>
            <w:tcW w:w="2175" w:type="dxa"/>
          </w:tcPr>
          <w:p w14:paraId="00807605" w14:textId="77777777" w:rsidR="00DA708F" w:rsidRPr="0033617F" w:rsidRDefault="00DA708F" w:rsidP="001B2A96">
            <w:r w:rsidRPr="0033617F">
              <w:t xml:space="preserve">5.3. pašvaldību budžets </w:t>
            </w:r>
          </w:p>
        </w:tc>
        <w:tc>
          <w:tcPr>
            <w:tcW w:w="1123" w:type="dxa"/>
            <w:vMerge/>
          </w:tcPr>
          <w:p w14:paraId="5B3C56E9" w14:textId="77777777" w:rsidR="00DA708F" w:rsidRPr="0033617F" w:rsidRDefault="00DA708F" w:rsidP="001B2A96">
            <w:pPr>
              <w:jc w:val="center"/>
              <w:rPr>
                <w:i/>
              </w:rPr>
            </w:pPr>
          </w:p>
        </w:tc>
        <w:tc>
          <w:tcPr>
            <w:tcW w:w="1414" w:type="dxa"/>
          </w:tcPr>
          <w:p w14:paraId="34DF1238" w14:textId="77777777" w:rsidR="00DA708F" w:rsidRPr="0033617F" w:rsidRDefault="00DA708F" w:rsidP="001B2A96">
            <w:pPr>
              <w:jc w:val="center"/>
            </w:pPr>
          </w:p>
        </w:tc>
        <w:tc>
          <w:tcPr>
            <w:tcW w:w="1111" w:type="dxa"/>
          </w:tcPr>
          <w:p w14:paraId="6CCAD106" w14:textId="77777777" w:rsidR="00DA708F" w:rsidRPr="0033617F" w:rsidRDefault="00DA708F" w:rsidP="001B2A96">
            <w:pPr>
              <w:jc w:val="center"/>
            </w:pPr>
          </w:p>
        </w:tc>
        <w:tc>
          <w:tcPr>
            <w:tcW w:w="1209" w:type="dxa"/>
          </w:tcPr>
          <w:p w14:paraId="3BC1B57C" w14:textId="77777777" w:rsidR="00DA708F" w:rsidRPr="0033617F" w:rsidRDefault="00DA708F" w:rsidP="001B2A96">
            <w:pPr>
              <w:jc w:val="center"/>
            </w:pPr>
          </w:p>
        </w:tc>
        <w:tc>
          <w:tcPr>
            <w:tcW w:w="1111" w:type="dxa"/>
          </w:tcPr>
          <w:p w14:paraId="115C3BE1" w14:textId="77777777" w:rsidR="00DA708F" w:rsidRPr="0033617F" w:rsidRDefault="00DA708F" w:rsidP="001B2A96">
            <w:pPr>
              <w:jc w:val="center"/>
            </w:pPr>
          </w:p>
        </w:tc>
        <w:tc>
          <w:tcPr>
            <w:tcW w:w="1192" w:type="dxa"/>
          </w:tcPr>
          <w:p w14:paraId="1A71D472" w14:textId="77777777" w:rsidR="00DA708F" w:rsidRPr="0033617F" w:rsidRDefault="00DA708F" w:rsidP="001B2A96">
            <w:pPr>
              <w:jc w:val="center"/>
            </w:pPr>
          </w:p>
        </w:tc>
        <w:tc>
          <w:tcPr>
            <w:tcW w:w="1008" w:type="dxa"/>
          </w:tcPr>
          <w:p w14:paraId="1BEFEB9D" w14:textId="77777777" w:rsidR="00DA708F" w:rsidRPr="0033617F" w:rsidRDefault="00DA708F" w:rsidP="001B2A96">
            <w:pPr>
              <w:jc w:val="center"/>
            </w:pPr>
          </w:p>
        </w:tc>
      </w:tr>
      <w:tr w:rsidR="00DA708F" w:rsidRPr="0033617F" w14:paraId="214D50F7" w14:textId="77777777" w:rsidTr="00EE6938">
        <w:trPr>
          <w:jc w:val="center"/>
        </w:trPr>
        <w:tc>
          <w:tcPr>
            <w:tcW w:w="2175" w:type="dxa"/>
          </w:tcPr>
          <w:p w14:paraId="3E425710" w14:textId="77777777" w:rsidR="00DA708F" w:rsidRPr="0033617F" w:rsidRDefault="00DA708F" w:rsidP="001B2A96">
            <w:r w:rsidRPr="0033617F">
              <w:t>6. Detalizēts ieņēmumu un izdevumu aprēķins (ja nepie</w:t>
            </w:r>
            <w:r w:rsidRPr="0033617F">
              <w:softHyphen/>
              <w:t xml:space="preserve">ciešams, </w:t>
            </w:r>
            <w:r w:rsidRPr="0033617F">
              <w:lastRenderedPageBreak/>
              <w:t>detalizētu ieņēmumu un izdevumu aprēķinu var pievienot anotācijas pielikumā):</w:t>
            </w:r>
          </w:p>
        </w:tc>
        <w:tc>
          <w:tcPr>
            <w:tcW w:w="8168" w:type="dxa"/>
            <w:gridSpan w:val="7"/>
            <w:vMerge w:val="restart"/>
            <w:shd w:val="clear" w:color="auto" w:fill="auto"/>
          </w:tcPr>
          <w:p w14:paraId="0CFB731D" w14:textId="20EBC009" w:rsidR="00257AD9" w:rsidRDefault="00EC14EF" w:rsidP="00733436">
            <w:pPr>
              <w:ind w:right="34"/>
              <w:jc w:val="both"/>
            </w:pPr>
            <w:r>
              <w:lastRenderedPageBreak/>
              <w:tab/>
            </w:r>
            <w:r w:rsidR="00257AD9">
              <w:t xml:space="preserve">Finansējums </w:t>
            </w:r>
            <w:r w:rsidR="00BA647C" w:rsidRPr="00D22BC3">
              <w:t>1 379</w:t>
            </w:r>
            <w:r w:rsidR="00BA647C">
              <w:t> </w:t>
            </w:r>
            <w:r w:rsidR="00BA647C" w:rsidRPr="00D22BC3">
              <w:t xml:space="preserve">486 </w:t>
            </w:r>
            <w:r w:rsidR="00257AD9" w:rsidRPr="00257AD9">
              <w:rPr>
                <w:i/>
              </w:rPr>
              <w:t>euro</w:t>
            </w:r>
            <w:r w:rsidR="00257AD9">
              <w:t xml:space="preserve"> apmērā tiks pārdalīts no IZM pamatbudžeta apakšprogrammām (tai skaitā </w:t>
            </w:r>
            <w:r w:rsidR="00733436">
              <w:t xml:space="preserve">tai skaitā </w:t>
            </w:r>
            <w:r w:rsidR="00BA647C">
              <w:t>808 484</w:t>
            </w:r>
            <w:r w:rsidR="00733436">
              <w:t xml:space="preserve"> </w:t>
            </w:r>
            <w:r w:rsidR="00733436" w:rsidRPr="00444438">
              <w:rPr>
                <w:i/>
              </w:rPr>
              <w:t>euro</w:t>
            </w:r>
            <w:r w:rsidR="00733436">
              <w:t xml:space="preserve"> apmērā no apakšprogrammas 01.07.00 „Dotācija brīvpusdienu nodrošināšanai 1., 2., 3. un 4. klases izglītojamiem”, 327 699 </w:t>
            </w:r>
            <w:r w:rsidR="00733436" w:rsidRPr="00444438">
              <w:rPr>
                <w:i/>
              </w:rPr>
              <w:t>euro</w:t>
            </w:r>
            <w:r w:rsidR="00733436">
              <w:t xml:space="preserve"> apmērā no apakšprogrammas 09.21.00 „Augstas </w:t>
            </w:r>
            <w:r w:rsidR="00733436">
              <w:lastRenderedPageBreak/>
              <w:t xml:space="preserve">klases sasniegumu sports”, 188 303 </w:t>
            </w:r>
            <w:r w:rsidR="00733436" w:rsidRPr="00444438">
              <w:rPr>
                <w:i/>
              </w:rPr>
              <w:t>euro</w:t>
            </w:r>
            <w:r w:rsidR="00733436">
              <w:t xml:space="preserve"> apmērā no apakšprogrammas 09.09.00 „Sporta federācijas un sporta pasākumi” un 55 000 </w:t>
            </w:r>
            <w:r w:rsidR="00733436" w:rsidRPr="00733436">
              <w:rPr>
                <w:i/>
              </w:rPr>
              <w:t>euro</w:t>
            </w:r>
            <w:r w:rsidR="00733436">
              <w:t xml:space="preserve"> apmērā no apakšprogrammas 09.16.00 „Dotācija nacionālās nozīmes starptautisku sporta pasākumu organizēšanai Latvijā”</w:t>
            </w:r>
            <w:r w:rsidR="00DA7C20">
              <w:t>, kā rezultātā šajās apakšprogrammās līdzekļi samazināsies</w:t>
            </w:r>
            <w:r w:rsidR="00257AD9">
              <w:t>) uz budžeta resora „74. Gadskārtējā valsts budžeta izpildes procesā pārdalāmais finansējums” programmu 02.00.00 „Līdzekļi neparedzētiem gadījumiem”</w:t>
            </w:r>
            <w:r w:rsidR="00DA7C20">
              <w:t xml:space="preserve"> (kā rezultātā šajā apakšprogrammā līdzekļi palielināsies)</w:t>
            </w:r>
            <w:r w:rsidR="00257AD9">
              <w:t xml:space="preserve">. Vienlaikus visi pārdalītie līdzekļi </w:t>
            </w:r>
            <w:r w:rsidR="003839A0" w:rsidRPr="00D22BC3">
              <w:t>1 379</w:t>
            </w:r>
            <w:r w:rsidR="003839A0">
              <w:t> </w:t>
            </w:r>
            <w:r w:rsidR="003839A0" w:rsidRPr="00D22BC3">
              <w:t xml:space="preserve">486 </w:t>
            </w:r>
            <w:r w:rsidR="00733436" w:rsidRPr="00257AD9">
              <w:rPr>
                <w:i/>
              </w:rPr>
              <w:t>euro</w:t>
            </w:r>
            <w:r w:rsidR="00733436">
              <w:t xml:space="preserve"> apmērā </w:t>
            </w:r>
            <w:r w:rsidR="00257AD9">
              <w:t xml:space="preserve">no budžeta programmas </w:t>
            </w:r>
            <w:r w:rsidR="00257AD9" w:rsidRPr="008E36C3">
              <w:t>02.00.00 „Līd</w:t>
            </w:r>
            <w:r w:rsidR="00257AD9">
              <w:t xml:space="preserve">zekļi neparedzētiem gadījumiem” tiks piešķirti IZM </w:t>
            </w:r>
            <w:r w:rsidR="00257AD9" w:rsidRPr="00257AD9">
              <w:t xml:space="preserve">pārskaitīšanai </w:t>
            </w:r>
            <w:r w:rsidR="00733436">
              <w:t>LOK valsts galvoto aizdevuma atmaksai</w:t>
            </w:r>
            <w:r w:rsidR="00257AD9">
              <w:t>,</w:t>
            </w:r>
            <w:r w:rsidR="00257AD9" w:rsidRPr="00257AD9">
              <w:t xml:space="preserve"> </w:t>
            </w:r>
            <w:r w:rsidR="00733436">
              <w:t xml:space="preserve">tai skaitā (a) 385 985 </w:t>
            </w:r>
            <w:r w:rsidR="00733436" w:rsidRPr="00733436">
              <w:rPr>
                <w:i/>
              </w:rPr>
              <w:t>euro</w:t>
            </w:r>
            <w:r w:rsidR="00733436">
              <w:t xml:space="preserve"> Liepājas Olimpiskā centra projekta īstenošanai saņemtā valsts galvotā aizdevuma 2021. gada maksājuma atmaksai un </w:t>
            </w:r>
            <w:r w:rsidR="003839A0">
              <w:t>993 501</w:t>
            </w:r>
            <w:r w:rsidR="00733436">
              <w:t xml:space="preserve"> </w:t>
            </w:r>
            <w:r w:rsidR="00733436" w:rsidRPr="00733436">
              <w:rPr>
                <w:i/>
              </w:rPr>
              <w:t>euro</w:t>
            </w:r>
            <w:r w:rsidR="00733436">
              <w:t xml:space="preserve">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2021. gada maksājuma daļējai atmaksai. Tādejādi </w:t>
            </w:r>
            <w:r w:rsidR="00257AD9">
              <w:t>Rīkojuma projektiem nav</w:t>
            </w:r>
            <w:r w:rsidR="00DA7C20">
              <w:t xml:space="preserve"> tieša</w:t>
            </w:r>
            <w:r w:rsidR="00257AD9">
              <w:t xml:space="preserve"> ietekme uz budžeta ieņēmumiem </w:t>
            </w:r>
            <w:r w:rsidR="00DA7C20">
              <w:t xml:space="preserve">vai </w:t>
            </w:r>
            <w:r w:rsidR="00257AD9">
              <w:t>izdevumiem.</w:t>
            </w:r>
            <w:r w:rsidR="00DA7C20">
              <w:t xml:space="preserve"> </w:t>
            </w:r>
          </w:p>
          <w:p w14:paraId="12AD66CC" w14:textId="2F84F912" w:rsidR="0004742F" w:rsidRPr="004B2478" w:rsidRDefault="00EC14EF" w:rsidP="003839A0">
            <w:pPr>
              <w:ind w:right="34"/>
              <w:jc w:val="both"/>
            </w:pPr>
            <w:r>
              <w:tab/>
            </w:r>
            <w:r w:rsidR="0024757F">
              <w:t xml:space="preserve">Tieša ietekme uz budžeta ieņēmumiem un izdevumiem nav arī Protokollēmuma projektam, jo </w:t>
            </w:r>
            <w:r w:rsidR="00CD1A8F">
              <w:t xml:space="preserve">2021. gada valsts budžeta apakšprogrammā 09.23.00 „Valsts ilgtermiņa saistības sportā – dotācija Latvijas Olimpiskajai komitejai (LOK) – valsts galvoto aizdevumu atmaksai” finansējums par </w:t>
            </w:r>
            <w:r w:rsidR="003839A0" w:rsidRPr="00D22BC3">
              <w:t>1 379</w:t>
            </w:r>
            <w:r w:rsidR="003839A0">
              <w:t> </w:t>
            </w:r>
            <w:r w:rsidR="003839A0" w:rsidRPr="00D22BC3">
              <w:t xml:space="preserve">486 </w:t>
            </w:r>
            <w:r w:rsidR="00CD1A8F" w:rsidRPr="00CD1A8F">
              <w:rPr>
                <w:i/>
              </w:rPr>
              <w:t>euro</w:t>
            </w:r>
            <w:r w:rsidR="00CD1A8F">
              <w:t xml:space="preserve"> samazināsies, bet vienlaikus visi ietaupītie līdzekļi tiks pārdalīti uz citām </w:t>
            </w:r>
            <w:r w:rsidR="00402695">
              <w:t>uz citām 2021. gada IZM budžeta programmas 09.00.00 „Sports” apakšprogrammām</w:t>
            </w:r>
            <w:r w:rsidR="00402695" w:rsidRPr="00444438">
              <w:t xml:space="preserve"> prioritārā pasākuma „Valsts funkciju sporta nozarē izpildes nodrošināšana nemainīgā līmenī” (15_01_P) daļējai īstenošanai 2021. gadā</w:t>
            </w:r>
            <w:r w:rsidR="00402695">
              <w:t xml:space="preserve">, kā rezultātā (a) </w:t>
            </w:r>
            <w:r w:rsidR="00CD1A8F">
              <w:t>2021. gada valsts budžeta apakšprogramm</w:t>
            </w:r>
            <w:r w:rsidR="00402695">
              <w:t>ā</w:t>
            </w:r>
            <w:r w:rsidR="00CD1A8F">
              <w:t xml:space="preserve"> 09.09.00. „Sporta federācijas un sporta pasākumi” </w:t>
            </w:r>
            <w:r w:rsidR="00402695">
              <w:t xml:space="preserve">finansējums palielināsies </w:t>
            </w:r>
            <w:r w:rsidR="00CD1A8F">
              <w:t xml:space="preserve">par 275 000 </w:t>
            </w:r>
            <w:r w:rsidR="00CD1A8F" w:rsidRPr="00402695">
              <w:rPr>
                <w:i/>
              </w:rPr>
              <w:t>euro</w:t>
            </w:r>
            <w:r w:rsidR="00CD1A8F">
              <w:t>;</w:t>
            </w:r>
            <w:r w:rsidR="00402695">
              <w:t xml:space="preserve"> (b) </w:t>
            </w:r>
            <w:r w:rsidR="00CD1A8F">
              <w:t xml:space="preserve">2021. gada valsts budžeta apakšprogrammā 09.17.00. „Dotācija komandu sporta spēļu izlašu nodrošināšanai” </w:t>
            </w:r>
            <w:r w:rsidR="00402695">
              <w:t xml:space="preserve">finansējums palielināsies par </w:t>
            </w:r>
            <w:r w:rsidR="00CD1A8F">
              <w:t xml:space="preserve">139 189 </w:t>
            </w:r>
            <w:r w:rsidR="00CD1A8F" w:rsidRPr="00402695">
              <w:rPr>
                <w:i/>
              </w:rPr>
              <w:t>euro</w:t>
            </w:r>
            <w:r w:rsidR="00CD1A8F">
              <w:t>;</w:t>
            </w:r>
            <w:r w:rsidR="00402695">
              <w:t xml:space="preserve"> (c) </w:t>
            </w:r>
            <w:r w:rsidR="00CD1A8F">
              <w:t xml:space="preserve">2021. gada valsts budžeta apakšprogrammā 09.21.00. „Augstas klases sasniegumu sports” </w:t>
            </w:r>
            <w:r w:rsidR="00402695">
              <w:t xml:space="preserve">finansējums palielināsies </w:t>
            </w:r>
            <w:r w:rsidR="00CD1A8F">
              <w:t xml:space="preserve">par </w:t>
            </w:r>
            <w:r w:rsidR="003839A0">
              <w:t>875 252</w:t>
            </w:r>
            <w:r w:rsidR="00CD1A8F">
              <w:t xml:space="preserve"> </w:t>
            </w:r>
            <w:r w:rsidR="00CD1A8F" w:rsidRPr="00402695">
              <w:rPr>
                <w:i/>
              </w:rPr>
              <w:t>euro</w:t>
            </w:r>
            <w:r w:rsidR="00CD1A8F">
              <w:t>;</w:t>
            </w:r>
            <w:r w:rsidR="00402695">
              <w:t xml:space="preserve"> (d) </w:t>
            </w:r>
            <w:r w:rsidR="00CD1A8F">
              <w:t xml:space="preserve">2021. gada valsts budžeta apakšprogrammā 09.25.00. „Dotācija biedrībai „Latvijas Paralimpiskā komiteja” pielāgotā sporta attīstībai” </w:t>
            </w:r>
            <w:r w:rsidR="00402695">
              <w:t xml:space="preserve">finansējums palielināsies </w:t>
            </w:r>
            <w:r w:rsidR="00CD1A8F">
              <w:t xml:space="preserve">par 90 045 </w:t>
            </w:r>
            <w:r w:rsidR="00CD1A8F" w:rsidRPr="00402695">
              <w:rPr>
                <w:i/>
              </w:rPr>
              <w:t>euro</w:t>
            </w:r>
            <w:r w:rsidR="00CD1A8F">
              <w:t>.</w:t>
            </w:r>
          </w:p>
        </w:tc>
      </w:tr>
      <w:tr w:rsidR="00DA708F" w:rsidRPr="0033617F" w14:paraId="5F30166E" w14:textId="77777777" w:rsidTr="00EE6938">
        <w:trPr>
          <w:jc w:val="center"/>
        </w:trPr>
        <w:tc>
          <w:tcPr>
            <w:tcW w:w="2175" w:type="dxa"/>
          </w:tcPr>
          <w:p w14:paraId="2E27D7B1" w14:textId="29387657" w:rsidR="00DA708F" w:rsidRPr="0033617F" w:rsidRDefault="00DA708F" w:rsidP="001B2A96">
            <w:r w:rsidRPr="0033617F">
              <w:lastRenderedPageBreak/>
              <w:t>6.1. detalizēts ieņēmumu aprēķins</w:t>
            </w:r>
          </w:p>
        </w:tc>
        <w:tc>
          <w:tcPr>
            <w:tcW w:w="8168"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EE6938">
        <w:trPr>
          <w:jc w:val="center"/>
        </w:trPr>
        <w:tc>
          <w:tcPr>
            <w:tcW w:w="2175" w:type="dxa"/>
          </w:tcPr>
          <w:p w14:paraId="52D9743E" w14:textId="77777777" w:rsidR="00DA708F" w:rsidRPr="0033617F" w:rsidRDefault="00DA708F" w:rsidP="001B2A96">
            <w:r w:rsidRPr="0033617F">
              <w:t>6.2. detalizēts izdevumu aprēķins</w:t>
            </w:r>
          </w:p>
        </w:tc>
        <w:tc>
          <w:tcPr>
            <w:tcW w:w="8168"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EE6938">
        <w:trPr>
          <w:trHeight w:val="399"/>
          <w:jc w:val="center"/>
        </w:trPr>
        <w:tc>
          <w:tcPr>
            <w:tcW w:w="2175" w:type="dxa"/>
          </w:tcPr>
          <w:p w14:paraId="7FEEAE8C" w14:textId="77777777" w:rsidR="00DA708F" w:rsidRPr="0033617F" w:rsidRDefault="00DA708F" w:rsidP="001B2A96">
            <w:r>
              <w:t>7. Amata vietu skaita izmaiņas</w:t>
            </w:r>
          </w:p>
        </w:tc>
        <w:tc>
          <w:tcPr>
            <w:tcW w:w="8168" w:type="dxa"/>
            <w:gridSpan w:val="7"/>
            <w:shd w:val="clear" w:color="auto" w:fill="auto"/>
          </w:tcPr>
          <w:p w14:paraId="02AB3A95" w14:textId="6D2FEC32" w:rsidR="00DA708F" w:rsidRDefault="00654BB6" w:rsidP="00654BB6">
            <w:pPr>
              <w:ind w:right="34"/>
              <w:jc w:val="both"/>
            </w:pPr>
            <w:r>
              <w:t>Rīkojuma projektiem</w:t>
            </w:r>
            <w:r w:rsidR="00DA708F">
              <w:t xml:space="preserve"> </w:t>
            </w:r>
            <w:r w:rsidR="00402695">
              <w:t xml:space="preserve">un Protokollēmuma projektam </w:t>
            </w:r>
            <w:r w:rsidR="00DA708F">
              <w:t>nav ietekme uz amata vietu skaita izmaiņām.</w:t>
            </w:r>
          </w:p>
        </w:tc>
      </w:tr>
      <w:tr w:rsidR="00DA708F" w:rsidRPr="0033617F" w14:paraId="2CAD9D46" w14:textId="77777777" w:rsidTr="00EE6938">
        <w:trPr>
          <w:trHeight w:val="399"/>
          <w:jc w:val="center"/>
        </w:trPr>
        <w:tc>
          <w:tcPr>
            <w:tcW w:w="2175" w:type="dxa"/>
          </w:tcPr>
          <w:p w14:paraId="715B2A4B" w14:textId="77777777" w:rsidR="00DA708F" w:rsidRPr="0033617F" w:rsidRDefault="00DA708F" w:rsidP="001B2A96">
            <w:r>
              <w:t>8</w:t>
            </w:r>
            <w:r w:rsidRPr="0033617F">
              <w:t>. Cita informācija</w:t>
            </w:r>
          </w:p>
        </w:tc>
        <w:tc>
          <w:tcPr>
            <w:tcW w:w="8168" w:type="dxa"/>
            <w:gridSpan w:val="7"/>
            <w:shd w:val="clear" w:color="auto" w:fill="auto"/>
          </w:tcPr>
          <w:p w14:paraId="0A6EC81A" w14:textId="77777777" w:rsidR="00131E29" w:rsidRDefault="00131E29" w:rsidP="00B11AF2">
            <w:pPr>
              <w:ind w:right="34"/>
              <w:jc w:val="both"/>
            </w:pPr>
            <w:r>
              <w:tab/>
            </w:r>
            <w:r w:rsidR="0013778A">
              <w:t>IZM</w:t>
            </w:r>
            <w:r w:rsidR="00947F9D" w:rsidRPr="00654BB6">
              <w:t xml:space="preserve">, slēdzot līgumu ar </w:t>
            </w:r>
            <w:r w:rsidR="00402695">
              <w:t>LOK</w:t>
            </w:r>
            <w:r w:rsidR="00947F9D" w:rsidRPr="00654BB6">
              <w:t xml:space="preserve"> par val</w:t>
            </w:r>
            <w:r w:rsidR="00402695">
              <w:t>sts budžeta līdzekļu piešķiršanu valsts galvoto aizdevuma atmaksai, noteiks par pienākumu LOK saņemtos valsts budžeta līdzekļus valsts galvoto aizdevumu 2021. gada maksājumiem izlietot</w:t>
            </w:r>
            <w:r>
              <w:t xml:space="preserve"> līdz 2020. gada 15. decembrim.</w:t>
            </w:r>
          </w:p>
          <w:p w14:paraId="101A993B" w14:textId="405B1713" w:rsidR="00B11AF2" w:rsidRDefault="00131E29" w:rsidP="00B11AF2">
            <w:pPr>
              <w:ind w:right="34"/>
              <w:jc w:val="both"/>
            </w:pPr>
            <w:r>
              <w:tab/>
            </w:r>
            <w:r w:rsidR="00B11AF2" w:rsidRPr="00B11AF2">
              <w:t xml:space="preserve">Ņemot vērā faktu, ka jautājums ir saistīts ar valsts galvoto aizdevumu atmaksu un izmaiņām valsts budžeta ilgtermiņa saistībās, </w:t>
            </w:r>
            <w:r w:rsidR="00B11AF2">
              <w:t xml:space="preserve">IZM ir izstrādājusi un </w:t>
            </w:r>
            <w:r w:rsidR="00B11AF2" w:rsidRPr="00B11AF2">
              <w:t>ar Rīkojuma</w:t>
            </w:r>
            <w:r w:rsidR="00B11AF2">
              <w:t xml:space="preserve"> projektiem</w:t>
            </w:r>
            <w:r w:rsidR="00B11AF2" w:rsidRPr="00B11AF2">
              <w:t xml:space="preserve"> </w:t>
            </w:r>
            <w:r w:rsidR="00EC14EF">
              <w:t xml:space="preserve">un Protokollēmuma projektu </w:t>
            </w:r>
            <w:r w:rsidR="00B11AF2" w:rsidRPr="00B11AF2">
              <w:t xml:space="preserve">vienotā dokumentu paketē tiek virzīts </w:t>
            </w:r>
            <w:r w:rsidR="00B11AF2">
              <w:t>Ministru kabineta rīkojuma projekts „</w:t>
            </w:r>
            <w:r w:rsidR="00B11AF2" w:rsidRPr="00537DF6">
              <w:t>Grozījumi Ministru kabineta 2017. gada 19. aprīļa rīkojumā Nr. 196 „Par valsts budžeta ilgtermiņa saistību precizēšanu valsts galvoto reģionālo olimpisko centru projektu īstenošanai”</w:t>
            </w:r>
            <w:r w:rsidR="00B11AF2">
              <w:t xml:space="preserve">”, kas precizē </w:t>
            </w:r>
            <w:r w:rsidR="007065C6" w:rsidRPr="007065C6">
              <w:t>valsts budžeta ilgtermiņa saistības</w:t>
            </w:r>
            <w:r w:rsidR="007065C6">
              <w:t xml:space="preserve"> </w:t>
            </w:r>
            <w:r w:rsidR="00B11AF2">
              <w:t>L</w:t>
            </w:r>
            <w:r w:rsidR="00B11AF2" w:rsidRPr="00B11AF2">
              <w:t>iepājas Olimpiskā centra</w:t>
            </w:r>
            <w:r w:rsidR="00B11AF2">
              <w:t xml:space="preserve"> projekta īstenošanai, </w:t>
            </w:r>
            <w:r w:rsidR="00B11AF2" w:rsidRPr="00B11AF2">
              <w:t xml:space="preserve">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w:t>
            </w:r>
            <w:r w:rsidR="007065C6" w:rsidRPr="007065C6">
              <w:t xml:space="preserve">pabeigšanai saņemto valsts galvoto </w:t>
            </w:r>
            <w:r w:rsidR="007065C6" w:rsidRPr="007065C6">
              <w:lastRenderedPageBreak/>
              <w:t>aizdevumu atmaksai paredzēto valsts budžeta ilgtermiņa saistību sadalījumu 2020. un 2021. gadā</w:t>
            </w:r>
            <w:r w:rsidR="00B11AF2" w:rsidRPr="00B11AF2">
              <w:t>.</w:t>
            </w:r>
          </w:p>
          <w:p w14:paraId="47104EEB" w14:textId="511FC28E" w:rsidR="00EC14EF" w:rsidRDefault="00131E29" w:rsidP="00EE6938">
            <w:pPr>
              <w:ind w:right="34"/>
              <w:jc w:val="both"/>
            </w:pPr>
            <w:r>
              <w:tab/>
            </w:r>
            <w:r w:rsidR="00EE6938" w:rsidRPr="00EE6938">
              <w:t xml:space="preserve">Pēc </w:t>
            </w:r>
            <w:r w:rsidR="00EE6938">
              <w:t xml:space="preserve">Rīkojuma projektu </w:t>
            </w:r>
            <w:r w:rsidR="00EE6938" w:rsidRPr="00EE6938">
              <w:t xml:space="preserve">pieņemšanas </w:t>
            </w:r>
            <w:r w:rsidR="00EE6938" w:rsidRPr="008E6979">
              <w:t>Ministru kabineta 2018.</w:t>
            </w:r>
            <w:r w:rsidR="00EE6938">
              <w:t xml:space="preserve"> </w:t>
            </w:r>
            <w:r w:rsidR="00EE6938" w:rsidRPr="008E6979">
              <w:t>gada 17.</w:t>
            </w:r>
            <w:r w:rsidR="00EE6938">
              <w:t xml:space="preserve"> jūlija noteikumos</w:t>
            </w:r>
            <w:r w:rsidR="00EE6938" w:rsidRPr="008E6979">
              <w:t xml:space="preserve"> Nr.</w:t>
            </w:r>
            <w:r w:rsidR="00EE6938">
              <w:t xml:space="preserve"> </w:t>
            </w:r>
            <w:r w:rsidR="00EE6938" w:rsidRPr="008E6979">
              <w:t xml:space="preserve">421 „Kārtība, kādā veic gadskārtējā valsts budžeta likumā noteiktās apropriācijas izmaiņas” </w:t>
            </w:r>
            <w:r w:rsidR="00EE6938" w:rsidRPr="00EE6938">
              <w:t xml:space="preserve">noteiktā kārtībā </w:t>
            </w:r>
            <w:r w:rsidR="00EE6938">
              <w:t xml:space="preserve">IZM </w:t>
            </w:r>
            <w:r w:rsidR="00EE6938" w:rsidRPr="00EE6938">
              <w:t xml:space="preserve">sagatavos un iesniegs Finanšu ministrijā pieprasījumu valsts budžeta </w:t>
            </w:r>
            <w:r w:rsidR="00EE6938">
              <w:t xml:space="preserve">līdzekļu </w:t>
            </w:r>
            <w:r w:rsidR="003839A0" w:rsidRPr="00D22BC3">
              <w:t>1 379</w:t>
            </w:r>
            <w:r w:rsidR="003839A0">
              <w:t> </w:t>
            </w:r>
            <w:r w:rsidR="003839A0" w:rsidRPr="00D22BC3">
              <w:t xml:space="preserve">486 </w:t>
            </w:r>
            <w:r w:rsidR="00EE6938" w:rsidRPr="0058052A">
              <w:rPr>
                <w:i/>
              </w:rPr>
              <w:t>euro</w:t>
            </w:r>
            <w:r w:rsidR="00EE6938">
              <w:t xml:space="preserve"> apmērā apropriācijas pārdalei, kā arī valsts budžeta līdzekļu </w:t>
            </w:r>
            <w:r w:rsidR="003839A0" w:rsidRPr="00D22BC3">
              <w:t>1 379</w:t>
            </w:r>
            <w:r w:rsidR="003839A0">
              <w:t> </w:t>
            </w:r>
            <w:r w:rsidR="003839A0" w:rsidRPr="00D22BC3">
              <w:t xml:space="preserve">486 </w:t>
            </w:r>
            <w:r w:rsidR="00EE6938" w:rsidRPr="0058052A">
              <w:rPr>
                <w:i/>
              </w:rPr>
              <w:t>euro</w:t>
            </w:r>
            <w:r w:rsidR="00EE6938">
              <w:rPr>
                <w:i/>
              </w:rPr>
              <w:t xml:space="preserve"> </w:t>
            </w:r>
            <w:r w:rsidR="00EE6938">
              <w:t xml:space="preserve">piešķiršanai </w:t>
            </w:r>
            <w:r w:rsidR="00EE6938" w:rsidRPr="00EE6938">
              <w:t>no valsts budžeta programmas 02.00.00 „Līdzekļi neparedzētiem gadījumiem”</w:t>
            </w:r>
            <w:r w:rsidR="00EE6938">
              <w:t>.</w:t>
            </w:r>
            <w:r w:rsidR="00B11AF2">
              <w:t xml:space="preserve"> Tāpat IZM iesnieg</w:t>
            </w:r>
            <w:r w:rsidR="00EC14EF">
              <w:t>s</w:t>
            </w:r>
            <w:r w:rsidR="00EC14EF" w:rsidRPr="00EC14EF">
              <w:t xml:space="preserve"> Finanšu ministrijā pieprasījumu valsts pamatbudžeta ilgtermiņa saistību izmaiņām.</w:t>
            </w:r>
          </w:p>
          <w:p w14:paraId="51726586" w14:textId="562D9CFC" w:rsidR="00E27F93" w:rsidRDefault="00131E29" w:rsidP="00E27F93">
            <w:pPr>
              <w:ind w:right="34"/>
              <w:jc w:val="both"/>
            </w:pPr>
            <w:r>
              <w:tab/>
            </w:r>
            <w:r w:rsidR="00E27F93">
              <w:t xml:space="preserve">Tāpat pēc Rīkojuma projektu pieņemšanas atbilstoši Protokollēmuma projekta 3. punktā dotam uzdevumam IZM </w:t>
            </w:r>
            <w:r w:rsidR="00E27F93" w:rsidRPr="00E27F93">
              <w:t>iesnieg</w:t>
            </w:r>
            <w:r w:rsidR="00E27F93">
              <w:t>s attiecīgus</w:t>
            </w:r>
            <w:r w:rsidR="00E27F93" w:rsidRPr="00E27F93">
              <w:t xml:space="preserve"> priekšlikumus likumprojekta „Par valsts budžetu 2021. gadam” un likumprojekta „Par vidēja termiņa budžeta ietvaru 2021., 2022. un 2023. gadam” izskatīšanai Saeimā otrajā lasījumā</w:t>
            </w:r>
            <w:r w:rsidR="00E27F93">
              <w:t>.</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CDFFBD6" w:rsidR="00C3572A" w:rsidRPr="00B24229" w:rsidRDefault="00C3572A" w:rsidP="00654BB6">
            <w:pPr>
              <w:ind w:right="127"/>
              <w:jc w:val="center"/>
            </w:pPr>
            <w:r w:rsidRPr="00C3572A">
              <w:t>Projekt</w:t>
            </w:r>
            <w:r w:rsidR="00654BB6">
              <w:t>i</w:t>
            </w:r>
            <w:r w:rsidRPr="00C3572A">
              <w:t xml:space="preserve">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00A74D25" w:rsidR="00C3572A" w:rsidRPr="00B24229" w:rsidRDefault="00C3572A" w:rsidP="00654BB6">
            <w:pPr>
              <w:ind w:right="127"/>
              <w:jc w:val="center"/>
            </w:pPr>
            <w:r w:rsidRPr="00C3572A">
              <w:t>Projekt</w:t>
            </w:r>
            <w:r w:rsidR="00654BB6">
              <w:t>i</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1E92770F" w:rsidR="004149A5" w:rsidRPr="004149A5" w:rsidRDefault="004149A5" w:rsidP="00654BB6">
            <w:pPr>
              <w:pStyle w:val="naisnod"/>
              <w:spacing w:before="0" w:after="0"/>
              <w:rPr>
                <w:b w:val="0"/>
              </w:rPr>
            </w:pPr>
            <w:r w:rsidRPr="004149A5">
              <w:rPr>
                <w:b w:val="0"/>
              </w:rPr>
              <w:t>Projekt</w:t>
            </w:r>
            <w:r w:rsidR="00654BB6">
              <w:rPr>
                <w:b w:val="0"/>
              </w:rPr>
              <w:t>i</w:t>
            </w:r>
            <w:r w:rsidRPr="004149A5">
              <w:rPr>
                <w:b w:val="0"/>
              </w:rPr>
              <w:t xml:space="preserve"> šo jomu neskar</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0CED4681" w:rsidR="00C22F23" w:rsidRPr="00B24229" w:rsidRDefault="00654BB6" w:rsidP="00DD6F2C">
            <w:pPr>
              <w:ind w:left="128" w:right="142"/>
              <w:jc w:val="both"/>
            </w:pPr>
            <w:r>
              <w:t>Rīkojuma projektu</w:t>
            </w:r>
            <w:r w:rsidR="00DD6F2C">
              <w:t xml:space="preserve"> un Protokollēmuma projekta</w:t>
            </w:r>
            <w:r w:rsidR="00E82C1D" w:rsidRPr="00776AC7">
              <w:t xml:space="preserve"> izpildi nodrošinās </w:t>
            </w:r>
            <w:r w:rsidR="0013778A">
              <w:t>IZM</w:t>
            </w:r>
            <w:r>
              <w:t xml:space="preserve"> sadarbībā ar Finanšu ministriju</w:t>
            </w:r>
            <w:r w:rsidR="00E4473B" w:rsidRPr="00776AC7">
              <w:t>. Par finansējuma piešķiršanu tiks slēgts līgums ar</w:t>
            </w:r>
            <w:r w:rsidR="00F4684A" w:rsidRPr="00776AC7">
              <w:t xml:space="preserve"> </w:t>
            </w:r>
            <w:r w:rsidR="00DD6F2C">
              <w:t>LOK</w:t>
            </w:r>
            <w:r w:rsidR="00776AC7" w:rsidRPr="00776AC7">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53FFB7FB" w:rsidR="00C22F23" w:rsidRDefault="00D47F6F" w:rsidP="00DD6F2C">
            <w:pPr>
              <w:ind w:left="128" w:right="142"/>
              <w:jc w:val="both"/>
            </w:pPr>
            <w:r>
              <w:t>Rīkojuma projekt</w:t>
            </w:r>
            <w:r w:rsidR="00654BB6">
              <w:t>i</w:t>
            </w:r>
            <w:r w:rsidR="00DD6F2C">
              <w:t xml:space="preserve"> un Protokollēmuma projekts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14420283" w14:textId="77777777" w:rsidR="00DD6F2C" w:rsidRPr="005705F9" w:rsidRDefault="00DD6F2C"/>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Default="00585B7B" w:rsidP="00D96FCD"/>
    <w:p w14:paraId="52515C2B" w14:textId="77777777" w:rsidR="006E7A0E" w:rsidRDefault="006E7A0E" w:rsidP="00D96FCD"/>
    <w:p w14:paraId="1649B956" w14:textId="77777777" w:rsidR="006E7A0E" w:rsidRDefault="006E7A0E" w:rsidP="00D96FCD"/>
    <w:p w14:paraId="2557D84F" w14:textId="77777777" w:rsidR="006E7A0E" w:rsidRDefault="006E7A0E" w:rsidP="00D96FCD"/>
    <w:p w14:paraId="36120DCA" w14:textId="77777777" w:rsidR="006E7A0E" w:rsidRPr="005705F9" w:rsidRDefault="006E7A0E" w:rsidP="00D96FCD"/>
    <w:p w14:paraId="708FB085"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DDE9" w14:textId="77777777" w:rsidR="00332199" w:rsidRDefault="00332199" w:rsidP="00123E9B">
      <w:r>
        <w:separator/>
      </w:r>
    </w:p>
  </w:endnote>
  <w:endnote w:type="continuationSeparator" w:id="0">
    <w:p w14:paraId="5401B833" w14:textId="77777777" w:rsidR="00332199" w:rsidRDefault="0033219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0FA5827F" w:rsidR="00537DF6" w:rsidRPr="00796526" w:rsidRDefault="00537DF6" w:rsidP="00796526">
    <w:pPr>
      <w:ind w:left="-567" w:right="-568"/>
      <w:jc w:val="both"/>
      <w:rPr>
        <w:sz w:val="22"/>
        <w:szCs w:val="22"/>
      </w:rPr>
    </w:pPr>
    <w:r>
      <w:rPr>
        <w:sz w:val="22"/>
        <w:szCs w:val="22"/>
      </w:rPr>
      <w:t>IZMAnot_2</w:t>
    </w:r>
    <w:r w:rsidR="00DB0F9C">
      <w:rPr>
        <w:sz w:val="22"/>
        <w:szCs w:val="22"/>
      </w:rPr>
      <w:t>6</w:t>
    </w:r>
    <w:r>
      <w:rPr>
        <w:sz w:val="22"/>
        <w:szCs w:val="22"/>
      </w:rPr>
      <w:t>1020_sports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59D9C4B9" w:rsidR="00537DF6" w:rsidRPr="00692F8F" w:rsidRDefault="00537DF6" w:rsidP="00692F8F">
    <w:pPr>
      <w:ind w:left="-567" w:right="-568"/>
      <w:jc w:val="both"/>
      <w:rPr>
        <w:sz w:val="22"/>
        <w:szCs w:val="22"/>
      </w:rPr>
    </w:pPr>
    <w:r>
      <w:rPr>
        <w:sz w:val="22"/>
        <w:szCs w:val="22"/>
      </w:rPr>
      <w:t>IZMAnot_2</w:t>
    </w:r>
    <w:r w:rsidR="00DB0F9C">
      <w:rPr>
        <w:sz w:val="22"/>
        <w:szCs w:val="22"/>
      </w:rPr>
      <w:t>6</w:t>
    </w:r>
    <w:r>
      <w:rPr>
        <w:sz w:val="22"/>
        <w:szCs w:val="22"/>
      </w:rPr>
      <w:t>1020_sports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267B" w14:textId="77777777" w:rsidR="00332199" w:rsidRDefault="00332199" w:rsidP="00123E9B">
      <w:r>
        <w:separator/>
      </w:r>
    </w:p>
  </w:footnote>
  <w:footnote w:type="continuationSeparator" w:id="0">
    <w:p w14:paraId="7EDDE350" w14:textId="77777777" w:rsidR="00332199" w:rsidRDefault="00332199" w:rsidP="00123E9B">
      <w:r>
        <w:continuationSeparator/>
      </w:r>
    </w:p>
  </w:footnote>
  <w:footnote w:id="1">
    <w:p w14:paraId="6F9C8D5D" w14:textId="654369F2" w:rsidR="00537DF6" w:rsidRDefault="00537DF6">
      <w:pPr>
        <w:pStyle w:val="FootnoteText"/>
      </w:pPr>
      <w:r>
        <w:rPr>
          <w:rStyle w:val="FootnoteReference"/>
        </w:rPr>
        <w:footnoteRef/>
      </w:r>
      <w:r>
        <w:t xml:space="preserve"> </w:t>
      </w:r>
      <w:hyperlink r:id="rId1" w:history="1">
        <w:r w:rsidRPr="00A3622E">
          <w:rPr>
            <w:rStyle w:val="Hyperlink"/>
            <w:i/>
          </w:rPr>
          <w:t>https://lrvk.gov.lv/lv/getrevisionfile/29506-rh3BDKMzK9pzgBWE4JybRWZ6Fd8WRbe4.pdf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537DF6" w:rsidRDefault="00537DF6">
    <w:pPr>
      <w:pStyle w:val="Header"/>
      <w:jc w:val="center"/>
    </w:pPr>
    <w:r>
      <w:fldChar w:fldCharType="begin"/>
    </w:r>
    <w:r>
      <w:instrText xml:space="preserve"> PAGE   \* MERGEFORMAT </w:instrText>
    </w:r>
    <w:r>
      <w:fldChar w:fldCharType="separate"/>
    </w:r>
    <w:r w:rsidR="003839A0">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59A5F1C"/>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164C135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83B578E"/>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1">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6641648"/>
    <w:multiLevelType w:val="hybridMultilevel"/>
    <w:tmpl w:val="3222B880"/>
    <w:lvl w:ilvl="0" w:tplc="0D2CC2B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3">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399A1A18"/>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8">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9">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3">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6">
    <w:nsid w:val="56F2435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58B74022"/>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2">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5">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6">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2"/>
  </w:num>
  <w:num w:numId="2">
    <w:abstractNumId w:val="38"/>
  </w:num>
  <w:num w:numId="3">
    <w:abstractNumId w:val="35"/>
  </w:num>
  <w:num w:numId="4">
    <w:abstractNumId w:val="43"/>
  </w:num>
  <w:num w:numId="5">
    <w:abstractNumId w:val="32"/>
  </w:num>
  <w:num w:numId="6">
    <w:abstractNumId w:val="34"/>
  </w:num>
  <w:num w:numId="7">
    <w:abstractNumId w:val="7"/>
  </w:num>
  <w:num w:numId="8">
    <w:abstractNumId w:val="2"/>
  </w:num>
  <w:num w:numId="9">
    <w:abstractNumId w:val="21"/>
  </w:num>
  <w:num w:numId="10">
    <w:abstractNumId w:val="48"/>
  </w:num>
  <w:num w:numId="11">
    <w:abstractNumId w:val="41"/>
  </w:num>
  <w:num w:numId="12">
    <w:abstractNumId w:val="13"/>
  </w:num>
  <w:num w:numId="13">
    <w:abstractNumId w:val="3"/>
  </w:num>
  <w:num w:numId="14">
    <w:abstractNumId w:val="4"/>
  </w:num>
  <w:num w:numId="15">
    <w:abstractNumId w:val="40"/>
  </w:num>
  <w:num w:numId="16">
    <w:abstractNumId w:val="49"/>
  </w:num>
  <w:num w:numId="17">
    <w:abstractNumId w:val="25"/>
  </w:num>
  <w:num w:numId="18">
    <w:abstractNumId w:val="26"/>
  </w:num>
  <w:num w:numId="19">
    <w:abstractNumId w:val="23"/>
  </w:num>
  <w:num w:numId="20">
    <w:abstractNumId w:val="15"/>
  </w:num>
  <w:num w:numId="21">
    <w:abstractNumId w:val="29"/>
  </w:num>
  <w:num w:numId="22">
    <w:abstractNumId w:val="44"/>
  </w:num>
  <w:num w:numId="23">
    <w:abstractNumId w:val="28"/>
  </w:num>
  <w:num w:numId="24">
    <w:abstractNumId w:val="0"/>
  </w:num>
  <w:num w:numId="25">
    <w:abstractNumId w:val="31"/>
  </w:num>
  <w:num w:numId="26">
    <w:abstractNumId w:val="19"/>
  </w:num>
  <w:num w:numId="27">
    <w:abstractNumId w:val="39"/>
  </w:num>
  <w:num w:numId="28">
    <w:abstractNumId w:val="27"/>
  </w:num>
  <w:num w:numId="29">
    <w:abstractNumId w:val="12"/>
  </w:num>
  <w:num w:numId="30">
    <w:abstractNumId w:val="42"/>
  </w:num>
  <w:num w:numId="31">
    <w:abstractNumId w:val="11"/>
  </w:num>
  <w:num w:numId="32">
    <w:abstractNumId w:val="17"/>
  </w:num>
  <w:num w:numId="33">
    <w:abstractNumId w:val="33"/>
  </w:num>
  <w:num w:numId="34">
    <w:abstractNumId w:val="9"/>
  </w:num>
  <w:num w:numId="35">
    <w:abstractNumId w:val="45"/>
  </w:num>
  <w:num w:numId="36">
    <w:abstractNumId w:val="16"/>
  </w:num>
  <w:num w:numId="37">
    <w:abstractNumId w:val="47"/>
  </w:num>
  <w:num w:numId="38">
    <w:abstractNumId w:val="30"/>
  </w:num>
  <w:num w:numId="39">
    <w:abstractNumId w:val="1"/>
  </w:num>
  <w:num w:numId="40">
    <w:abstractNumId w:val="46"/>
  </w:num>
  <w:num w:numId="41">
    <w:abstractNumId w:val="18"/>
  </w:num>
  <w:num w:numId="42">
    <w:abstractNumId w:val="10"/>
  </w:num>
  <w:num w:numId="43">
    <w:abstractNumId w:val="20"/>
  </w:num>
  <w:num w:numId="44">
    <w:abstractNumId w:val="8"/>
  </w:num>
  <w:num w:numId="45">
    <w:abstractNumId w:val="37"/>
  </w:num>
  <w:num w:numId="46">
    <w:abstractNumId w:val="6"/>
  </w:num>
  <w:num w:numId="47">
    <w:abstractNumId w:val="14"/>
  </w:num>
  <w:num w:numId="48">
    <w:abstractNumId w:val="5"/>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E"/>
    <w:rsid w:val="0004742F"/>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73E"/>
    <w:rsid w:val="000B3B3C"/>
    <w:rsid w:val="000B3EC8"/>
    <w:rsid w:val="000B3FF6"/>
    <w:rsid w:val="000B51C9"/>
    <w:rsid w:val="000B62CA"/>
    <w:rsid w:val="000B755F"/>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0EED"/>
    <w:rsid w:val="000D1A0B"/>
    <w:rsid w:val="000D361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473"/>
    <w:rsid w:val="001326B5"/>
    <w:rsid w:val="00132C2C"/>
    <w:rsid w:val="00132D10"/>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D62"/>
    <w:rsid w:val="0015243B"/>
    <w:rsid w:val="00152C87"/>
    <w:rsid w:val="00154E6C"/>
    <w:rsid w:val="00156760"/>
    <w:rsid w:val="00156E36"/>
    <w:rsid w:val="00157236"/>
    <w:rsid w:val="00157E69"/>
    <w:rsid w:val="00157F12"/>
    <w:rsid w:val="0016104B"/>
    <w:rsid w:val="00161261"/>
    <w:rsid w:val="0016142A"/>
    <w:rsid w:val="00162670"/>
    <w:rsid w:val="00162EB5"/>
    <w:rsid w:val="00163AAA"/>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466"/>
    <w:rsid w:val="001D2E9F"/>
    <w:rsid w:val="001D3147"/>
    <w:rsid w:val="001D4A15"/>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184A"/>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4807"/>
    <w:rsid w:val="00245D2D"/>
    <w:rsid w:val="00246B67"/>
    <w:rsid w:val="00246FEA"/>
    <w:rsid w:val="0024757F"/>
    <w:rsid w:val="002478E6"/>
    <w:rsid w:val="0025085A"/>
    <w:rsid w:val="00250A27"/>
    <w:rsid w:val="00250F03"/>
    <w:rsid w:val="002512F8"/>
    <w:rsid w:val="00254447"/>
    <w:rsid w:val="0025457B"/>
    <w:rsid w:val="0025458A"/>
    <w:rsid w:val="0025483E"/>
    <w:rsid w:val="0025500E"/>
    <w:rsid w:val="002553DA"/>
    <w:rsid w:val="00255BAD"/>
    <w:rsid w:val="00256019"/>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6F37"/>
    <w:rsid w:val="002B03B2"/>
    <w:rsid w:val="002B18D5"/>
    <w:rsid w:val="002B2EB9"/>
    <w:rsid w:val="002B3051"/>
    <w:rsid w:val="002B4AB5"/>
    <w:rsid w:val="002B4D56"/>
    <w:rsid w:val="002B531E"/>
    <w:rsid w:val="002B5787"/>
    <w:rsid w:val="002B5C0B"/>
    <w:rsid w:val="002B6351"/>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AD8"/>
    <w:rsid w:val="00334502"/>
    <w:rsid w:val="00335F59"/>
    <w:rsid w:val="00337562"/>
    <w:rsid w:val="00337C76"/>
    <w:rsid w:val="00341757"/>
    <w:rsid w:val="003418C3"/>
    <w:rsid w:val="003435FA"/>
    <w:rsid w:val="003445A2"/>
    <w:rsid w:val="003445AC"/>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DA9"/>
    <w:rsid w:val="003D5EAB"/>
    <w:rsid w:val="003D7335"/>
    <w:rsid w:val="003E012F"/>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695"/>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070E"/>
    <w:rsid w:val="004925F7"/>
    <w:rsid w:val="004940B7"/>
    <w:rsid w:val="0049673D"/>
    <w:rsid w:val="00496E04"/>
    <w:rsid w:val="004A0D2E"/>
    <w:rsid w:val="004A1976"/>
    <w:rsid w:val="004A1DA4"/>
    <w:rsid w:val="004A1F56"/>
    <w:rsid w:val="004A2074"/>
    <w:rsid w:val="004A2665"/>
    <w:rsid w:val="004A544E"/>
    <w:rsid w:val="004A56AF"/>
    <w:rsid w:val="004A5933"/>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E7E30"/>
    <w:rsid w:val="004F04A1"/>
    <w:rsid w:val="004F1194"/>
    <w:rsid w:val="004F14C5"/>
    <w:rsid w:val="004F1F61"/>
    <w:rsid w:val="004F2099"/>
    <w:rsid w:val="004F21AE"/>
    <w:rsid w:val="004F2C8A"/>
    <w:rsid w:val="004F3806"/>
    <w:rsid w:val="004F380A"/>
    <w:rsid w:val="004F3D0D"/>
    <w:rsid w:val="004F5EB9"/>
    <w:rsid w:val="004F788C"/>
    <w:rsid w:val="00500FE2"/>
    <w:rsid w:val="005018A2"/>
    <w:rsid w:val="00502D8A"/>
    <w:rsid w:val="00503618"/>
    <w:rsid w:val="00503DC4"/>
    <w:rsid w:val="0050407E"/>
    <w:rsid w:val="00504531"/>
    <w:rsid w:val="00504DBC"/>
    <w:rsid w:val="00504DBF"/>
    <w:rsid w:val="005057B7"/>
    <w:rsid w:val="00505965"/>
    <w:rsid w:val="00506A1E"/>
    <w:rsid w:val="00506F79"/>
    <w:rsid w:val="00507383"/>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372C"/>
    <w:rsid w:val="00524879"/>
    <w:rsid w:val="0052503E"/>
    <w:rsid w:val="0052685D"/>
    <w:rsid w:val="00526A4E"/>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721C"/>
    <w:rsid w:val="0053795C"/>
    <w:rsid w:val="00537DF6"/>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6D6"/>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0BC6"/>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E7B85"/>
    <w:rsid w:val="005F22A7"/>
    <w:rsid w:val="005F24D7"/>
    <w:rsid w:val="005F2BCF"/>
    <w:rsid w:val="005F2C6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BB6"/>
    <w:rsid w:val="006555D2"/>
    <w:rsid w:val="00655D23"/>
    <w:rsid w:val="0065692E"/>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3F17"/>
    <w:rsid w:val="006C5D57"/>
    <w:rsid w:val="006C697C"/>
    <w:rsid w:val="006D03B1"/>
    <w:rsid w:val="006D0962"/>
    <w:rsid w:val="006D3F80"/>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E7A0E"/>
    <w:rsid w:val="006F28DA"/>
    <w:rsid w:val="006F3DD2"/>
    <w:rsid w:val="006F5778"/>
    <w:rsid w:val="006F755B"/>
    <w:rsid w:val="00700411"/>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ACD"/>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2ADE"/>
    <w:rsid w:val="00733436"/>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5000"/>
    <w:rsid w:val="007951D8"/>
    <w:rsid w:val="00795A9E"/>
    <w:rsid w:val="0079616C"/>
    <w:rsid w:val="00796526"/>
    <w:rsid w:val="00797264"/>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5B70"/>
    <w:rsid w:val="009063BF"/>
    <w:rsid w:val="00906540"/>
    <w:rsid w:val="00907E6F"/>
    <w:rsid w:val="0091030B"/>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1790"/>
    <w:rsid w:val="00991845"/>
    <w:rsid w:val="00992558"/>
    <w:rsid w:val="0099370A"/>
    <w:rsid w:val="009950B3"/>
    <w:rsid w:val="00995D97"/>
    <w:rsid w:val="009966C4"/>
    <w:rsid w:val="00996AEB"/>
    <w:rsid w:val="009A41A2"/>
    <w:rsid w:val="009A5550"/>
    <w:rsid w:val="009A6BFC"/>
    <w:rsid w:val="009A7960"/>
    <w:rsid w:val="009B09FE"/>
    <w:rsid w:val="009B1E13"/>
    <w:rsid w:val="009B2854"/>
    <w:rsid w:val="009B2F21"/>
    <w:rsid w:val="009B49A0"/>
    <w:rsid w:val="009B701E"/>
    <w:rsid w:val="009B774A"/>
    <w:rsid w:val="009C0BE4"/>
    <w:rsid w:val="009C17F0"/>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2BD"/>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622E"/>
    <w:rsid w:val="00A37386"/>
    <w:rsid w:val="00A373E1"/>
    <w:rsid w:val="00A37643"/>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1362"/>
    <w:rsid w:val="00AF31BD"/>
    <w:rsid w:val="00AF3580"/>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72F4"/>
    <w:rsid w:val="00B106F1"/>
    <w:rsid w:val="00B109B1"/>
    <w:rsid w:val="00B10B0B"/>
    <w:rsid w:val="00B1173B"/>
    <w:rsid w:val="00B11AF2"/>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879B5"/>
    <w:rsid w:val="00B911D8"/>
    <w:rsid w:val="00B91715"/>
    <w:rsid w:val="00B92C2B"/>
    <w:rsid w:val="00B92E1A"/>
    <w:rsid w:val="00B93328"/>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264C"/>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0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1A8F"/>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2BC3"/>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3916"/>
    <w:rsid w:val="00D7505B"/>
    <w:rsid w:val="00D75260"/>
    <w:rsid w:val="00D75B70"/>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5C0"/>
    <w:rsid w:val="00DD4D1D"/>
    <w:rsid w:val="00DD54C6"/>
    <w:rsid w:val="00DD5A49"/>
    <w:rsid w:val="00DD6F2C"/>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376D"/>
    <w:rsid w:val="00E244D0"/>
    <w:rsid w:val="00E251D1"/>
    <w:rsid w:val="00E25793"/>
    <w:rsid w:val="00E26BAB"/>
    <w:rsid w:val="00E27C4D"/>
    <w:rsid w:val="00E27F1F"/>
    <w:rsid w:val="00E27F93"/>
    <w:rsid w:val="00E30761"/>
    <w:rsid w:val="00E316B0"/>
    <w:rsid w:val="00E31785"/>
    <w:rsid w:val="00E33A6E"/>
    <w:rsid w:val="00E33CDF"/>
    <w:rsid w:val="00E33F44"/>
    <w:rsid w:val="00E344AF"/>
    <w:rsid w:val="00E34D42"/>
    <w:rsid w:val="00E35E8A"/>
    <w:rsid w:val="00E3681A"/>
    <w:rsid w:val="00E36E44"/>
    <w:rsid w:val="00E379F0"/>
    <w:rsid w:val="00E37D81"/>
    <w:rsid w:val="00E401A6"/>
    <w:rsid w:val="00E433DC"/>
    <w:rsid w:val="00E43562"/>
    <w:rsid w:val="00E439BB"/>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140"/>
    <w:rsid w:val="00E73AE3"/>
    <w:rsid w:val="00E754E7"/>
    <w:rsid w:val="00E75C2F"/>
    <w:rsid w:val="00E80F7A"/>
    <w:rsid w:val="00E81CA7"/>
    <w:rsid w:val="00E82C1D"/>
    <w:rsid w:val="00E82EFE"/>
    <w:rsid w:val="00E83297"/>
    <w:rsid w:val="00E83DCC"/>
    <w:rsid w:val="00E8432F"/>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4AC7"/>
    <w:rsid w:val="00EF5381"/>
    <w:rsid w:val="00EF58DD"/>
    <w:rsid w:val="00F00F9F"/>
    <w:rsid w:val="00F01660"/>
    <w:rsid w:val="00F03A50"/>
    <w:rsid w:val="00F04465"/>
    <w:rsid w:val="00F046D2"/>
    <w:rsid w:val="00F05C65"/>
    <w:rsid w:val="00F06077"/>
    <w:rsid w:val="00F06483"/>
    <w:rsid w:val="00F06528"/>
    <w:rsid w:val="00F0730F"/>
    <w:rsid w:val="00F0738E"/>
    <w:rsid w:val="00F079EA"/>
    <w:rsid w:val="00F07AC1"/>
    <w:rsid w:val="00F106E0"/>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C0AAD"/>
    <w:rsid w:val="00FC1724"/>
    <w:rsid w:val="00FC27DB"/>
    <w:rsid w:val="00FC380B"/>
    <w:rsid w:val="00FC6855"/>
    <w:rsid w:val="00FC6911"/>
    <w:rsid w:val="00FC6950"/>
    <w:rsid w:val="00FC6E40"/>
    <w:rsid w:val="00FC73D9"/>
    <w:rsid w:val="00FC7A5E"/>
    <w:rsid w:val="00FD1F87"/>
    <w:rsid w:val="00FD35D0"/>
    <w:rsid w:val="00FD681B"/>
    <w:rsid w:val="00FD7331"/>
    <w:rsid w:val="00FD7FF0"/>
    <w:rsid w:val="00FE0E0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rvk.gov.lv/lv/getrevisionfile/29506-rh3BDKMzK9pzgBWE4JybRWZ6Fd8WRb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96CE-D942-40A2-AA2D-35680956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18470</Words>
  <Characters>10529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Izglītības un zinātnes ministrijas budžeta uz valsts budžeta programmu 02.00.00 "Līdzekļi neparedzētiem gadījumiem”"; Ministru kabineta rīkojuma projekts "Par finanšu līdzekļu piešķiršanu n</vt:lpstr>
    </vt:vector>
  </TitlesOfParts>
  <Company>Izglītības un zinātnes ministrija, Sporta departaments</Company>
  <LinksUpToDate>false</LinksUpToDate>
  <CharactersWithSpaces>28942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Izglītības un zinātnes ministrijas budžeta uz valsts budžeta programmu 02.00.00 "Līdzekļi neparedzētiem gadījumiem”"; 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76</cp:revision>
  <cp:lastPrinted>2018-03-22T14:28:00Z</cp:lastPrinted>
  <dcterms:created xsi:type="dcterms:W3CDTF">2020-10-18T19:48:00Z</dcterms:created>
  <dcterms:modified xsi:type="dcterms:W3CDTF">2020-10-26T20:30:00Z</dcterms:modified>
</cp:coreProperties>
</file>