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229E997C" w:rsidR="00681E25" w:rsidRDefault="002B531E" w:rsidP="00F464E2">
      <w:pPr>
        <w:ind w:left="-142" w:right="-143"/>
        <w:jc w:val="center"/>
        <w:rPr>
          <w:b/>
          <w:sz w:val="26"/>
          <w:szCs w:val="26"/>
        </w:rPr>
      </w:pPr>
      <w:bookmarkStart w:id="0" w:name="OLE_LINK3"/>
      <w:bookmarkStart w:id="1" w:name="OLE_LINK4"/>
      <w:bookmarkStart w:id="2" w:name="OLE_LINK1"/>
      <w:r w:rsidRPr="00920A52">
        <w:rPr>
          <w:b/>
          <w:sz w:val="26"/>
          <w:szCs w:val="26"/>
        </w:rPr>
        <w:t>Minis</w:t>
      </w:r>
      <w:r>
        <w:rPr>
          <w:b/>
          <w:sz w:val="26"/>
          <w:szCs w:val="26"/>
        </w:rPr>
        <w:t>tru kabineta rīkojuma projekta „</w:t>
      </w:r>
      <w:r w:rsidR="00220D2D" w:rsidRPr="00220D2D">
        <w:rPr>
          <w:b/>
          <w:sz w:val="26"/>
          <w:szCs w:val="26"/>
        </w:rPr>
        <w:t>Grozījumi Ministru kabineta 2017. gada 19. aprīļa rīkojumā Nr. 196 „Par valsts budžeta ilgtermiņa saistību precizēšanu valsts galvoto reģionālo olimpisko centru projektu īstenošanai”</w:t>
      </w:r>
      <w:r w:rsidR="00220D2D">
        <w:rPr>
          <w:b/>
          <w:sz w:val="26"/>
          <w:szCs w:val="26"/>
        </w:rPr>
        <w:t xml:space="preserve">” </w:t>
      </w:r>
      <w:r w:rsidR="00920A52" w:rsidRPr="00920A52">
        <w:rPr>
          <w:b/>
          <w:sz w:val="26"/>
          <w:szCs w:val="26"/>
        </w:rPr>
        <w:t xml:space="preserve">sākotnējās ietekmes </w:t>
      </w:r>
      <w:r w:rsidR="00BA030C">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79929AF9" w:rsidR="009C55AA" w:rsidRPr="00317B6A" w:rsidRDefault="0017086F" w:rsidP="002018F8">
            <w:pPr>
              <w:ind w:left="82" w:right="141"/>
              <w:jc w:val="both"/>
            </w:pPr>
            <w:r>
              <w:t xml:space="preserve">Ņemot vērā piedāvāto risinājumu, lai 2020. gadā paredzēto un 2021. gadā plānoto valsts budžeta līdzekļu ietvaros, veicot fiskāli neitrālu valsts budžeta līdzekļu iekšēju pārdali, nodrošinātu līdzekļu </w:t>
            </w:r>
            <w:r w:rsidR="001C5657" w:rsidRPr="001C5657">
              <w:t xml:space="preserve">1 379 486 </w:t>
            </w:r>
            <w:r w:rsidRPr="000E0E1B">
              <w:rPr>
                <w:i/>
              </w:rPr>
              <w:t xml:space="preserve">euro </w:t>
            </w:r>
            <w:r>
              <w:t>apmērā novirzīšanu Izglītības un zinātnes ministrijas prioritārā pasākuma „Valsts funkciju sporta nozarē izpildes nodrošināšana nemainīgā līmenī” (15_01_P) daļējai īstenošanai 2021. gadā, Rīkojuma projekts</w:t>
            </w:r>
            <w:r w:rsidR="000E0E1B">
              <w:t xml:space="preserve"> paredz </w:t>
            </w:r>
            <w:r w:rsidR="00220D2D" w:rsidRPr="00220D2D">
              <w:t xml:space="preserve">precizēt Liepājas Olimpiskā centra projekta īstenošanai,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atmaksai paredzēto </w:t>
            </w:r>
            <w:r>
              <w:t>valsts budžeta ilgtermiņa saistību</w:t>
            </w:r>
            <w:r w:rsidR="002018F8">
              <w:t xml:space="preserve"> sadalījumu 2020. un 2021. gadā, tādejādi nodrošinot to</w:t>
            </w:r>
            <w:r w:rsidR="002018F8" w:rsidRPr="00732EF0">
              <w:t xml:space="preserve"> atbilstību faktiskajām valsts budžeta ilgtermiņa saistībām.</w:t>
            </w:r>
          </w:p>
        </w:tc>
      </w:tr>
    </w:tbl>
    <w:p w14:paraId="1F80B51E" w14:textId="3A37FF7B"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0E5748">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37A073B2" w14:textId="6C908A4B" w:rsidR="00732EF0" w:rsidRDefault="00486CE8" w:rsidP="00D36E1E">
            <w:pPr>
              <w:pStyle w:val="ListParagraph"/>
              <w:numPr>
                <w:ilvl w:val="0"/>
                <w:numId w:val="1"/>
              </w:numPr>
              <w:ind w:left="461" w:right="142"/>
              <w:jc w:val="both"/>
            </w:pPr>
            <w:r w:rsidRPr="00486CE8">
              <w:t xml:space="preserve">Saistība ar </w:t>
            </w:r>
            <w:r w:rsidR="00350F82" w:rsidRPr="00F25259">
              <w:t xml:space="preserve"> Izglītības un zinātnes ministrijas </w:t>
            </w:r>
            <w:r w:rsidR="00350F82">
              <w:t xml:space="preserve">(turpmāk – IZM) </w:t>
            </w:r>
            <w:r w:rsidRPr="00486CE8">
              <w:t xml:space="preserve">izstrādāto </w:t>
            </w:r>
            <w:r w:rsidR="00F25259" w:rsidRPr="00F25259">
              <w:t>Ministru kabineta rīkojuma projekt</w:t>
            </w:r>
            <w:r w:rsidR="00F25259">
              <w:t>u</w:t>
            </w:r>
            <w:r w:rsidR="00F25259" w:rsidRPr="00F25259">
              <w:t xml:space="preserve"> „Par apropriācijas pārdali no Izglītības un zinātnes ministrijas budžeta uz valsts budžeta programmu 02.00.00 „Līdzekļi neparedzētiem gadījumiem””</w:t>
            </w:r>
            <w:r w:rsidR="00F25259">
              <w:t xml:space="preserve">, </w:t>
            </w:r>
            <w:r w:rsidR="00F25259" w:rsidRPr="00F25259">
              <w:t>Ministru kabineta rīkojuma projekt</w:t>
            </w:r>
            <w:r w:rsidR="00F25259">
              <w:t>u</w:t>
            </w:r>
            <w:r w:rsidR="00F25259" w:rsidRPr="00F25259">
              <w:t xml:space="preserve"> „Par finanšu līdzekļu piešķiršanu no valsts budžeta programmas „Līdzekļi neparedzētiem g</w:t>
            </w:r>
            <w:r w:rsidR="00F25259">
              <w:t>adījumiem””</w:t>
            </w:r>
            <w:r w:rsidR="007D63F3">
              <w:t xml:space="preserve"> un attiecīgu Ministru kabineta sēdes protokollēmuma projektu</w:t>
            </w:r>
            <w:r w:rsidR="00F25259">
              <w:t xml:space="preserve">, </w:t>
            </w:r>
            <w:r w:rsidRPr="00486CE8">
              <w:t>kas tiek virzīt</w:t>
            </w:r>
            <w:r w:rsidR="00F25259">
              <w:t>i</w:t>
            </w:r>
            <w:r w:rsidRPr="00486CE8">
              <w:t xml:space="preserve"> vienotā dokumentu paketē ar </w:t>
            </w:r>
            <w:r w:rsidR="00F25259">
              <w:t>šo Rīkojuma projektu</w:t>
            </w:r>
            <w:r w:rsidRPr="00486CE8">
              <w:t>.</w:t>
            </w:r>
          </w:p>
          <w:p w14:paraId="689444FE" w14:textId="426AD32D" w:rsidR="00E344AF" w:rsidRPr="00B24229" w:rsidRDefault="00732EF0" w:rsidP="00D36E1E">
            <w:pPr>
              <w:pStyle w:val="ListParagraph"/>
              <w:numPr>
                <w:ilvl w:val="0"/>
                <w:numId w:val="1"/>
              </w:numPr>
              <w:ind w:left="461" w:right="142"/>
              <w:jc w:val="both"/>
            </w:pPr>
            <w:r w:rsidRPr="00732EF0">
              <w:t>Nepieciešamība nodrošināt Ministru kabinetā apstiprināto valsts budžeta ilgtermiņa saistību apmēra atbilstību faktiskajām valsts budžeta ilgtermiņa saistībām.</w:t>
            </w:r>
          </w:p>
        </w:tc>
      </w:tr>
      <w:tr w:rsidR="00585B7B" w:rsidRPr="00317B6A" w14:paraId="4917C93B" w14:textId="77777777" w:rsidTr="000E5748">
        <w:trPr>
          <w:trHeight w:val="562"/>
        </w:trPr>
        <w:tc>
          <w:tcPr>
            <w:tcW w:w="562" w:type="dxa"/>
          </w:tcPr>
          <w:p w14:paraId="5FDD0BAA" w14:textId="6A645FAF"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02217B78" w14:textId="11D09B61" w:rsidR="00F01D76" w:rsidRDefault="00D5193A" w:rsidP="00F01D76">
            <w:pPr>
              <w:ind w:left="141" w:right="142"/>
              <w:jc w:val="both"/>
            </w:pPr>
            <w:r>
              <w:t>IZM piedāv</w:t>
            </w:r>
            <w:r w:rsidR="0018543F">
              <w:t xml:space="preserve">ātais </w:t>
            </w:r>
            <w:r w:rsidRPr="00D5193A">
              <w:t>risinājum</w:t>
            </w:r>
            <w:r w:rsidR="0018543F">
              <w:t>s</w:t>
            </w:r>
            <w:r w:rsidRPr="00D5193A">
              <w:t xml:space="preserve">, lai 2020. gadā paredzēto un 2021. gadā plānoto valsts budžeta līdzekļu ietvaros, veicot fiskāli neitrālu valsts budžeta līdzekļu iekšēju pārdali, nodrošinātu līdzekļu </w:t>
            </w:r>
            <w:r w:rsidR="001C5657" w:rsidRPr="001C5657">
              <w:t xml:space="preserve">1 379 486 </w:t>
            </w:r>
            <w:r w:rsidRPr="00D5193A">
              <w:rPr>
                <w:i/>
              </w:rPr>
              <w:t>euro</w:t>
            </w:r>
            <w:r w:rsidRPr="00D5193A">
              <w:t xml:space="preserve"> apmērā novirzīšanu </w:t>
            </w:r>
            <w:r>
              <w:t>IZM</w:t>
            </w:r>
            <w:r w:rsidRPr="00D5193A">
              <w:t xml:space="preserve"> prioritārā pasākuma „Valsts funkciju sporta nozarē izpildes nodrošināšana nemainīgā līmenī” (15_01_P) daļējai īstenošanai 2021. gadā</w:t>
            </w:r>
            <w:r w:rsidR="0018543F">
              <w:t xml:space="preserve">, paredz </w:t>
            </w:r>
            <w:r w:rsidR="00D161D0" w:rsidRPr="00D161D0">
              <w:t xml:space="preserve">no </w:t>
            </w:r>
            <w:r w:rsidR="008A0C82">
              <w:t xml:space="preserve">2020. gada </w:t>
            </w:r>
            <w:r w:rsidR="00D161D0" w:rsidRPr="00D161D0">
              <w:t>valsts budžeta programmas 02.00.00 „Līdzekļi neparedzētiem gadījumiem”</w:t>
            </w:r>
            <w:r w:rsidR="008A0C82">
              <w:t xml:space="preserve"> </w:t>
            </w:r>
            <w:r w:rsidR="00D161D0">
              <w:t xml:space="preserve">piešķirt IZM </w:t>
            </w:r>
            <w:r w:rsidR="001C5657" w:rsidRPr="001C5657">
              <w:t xml:space="preserve">1 379 486 </w:t>
            </w:r>
            <w:r w:rsidR="0018543F" w:rsidRPr="00D5193A">
              <w:rPr>
                <w:i/>
              </w:rPr>
              <w:t>euro</w:t>
            </w:r>
            <w:r w:rsidR="0018543F">
              <w:t xml:space="preserve"> pārskaitīšanai </w:t>
            </w:r>
            <w:r w:rsidR="0018543F" w:rsidRPr="0018543F">
              <w:t xml:space="preserve">biedrībai „Latvijas Olimpiskā komiteja” </w:t>
            </w:r>
            <w:r w:rsidR="0018543F">
              <w:t xml:space="preserve">(turpmāk – LOK) </w:t>
            </w:r>
            <w:r w:rsidR="0018543F" w:rsidRPr="0018543F">
              <w:t xml:space="preserve">valsts galvoto aizdevumu 2021. gada maksājumu atmaksai, </w:t>
            </w:r>
            <w:r w:rsidR="00D161D0" w:rsidRPr="00D161D0">
              <w:t xml:space="preserve">tai skaitā (a) 385 985 </w:t>
            </w:r>
            <w:r w:rsidR="00D161D0" w:rsidRPr="00D161D0">
              <w:rPr>
                <w:i/>
              </w:rPr>
              <w:t>euro</w:t>
            </w:r>
            <w:r w:rsidR="00D161D0" w:rsidRPr="00D161D0">
              <w:t xml:space="preserve"> novirz</w:t>
            </w:r>
            <w:r w:rsidR="00D161D0">
              <w:t>ot</w:t>
            </w:r>
            <w:r w:rsidR="00D161D0" w:rsidRPr="00D161D0">
              <w:t xml:space="preserve"> Liepājas Olimpiskā centra projekta īstenošan</w:t>
            </w:r>
            <w:bookmarkStart w:id="3" w:name="_GoBack"/>
            <w:bookmarkEnd w:id="3"/>
            <w:r w:rsidR="00D161D0" w:rsidRPr="00D161D0">
              <w:t>ai saņemtā valsts galvotā aizdevuma 2021. gada maksājuma atmaksai, tādējādi nodrošinot saistību izpildi 2020. gadā [</w:t>
            </w:r>
            <w:r w:rsidR="008A0C82">
              <w:t xml:space="preserve">jo </w:t>
            </w:r>
            <w:r w:rsidR="00D161D0" w:rsidRPr="00D161D0">
              <w:t>šis bū</w:t>
            </w:r>
            <w:r w:rsidR="008A0C82">
              <w:t>s</w:t>
            </w:r>
            <w:r w:rsidR="00D161D0" w:rsidRPr="00D161D0">
              <w:t xml:space="preserve"> pēdējais maksājums par šo valsts galvoto aizdevumu); </w:t>
            </w:r>
            <w:r w:rsidR="008A0C82">
              <w:br/>
            </w:r>
            <w:r w:rsidR="00D161D0" w:rsidRPr="00D161D0">
              <w:t xml:space="preserve">(b) </w:t>
            </w:r>
            <w:r w:rsidR="001C5657" w:rsidRPr="001C5657">
              <w:t xml:space="preserve">993 501 </w:t>
            </w:r>
            <w:r w:rsidR="00D161D0" w:rsidRPr="00D161D0">
              <w:rPr>
                <w:i/>
              </w:rPr>
              <w:t>euro</w:t>
            </w:r>
            <w:r w:rsidR="00D161D0" w:rsidRPr="00D161D0">
              <w:t xml:space="preserve"> novirz</w:t>
            </w:r>
            <w:r w:rsidR="00D161D0">
              <w:t>ot</w:t>
            </w:r>
            <w:r w:rsidR="00D161D0" w:rsidRPr="00D161D0">
              <w:t xml:space="preserve">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w:t>
            </w:r>
            <w:r w:rsidR="00D161D0" w:rsidRPr="00D161D0">
              <w:lastRenderedPageBreak/>
              <w:t>rekonstrukcija” pabeigšanai saņemto valsts galvoto aizdevumu 2021. gada maksājuma daļējai atmaksai, tādējādi nodrošinot saistību daļēju izpildi 2020. gadā.</w:t>
            </w:r>
            <w:r w:rsidR="00F01D76">
              <w:t xml:space="preserve"> Papildus informāciju par minēto jautājumu skatīt </w:t>
            </w:r>
            <w:r w:rsidR="00F01D76" w:rsidRPr="00F25259">
              <w:t>Ministru kabineta rīkojuma projekt</w:t>
            </w:r>
            <w:r w:rsidR="008A0C82">
              <w:t>a</w:t>
            </w:r>
            <w:r w:rsidR="00F01D76" w:rsidRPr="00F25259">
              <w:t xml:space="preserve"> „Par apropriācijas pārdali no Izglītības un zinātnes ministrijas budžeta uz valsts budžeta programmu 02.00.00 „Līdzekļi neparedzētiem gadījumiem””</w:t>
            </w:r>
            <w:r w:rsidR="008A0C82">
              <w:t xml:space="preserve"> un</w:t>
            </w:r>
            <w:r w:rsidR="00F01D76">
              <w:t xml:space="preserve"> </w:t>
            </w:r>
            <w:r w:rsidR="00F01D76" w:rsidRPr="00F25259">
              <w:t>Ministru kabineta rīkojuma projekt</w:t>
            </w:r>
            <w:r w:rsidR="008A0C82">
              <w:t>a</w:t>
            </w:r>
            <w:r w:rsidR="00F01D76" w:rsidRPr="00F25259">
              <w:t xml:space="preserve"> „Par finanšu līdzekļu piešķiršanu no valsts budžeta programmas „Līdzekļi neparedzētiem g</w:t>
            </w:r>
            <w:r w:rsidR="00F01D76">
              <w:t>adījumiem”” apvienotajā sākotnējās ietekmes novērtējuma ziņojumā (anotācijā).</w:t>
            </w:r>
          </w:p>
          <w:p w14:paraId="2393C18F" w14:textId="77777777" w:rsidR="00663BC9" w:rsidRDefault="00F01D76" w:rsidP="00663BC9">
            <w:pPr>
              <w:ind w:left="141" w:right="142" w:firstLine="567"/>
              <w:jc w:val="both"/>
            </w:pPr>
            <w:r>
              <w:tab/>
              <w:t>Ņemot vērā faktu, ka jautājums ir saistīts ar valsts galvoto aizdevumu atmaksu un izmaiņām valsts budžeta ilgtermiņa saistībās, vienlaikus ir nepieciešams izdarīt grozījumus Ministru kabineta 2017. gada 19. aprīļa rīkojumā Nr.196 „Par valsts budžeta ilgtermiņa saistību precizēšanu valsts galvoto reģionālo olimpisko centru projektu īstenošanai”, lai nodrošinātu</w:t>
            </w:r>
            <w:r w:rsidR="00663BC9">
              <w:t>:</w:t>
            </w:r>
          </w:p>
          <w:p w14:paraId="38AD51E7" w14:textId="6567FC90" w:rsidR="00663BC9" w:rsidRPr="00663BC9" w:rsidRDefault="00663BC9" w:rsidP="00663BC9">
            <w:pPr>
              <w:ind w:left="141" w:right="142" w:firstLine="567"/>
              <w:jc w:val="both"/>
            </w:pPr>
            <w:r>
              <w:t xml:space="preserve">(1) </w:t>
            </w:r>
            <w:r w:rsidR="00F01D76">
              <w:t>minētā rīkojuma 1.1.4. apakšpunktā Liepājas Olimpiskā centra projekta īsteno</w:t>
            </w:r>
            <w:r>
              <w:t xml:space="preserve">šanai uzņemto valsts budžeta ilgtermiņa saistību atbilstību faktiski plānotajam līdzekļu piešķīrumam, 2020. gadā paredzot </w:t>
            </w:r>
            <w:r>
              <w:br/>
            </w:r>
            <w:r w:rsidRPr="00663BC9">
              <w:t>772</w:t>
            </w:r>
            <w:r>
              <w:t> </w:t>
            </w:r>
            <w:r w:rsidRPr="00663BC9">
              <w:t>365</w:t>
            </w:r>
            <w:r>
              <w:t xml:space="preserve"> </w:t>
            </w:r>
            <w:r w:rsidRPr="00663BC9">
              <w:rPr>
                <w:i/>
              </w:rPr>
              <w:t>euro</w:t>
            </w:r>
            <w:r>
              <w:t xml:space="preserve"> </w:t>
            </w:r>
            <w:r w:rsidRPr="00663BC9">
              <w:t xml:space="preserve">(salīdzinot ar šobrīd plānoto – palielinājums par 385 985 </w:t>
            </w:r>
            <w:r>
              <w:t xml:space="preserve"> </w:t>
            </w:r>
            <w:r w:rsidRPr="00663BC9">
              <w:rPr>
                <w:i/>
              </w:rPr>
              <w:t>euro</w:t>
            </w:r>
            <w:r>
              <w:t xml:space="preserve">), tādejādi pilnībā dzēšot minēto valsts galvoto aizdevumu (jo tas </w:t>
            </w:r>
            <w:r w:rsidR="00050785">
              <w:t>būs</w:t>
            </w:r>
            <w:r>
              <w:t xml:space="preserve"> pēdējais maksājums), vienlaikus attiecīgi svītrojot minētā rīkojuma 1.1.5. apakšpunktā norādīto 2021. gada saistību apmēru </w:t>
            </w:r>
            <w:r w:rsidRPr="00663BC9">
              <w:t xml:space="preserve">385 985 </w:t>
            </w:r>
            <w:r>
              <w:t xml:space="preserve"> </w:t>
            </w:r>
            <w:r>
              <w:rPr>
                <w:i/>
              </w:rPr>
              <w:t>euro</w:t>
            </w:r>
            <w:r>
              <w:t>;</w:t>
            </w:r>
          </w:p>
          <w:p w14:paraId="656094D1" w14:textId="22D5144B" w:rsidR="00050785" w:rsidRDefault="00050785" w:rsidP="00663BC9">
            <w:pPr>
              <w:ind w:left="141" w:right="142" w:firstLine="567"/>
              <w:jc w:val="both"/>
            </w:pPr>
            <w:r>
              <w:t xml:space="preserve">(2) </w:t>
            </w:r>
            <w:r w:rsidR="00663BC9">
              <w:t xml:space="preserve">minētā rīkojuma 1.3.4. un 1.3.5. </w:t>
            </w:r>
            <w:r w:rsidR="00F01D76">
              <w:t xml:space="preserve">apakšpunktā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w:t>
            </w:r>
            <w:r>
              <w:t xml:space="preserve">īstenošanai uzņemto valsts budžeta ilgtermiņa saistību atbilstību faktiski plānotajam līdzekļu piešķīrumam, 2020. gadā paredzot </w:t>
            </w:r>
            <w:r w:rsidR="001C5657" w:rsidRPr="001C5657">
              <w:t xml:space="preserve">1 828 035 </w:t>
            </w:r>
            <w:r w:rsidRPr="00663BC9">
              <w:rPr>
                <w:i/>
              </w:rPr>
              <w:t>euro</w:t>
            </w:r>
            <w:r>
              <w:t xml:space="preserve"> </w:t>
            </w:r>
            <w:r w:rsidRPr="00663BC9">
              <w:t xml:space="preserve">(salīdzinot ar šobrīd plānoto – palielinājums par </w:t>
            </w:r>
            <w:r w:rsidR="001C5657" w:rsidRPr="001C5657">
              <w:t xml:space="preserve">993 501 </w:t>
            </w:r>
            <w:r w:rsidRPr="00663BC9">
              <w:rPr>
                <w:i/>
              </w:rPr>
              <w:t>euro</w:t>
            </w:r>
            <w:r>
              <w:t xml:space="preserve">), savukārt 2021. gadā paredzot </w:t>
            </w:r>
            <w:r w:rsidR="001C5657" w:rsidRPr="001C5657">
              <w:t xml:space="preserve">1 016 317 </w:t>
            </w:r>
            <w:r w:rsidRPr="00050785">
              <w:rPr>
                <w:i/>
              </w:rPr>
              <w:t>euro</w:t>
            </w:r>
            <w:r>
              <w:t xml:space="preserve"> </w:t>
            </w:r>
            <w:r w:rsidRPr="00663BC9">
              <w:t xml:space="preserve">(salīdzinot ar šobrīd plānoto – </w:t>
            </w:r>
            <w:r>
              <w:t>samazinājums</w:t>
            </w:r>
            <w:r w:rsidRPr="00663BC9">
              <w:t xml:space="preserve"> par </w:t>
            </w:r>
            <w:r>
              <w:br/>
            </w:r>
            <w:r w:rsidR="001C5657" w:rsidRPr="001C5657">
              <w:t xml:space="preserve">993 501 </w:t>
            </w:r>
            <w:r w:rsidRPr="00663BC9">
              <w:rPr>
                <w:i/>
              </w:rPr>
              <w:t>euro</w:t>
            </w:r>
            <w:r>
              <w:t>).</w:t>
            </w:r>
          </w:p>
          <w:p w14:paraId="4A2A053D" w14:textId="00443DD8" w:rsidR="00287551" w:rsidRPr="00945164" w:rsidRDefault="00FD1C56" w:rsidP="00FD1C56">
            <w:pPr>
              <w:ind w:left="141" w:right="142"/>
              <w:jc w:val="both"/>
            </w:pPr>
            <w:r>
              <w:tab/>
            </w:r>
            <w:r w:rsidRPr="00FD1C56">
              <w:t xml:space="preserve">Ievērojot minēto, IZM ir izstrādājusi Ministru kabineta rīkojuma projektu „Grozījumi Ministru kabineta 2017. gada 19. aprīļa rīkojumā </w:t>
            </w:r>
            <w:r>
              <w:br/>
            </w:r>
            <w:r w:rsidRPr="00FD1C56">
              <w:t>Nr. 196 „Par valsts budžeta ilgtermiņa saistību precizēšanu valsts galvoto reģionālo olimpisko centru projektu īstenošanai””</w:t>
            </w:r>
            <w:r>
              <w:t>.</w:t>
            </w:r>
          </w:p>
        </w:tc>
      </w:tr>
      <w:tr w:rsidR="00585B7B" w:rsidRPr="00317B6A" w14:paraId="42AC8649" w14:textId="77777777" w:rsidTr="000E5748">
        <w:trPr>
          <w:trHeight w:val="476"/>
        </w:trPr>
        <w:tc>
          <w:tcPr>
            <w:tcW w:w="562" w:type="dxa"/>
          </w:tcPr>
          <w:p w14:paraId="308FAEA2" w14:textId="6C2BEA13"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6EC8990D" w:rsidR="00643E6C" w:rsidRPr="00317B6A" w:rsidRDefault="00BB3C51" w:rsidP="00FD1C56">
            <w:pPr>
              <w:ind w:left="101" w:right="142"/>
              <w:jc w:val="both"/>
            </w:pPr>
            <w:r>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FD1C56">
              <w:t>LOK</w:t>
            </w:r>
            <w:r w:rsidR="00665538">
              <w:t>.</w:t>
            </w:r>
          </w:p>
        </w:tc>
      </w:tr>
      <w:tr w:rsidR="00585B7B" w:rsidRPr="00317B6A" w14:paraId="26593524" w14:textId="77777777" w:rsidTr="000E5748">
        <w:tc>
          <w:tcPr>
            <w:tcW w:w="562" w:type="dxa"/>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11EF0697" w:rsidR="002D5B95" w:rsidRPr="00317B6A" w:rsidRDefault="00EB687E" w:rsidP="00FD1C56">
            <w:pPr>
              <w:ind w:left="114" w:right="127"/>
              <w:jc w:val="both"/>
            </w:pPr>
            <w:r w:rsidRPr="00EB687E">
              <w:t>Rīkojuma projekt</w:t>
            </w:r>
            <w:r w:rsidR="00FD1C56">
              <w:t>s</w:t>
            </w:r>
            <w:r w:rsidRPr="00EB687E">
              <w:t xml:space="preserve"> tiešā veidā attiecas uz  budžeta un finanšu politiku</w:t>
            </w:r>
            <w:r w:rsidR="00FD1C56">
              <w:t>. Pastarpināti Rīkojuma projekts</w:t>
            </w:r>
            <w:r w:rsidR="0024757F">
              <w:t xml:space="preserve"> </w:t>
            </w:r>
            <w:r w:rsidRPr="00EB687E">
              <w:t>attiecas uz tūrisma, sporta un brīvā laika politiku (sporta politiku).</w:t>
            </w:r>
          </w:p>
        </w:tc>
      </w:tr>
    </w:tbl>
    <w:p w14:paraId="19DC8D0C" w14:textId="77777777" w:rsidR="00FD1C56" w:rsidRDefault="00FD1C56"/>
    <w:p w14:paraId="58FE843B" w14:textId="77777777" w:rsidR="0012406D" w:rsidRDefault="0012406D"/>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79C03A32"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4D0DCDA9" w:rsidR="00C66A35" w:rsidRPr="00B24229" w:rsidRDefault="00B5403D" w:rsidP="001B2A96">
            <w:pPr>
              <w:ind w:right="127"/>
              <w:jc w:val="center"/>
            </w:pPr>
            <w:r>
              <w:t>Projekti</w:t>
            </w:r>
            <w:r w:rsidR="00C66A35" w:rsidRPr="00C3572A">
              <w:t xml:space="preserve"> šo jomu neskar</w:t>
            </w:r>
          </w:p>
        </w:tc>
      </w:tr>
    </w:tbl>
    <w:p w14:paraId="747F53F0" w14:textId="77777777" w:rsidR="00C66A35" w:rsidRDefault="00C66A35"/>
    <w:p w14:paraId="3D1BD60F" w14:textId="77777777" w:rsidR="00FD1C56" w:rsidRDefault="00FD1C56"/>
    <w:p w14:paraId="26CE722A" w14:textId="77777777" w:rsidR="0012406D" w:rsidRDefault="0012406D"/>
    <w:p w14:paraId="427602C1" w14:textId="77777777" w:rsidR="006C697C" w:rsidRDefault="006C697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15"/>
        <w:gridCol w:w="1383"/>
        <w:gridCol w:w="1093"/>
        <w:gridCol w:w="1202"/>
        <w:gridCol w:w="1093"/>
        <w:gridCol w:w="1187"/>
        <w:gridCol w:w="1150"/>
      </w:tblGrid>
      <w:tr w:rsidR="00DA708F" w:rsidRPr="0033617F" w14:paraId="23001469" w14:textId="77777777" w:rsidTr="00EE6938">
        <w:trPr>
          <w:trHeight w:val="361"/>
          <w:jc w:val="center"/>
        </w:trPr>
        <w:tc>
          <w:tcPr>
            <w:tcW w:w="10343"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EE6938">
        <w:trPr>
          <w:jc w:val="center"/>
        </w:trPr>
        <w:tc>
          <w:tcPr>
            <w:tcW w:w="217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37" w:type="dxa"/>
            <w:gridSpan w:val="2"/>
            <w:vMerge w:val="restart"/>
            <w:vAlign w:val="center"/>
          </w:tcPr>
          <w:p w14:paraId="22EC0AC1" w14:textId="77777777" w:rsidR="00DA708F" w:rsidRPr="0033617F" w:rsidRDefault="008C2D86" w:rsidP="001B2A96">
            <w:pPr>
              <w:jc w:val="center"/>
              <w:rPr>
                <w:b/>
              </w:rPr>
            </w:pPr>
            <w:r>
              <w:rPr>
                <w:b/>
              </w:rPr>
              <w:t>2020</w:t>
            </w:r>
          </w:p>
        </w:tc>
        <w:tc>
          <w:tcPr>
            <w:tcW w:w="5631"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EE6938">
        <w:trPr>
          <w:jc w:val="center"/>
        </w:trPr>
        <w:tc>
          <w:tcPr>
            <w:tcW w:w="2175" w:type="dxa"/>
            <w:vMerge/>
            <w:vAlign w:val="center"/>
          </w:tcPr>
          <w:p w14:paraId="42C1DC4E" w14:textId="77777777" w:rsidR="00DA708F" w:rsidRPr="0033617F" w:rsidRDefault="00DA708F" w:rsidP="001B2A96">
            <w:pPr>
              <w:jc w:val="center"/>
              <w:rPr>
                <w:b/>
                <w:i/>
              </w:rPr>
            </w:pPr>
          </w:p>
        </w:tc>
        <w:tc>
          <w:tcPr>
            <w:tcW w:w="2537" w:type="dxa"/>
            <w:gridSpan w:val="2"/>
            <w:vMerge/>
            <w:vAlign w:val="center"/>
          </w:tcPr>
          <w:p w14:paraId="222D68FD" w14:textId="77777777" w:rsidR="00DA708F" w:rsidRPr="0033617F" w:rsidRDefault="00DA708F" w:rsidP="001B2A96">
            <w:pPr>
              <w:jc w:val="center"/>
              <w:rPr>
                <w:b/>
                <w:i/>
              </w:rPr>
            </w:pPr>
          </w:p>
        </w:tc>
        <w:tc>
          <w:tcPr>
            <w:tcW w:w="2320" w:type="dxa"/>
            <w:gridSpan w:val="2"/>
            <w:vAlign w:val="center"/>
          </w:tcPr>
          <w:p w14:paraId="432184C8" w14:textId="77777777" w:rsidR="00DA708F" w:rsidRPr="0033617F" w:rsidRDefault="008C2D86" w:rsidP="001B2A96">
            <w:pPr>
              <w:jc w:val="center"/>
              <w:rPr>
                <w:b/>
                <w:i/>
              </w:rPr>
            </w:pPr>
            <w:r>
              <w:rPr>
                <w:b/>
                <w:bCs/>
              </w:rPr>
              <w:t>2021</w:t>
            </w:r>
          </w:p>
        </w:tc>
        <w:tc>
          <w:tcPr>
            <w:tcW w:w="2303" w:type="dxa"/>
            <w:gridSpan w:val="2"/>
            <w:vAlign w:val="center"/>
          </w:tcPr>
          <w:p w14:paraId="77EFC272" w14:textId="77777777" w:rsidR="00DA708F" w:rsidRDefault="008C2D86" w:rsidP="001B2A96">
            <w:pPr>
              <w:jc w:val="center"/>
              <w:rPr>
                <w:b/>
                <w:bCs/>
              </w:rPr>
            </w:pPr>
            <w:r>
              <w:rPr>
                <w:b/>
                <w:bCs/>
              </w:rPr>
              <w:t>2022</w:t>
            </w:r>
          </w:p>
        </w:tc>
        <w:tc>
          <w:tcPr>
            <w:tcW w:w="1008"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EE6938">
        <w:trPr>
          <w:jc w:val="center"/>
        </w:trPr>
        <w:tc>
          <w:tcPr>
            <w:tcW w:w="2175" w:type="dxa"/>
            <w:vMerge/>
            <w:vAlign w:val="center"/>
          </w:tcPr>
          <w:p w14:paraId="5D836921" w14:textId="77777777" w:rsidR="00265934" w:rsidRPr="0033617F" w:rsidRDefault="00265934" w:rsidP="00265934">
            <w:pPr>
              <w:jc w:val="center"/>
              <w:rPr>
                <w:b/>
                <w:i/>
              </w:rPr>
            </w:pPr>
          </w:p>
        </w:tc>
        <w:tc>
          <w:tcPr>
            <w:tcW w:w="1123"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414" w:type="dxa"/>
            <w:vAlign w:val="center"/>
          </w:tcPr>
          <w:p w14:paraId="5FDBDFA1" w14:textId="4989E7F1" w:rsidR="00265934" w:rsidRPr="0033617F" w:rsidRDefault="00265934" w:rsidP="00265934">
            <w:pPr>
              <w:jc w:val="center"/>
              <w:rPr>
                <w:b/>
                <w:i/>
              </w:rPr>
            </w:pPr>
            <w:r w:rsidRPr="003350F2">
              <w:t>izmaiņas kārtējā gadā, salīdzinot ar budžetu kārtējam gadam</w:t>
            </w:r>
          </w:p>
        </w:tc>
        <w:tc>
          <w:tcPr>
            <w:tcW w:w="1111" w:type="dxa"/>
            <w:vAlign w:val="center"/>
          </w:tcPr>
          <w:p w14:paraId="111F124F" w14:textId="240B02E7" w:rsidR="00265934" w:rsidRPr="00183338" w:rsidRDefault="00265934" w:rsidP="00265934">
            <w:pPr>
              <w:jc w:val="center"/>
            </w:pPr>
            <w:r w:rsidRPr="003350F2">
              <w:t>saskaņā ar vidēja termiņa budžeta ietvaru</w:t>
            </w:r>
          </w:p>
        </w:tc>
        <w:tc>
          <w:tcPr>
            <w:tcW w:w="1209" w:type="dxa"/>
            <w:vAlign w:val="center"/>
          </w:tcPr>
          <w:p w14:paraId="6E599D60" w14:textId="77777777" w:rsidR="00265934" w:rsidRPr="003350F2" w:rsidRDefault="00265934" w:rsidP="00265934">
            <w:pPr>
              <w:jc w:val="center"/>
            </w:pPr>
            <w:r w:rsidRPr="003350F2">
              <w:t>izmaiņas, salīdzinot 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11" w:type="dxa"/>
            <w:vAlign w:val="center"/>
          </w:tcPr>
          <w:p w14:paraId="39658717" w14:textId="695023D4" w:rsidR="00265934" w:rsidRPr="00183338" w:rsidRDefault="00265934" w:rsidP="00265934">
            <w:pPr>
              <w:jc w:val="center"/>
            </w:pPr>
            <w:r w:rsidRPr="003350F2">
              <w:t>saskaņā ar vidēja termiņa budžeta ietvaru</w:t>
            </w:r>
          </w:p>
        </w:tc>
        <w:tc>
          <w:tcPr>
            <w:tcW w:w="1192" w:type="dxa"/>
            <w:vAlign w:val="center"/>
          </w:tcPr>
          <w:p w14:paraId="12EF6955" w14:textId="77777777" w:rsidR="00265934" w:rsidRPr="003350F2" w:rsidRDefault="00265934" w:rsidP="00265934">
            <w:pPr>
              <w:jc w:val="center"/>
            </w:pPr>
            <w:r w:rsidRPr="003350F2">
              <w:t xml:space="preserve">izmaiņas, salīdzinot 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008" w:type="dxa"/>
            <w:vAlign w:val="center"/>
          </w:tcPr>
          <w:p w14:paraId="1A1F803F" w14:textId="77777777" w:rsidR="00265934" w:rsidRPr="003350F2" w:rsidRDefault="00265934" w:rsidP="00265934">
            <w:pPr>
              <w:jc w:val="center"/>
            </w:pPr>
            <w:r w:rsidRPr="003350F2">
              <w:t xml:space="preserve">izmaiņas, salīdzinot 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EE6938">
        <w:trPr>
          <w:jc w:val="center"/>
        </w:trPr>
        <w:tc>
          <w:tcPr>
            <w:tcW w:w="2175" w:type="dxa"/>
            <w:vAlign w:val="center"/>
          </w:tcPr>
          <w:p w14:paraId="02288EDF" w14:textId="77777777" w:rsidR="00DA708F" w:rsidRPr="0033617F" w:rsidRDefault="00DA708F" w:rsidP="001B2A96">
            <w:pPr>
              <w:jc w:val="center"/>
              <w:rPr>
                <w:bCs/>
              </w:rPr>
            </w:pPr>
            <w:r w:rsidRPr="0033617F">
              <w:rPr>
                <w:bCs/>
              </w:rPr>
              <w:t>1</w:t>
            </w:r>
          </w:p>
        </w:tc>
        <w:tc>
          <w:tcPr>
            <w:tcW w:w="1123" w:type="dxa"/>
            <w:vAlign w:val="center"/>
          </w:tcPr>
          <w:p w14:paraId="68FDB516" w14:textId="77777777" w:rsidR="00DA708F" w:rsidRPr="0033617F" w:rsidRDefault="00DA708F" w:rsidP="001B2A96">
            <w:pPr>
              <w:jc w:val="center"/>
              <w:rPr>
                <w:bCs/>
              </w:rPr>
            </w:pPr>
            <w:r w:rsidRPr="0033617F">
              <w:rPr>
                <w:bCs/>
              </w:rPr>
              <w:t>2</w:t>
            </w:r>
          </w:p>
        </w:tc>
        <w:tc>
          <w:tcPr>
            <w:tcW w:w="1414" w:type="dxa"/>
            <w:vAlign w:val="center"/>
          </w:tcPr>
          <w:p w14:paraId="6818F00C" w14:textId="77777777" w:rsidR="00DA708F" w:rsidRPr="0033617F" w:rsidRDefault="00DA708F" w:rsidP="001B2A96">
            <w:pPr>
              <w:jc w:val="center"/>
              <w:rPr>
                <w:bCs/>
              </w:rPr>
            </w:pPr>
            <w:r w:rsidRPr="0033617F">
              <w:rPr>
                <w:bCs/>
              </w:rPr>
              <w:t>3</w:t>
            </w:r>
          </w:p>
        </w:tc>
        <w:tc>
          <w:tcPr>
            <w:tcW w:w="1111" w:type="dxa"/>
            <w:vAlign w:val="center"/>
          </w:tcPr>
          <w:p w14:paraId="1FBDF226" w14:textId="77777777" w:rsidR="00DA708F" w:rsidRPr="0033617F" w:rsidRDefault="00DA708F" w:rsidP="001B2A96">
            <w:pPr>
              <w:jc w:val="center"/>
              <w:rPr>
                <w:bCs/>
              </w:rPr>
            </w:pPr>
            <w:r w:rsidRPr="0033617F">
              <w:rPr>
                <w:bCs/>
              </w:rPr>
              <w:t>4</w:t>
            </w:r>
          </w:p>
        </w:tc>
        <w:tc>
          <w:tcPr>
            <w:tcW w:w="1209" w:type="dxa"/>
            <w:vAlign w:val="center"/>
          </w:tcPr>
          <w:p w14:paraId="54FF63F6" w14:textId="77777777" w:rsidR="00DA708F" w:rsidRPr="0033617F" w:rsidRDefault="00DA708F" w:rsidP="001B2A96">
            <w:pPr>
              <w:jc w:val="center"/>
              <w:rPr>
                <w:bCs/>
              </w:rPr>
            </w:pPr>
            <w:r w:rsidRPr="0033617F">
              <w:rPr>
                <w:bCs/>
              </w:rPr>
              <w:t>5</w:t>
            </w:r>
          </w:p>
        </w:tc>
        <w:tc>
          <w:tcPr>
            <w:tcW w:w="1111" w:type="dxa"/>
            <w:vAlign w:val="center"/>
          </w:tcPr>
          <w:p w14:paraId="64AAAB22" w14:textId="77777777" w:rsidR="00DA708F" w:rsidRPr="0033617F" w:rsidRDefault="00DA708F" w:rsidP="001B2A96">
            <w:pPr>
              <w:jc w:val="center"/>
              <w:rPr>
                <w:bCs/>
              </w:rPr>
            </w:pPr>
            <w:r w:rsidRPr="0033617F">
              <w:rPr>
                <w:bCs/>
              </w:rPr>
              <w:t>6</w:t>
            </w:r>
          </w:p>
        </w:tc>
        <w:tc>
          <w:tcPr>
            <w:tcW w:w="1192" w:type="dxa"/>
          </w:tcPr>
          <w:p w14:paraId="02741E3B" w14:textId="77777777" w:rsidR="00DA708F" w:rsidRPr="0033617F" w:rsidRDefault="00DA708F" w:rsidP="001B2A96">
            <w:pPr>
              <w:jc w:val="center"/>
              <w:rPr>
                <w:bCs/>
              </w:rPr>
            </w:pPr>
            <w:r>
              <w:rPr>
                <w:bCs/>
              </w:rPr>
              <w:t>7</w:t>
            </w:r>
          </w:p>
        </w:tc>
        <w:tc>
          <w:tcPr>
            <w:tcW w:w="1008"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EE6938">
        <w:trPr>
          <w:jc w:val="center"/>
        </w:trPr>
        <w:tc>
          <w:tcPr>
            <w:tcW w:w="2175" w:type="dxa"/>
          </w:tcPr>
          <w:p w14:paraId="452173D7" w14:textId="77777777" w:rsidR="00DA708F" w:rsidRPr="0033617F" w:rsidRDefault="00DA708F" w:rsidP="001B2A96">
            <w:pPr>
              <w:rPr>
                <w:i/>
              </w:rPr>
            </w:pPr>
            <w:r w:rsidRPr="0033617F">
              <w:t>1. Budžeta ieņēmumi:</w:t>
            </w:r>
          </w:p>
        </w:tc>
        <w:tc>
          <w:tcPr>
            <w:tcW w:w="1123" w:type="dxa"/>
          </w:tcPr>
          <w:p w14:paraId="2F65E935" w14:textId="77777777" w:rsidR="00DA708F" w:rsidRPr="0033617F" w:rsidRDefault="00DA708F" w:rsidP="001B2A96">
            <w:pPr>
              <w:jc w:val="center"/>
              <w:rPr>
                <w:b/>
              </w:rPr>
            </w:pPr>
            <w:r w:rsidRPr="0033617F">
              <w:rPr>
                <w:b/>
              </w:rPr>
              <w:t>0</w:t>
            </w:r>
          </w:p>
        </w:tc>
        <w:tc>
          <w:tcPr>
            <w:tcW w:w="1414" w:type="dxa"/>
          </w:tcPr>
          <w:p w14:paraId="73B05185" w14:textId="77777777" w:rsidR="00DA708F" w:rsidRPr="0033617F" w:rsidRDefault="00DA708F" w:rsidP="001B2A96">
            <w:pPr>
              <w:jc w:val="center"/>
              <w:rPr>
                <w:b/>
              </w:rPr>
            </w:pPr>
            <w:r w:rsidRPr="0033617F">
              <w:rPr>
                <w:b/>
              </w:rPr>
              <w:t>0</w:t>
            </w:r>
          </w:p>
        </w:tc>
        <w:tc>
          <w:tcPr>
            <w:tcW w:w="1111" w:type="dxa"/>
          </w:tcPr>
          <w:p w14:paraId="4E344F28" w14:textId="77777777" w:rsidR="00DA708F" w:rsidRPr="0033617F" w:rsidRDefault="00DA708F" w:rsidP="001B2A96">
            <w:pPr>
              <w:jc w:val="center"/>
              <w:rPr>
                <w:b/>
              </w:rPr>
            </w:pPr>
            <w:r w:rsidRPr="0033617F">
              <w:rPr>
                <w:b/>
              </w:rPr>
              <w:t>0</w:t>
            </w:r>
          </w:p>
        </w:tc>
        <w:tc>
          <w:tcPr>
            <w:tcW w:w="1209" w:type="dxa"/>
          </w:tcPr>
          <w:p w14:paraId="47CD847A" w14:textId="77777777" w:rsidR="00DA708F" w:rsidRPr="0033617F" w:rsidRDefault="00DA708F" w:rsidP="001B2A96">
            <w:pPr>
              <w:jc w:val="center"/>
              <w:rPr>
                <w:b/>
              </w:rPr>
            </w:pPr>
            <w:r w:rsidRPr="0033617F">
              <w:rPr>
                <w:b/>
              </w:rPr>
              <w:t>0</w:t>
            </w:r>
          </w:p>
        </w:tc>
        <w:tc>
          <w:tcPr>
            <w:tcW w:w="1111" w:type="dxa"/>
          </w:tcPr>
          <w:p w14:paraId="32601915" w14:textId="77777777" w:rsidR="00DA708F" w:rsidRPr="0033617F" w:rsidRDefault="00DA708F" w:rsidP="001B2A96">
            <w:pPr>
              <w:jc w:val="center"/>
              <w:rPr>
                <w:b/>
              </w:rPr>
            </w:pPr>
            <w:r w:rsidRPr="0033617F">
              <w:rPr>
                <w:b/>
              </w:rPr>
              <w:t>0</w:t>
            </w:r>
          </w:p>
        </w:tc>
        <w:tc>
          <w:tcPr>
            <w:tcW w:w="1192" w:type="dxa"/>
          </w:tcPr>
          <w:p w14:paraId="2BAF0F86" w14:textId="77777777" w:rsidR="00DA708F" w:rsidRPr="0033617F" w:rsidRDefault="00DA708F" w:rsidP="001B2A96">
            <w:pPr>
              <w:jc w:val="center"/>
              <w:rPr>
                <w:b/>
              </w:rPr>
            </w:pPr>
            <w:r>
              <w:rPr>
                <w:b/>
              </w:rPr>
              <w:t>0</w:t>
            </w:r>
          </w:p>
        </w:tc>
        <w:tc>
          <w:tcPr>
            <w:tcW w:w="1008" w:type="dxa"/>
          </w:tcPr>
          <w:p w14:paraId="75F359CC" w14:textId="77777777" w:rsidR="00DA708F" w:rsidRPr="0033617F" w:rsidRDefault="00DA708F" w:rsidP="001B2A96">
            <w:pPr>
              <w:jc w:val="center"/>
              <w:rPr>
                <w:b/>
              </w:rPr>
            </w:pPr>
            <w:r>
              <w:rPr>
                <w:b/>
              </w:rPr>
              <w:t>0</w:t>
            </w:r>
          </w:p>
        </w:tc>
      </w:tr>
      <w:tr w:rsidR="00DA708F" w:rsidRPr="0033617F" w14:paraId="0FB39F8E" w14:textId="77777777" w:rsidTr="00EE6938">
        <w:trPr>
          <w:jc w:val="center"/>
        </w:trPr>
        <w:tc>
          <w:tcPr>
            <w:tcW w:w="217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23" w:type="dxa"/>
          </w:tcPr>
          <w:p w14:paraId="110BA630" w14:textId="77777777" w:rsidR="00DA708F" w:rsidRPr="0033617F" w:rsidRDefault="00DA708F" w:rsidP="001B2A96">
            <w:pPr>
              <w:jc w:val="center"/>
              <w:rPr>
                <w:i/>
              </w:rPr>
            </w:pPr>
          </w:p>
        </w:tc>
        <w:tc>
          <w:tcPr>
            <w:tcW w:w="1414" w:type="dxa"/>
          </w:tcPr>
          <w:p w14:paraId="06F3322B" w14:textId="77777777" w:rsidR="00DA708F" w:rsidRPr="0033617F" w:rsidRDefault="00DA708F" w:rsidP="001B2A96">
            <w:pPr>
              <w:jc w:val="center"/>
              <w:rPr>
                <w:i/>
              </w:rPr>
            </w:pPr>
          </w:p>
        </w:tc>
        <w:tc>
          <w:tcPr>
            <w:tcW w:w="1111" w:type="dxa"/>
          </w:tcPr>
          <w:p w14:paraId="3AD84DF9" w14:textId="77777777" w:rsidR="00DA708F" w:rsidRPr="0033617F" w:rsidRDefault="00DA708F" w:rsidP="001B2A96">
            <w:pPr>
              <w:jc w:val="center"/>
              <w:rPr>
                <w:i/>
              </w:rPr>
            </w:pPr>
          </w:p>
        </w:tc>
        <w:tc>
          <w:tcPr>
            <w:tcW w:w="1209" w:type="dxa"/>
          </w:tcPr>
          <w:p w14:paraId="173425B2" w14:textId="77777777" w:rsidR="00DA708F" w:rsidRPr="0033617F" w:rsidRDefault="00DA708F" w:rsidP="001B2A96">
            <w:pPr>
              <w:jc w:val="center"/>
              <w:rPr>
                <w:i/>
              </w:rPr>
            </w:pPr>
          </w:p>
        </w:tc>
        <w:tc>
          <w:tcPr>
            <w:tcW w:w="1111" w:type="dxa"/>
          </w:tcPr>
          <w:p w14:paraId="4696E825" w14:textId="77777777" w:rsidR="00DA708F" w:rsidRPr="0033617F" w:rsidRDefault="00DA708F" w:rsidP="001B2A96">
            <w:pPr>
              <w:jc w:val="center"/>
              <w:rPr>
                <w:i/>
              </w:rPr>
            </w:pPr>
          </w:p>
        </w:tc>
        <w:tc>
          <w:tcPr>
            <w:tcW w:w="1192" w:type="dxa"/>
          </w:tcPr>
          <w:p w14:paraId="26549C0C" w14:textId="77777777" w:rsidR="00DA708F" w:rsidRPr="0033617F" w:rsidRDefault="00DA708F" w:rsidP="001B2A96">
            <w:pPr>
              <w:jc w:val="center"/>
              <w:rPr>
                <w:i/>
              </w:rPr>
            </w:pPr>
          </w:p>
        </w:tc>
        <w:tc>
          <w:tcPr>
            <w:tcW w:w="1008" w:type="dxa"/>
          </w:tcPr>
          <w:p w14:paraId="16F35293" w14:textId="77777777" w:rsidR="00DA708F" w:rsidRPr="0033617F" w:rsidRDefault="00DA708F" w:rsidP="001B2A96">
            <w:pPr>
              <w:jc w:val="center"/>
              <w:rPr>
                <w:i/>
              </w:rPr>
            </w:pPr>
          </w:p>
        </w:tc>
      </w:tr>
      <w:tr w:rsidR="00DA708F" w:rsidRPr="0033617F" w14:paraId="3FD3E7F1" w14:textId="77777777" w:rsidTr="00EE6938">
        <w:trPr>
          <w:jc w:val="center"/>
        </w:trPr>
        <w:tc>
          <w:tcPr>
            <w:tcW w:w="2175" w:type="dxa"/>
          </w:tcPr>
          <w:p w14:paraId="78FCCF5E" w14:textId="77777777" w:rsidR="00DA708F" w:rsidRPr="0033617F" w:rsidRDefault="00DA708F" w:rsidP="001B2A96">
            <w:pPr>
              <w:rPr>
                <w:i/>
              </w:rPr>
            </w:pPr>
            <w:r w:rsidRPr="0033617F">
              <w:t>1.2. valsts speciālais budžets</w:t>
            </w:r>
          </w:p>
        </w:tc>
        <w:tc>
          <w:tcPr>
            <w:tcW w:w="1123" w:type="dxa"/>
          </w:tcPr>
          <w:p w14:paraId="15AC3F9D" w14:textId="77777777" w:rsidR="00DA708F" w:rsidRPr="0033617F" w:rsidRDefault="00DA708F" w:rsidP="001B2A96">
            <w:pPr>
              <w:jc w:val="center"/>
            </w:pPr>
          </w:p>
        </w:tc>
        <w:tc>
          <w:tcPr>
            <w:tcW w:w="1414" w:type="dxa"/>
          </w:tcPr>
          <w:p w14:paraId="0C112442" w14:textId="77777777" w:rsidR="00DA708F" w:rsidRPr="0033617F" w:rsidRDefault="00DA708F" w:rsidP="001B2A96">
            <w:pPr>
              <w:jc w:val="center"/>
            </w:pPr>
          </w:p>
        </w:tc>
        <w:tc>
          <w:tcPr>
            <w:tcW w:w="1111" w:type="dxa"/>
          </w:tcPr>
          <w:p w14:paraId="08A8B0A0" w14:textId="77777777" w:rsidR="00DA708F" w:rsidRPr="0033617F" w:rsidRDefault="00DA708F" w:rsidP="001B2A96">
            <w:pPr>
              <w:jc w:val="center"/>
            </w:pPr>
          </w:p>
        </w:tc>
        <w:tc>
          <w:tcPr>
            <w:tcW w:w="1209" w:type="dxa"/>
          </w:tcPr>
          <w:p w14:paraId="4A8CA9E3" w14:textId="77777777" w:rsidR="00DA708F" w:rsidRPr="0033617F" w:rsidRDefault="00DA708F" w:rsidP="001B2A96">
            <w:pPr>
              <w:jc w:val="center"/>
            </w:pPr>
          </w:p>
        </w:tc>
        <w:tc>
          <w:tcPr>
            <w:tcW w:w="1111" w:type="dxa"/>
          </w:tcPr>
          <w:p w14:paraId="115E5969" w14:textId="77777777" w:rsidR="00DA708F" w:rsidRPr="0033617F" w:rsidRDefault="00DA708F" w:rsidP="001B2A96">
            <w:pPr>
              <w:jc w:val="center"/>
            </w:pPr>
          </w:p>
        </w:tc>
        <w:tc>
          <w:tcPr>
            <w:tcW w:w="1192" w:type="dxa"/>
          </w:tcPr>
          <w:p w14:paraId="6B98D2DB" w14:textId="77777777" w:rsidR="00DA708F" w:rsidRPr="0033617F" w:rsidRDefault="00DA708F" w:rsidP="001B2A96">
            <w:pPr>
              <w:jc w:val="center"/>
            </w:pPr>
          </w:p>
        </w:tc>
        <w:tc>
          <w:tcPr>
            <w:tcW w:w="1008" w:type="dxa"/>
          </w:tcPr>
          <w:p w14:paraId="60DE00DC" w14:textId="77777777" w:rsidR="00DA708F" w:rsidRPr="0033617F" w:rsidRDefault="00DA708F" w:rsidP="001B2A96">
            <w:pPr>
              <w:jc w:val="center"/>
            </w:pPr>
          </w:p>
        </w:tc>
      </w:tr>
      <w:tr w:rsidR="00DA708F" w:rsidRPr="0033617F" w14:paraId="3BF23EE2" w14:textId="77777777" w:rsidTr="00EE6938">
        <w:trPr>
          <w:jc w:val="center"/>
        </w:trPr>
        <w:tc>
          <w:tcPr>
            <w:tcW w:w="2175" w:type="dxa"/>
          </w:tcPr>
          <w:p w14:paraId="3F75D13B" w14:textId="77777777" w:rsidR="00DA708F" w:rsidRPr="0033617F" w:rsidRDefault="00DA708F" w:rsidP="001B2A96">
            <w:pPr>
              <w:rPr>
                <w:i/>
              </w:rPr>
            </w:pPr>
            <w:r w:rsidRPr="0033617F">
              <w:t>1.3. pašvaldību budžets</w:t>
            </w:r>
          </w:p>
        </w:tc>
        <w:tc>
          <w:tcPr>
            <w:tcW w:w="1123" w:type="dxa"/>
          </w:tcPr>
          <w:p w14:paraId="25E8A59E" w14:textId="77777777" w:rsidR="00DA708F" w:rsidRPr="0033617F" w:rsidRDefault="00DA708F" w:rsidP="001B2A96">
            <w:pPr>
              <w:jc w:val="center"/>
            </w:pPr>
          </w:p>
        </w:tc>
        <w:tc>
          <w:tcPr>
            <w:tcW w:w="1414" w:type="dxa"/>
          </w:tcPr>
          <w:p w14:paraId="6926686D" w14:textId="77777777" w:rsidR="00DA708F" w:rsidRPr="0033617F" w:rsidRDefault="00DA708F" w:rsidP="001B2A96">
            <w:pPr>
              <w:jc w:val="center"/>
            </w:pPr>
          </w:p>
        </w:tc>
        <w:tc>
          <w:tcPr>
            <w:tcW w:w="1111" w:type="dxa"/>
          </w:tcPr>
          <w:p w14:paraId="01810920" w14:textId="77777777" w:rsidR="00DA708F" w:rsidRPr="0033617F" w:rsidRDefault="00DA708F" w:rsidP="001B2A96">
            <w:pPr>
              <w:jc w:val="center"/>
            </w:pPr>
          </w:p>
        </w:tc>
        <w:tc>
          <w:tcPr>
            <w:tcW w:w="1209" w:type="dxa"/>
          </w:tcPr>
          <w:p w14:paraId="4E47B6D6" w14:textId="77777777" w:rsidR="00DA708F" w:rsidRPr="0033617F" w:rsidRDefault="00DA708F" w:rsidP="001B2A96">
            <w:pPr>
              <w:jc w:val="center"/>
            </w:pPr>
          </w:p>
        </w:tc>
        <w:tc>
          <w:tcPr>
            <w:tcW w:w="1111" w:type="dxa"/>
          </w:tcPr>
          <w:p w14:paraId="303E2203" w14:textId="77777777" w:rsidR="00DA708F" w:rsidRPr="0033617F" w:rsidRDefault="00DA708F" w:rsidP="001B2A96">
            <w:pPr>
              <w:jc w:val="center"/>
            </w:pPr>
          </w:p>
        </w:tc>
        <w:tc>
          <w:tcPr>
            <w:tcW w:w="1192" w:type="dxa"/>
          </w:tcPr>
          <w:p w14:paraId="5AAB8C1A" w14:textId="77777777" w:rsidR="00DA708F" w:rsidRPr="0033617F" w:rsidRDefault="00DA708F" w:rsidP="001B2A96">
            <w:pPr>
              <w:jc w:val="center"/>
            </w:pPr>
          </w:p>
        </w:tc>
        <w:tc>
          <w:tcPr>
            <w:tcW w:w="1008" w:type="dxa"/>
          </w:tcPr>
          <w:p w14:paraId="022AB86F" w14:textId="77777777" w:rsidR="00DA708F" w:rsidRPr="0033617F" w:rsidRDefault="00DA708F" w:rsidP="001B2A96">
            <w:pPr>
              <w:jc w:val="center"/>
            </w:pPr>
          </w:p>
        </w:tc>
      </w:tr>
      <w:tr w:rsidR="00DA708F" w:rsidRPr="0033617F" w14:paraId="2BFA35C4" w14:textId="77777777" w:rsidTr="00EE6938">
        <w:trPr>
          <w:jc w:val="center"/>
        </w:trPr>
        <w:tc>
          <w:tcPr>
            <w:tcW w:w="2175" w:type="dxa"/>
          </w:tcPr>
          <w:p w14:paraId="576345A9" w14:textId="77777777" w:rsidR="00DA708F" w:rsidRPr="0033617F" w:rsidRDefault="00DA708F" w:rsidP="001B2A96">
            <w:r w:rsidRPr="0033617F">
              <w:t>2. Budžeta izdevumi:</w:t>
            </w:r>
          </w:p>
        </w:tc>
        <w:tc>
          <w:tcPr>
            <w:tcW w:w="1123" w:type="dxa"/>
          </w:tcPr>
          <w:p w14:paraId="167441E8" w14:textId="77777777" w:rsidR="00DA708F" w:rsidRPr="004B2478" w:rsidRDefault="00DA708F" w:rsidP="001B2A96">
            <w:pPr>
              <w:jc w:val="center"/>
              <w:rPr>
                <w:b/>
              </w:rPr>
            </w:pPr>
            <w:r w:rsidRPr="004B2478">
              <w:rPr>
                <w:b/>
              </w:rPr>
              <w:t>0</w:t>
            </w:r>
          </w:p>
        </w:tc>
        <w:tc>
          <w:tcPr>
            <w:tcW w:w="1414" w:type="dxa"/>
          </w:tcPr>
          <w:p w14:paraId="05112F23" w14:textId="59A7F398" w:rsidR="00DA708F" w:rsidRPr="004B2478" w:rsidRDefault="00257AD9" w:rsidP="000D0EED">
            <w:pPr>
              <w:jc w:val="center"/>
              <w:rPr>
                <w:b/>
              </w:rPr>
            </w:pPr>
            <w:r>
              <w:rPr>
                <w:b/>
              </w:rPr>
              <w:t>0</w:t>
            </w:r>
          </w:p>
        </w:tc>
        <w:tc>
          <w:tcPr>
            <w:tcW w:w="1111" w:type="dxa"/>
          </w:tcPr>
          <w:p w14:paraId="7F49FA9F" w14:textId="77777777" w:rsidR="00DA708F" w:rsidRPr="00317B6A" w:rsidRDefault="00DA708F" w:rsidP="001B2A96">
            <w:pPr>
              <w:jc w:val="center"/>
              <w:rPr>
                <w:b/>
              </w:rPr>
            </w:pPr>
            <w:r w:rsidRPr="00317B6A">
              <w:rPr>
                <w:b/>
              </w:rPr>
              <w:t>0</w:t>
            </w:r>
          </w:p>
        </w:tc>
        <w:tc>
          <w:tcPr>
            <w:tcW w:w="1209" w:type="dxa"/>
          </w:tcPr>
          <w:p w14:paraId="5420ACB5" w14:textId="77777777" w:rsidR="00DA708F" w:rsidRPr="00317B6A" w:rsidRDefault="00DA708F" w:rsidP="001B2A96">
            <w:pPr>
              <w:jc w:val="center"/>
              <w:rPr>
                <w:b/>
              </w:rPr>
            </w:pPr>
            <w:r w:rsidRPr="00317B6A">
              <w:rPr>
                <w:b/>
              </w:rPr>
              <w:t>0</w:t>
            </w:r>
          </w:p>
        </w:tc>
        <w:tc>
          <w:tcPr>
            <w:tcW w:w="1111" w:type="dxa"/>
          </w:tcPr>
          <w:p w14:paraId="048E7AD8" w14:textId="77777777" w:rsidR="00DA708F" w:rsidRPr="00317B6A" w:rsidRDefault="00DA708F" w:rsidP="001B2A96">
            <w:pPr>
              <w:jc w:val="center"/>
              <w:rPr>
                <w:b/>
              </w:rPr>
            </w:pPr>
            <w:r w:rsidRPr="00317B6A">
              <w:rPr>
                <w:b/>
              </w:rPr>
              <w:t>0</w:t>
            </w:r>
          </w:p>
        </w:tc>
        <w:tc>
          <w:tcPr>
            <w:tcW w:w="1192" w:type="dxa"/>
          </w:tcPr>
          <w:p w14:paraId="690B50D6" w14:textId="77777777" w:rsidR="00DA708F" w:rsidRPr="00317B6A" w:rsidRDefault="00DA708F" w:rsidP="001B2A96">
            <w:pPr>
              <w:jc w:val="center"/>
              <w:rPr>
                <w:b/>
              </w:rPr>
            </w:pPr>
            <w:r>
              <w:rPr>
                <w:b/>
              </w:rPr>
              <w:t>0</w:t>
            </w:r>
          </w:p>
        </w:tc>
        <w:tc>
          <w:tcPr>
            <w:tcW w:w="1008" w:type="dxa"/>
          </w:tcPr>
          <w:p w14:paraId="72290D90" w14:textId="77777777" w:rsidR="00DA708F" w:rsidRPr="00317B6A" w:rsidRDefault="00DA708F" w:rsidP="001B2A96">
            <w:pPr>
              <w:jc w:val="center"/>
              <w:rPr>
                <w:b/>
              </w:rPr>
            </w:pPr>
            <w:r>
              <w:rPr>
                <w:b/>
              </w:rPr>
              <w:t>0</w:t>
            </w:r>
          </w:p>
        </w:tc>
      </w:tr>
      <w:tr w:rsidR="00DA708F" w:rsidRPr="0033617F" w14:paraId="4725DAAC" w14:textId="77777777" w:rsidTr="00EE6938">
        <w:trPr>
          <w:jc w:val="center"/>
        </w:trPr>
        <w:tc>
          <w:tcPr>
            <w:tcW w:w="2175" w:type="dxa"/>
          </w:tcPr>
          <w:p w14:paraId="38ED5BC6" w14:textId="77777777" w:rsidR="00DA708F" w:rsidRPr="0033617F" w:rsidRDefault="00DA708F" w:rsidP="001B2A96">
            <w:r w:rsidRPr="0033617F">
              <w:t>2.1. valsts pamatbudžets</w:t>
            </w:r>
          </w:p>
        </w:tc>
        <w:tc>
          <w:tcPr>
            <w:tcW w:w="1123" w:type="dxa"/>
          </w:tcPr>
          <w:p w14:paraId="04E67DEB" w14:textId="77777777" w:rsidR="00DA708F" w:rsidRPr="004B2478" w:rsidRDefault="00DA708F" w:rsidP="001B2A96">
            <w:pPr>
              <w:jc w:val="center"/>
              <w:rPr>
                <w:i/>
              </w:rPr>
            </w:pPr>
            <w:r w:rsidRPr="004B2478">
              <w:rPr>
                <w:i/>
              </w:rPr>
              <w:t>0</w:t>
            </w:r>
          </w:p>
        </w:tc>
        <w:tc>
          <w:tcPr>
            <w:tcW w:w="1414" w:type="dxa"/>
          </w:tcPr>
          <w:p w14:paraId="197962AF" w14:textId="741F571B" w:rsidR="00DA708F" w:rsidRPr="004B2478" w:rsidRDefault="00257AD9" w:rsidP="001B2A96">
            <w:pPr>
              <w:jc w:val="center"/>
              <w:rPr>
                <w:i/>
              </w:rPr>
            </w:pPr>
            <w:r>
              <w:rPr>
                <w:i/>
              </w:rPr>
              <w:t>0</w:t>
            </w:r>
          </w:p>
        </w:tc>
        <w:tc>
          <w:tcPr>
            <w:tcW w:w="1111" w:type="dxa"/>
          </w:tcPr>
          <w:p w14:paraId="60CBA3E5" w14:textId="77777777" w:rsidR="00DA708F" w:rsidRPr="00317B6A" w:rsidRDefault="00DA708F" w:rsidP="001B2A96">
            <w:pPr>
              <w:jc w:val="center"/>
              <w:rPr>
                <w:i/>
              </w:rPr>
            </w:pPr>
            <w:r w:rsidRPr="00317B6A">
              <w:rPr>
                <w:i/>
              </w:rPr>
              <w:t>0</w:t>
            </w:r>
          </w:p>
        </w:tc>
        <w:tc>
          <w:tcPr>
            <w:tcW w:w="1209" w:type="dxa"/>
          </w:tcPr>
          <w:p w14:paraId="7F5B7D9A" w14:textId="77777777" w:rsidR="00DA708F" w:rsidRPr="00317B6A" w:rsidRDefault="00DA708F" w:rsidP="001B2A96">
            <w:pPr>
              <w:jc w:val="center"/>
              <w:rPr>
                <w:i/>
              </w:rPr>
            </w:pPr>
            <w:r w:rsidRPr="00317B6A">
              <w:rPr>
                <w:i/>
              </w:rPr>
              <w:t>0</w:t>
            </w:r>
          </w:p>
        </w:tc>
        <w:tc>
          <w:tcPr>
            <w:tcW w:w="1111" w:type="dxa"/>
          </w:tcPr>
          <w:p w14:paraId="73EE6EFC" w14:textId="77777777" w:rsidR="00DA708F" w:rsidRPr="00317B6A" w:rsidRDefault="00DA708F" w:rsidP="001B2A96">
            <w:pPr>
              <w:jc w:val="center"/>
              <w:rPr>
                <w:i/>
              </w:rPr>
            </w:pPr>
            <w:r w:rsidRPr="00317B6A">
              <w:rPr>
                <w:i/>
              </w:rPr>
              <w:t>0</w:t>
            </w:r>
          </w:p>
        </w:tc>
        <w:tc>
          <w:tcPr>
            <w:tcW w:w="1192" w:type="dxa"/>
          </w:tcPr>
          <w:p w14:paraId="1D24A512" w14:textId="77777777" w:rsidR="00DA708F" w:rsidRPr="00317B6A" w:rsidRDefault="00DA708F" w:rsidP="001B2A96">
            <w:pPr>
              <w:jc w:val="center"/>
              <w:rPr>
                <w:i/>
              </w:rPr>
            </w:pPr>
            <w:r>
              <w:rPr>
                <w:i/>
              </w:rPr>
              <w:t>0</w:t>
            </w:r>
          </w:p>
        </w:tc>
        <w:tc>
          <w:tcPr>
            <w:tcW w:w="1008" w:type="dxa"/>
          </w:tcPr>
          <w:p w14:paraId="21DD7031" w14:textId="77777777" w:rsidR="00DA708F" w:rsidRPr="00317B6A" w:rsidRDefault="00DA708F" w:rsidP="001B2A96">
            <w:pPr>
              <w:jc w:val="center"/>
              <w:rPr>
                <w:i/>
              </w:rPr>
            </w:pPr>
            <w:r>
              <w:rPr>
                <w:i/>
              </w:rPr>
              <w:t>0</w:t>
            </w:r>
          </w:p>
        </w:tc>
      </w:tr>
      <w:tr w:rsidR="00DA708F" w:rsidRPr="0033617F" w14:paraId="5715E9BE" w14:textId="77777777" w:rsidTr="00EE6938">
        <w:trPr>
          <w:jc w:val="center"/>
        </w:trPr>
        <w:tc>
          <w:tcPr>
            <w:tcW w:w="2175" w:type="dxa"/>
          </w:tcPr>
          <w:p w14:paraId="1242CE48" w14:textId="77777777" w:rsidR="00DA708F" w:rsidRPr="0033617F" w:rsidRDefault="00DA708F" w:rsidP="001B2A96">
            <w:r w:rsidRPr="0033617F">
              <w:t>2.2. valsts speciālais budžets</w:t>
            </w:r>
          </w:p>
        </w:tc>
        <w:tc>
          <w:tcPr>
            <w:tcW w:w="1123" w:type="dxa"/>
          </w:tcPr>
          <w:p w14:paraId="27F052CF" w14:textId="77777777" w:rsidR="00DA708F" w:rsidRPr="004B2478" w:rsidRDefault="00DA708F" w:rsidP="001B2A96">
            <w:pPr>
              <w:jc w:val="center"/>
            </w:pPr>
          </w:p>
        </w:tc>
        <w:tc>
          <w:tcPr>
            <w:tcW w:w="1414" w:type="dxa"/>
          </w:tcPr>
          <w:p w14:paraId="49A5A0F2" w14:textId="77777777" w:rsidR="00DA708F" w:rsidRPr="004B2478" w:rsidRDefault="00DA708F" w:rsidP="001B2A96">
            <w:pPr>
              <w:jc w:val="center"/>
            </w:pPr>
          </w:p>
        </w:tc>
        <w:tc>
          <w:tcPr>
            <w:tcW w:w="1111" w:type="dxa"/>
          </w:tcPr>
          <w:p w14:paraId="721C4445" w14:textId="77777777" w:rsidR="00DA708F" w:rsidRPr="00317B6A" w:rsidRDefault="00DA708F" w:rsidP="001B2A96">
            <w:pPr>
              <w:jc w:val="center"/>
            </w:pPr>
          </w:p>
        </w:tc>
        <w:tc>
          <w:tcPr>
            <w:tcW w:w="1209" w:type="dxa"/>
          </w:tcPr>
          <w:p w14:paraId="4173FB89" w14:textId="77777777" w:rsidR="00DA708F" w:rsidRPr="00317B6A" w:rsidRDefault="00DA708F" w:rsidP="001B2A96">
            <w:pPr>
              <w:jc w:val="center"/>
            </w:pPr>
          </w:p>
        </w:tc>
        <w:tc>
          <w:tcPr>
            <w:tcW w:w="1111" w:type="dxa"/>
          </w:tcPr>
          <w:p w14:paraId="198582F9" w14:textId="77777777" w:rsidR="00DA708F" w:rsidRPr="00317B6A" w:rsidRDefault="00DA708F" w:rsidP="001B2A96">
            <w:pPr>
              <w:jc w:val="center"/>
            </w:pPr>
          </w:p>
        </w:tc>
        <w:tc>
          <w:tcPr>
            <w:tcW w:w="1192" w:type="dxa"/>
          </w:tcPr>
          <w:p w14:paraId="31FE59E2" w14:textId="77777777" w:rsidR="00DA708F" w:rsidRPr="00317B6A" w:rsidRDefault="00DA708F" w:rsidP="001B2A96">
            <w:pPr>
              <w:jc w:val="center"/>
            </w:pPr>
          </w:p>
        </w:tc>
        <w:tc>
          <w:tcPr>
            <w:tcW w:w="1008" w:type="dxa"/>
          </w:tcPr>
          <w:p w14:paraId="05CAFB43" w14:textId="77777777" w:rsidR="00DA708F" w:rsidRPr="00317B6A" w:rsidRDefault="00DA708F" w:rsidP="001B2A96">
            <w:pPr>
              <w:jc w:val="center"/>
            </w:pPr>
          </w:p>
        </w:tc>
      </w:tr>
      <w:tr w:rsidR="00DA708F" w:rsidRPr="0033617F" w14:paraId="4668E250" w14:textId="77777777" w:rsidTr="00EE6938">
        <w:trPr>
          <w:jc w:val="center"/>
        </w:trPr>
        <w:tc>
          <w:tcPr>
            <w:tcW w:w="2175" w:type="dxa"/>
          </w:tcPr>
          <w:p w14:paraId="7EB504E5" w14:textId="77777777" w:rsidR="00DA708F" w:rsidRPr="0033617F" w:rsidRDefault="00DA708F" w:rsidP="001B2A96">
            <w:r w:rsidRPr="0033617F">
              <w:t xml:space="preserve">2.3. pašvaldību budžets </w:t>
            </w:r>
          </w:p>
        </w:tc>
        <w:tc>
          <w:tcPr>
            <w:tcW w:w="1123" w:type="dxa"/>
          </w:tcPr>
          <w:p w14:paraId="0189D475" w14:textId="77777777" w:rsidR="00DA708F" w:rsidRPr="004B2478" w:rsidRDefault="00DA708F" w:rsidP="001B2A96">
            <w:pPr>
              <w:jc w:val="center"/>
            </w:pPr>
          </w:p>
        </w:tc>
        <w:tc>
          <w:tcPr>
            <w:tcW w:w="1414" w:type="dxa"/>
          </w:tcPr>
          <w:p w14:paraId="1FA84B5F" w14:textId="77777777" w:rsidR="00DA708F" w:rsidRPr="004B2478" w:rsidRDefault="00DA708F" w:rsidP="001B2A96">
            <w:pPr>
              <w:jc w:val="center"/>
            </w:pPr>
          </w:p>
        </w:tc>
        <w:tc>
          <w:tcPr>
            <w:tcW w:w="1111" w:type="dxa"/>
          </w:tcPr>
          <w:p w14:paraId="16603E34" w14:textId="77777777" w:rsidR="00DA708F" w:rsidRPr="00317B6A" w:rsidRDefault="00DA708F" w:rsidP="001B2A96">
            <w:pPr>
              <w:jc w:val="center"/>
            </w:pPr>
          </w:p>
        </w:tc>
        <w:tc>
          <w:tcPr>
            <w:tcW w:w="1209" w:type="dxa"/>
          </w:tcPr>
          <w:p w14:paraId="053F02D6" w14:textId="77777777" w:rsidR="00DA708F" w:rsidRPr="00317B6A" w:rsidRDefault="00DA708F" w:rsidP="001B2A96">
            <w:pPr>
              <w:jc w:val="center"/>
            </w:pPr>
          </w:p>
        </w:tc>
        <w:tc>
          <w:tcPr>
            <w:tcW w:w="1111" w:type="dxa"/>
          </w:tcPr>
          <w:p w14:paraId="5D5C6E78" w14:textId="77777777" w:rsidR="00DA708F" w:rsidRPr="00317B6A" w:rsidRDefault="00DA708F" w:rsidP="001B2A96">
            <w:pPr>
              <w:jc w:val="center"/>
            </w:pPr>
          </w:p>
        </w:tc>
        <w:tc>
          <w:tcPr>
            <w:tcW w:w="1192" w:type="dxa"/>
          </w:tcPr>
          <w:p w14:paraId="3E06E5EC" w14:textId="77777777" w:rsidR="00DA708F" w:rsidRPr="00317B6A" w:rsidRDefault="00DA708F" w:rsidP="001B2A96">
            <w:pPr>
              <w:jc w:val="center"/>
            </w:pPr>
          </w:p>
        </w:tc>
        <w:tc>
          <w:tcPr>
            <w:tcW w:w="1008" w:type="dxa"/>
          </w:tcPr>
          <w:p w14:paraId="29AF5552" w14:textId="77777777" w:rsidR="00DA708F" w:rsidRPr="00317B6A" w:rsidRDefault="00DA708F" w:rsidP="001B2A96">
            <w:pPr>
              <w:jc w:val="center"/>
            </w:pPr>
          </w:p>
        </w:tc>
      </w:tr>
      <w:tr w:rsidR="00DA708F" w:rsidRPr="0033617F" w14:paraId="5EF983C5" w14:textId="77777777" w:rsidTr="00EE6938">
        <w:trPr>
          <w:jc w:val="center"/>
        </w:trPr>
        <w:tc>
          <w:tcPr>
            <w:tcW w:w="2175" w:type="dxa"/>
          </w:tcPr>
          <w:p w14:paraId="40BEE164" w14:textId="77777777" w:rsidR="00DA708F" w:rsidRPr="0033617F" w:rsidRDefault="00DA708F" w:rsidP="001B2A96">
            <w:r w:rsidRPr="0033617F">
              <w:t>3. Finansiālā ietekme:</w:t>
            </w:r>
          </w:p>
        </w:tc>
        <w:tc>
          <w:tcPr>
            <w:tcW w:w="1123" w:type="dxa"/>
            <w:shd w:val="clear" w:color="auto" w:fill="auto"/>
          </w:tcPr>
          <w:p w14:paraId="75D99A5B" w14:textId="77777777" w:rsidR="00DA708F" w:rsidRPr="004B2478" w:rsidRDefault="00DA708F" w:rsidP="001B2A96">
            <w:pPr>
              <w:jc w:val="center"/>
              <w:rPr>
                <w:b/>
              </w:rPr>
            </w:pPr>
            <w:r w:rsidRPr="004B2478">
              <w:rPr>
                <w:b/>
              </w:rPr>
              <w:t>0</w:t>
            </w:r>
          </w:p>
        </w:tc>
        <w:tc>
          <w:tcPr>
            <w:tcW w:w="1414" w:type="dxa"/>
          </w:tcPr>
          <w:p w14:paraId="38039DE1" w14:textId="2F58E139" w:rsidR="00DA708F" w:rsidRPr="004B2478" w:rsidRDefault="00257AD9" w:rsidP="000D0EED">
            <w:pPr>
              <w:jc w:val="center"/>
              <w:rPr>
                <w:b/>
              </w:rPr>
            </w:pPr>
            <w:r>
              <w:rPr>
                <w:b/>
              </w:rPr>
              <w:t>0</w:t>
            </w:r>
          </w:p>
        </w:tc>
        <w:tc>
          <w:tcPr>
            <w:tcW w:w="1111" w:type="dxa"/>
          </w:tcPr>
          <w:p w14:paraId="7DCC8E49" w14:textId="77777777" w:rsidR="00DA708F" w:rsidRPr="00317B6A" w:rsidRDefault="00DA708F" w:rsidP="001B2A96">
            <w:pPr>
              <w:jc w:val="center"/>
              <w:rPr>
                <w:b/>
              </w:rPr>
            </w:pPr>
            <w:r w:rsidRPr="00317B6A">
              <w:rPr>
                <w:b/>
              </w:rPr>
              <w:t>0</w:t>
            </w:r>
          </w:p>
        </w:tc>
        <w:tc>
          <w:tcPr>
            <w:tcW w:w="1209" w:type="dxa"/>
          </w:tcPr>
          <w:p w14:paraId="2B7B86A6" w14:textId="77777777" w:rsidR="00DA708F" w:rsidRPr="00317B6A" w:rsidRDefault="00DA708F" w:rsidP="001B2A96">
            <w:pPr>
              <w:jc w:val="center"/>
              <w:rPr>
                <w:b/>
              </w:rPr>
            </w:pPr>
            <w:r w:rsidRPr="00317B6A">
              <w:rPr>
                <w:b/>
              </w:rPr>
              <w:t>0</w:t>
            </w:r>
          </w:p>
        </w:tc>
        <w:tc>
          <w:tcPr>
            <w:tcW w:w="1111" w:type="dxa"/>
          </w:tcPr>
          <w:p w14:paraId="3CE95929" w14:textId="77777777" w:rsidR="00DA708F" w:rsidRPr="00317B6A" w:rsidRDefault="00DA708F" w:rsidP="001B2A96">
            <w:pPr>
              <w:jc w:val="center"/>
              <w:rPr>
                <w:b/>
              </w:rPr>
            </w:pPr>
            <w:r w:rsidRPr="00317B6A">
              <w:rPr>
                <w:b/>
              </w:rPr>
              <w:t>0</w:t>
            </w:r>
          </w:p>
        </w:tc>
        <w:tc>
          <w:tcPr>
            <w:tcW w:w="1192" w:type="dxa"/>
          </w:tcPr>
          <w:p w14:paraId="5F0E3EFA" w14:textId="77777777" w:rsidR="00DA708F" w:rsidRPr="00317B6A" w:rsidRDefault="00DA708F" w:rsidP="001B2A96">
            <w:pPr>
              <w:jc w:val="center"/>
              <w:rPr>
                <w:b/>
              </w:rPr>
            </w:pPr>
            <w:r>
              <w:rPr>
                <w:b/>
              </w:rPr>
              <w:t>0</w:t>
            </w:r>
          </w:p>
        </w:tc>
        <w:tc>
          <w:tcPr>
            <w:tcW w:w="1008" w:type="dxa"/>
          </w:tcPr>
          <w:p w14:paraId="4092E8CB" w14:textId="77777777" w:rsidR="00DA708F" w:rsidRPr="00317B6A" w:rsidRDefault="00DA708F" w:rsidP="001B2A96">
            <w:pPr>
              <w:jc w:val="center"/>
              <w:rPr>
                <w:b/>
              </w:rPr>
            </w:pPr>
            <w:r>
              <w:rPr>
                <w:b/>
              </w:rPr>
              <w:t>0</w:t>
            </w:r>
          </w:p>
        </w:tc>
      </w:tr>
      <w:tr w:rsidR="00DA708F" w:rsidRPr="0033617F" w14:paraId="0C81E4A5" w14:textId="77777777" w:rsidTr="00EE6938">
        <w:trPr>
          <w:jc w:val="center"/>
        </w:trPr>
        <w:tc>
          <w:tcPr>
            <w:tcW w:w="2175" w:type="dxa"/>
          </w:tcPr>
          <w:p w14:paraId="2540F61C" w14:textId="77777777" w:rsidR="00DA708F" w:rsidRPr="0033617F" w:rsidRDefault="00DA708F" w:rsidP="001B2A96">
            <w:r w:rsidRPr="0033617F">
              <w:t>3.1. valsts pamatbudžets</w:t>
            </w:r>
          </w:p>
        </w:tc>
        <w:tc>
          <w:tcPr>
            <w:tcW w:w="1123" w:type="dxa"/>
            <w:shd w:val="clear" w:color="auto" w:fill="auto"/>
          </w:tcPr>
          <w:p w14:paraId="482E45F8" w14:textId="77777777" w:rsidR="00DA708F" w:rsidRPr="004B2478" w:rsidRDefault="00DA708F" w:rsidP="001B2A96">
            <w:pPr>
              <w:jc w:val="center"/>
              <w:rPr>
                <w:i/>
              </w:rPr>
            </w:pPr>
            <w:r w:rsidRPr="004B2478">
              <w:rPr>
                <w:i/>
              </w:rPr>
              <w:t>0</w:t>
            </w:r>
          </w:p>
        </w:tc>
        <w:tc>
          <w:tcPr>
            <w:tcW w:w="1414" w:type="dxa"/>
          </w:tcPr>
          <w:p w14:paraId="323F24F8" w14:textId="45B96B28" w:rsidR="00DA708F" w:rsidRPr="004B2478" w:rsidRDefault="00257AD9" w:rsidP="000D0EED">
            <w:pPr>
              <w:jc w:val="center"/>
              <w:rPr>
                <w:i/>
              </w:rPr>
            </w:pPr>
            <w:r>
              <w:rPr>
                <w:i/>
              </w:rPr>
              <w:t>0</w:t>
            </w:r>
          </w:p>
        </w:tc>
        <w:tc>
          <w:tcPr>
            <w:tcW w:w="1111" w:type="dxa"/>
          </w:tcPr>
          <w:p w14:paraId="3B7A0AD2" w14:textId="77777777" w:rsidR="00DA708F" w:rsidRPr="00317B6A" w:rsidRDefault="00DA708F" w:rsidP="001B2A96">
            <w:pPr>
              <w:jc w:val="center"/>
              <w:rPr>
                <w:i/>
              </w:rPr>
            </w:pPr>
            <w:r w:rsidRPr="00317B6A">
              <w:rPr>
                <w:i/>
              </w:rPr>
              <w:t>0</w:t>
            </w:r>
          </w:p>
        </w:tc>
        <w:tc>
          <w:tcPr>
            <w:tcW w:w="1209" w:type="dxa"/>
          </w:tcPr>
          <w:p w14:paraId="53FDF421" w14:textId="77777777" w:rsidR="00DA708F" w:rsidRPr="00317B6A" w:rsidRDefault="00DA708F" w:rsidP="001B2A96">
            <w:pPr>
              <w:jc w:val="center"/>
              <w:rPr>
                <w:i/>
              </w:rPr>
            </w:pPr>
            <w:r w:rsidRPr="00317B6A">
              <w:rPr>
                <w:i/>
              </w:rPr>
              <w:t>0</w:t>
            </w:r>
          </w:p>
        </w:tc>
        <w:tc>
          <w:tcPr>
            <w:tcW w:w="1111" w:type="dxa"/>
          </w:tcPr>
          <w:p w14:paraId="508B67A9" w14:textId="77777777" w:rsidR="00DA708F" w:rsidRPr="00317B6A" w:rsidRDefault="00DA708F" w:rsidP="001B2A96">
            <w:pPr>
              <w:jc w:val="center"/>
              <w:rPr>
                <w:i/>
              </w:rPr>
            </w:pPr>
            <w:r w:rsidRPr="00317B6A">
              <w:rPr>
                <w:i/>
              </w:rPr>
              <w:t>0</w:t>
            </w:r>
          </w:p>
        </w:tc>
        <w:tc>
          <w:tcPr>
            <w:tcW w:w="1192" w:type="dxa"/>
          </w:tcPr>
          <w:p w14:paraId="0F1497CA" w14:textId="77777777" w:rsidR="00DA708F" w:rsidRPr="00317B6A" w:rsidRDefault="00DA708F" w:rsidP="001B2A96">
            <w:pPr>
              <w:jc w:val="center"/>
              <w:rPr>
                <w:i/>
              </w:rPr>
            </w:pPr>
            <w:r>
              <w:rPr>
                <w:i/>
              </w:rPr>
              <w:t>0</w:t>
            </w:r>
          </w:p>
        </w:tc>
        <w:tc>
          <w:tcPr>
            <w:tcW w:w="1008" w:type="dxa"/>
          </w:tcPr>
          <w:p w14:paraId="240FC83F" w14:textId="77777777" w:rsidR="00DA708F" w:rsidRPr="00317B6A" w:rsidRDefault="00DA708F" w:rsidP="001B2A96">
            <w:pPr>
              <w:jc w:val="center"/>
              <w:rPr>
                <w:i/>
              </w:rPr>
            </w:pPr>
            <w:r>
              <w:rPr>
                <w:i/>
              </w:rPr>
              <w:t>0</w:t>
            </w:r>
          </w:p>
        </w:tc>
      </w:tr>
      <w:tr w:rsidR="00DA708F" w:rsidRPr="0033617F" w14:paraId="7ADBC024" w14:textId="77777777" w:rsidTr="00EE6938">
        <w:trPr>
          <w:jc w:val="center"/>
        </w:trPr>
        <w:tc>
          <w:tcPr>
            <w:tcW w:w="2175" w:type="dxa"/>
          </w:tcPr>
          <w:p w14:paraId="6E2D338E" w14:textId="77777777" w:rsidR="00DA708F" w:rsidRPr="0033617F" w:rsidRDefault="00DA708F" w:rsidP="001B2A96">
            <w:r w:rsidRPr="0033617F">
              <w:t>3.2. speciālais budžets</w:t>
            </w:r>
          </w:p>
        </w:tc>
        <w:tc>
          <w:tcPr>
            <w:tcW w:w="1123" w:type="dxa"/>
            <w:shd w:val="clear" w:color="auto" w:fill="auto"/>
          </w:tcPr>
          <w:p w14:paraId="571FAF78" w14:textId="77777777" w:rsidR="00DA708F" w:rsidRPr="004B2478" w:rsidRDefault="00DA708F" w:rsidP="001B2A96">
            <w:pPr>
              <w:jc w:val="center"/>
            </w:pPr>
          </w:p>
        </w:tc>
        <w:tc>
          <w:tcPr>
            <w:tcW w:w="1414" w:type="dxa"/>
          </w:tcPr>
          <w:p w14:paraId="759B632F" w14:textId="77777777" w:rsidR="00DA708F" w:rsidRPr="004B2478" w:rsidRDefault="00DA708F" w:rsidP="001B2A96">
            <w:pPr>
              <w:jc w:val="center"/>
            </w:pPr>
          </w:p>
        </w:tc>
        <w:tc>
          <w:tcPr>
            <w:tcW w:w="1111" w:type="dxa"/>
          </w:tcPr>
          <w:p w14:paraId="6539050C" w14:textId="77777777" w:rsidR="00DA708F" w:rsidRPr="00317B6A" w:rsidRDefault="00DA708F" w:rsidP="001B2A96">
            <w:pPr>
              <w:jc w:val="center"/>
            </w:pPr>
          </w:p>
        </w:tc>
        <w:tc>
          <w:tcPr>
            <w:tcW w:w="1209" w:type="dxa"/>
          </w:tcPr>
          <w:p w14:paraId="57838AAE" w14:textId="77777777" w:rsidR="00DA708F" w:rsidRPr="00317B6A" w:rsidRDefault="00DA708F" w:rsidP="001B2A96">
            <w:pPr>
              <w:jc w:val="center"/>
            </w:pPr>
          </w:p>
        </w:tc>
        <w:tc>
          <w:tcPr>
            <w:tcW w:w="1111" w:type="dxa"/>
          </w:tcPr>
          <w:p w14:paraId="6C6C0F92" w14:textId="77777777" w:rsidR="00DA708F" w:rsidRPr="00317B6A" w:rsidRDefault="00DA708F" w:rsidP="001B2A96">
            <w:pPr>
              <w:jc w:val="center"/>
            </w:pPr>
          </w:p>
        </w:tc>
        <w:tc>
          <w:tcPr>
            <w:tcW w:w="1192" w:type="dxa"/>
          </w:tcPr>
          <w:p w14:paraId="089E567E" w14:textId="77777777" w:rsidR="00DA708F" w:rsidRPr="00317B6A" w:rsidRDefault="00DA708F" w:rsidP="001B2A96">
            <w:pPr>
              <w:jc w:val="center"/>
            </w:pPr>
          </w:p>
        </w:tc>
        <w:tc>
          <w:tcPr>
            <w:tcW w:w="1008" w:type="dxa"/>
          </w:tcPr>
          <w:p w14:paraId="3D68DC64" w14:textId="77777777" w:rsidR="00DA708F" w:rsidRPr="00317B6A" w:rsidRDefault="00DA708F" w:rsidP="001B2A96">
            <w:pPr>
              <w:jc w:val="center"/>
            </w:pPr>
          </w:p>
        </w:tc>
      </w:tr>
      <w:tr w:rsidR="00DA708F" w:rsidRPr="0033617F" w14:paraId="34AFC7C3" w14:textId="77777777" w:rsidTr="00EE6938">
        <w:trPr>
          <w:jc w:val="center"/>
        </w:trPr>
        <w:tc>
          <w:tcPr>
            <w:tcW w:w="2175" w:type="dxa"/>
          </w:tcPr>
          <w:p w14:paraId="5B6720C9" w14:textId="77777777" w:rsidR="00DA708F" w:rsidRPr="0033617F" w:rsidRDefault="00DA708F" w:rsidP="001B2A96">
            <w:r w:rsidRPr="0033617F">
              <w:t xml:space="preserve">3.3. pašvaldību budžets </w:t>
            </w:r>
          </w:p>
        </w:tc>
        <w:tc>
          <w:tcPr>
            <w:tcW w:w="1123" w:type="dxa"/>
            <w:shd w:val="clear" w:color="auto" w:fill="auto"/>
          </w:tcPr>
          <w:p w14:paraId="1E6194AA" w14:textId="77777777" w:rsidR="00DA708F" w:rsidRPr="004B2478" w:rsidRDefault="00DA708F" w:rsidP="001B2A96">
            <w:pPr>
              <w:jc w:val="center"/>
            </w:pPr>
          </w:p>
        </w:tc>
        <w:tc>
          <w:tcPr>
            <w:tcW w:w="1414" w:type="dxa"/>
          </w:tcPr>
          <w:p w14:paraId="209108D7" w14:textId="77777777" w:rsidR="00DA708F" w:rsidRPr="004B2478" w:rsidRDefault="00DA708F" w:rsidP="001B2A96">
            <w:pPr>
              <w:jc w:val="center"/>
            </w:pPr>
          </w:p>
        </w:tc>
        <w:tc>
          <w:tcPr>
            <w:tcW w:w="1111" w:type="dxa"/>
          </w:tcPr>
          <w:p w14:paraId="770CD3BA" w14:textId="77777777" w:rsidR="00DA708F" w:rsidRPr="00317B6A" w:rsidRDefault="00DA708F" w:rsidP="001B2A96">
            <w:pPr>
              <w:jc w:val="center"/>
            </w:pPr>
          </w:p>
        </w:tc>
        <w:tc>
          <w:tcPr>
            <w:tcW w:w="1209" w:type="dxa"/>
          </w:tcPr>
          <w:p w14:paraId="42238C8B" w14:textId="77777777" w:rsidR="00DA708F" w:rsidRPr="00317B6A" w:rsidRDefault="00DA708F" w:rsidP="001B2A96">
            <w:pPr>
              <w:jc w:val="center"/>
            </w:pPr>
          </w:p>
        </w:tc>
        <w:tc>
          <w:tcPr>
            <w:tcW w:w="1111" w:type="dxa"/>
          </w:tcPr>
          <w:p w14:paraId="68D381A4" w14:textId="77777777" w:rsidR="00DA708F" w:rsidRPr="00317B6A" w:rsidRDefault="00DA708F" w:rsidP="001B2A96">
            <w:pPr>
              <w:jc w:val="center"/>
            </w:pPr>
          </w:p>
        </w:tc>
        <w:tc>
          <w:tcPr>
            <w:tcW w:w="1192" w:type="dxa"/>
          </w:tcPr>
          <w:p w14:paraId="152165EB" w14:textId="77777777" w:rsidR="00DA708F" w:rsidRPr="00317B6A" w:rsidRDefault="00DA708F" w:rsidP="001B2A96">
            <w:pPr>
              <w:jc w:val="center"/>
            </w:pPr>
          </w:p>
        </w:tc>
        <w:tc>
          <w:tcPr>
            <w:tcW w:w="1008" w:type="dxa"/>
          </w:tcPr>
          <w:p w14:paraId="3D4FAD15" w14:textId="77777777" w:rsidR="00DA708F" w:rsidRPr="00317B6A" w:rsidRDefault="00DA708F" w:rsidP="001B2A96">
            <w:pPr>
              <w:jc w:val="center"/>
            </w:pPr>
          </w:p>
        </w:tc>
      </w:tr>
      <w:tr w:rsidR="00DA708F" w:rsidRPr="0033617F" w14:paraId="73332940" w14:textId="77777777" w:rsidTr="00EE6938">
        <w:trPr>
          <w:jc w:val="center"/>
        </w:trPr>
        <w:tc>
          <w:tcPr>
            <w:tcW w:w="2175"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23" w:type="dxa"/>
            <w:vMerge w:val="restart"/>
          </w:tcPr>
          <w:p w14:paraId="50E7DD79" w14:textId="77777777" w:rsidR="00DA708F" w:rsidRPr="004B2478" w:rsidRDefault="00DA708F" w:rsidP="001B2A96">
            <w:pPr>
              <w:jc w:val="center"/>
              <w:rPr>
                <w:i/>
              </w:rPr>
            </w:pPr>
            <w:r w:rsidRPr="004B2478">
              <w:t>X</w:t>
            </w:r>
          </w:p>
        </w:tc>
        <w:tc>
          <w:tcPr>
            <w:tcW w:w="1414" w:type="dxa"/>
          </w:tcPr>
          <w:p w14:paraId="6A2858BA" w14:textId="34248E5C" w:rsidR="00DA708F" w:rsidRPr="004B2478" w:rsidRDefault="00257AD9" w:rsidP="00AE20AD">
            <w:pPr>
              <w:jc w:val="center"/>
            </w:pPr>
            <w:r>
              <w:t>0</w:t>
            </w:r>
          </w:p>
        </w:tc>
        <w:tc>
          <w:tcPr>
            <w:tcW w:w="1111" w:type="dxa"/>
          </w:tcPr>
          <w:p w14:paraId="28E0B562" w14:textId="77777777" w:rsidR="00DA708F" w:rsidRPr="00317B6A" w:rsidRDefault="00DA708F" w:rsidP="001B2A96">
            <w:pPr>
              <w:jc w:val="center"/>
            </w:pPr>
            <w:r w:rsidRPr="00317B6A">
              <w:t>0</w:t>
            </w:r>
          </w:p>
        </w:tc>
        <w:tc>
          <w:tcPr>
            <w:tcW w:w="1209" w:type="dxa"/>
          </w:tcPr>
          <w:p w14:paraId="4F9B33F6" w14:textId="77777777" w:rsidR="00DA708F" w:rsidRPr="00317B6A" w:rsidRDefault="00DA708F" w:rsidP="001B2A96">
            <w:pPr>
              <w:jc w:val="center"/>
            </w:pPr>
            <w:r w:rsidRPr="00317B6A">
              <w:t>0</w:t>
            </w:r>
          </w:p>
        </w:tc>
        <w:tc>
          <w:tcPr>
            <w:tcW w:w="1111" w:type="dxa"/>
          </w:tcPr>
          <w:p w14:paraId="10254986" w14:textId="77777777" w:rsidR="00DA708F" w:rsidRPr="00317B6A" w:rsidRDefault="00DA708F" w:rsidP="001B2A96">
            <w:pPr>
              <w:jc w:val="center"/>
            </w:pPr>
            <w:r w:rsidRPr="00317B6A">
              <w:t>0</w:t>
            </w:r>
          </w:p>
        </w:tc>
        <w:tc>
          <w:tcPr>
            <w:tcW w:w="1192" w:type="dxa"/>
          </w:tcPr>
          <w:p w14:paraId="01825567" w14:textId="77777777" w:rsidR="00DA708F" w:rsidRPr="00317B6A" w:rsidRDefault="00DA708F" w:rsidP="001B2A96">
            <w:pPr>
              <w:jc w:val="center"/>
            </w:pPr>
            <w:r>
              <w:t>0</w:t>
            </w:r>
          </w:p>
        </w:tc>
        <w:tc>
          <w:tcPr>
            <w:tcW w:w="1008" w:type="dxa"/>
          </w:tcPr>
          <w:p w14:paraId="0012FAFB" w14:textId="77777777" w:rsidR="00DA708F" w:rsidRPr="00317B6A" w:rsidRDefault="00DA708F" w:rsidP="001B2A96">
            <w:pPr>
              <w:jc w:val="center"/>
            </w:pPr>
            <w:r>
              <w:t>0</w:t>
            </w:r>
          </w:p>
        </w:tc>
      </w:tr>
      <w:tr w:rsidR="00DA708F" w:rsidRPr="0033617F" w14:paraId="3971BAD6" w14:textId="77777777" w:rsidTr="00EE6938">
        <w:trPr>
          <w:jc w:val="center"/>
        </w:trPr>
        <w:tc>
          <w:tcPr>
            <w:tcW w:w="2175" w:type="dxa"/>
            <w:vMerge/>
          </w:tcPr>
          <w:p w14:paraId="0CC27F30" w14:textId="77777777" w:rsidR="00DA708F" w:rsidRPr="0033617F" w:rsidRDefault="00DA708F" w:rsidP="001B2A96"/>
        </w:tc>
        <w:tc>
          <w:tcPr>
            <w:tcW w:w="1123" w:type="dxa"/>
            <w:vMerge/>
          </w:tcPr>
          <w:p w14:paraId="1C96164D" w14:textId="77777777" w:rsidR="00DA708F" w:rsidRPr="004B2478" w:rsidRDefault="00DA708F" w:rsidP="001B2A96">
            <w:pPr>
              <w:jc w:val="center"/>
              <w:rPr>
                <w:i/>
              </w:rPr>
            </w:pPr>
          </w:p>
        </w:tc>
        <w:tc>
          <w:tcPr>
            <w:tcW w:w="1414" w:type="dxa"/>
          </w:tcPr>
          <w:p w14:paraId="44E254D9" w14:textId="77777777" w:rsidR="00DA708F" w:rsidRPr="004B2478" w:rsidRDefault="00DA708F" w:rsidP="001B2A96">
            <w:pPr>
              <w:jc w:val="center"/>
            </w:pPr>
          </w:p>
        </w:tc>
        <w:tc>
          <w:tcPr>
            <w:tcW w:w="1111" w:type="dxa"/>
          </w:tcPr>
          <w:p w14:paraId="39DDF09C" w14:textId="77777777" w:rsidR="00DA708F" w:rsidRPr="0033617F" w:rsidRDefault="00DA708F" w:rsidP="001B2A96">
            <w:pPr>
              <w:jc w:val="center"/>
            </w:pPr>
          </w:p>
        </w:tc>
        <w:tc>
          <w:tcPr>
            <w:tcW w:w="1209" w:type="dxa"/>
          </w:tcPr>
          <w:p w14:paraId="12645A1B" w14:textId="77777777" w:rsidR="00DA708F" w:rsidRPr="0033617F" w:rsidRDefault="00DA708F" w:rsidP="001B2A96">
            <w:pPr>
              <w:jc w:val="center"/>
            </w:pPr>
          </w:p>
        </w:tc>
        <w:tc>
          <w:tcPr>
            <w:tcW w:w="1111" w:type="dxa"/>
          </w:tcPr>
          <w:p w14:paraId="2EE17196" w14:textId="77777777" w:rsidR="00DA708F" w:rsidRPr="0033617F" w:rsidRDefault="00DA708F" w:rsidP="001B2A96">
            <w:pPr>
              <w:jc w:val="center"/>
            </w:pPr>
          </w:p>
        </w:tc>
        <w:tc>
          <w:tcPr>
            <w:tcW w:w="1192" w:type="dxa"/>
          </w:tcPr>
          <w:p w14:paraId="19CF4EAD" w14:textId="77777777" w:rsidR="00DA708F" w:rsidRPr="0033617F" w:rsidRDefault="00DA708F" w:rsidP="001B2A96">
            <w:pPr>
              <w:jc w:val="center"/>
            </w:pPr>
          </w:p>
        </w:tc>
        <w:tc>
          <w:tcPr>
            <w:tcW w:w="1008" w:type="dxa"/>
          </w:tcPr>
          <w:p w14:paraId="410A0BC1" w14:textId="77777777" w:rsidR="00DA708F" w:rsidRPr="0033617F" w:rsidRDefault="00DA708F" w:rsidP="001B2A96">
            <w:pPr>
              <w:jc w:val="center"/>
            </w:pPr>
          </w:p>
        </w:tc>
      </w:tr>
      <w:tr w:rsidR="00DA708F" w:rsidRPr="0033617F" w14:paraId="17DABB5B" w14:textId="77777777" w:rsidTr="00EE6938">
        <w:trPr>
          <w:jc w:val="center"/>
        </w:trPr>
        <w:tc>
          <w:tcPr>
            <w:tcW w:w="2175" w:type="dxa"/>
            <w:vMerge/>
          </w:tcPr>
          <w:p w14:paraId="5B1987C5" w14:textId="77777777" w:rsidR="00DA708F" w:rsidRPr="0033617F" w:rsidRDefault="00DA708F" w:rsidP="001B2A96"/>
        </w:tc>
        <w:tc>
          <w:tcPr>
            <w:tcW w:w="1123" w:type="dxa"/>
            <w:vMerge/>
          </w:tcPr>
          <w:p w14:paraId="7D7A7D36" w14:textId="77777777" w:rsidR="00DA708F" w:rsidRPr="0033617F" w:rsidRDefault="00DA708F" w:rsidP="001B2A96">
            <w:pPr>
              <w:jc w:val="center"/>
              <w:rPr>
                <w:i/>
              </w:rPr>
            </w:pPr>
          </w:p>
        </w:tc>
        <w:tc>
          <w:tcPr>
            <w:tcW w:w="1414"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11" w:type="dxa"/>
          </w:tcPr>
          <w:p w14:paraId="3C401266" w14:textId="77777777" w:rsidR="00DA708F" w:rsidRPr="0033617F" w:rsidRDefault="00DA708F" w:rsidP="001B2A96">
            <w:pPr>
              <w:jc w:val="center"/>
            </w:pPr>
          </w:p>
        </w:tc>
        <w:tc>
          <w:tcPr>
            <w:tcW w:w="1209" w:type="dxa"/>
          </w:tcPr>
          <w:p w14:paraId="010E991E" w14:textId="77777777" w:rsidR="00DA708F" w:rsidRPr="0033617F" w:rsidRDefault="00DA708F" w:rsidP="001B2A96">
            <w:pPr>
              <w:jc w:val="center"/>
            </w:pPr>
          </w:p>
        </w:tc>
        <w:tc>
          <w:tcPr>
            <w:tcW w:w="1111" w:type="dxa"/>
          </w:tcPr>
          <w:p w14:paraId="2814C102" w14:textId="77777777" w:rsidR="00DA708F" w:rsidRPr="0033617F" w:rsidRDefault="00DA708F" w:rsidP="001B2A96">
            <w:pPr>
              <w:jc w:val="center"/>
            </w:pPr>
          </w:p>
        </w:tc>
        <w:tc>
          <w:tcPr>
            <w:tcW w:w="1192" w:type="dxa"/>
          </w:tcPr>
          <w:p w14:paraId="3F3D2A8B" w14:textId="77777777" w:rsidR="00DA708F" w:rsidRPr="0033617F" w:rsidRDefault="00DA708F" w:rsidP="001B2A96">
            <w:pPr>
              <w:jc w:val="center"/>
            </w:pPr>
          </w:p>
        </w:tc>
        <w:tc>
          <w:tcPr>
            <w:tcW w:w="1008" w:type="dxa"/>
          </w:tcPr>
          <w:p w14:paraId="2895DA0C" w14:textId="77777777" w:rsidR="00DA708F" w:rsidRPr="0033617F" w:rsidRDefault="00DA708F" w:rsidP="001B2A96">
            <w:pPr>
              <w:jc w:val="center"/>
            </w:pPr>
          </w:p>
        </w:tc>
      </w:tr>
      <w:tr w:rsidR="00DA708F" w:rsidRPr="0033617F" w14:paraId="3FAD8564" w14:textId="77777777" w:rsidTr="00EE6938">
        <w:trPr>
          <w:jc w:val="center"/>
        </w:trPr>
        <w:tc>
          <w:tcPr>
            <w:tcW w:w="2175" w:type="dxa"/>
          </w:tcPr>
          <w:p w14:paraId="3D523FFD" w14:textId="77777777" w:rsidR="00DA708F" w:rsidRPr="0033617F" w:rsidRDefault="00DA708F" w:rsidP="001B2A96">
            <w:r w:rsidRPr="0033617F">
              <w:t>5. Precizēta finansiālā ietekme:</w:t>
            </w:r>
          </w:p>
        </w:tc>
        <w:tc>
          <w:tcPr>
            <w:tcW w:w="1123"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414" w:type="dxa"/>
          </w:tcPr>
          <w:p w14:paraId="16F77046" w14:textId="77777777" w:rsidR="00DA708F" w:rsidRPr="00317B6A" w:rsidRDefault="00DA708F" w:rsidP="001B2A96">
            <w:pPr>
              <w:jc w:val="center"/>
            </w:pPr>
            <w:r w:rsidRPr="00317B6A">
              <w:t>0</w:t>
            </w:r>
          </w:p>
        </w:tc>
        <w:tc>
          <w:tcPr>
            <w:tcW w:w="1111" w:type="dxa"/>
          </w:tcPr>
          <w:p w14:paraId="2D9AF13E" w14:textId="77777777" w:rsidR="00DA708F" w:rsidRPr="00317B6A" w:rsidRDefault="00DA708F" w:rsidP="001B2A96">
            <w:pPr>
              <w:jc w:val="center"/>
            </w:pPr>
            <w:r w:rsidRPr="00317B6A">
              <w:t>0</w:t>
            </w:r>
          </w:p>
        </w:tc>
        <w:tc>
          <w:tcPr>
            <w:tcW w:w="1209" w:type="dxa"/>
          </w:tcPr>
          <w:p w14:paraId="2C2599C3" w14:textId="77777777" w:rsidR="00DA708F" w:rsidRPr="00317B6A" w:rsidRDefault="00DA708F" w:rsidP="001B2A96">
            <w:pPr>
              <w:jc w:val="center"/>
            </w:pPr>
            <w:r w:rsidRPr="00317B6A">
              <w:t>0</w:t>
            </w:r>
          </w:p>
        </w:tc>
        <w:tc>
          <w:tcPr>
            <w:tcW w:w="1111" w:type="dxa"/>
          </w:tcPr>
          <w:p w14:paraId="39889732" w14:textId="77777777" w:rsidR="00DA708F" w:rsidRPr="00317B6A" w:rsidRDefault="00DA708F" w:rsidP="001B2A96">
            <w:pPr>
              <w:jc w:val="center"/>
            </w:pPr>
            <w:r w:rsidRPr="00317B6A">
              <w:t>0</w:t>
            </w:r>
          </w:p>
        </w:tc>
        <w:tc>
          <w:tcPr>
            <w:tcW w:w="1192" w:type="dxa"/>
          </w:tcPr>
          <w:p w14:paraId="481D2C56" w14:textId="77777777" w:rsidR="00DA708F" w:rsidRPr="00317B6A" w:rsidRDefault="00DA708F" w:rsidP="001B2A96">
            <w:pPr>
              <w:jc w:val="center"/>
            </w:pPr>
            <w:r>
              <w:t>0</w:t>
            </w:r>
          </w:p>
        </w:tc>
        <w:tc>
          <w:tcPr>
            <w:tcW w:w="1008" w:type="dxa"/>
          </w:tcPr>
          <w:p w14:paraId="223AAA8C" w14:textId="77777777" w:rsidR="00DA708F" w:rsidRPr="00317B6A" w:rsidRDefault="00DA708F" w:rsidP="001B2A96">
            <w:pPr>
              <w:jc w:val="center"/>
            </w:pPr>
            <w:r>
              <w:t>0</w:t>
            </w:r>
          </w:p>
        </w:tc>
      </w:tr>
      <w:tr w:rsidR="00DA708F" w:rsidRPr="0033617F" w14:paraId="506C80D8" w14:textId="77777777" w:rsidTr="00EE6938">
        <w:trPr>
          <w:jc w:val="center"/>
        </w:trPr>
        <w:tc>
          <w:tcPr>
            <w:tcW w:w="2175" w:type="dxa"/>
          </w:tcPr>
          <w:p w14:paraId="7EE32092" w14:textId="77777777" w:rsidR="00DA708F" w:rsidRPr="0033617F" w:rsidRDefault="00DA708F" w:rsidP="001B2A96">
            <w:r w:rsidRPr="0033617F">
              <w:t>5.1. valsts pamatbudžets</w:t>
            </w:r>
          </w:p>
        </w:tc>
        <w:tc>
          <w:tcPr>
            <w:tcW w:w="1123" w:type="dxa"/>
            <w:vMerge/>
            <w:vAlign w:val="center"/>
          </w:tcPr>
          <w:p w14:paraId="6A6579AC" w14:textId="77777777" w:rsidR="00DA708F" w:rsidRPr="0033617F" w:rsidRDefault="00DA708F" w:rsidP="001B2A96">
            <w:pPr>
              <w:jc w:val="center"/>
              <w:rPr>
                <w:i/>
              </w:rPr>
            </w:pPr>
          </w:p>
        </w:tc>
        <w:tc>
          <w:tcPr>
            <w:tcW w:w="1414" w:type="dxa"/>
          </w:tcPr>
          <w:p w14:paraId="51F9A668" w14:textId="77777777" w:rsidR="00DA708F" w:rsidRPr="0033617F" w:rsidRDefault="00DA708F" w:rsidP="001B2A96">
            <w:pPr>
              <w:jc w:val="center"/>
            </w:pPr>
            <w:r w:rsidRPr="00317B6A">
              <w:t>0</w:t>
            </w:r>
          </w:p>
        </w:tc>
        <w:tc>
          <w:tcPr>
            <w:tcW w:w="1111" w:type="dxa"/>
          </w:tcPr>
          <w:p w14:paraId="7171C556" w14:textId="77777777" w:rsidR="00DA708F" w:rsidRPr="0033617F" w:rsidRDefault="00DA708F" w:rsidP="001B2A96">
            <w:pPr>
              <w:jc w:val="center"/>
            </w:pPr>
            <w:r w:rsidRPr="00317B6A">
              <w:t>0</w:t>
            </w:r>
          </w:p>
        </w:tc>
        <w:tc>
          <w:tcPr>
            <w:tcW w:w="1209" w:type="dxa"/>
          </w:tcPr>
          <w:p w14:paraId="34AC611D" w14:textId="77777777" w:rsidR="00DA708F" w:rsidRPr="0033617F" w:rsidRDefault="00DA708F" w:rsidP="001B2A96">
            <w:pPr>
              <w:jc w:val="center"/>
            </w:pPr>
            <w:r w:rsidRPr="00317B6A">
              <w:t>0</w:t>
            </w:r>
          </w:p>
        </w:tc>
        <w:tc>
          <w:tcPr>
            <w:tcW w:w="1111" w:type="dxa"/>
          </w:tcPr>
          <w:p w14:paraId="54166C87" w14:textId="77777777" w:rsidR="00DA708F" w:rsidRPr="0033617F" w:rsidRDefault="00DA708F" w:rsidP="001B2A96">
            <w:pPr>
              <w:jc w:val="center"/>
            </w:pPr>
            <w:r w:rsidRPr="00317B6A">
              <w:t>0</w:t>
            </w:r>
          </w:p>
        </w:tc>
        <w:tc>
          <w:tcPr>
            <w:tcW w:w="1192" w:type="dxa"/>
          </w:tcPr>
          <w:p w14:paraId="7B4E4C75" w14:textId="4A42652C" w:rsidR="00DA708F" w:rsidRPr="00317B6A" w:rsidRDefault="007E7D78" w:rsidP="001B2A96">
            <w:pPr>
              <w:jc w:val="center"/>
            </w:pPr>
            <w:r>
              <w:t>0</w:t>
            </w:r>
          </w:p>
        </w:tc>
        <w:tc>
          <w:tcPr>
            <w:tcW w:w="1008" w:type="dxa"/>
          </w:tcPr>
          <w:p w14:paraId="05D82768" w14:textId="703019D4" w:rsidR="00DA708F" w:rsidRPr="00317B6A" w:rsidRDefault="007E7D78" w:rsidP="001B2A96">
            <w:pPr>
              <w:jc w:val="center"/>
            </w:pPr>
            <w:r>
              <w:t>0</w:t>
            </w:r>
          </w:p>
        </w:tc>
      </w:tr>
      <w:tr w:rsidR="00DA708F" w:rsidRPr="0033617F" w14:paraId="06297BD6" w14:textId="77777777" w:rsidTr="00EE6938">
        <w:trPr>
          <w:jc w:val="center"/>
        </w:trPr>
        <w:tc>
          <w:tcPr>
            <w:tcW w:w="2175" w:type="dxa"/>
          </w:tcPr>
          <w:p w14:paraId="6D97C3EB" w14:textId="77777777" w:rsidR="00DA708F" w:rsidRPr="0033617F" w:rsidRDefault="00DA708F" w:rsidP="001B2A96">
            <w:r w:rsidRPr="0033617F">
              <w:lastRenderedPageBreak/>
              <w:t>5.2. speciālais budžets</w:t>
            </w:r>
          </w:p>
        </w:tc>
        <w:tc>
          <w:tcPr>
            <w:tcW w:w="1123" w:type="dxa"/>
            <w:vMerge/>
            <w:vAlign w:val="center"/>
          </w:tcPr>
          <w:p w14:paraId="72440C53" w14:textId="77777777" w:rsidR="00DA708F" w:rsidRPr="0033617F" w:rsidRDefault="00DA708F" w:rsidP="001B2A96">
            <w:pPr>
              <w:jc w:val="center"/>
              <w:rPr>
                <w:i/>
              </w:rPr>
            </w:pPr>
          </w:p>
        </w:tc>
        <w:tc>
          <w:tcPr>
            <w:tcW w:w="1414" w:type="dxa"/>
          </w:tcPr>
          <w:p w14:paraId="3799B308" w14:textId="77777777" w:rsidR="00DA708F" w:rsidRPr="0033617F" w:rsidRDefault="00DA708F" w:rsidP="001B2A96">
            <w:pPr>
              <w:jc w:val="center"/>
            </w:pPr>
          </w:p>
        </w:tc>
        <w:tc>
          <w:tcPr>
            <w:tcW w:w="1111" w:type="dxa"/>
          </w:tcPr>
          <w:p w14:paraId="1E75FC85" w14:textId="77777777" w:rsidR="00DA708F" w:rsidRPr="0033617F" w:rsidRDefault="00DA708F" w:rsidP="001B2A96">
            <w:pPr>
              <w:jc w:val="center"/>
            </w:pPr>
          </w:p>
        </w:tc>
        <w:tc>
          <w:tcPr>
            <w:tcW w:w="1209" w:type="dxa"/>
          </w:tcPr>
          <w:p w14:paraId="2F654027" w14:textId="77777777" w:rsidR="00DA708F" w:rsidRPr="0033617F" w:rsidRDefault="00DA708F" w:rsidP="001B2A96">
            <w:pPr>
              <w:jc w:val="center"/>
            </w:pPr>
          </w:p>
        </w:tc>
        <w:tc>
          <w:tcPr>
            <w:tcW w:w="1111" w:type="dxa"/>
          </w:tcPr>
          <w:p w14:paraId="5A5AD6BB" w14:textId="77777777" w:rsidR="00DA708F" w:rsidRPr="0033617F" w:rsidRDefault="00DA708F" w:rsidP="001B2A96">
            <w:pPr>
              <w:jc w:val="center"/>
            </w:pPr>
          </w:p>
        </w:tc>
        <w:tc>
          <w:tcPr>
            <w:tcW w:w="1192" w:type="dxa"/>
          </w:tcPr>
          <w:p w14:paraId="69ECB779" w14:textId="77777777" w:rsidR="00DA708F" w:rsidRPr="0033617F" w:rsidRDefault="00DA708F" w:rsidP="001B2A96">
            <w:pPr>
              <w:jc w:val="center"/>
            </w:pPr>
          </w:p>
        </w:tc>
        <w:tc>
          <w:tcPr>
            <w:tcW w:w="1008" w:type="dxa"/>
          </w:tcPr>
          <w:p w14:paraId="39477A3E" w14:textId="77777777" w:rsidR="00DA708F" w:rsidRPr="0033617F" w:rsidRDefault="00DA708F" w:rsidP="001B2A96">
            <w:pPr>
              <w:jc w:val="center"/>
            </w:pPr>
          </w:p>
        </w:tc>
      </w:tr>
      <w:tr w:rsidR="00DA708F" w:rsidRPr="0033617F" w14:paraId="5E2EA37A" w14:textId="77777777" w:rsidTr="00EE6938">
        <w:trPr>
          <w:jc w:val="center"/>
        </w:trPr>
        <w:tc>
          <w:tcPr>
            <w:tcW w:w="2175" w:type="dxa"/>
          </w:tcPr>
          <w:p w14:paraId="00807605" w14:textId="77777777" w:rsidR="00DA708F" w:rsidRPr="0033617F" w:rsidRDefault="00DA708F" w:rsidP="001B2A96">
            <w:r w:rsidRPr="0033617F">
              <w:t xml:space="preserve">5.3. pašvaldību budžets </w:t>
            </w:r>
          </w:p>
        </w:tc>
        <w:tc>
          <w:tcPr>
            <w:tcW w:w="1123" w:type="dxa"/>
            <w:vMerge/>
          </w:tcPr>
          <w:p w14:paraId="5B3C56E9" w14:textId="77777777" w:rsidR="00DA708F" w:rsidRPr="0033617F" w:rsidRDefault="00DA708F" w:rsidP="001B2A96">
            <w:pPr>
              <w:jc w:val="center"/>
              <w:rPr>
                <w:i/>
              </w:rPr>
            </w:pPr>
          </w:p>
        </w:tc>
        <w:tc>
          <w:tcPr>
            <w:tcW w:w="1414" w:type="dxa"/>
          </w:tcPr>
          <w:p w14:paraId="34DF1238" w14:textId="77777777" w:rsidR="00DA708F" w:rsidRPr="0033617F" w:rsidRDefault="00DA708F" w:rsidP="001B2A96">
            <w:pPr>
              <w:jc w:val="center"/>
            </w:pPr>
          </w:p>
        </w:tc>
        <w:tc>
          <w:tcPr>
            <w:tcW w:w="1111" w:type="dxa"/>
          </w:tcPr>
          <w:p w14:paraId="6CCAD106" w14:textId="77777777" w:rsidR="00DA708F" w:rsidRPr="0033617F" w:rsidRDefault="00DA708F" w:rsidP="001B2A96">
            <w:pPr>
              <w:jc w:val="center"/>
            </w:pPr>
          </w:p>
        </w:tc>
        <w:tc>
          <w:tcPr>
            <w:tcW w:w="1209" w:type="dxa"/>
          </w:tcPr>
          <w:p w14:paraId="3BC1B57C" w14:textId="77777777" w:rsidR="00DA708F" w:rsidRPr="0033617F" w:rsidRDefault="00DA708F" w:rsidP="001B2A96">
            <w:pPr>
              <w:jc w:val="center"/>
            </w:pPr>
          </w:p>
        </w:tc>
        <w:tc>
          <w:tcPr>
            <w:tcW w:w="1111" w:type="dxa"/>
          </w:tcPr>
          <w:p w14:paraId="115C3BE1" w14:textId="77777777" w:rsidR="00DA708F" w:rsidRPr="0033617F" w:rsidRDefault="00DA708F" w:rsidP="001B2A96">
            <w:pPr>
              <w:jc w:val="center"/>
            </w:pPr>
          </w:p>
        </w:tc>
        <w:tc>
          <w:tcPr>
            <w:tcW w:w="1192" w:type="dxa"/>
          </w:tcPr>
          <w:p w14:paraId="1A71D472" w14:textId="77777777" w:rsidR="00DA708F" w:rsidRPr="0033617F" w:rsidRDefault="00DA708F" w:rsidP="001B2A96">
            <w:pPr>
              <w:jc w:val="center"/>
            </w:pPr>
          </w:p>
        </w:tc>
        <w:tc>
          <w:tcPr>
            <w:tcW w:w="1008" w:type="dxa"/>
          </w:tcPr>
          <w:p w14:paraId="1BEFEB9D" w14:textId="77777777" w:rsidR="00DA708F" w:rsidRPr="0033617F" w:rsidRDefault="00DA708F" w:rsidP="001B2A96">
            <w:pPr>
              <w:jc w:val="center"/>
            </w:pPr>
          </w:p>
        </w:tc>
      </w:tr>
      <w:tr w:rsidR="00DA708F" w:rsidRPr="0033617F" w14:paraId="214D50F7" w14:textId="77777777" w:rsidTr="00EE6938">
        <w:trPr>
          <w:jc w:val="center"/>
        </w:trPr>
        <w:tc>
          <w:tcPr>
            <w:tcW w:w="2175" w:type="dxa"/>
          </w:tcPr>
          <w:p w14:paraId="3E425710" w14:textId="77777777"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168" w:type="dxa"/>
            <w:gridSpan w:val="7"/>
            <w:vMerge w:val="restart"/>
            <w:shd w:val="clear" w:color="auto" w:fill="auto"/>
          </w:tcPr>
          <w:p w14:paraId="12AD66CC" w14:textId="2704DD71" w:rsidR="0004742F" w:rsidRPr="004B2478" w:rsidRDefault="00FD1C56" w:rsidP="001C5657">
            <w:pPr>
              <w:ind w:right="34"/>
              <w:jc w:val="both"/>
            </w:pPr>
            <w:r w:rsidRPr="00FD1C56">
              <w:t xml:space="preserve">Rīkojuma projekta izpildes rezultātā </w:t>
            </w:r>
            <w:r>
              <w:t xml:space="preserve">Liepājas Olimpiskā centra projekta īstenošanai </w:t>
            </w:r>
            <w:r w:rsidR="00E9305B" w:rsidRPr="00FD1C56">
              <w:t xml:space="preserve">paredzētās valsts </w:t>
            </w:r>
            <w:r w:rsidR="00E9305B" w:rsidRPr="002169CB">
              <w:t>budžeta ilgtermiņa saistības (ilgtermiņa pasākumam „</w:t>
            </w:r>
            <w:r w:rsidR="002169CB" w:rsidRPr="002169CB">
              <w:t>Liepājas Olimpiskais centrs</w:t>
            </w:r>
            <w:r w:rsidR="00E9305B" w:rsidRPr="002169CB">
              <w:t>”</w:t>
            </w:r>
            <w:r w:rsidR="0012406D" w:rsidRPr="002169CB">
              <w:t>)</w:t>
            </w:r>
            <w:r w:rsidR="00E9305B" w:rsidRPr="002169CB">
              <w:t xml:space="preserve"> 2020. gadā būs 772 365 </w:t>
            </w:r>
            <w:r w:rsidR="00E9305B" w:rsidRPr="002169CB">
              <w:rPr>
                <w:i/>
              </w:rPr>
              <w:t>euro</w:t>
            </w:r>
            <w:r w:rsidR="00E9305B" w:rsidRPr="002169CB">
              <w:t xml:space="preserve"> (salīdzinot ar šobrīd plānoto – palielinājums par</w:t>
            </w:r>
            <w:r w:rsidR="002169CB" w:rsidRPr="002169CB">
              <w:t xml:space="preserve"> </w:t>
            </w:r>
            <w:r w:rsidR="00E9305B" w:rsidRPr="002169CB">
              <w:t xml:space="preserve">385 985 </w:t>
            </w:r>
            <w:r w:rsidR="00E9305B" w:rsidRPr="002169CB">
              <w:rPr>
                <w:i/>
              </w:rPr>
              <w:t>euro</w:t>
            </w:r>
            <w:r w:rsidR="00E9305B" w:rsidRPr="002169CB">
              <w:t xml:space="preserve">), tādejādi pilnībā dzēšot minēto valsts galvoto aizdevumu (jo tas būs pēdējais maksājums), attiecīgi 2021.gadā saistības vairs nebūs (salīdzinot ar šobrīd plānoto – samazinājums par 385 985 </w:t>
            </w:r>
            <w:r w:rsidR="00E9305B" w:rsidRPr="002169CB">
              <w:rPr>
                <w:i/>
              </w:rPr>
              <w:t>euro</w:t>
            </w:r>
            <w:r w:rsidR="00E9305B" w:rsidRPr="002169CB">
              <w:t>). Tāpat Rīkojuma projekta izpildes rezultātā</w:t>
            </w:r>
            <w:r w:rsidRPr="002169CB">
              <w:t xml:space="preserve">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īstenošanai </w:t>
            </w:r>
            <w:r w:rsidR="00E9305B" w:rsidRPr="002169CB">
              <w:t>paredzētās valsts budžeta ilgtermiņa saistības (ilgtermiņa pasākumam „</w:t>
            </w:r>
            <w:r w:rsidR="002169CB" w:rsidRPr="002169CB">
              <w:t>Valsts galvoto aizdevumu atmaksa par īstenotajiem projektiem Daugavpils Olimpiskajā centrā, Zemgales Olimpiskajā centrā un Ventspils Olimpiskajā centrā</w:t>
            </w:r>
            <w:r w:rsidR="00E9305B" w:rsidRPr="002169CB">
              <w:t>”</w:t>
            </w:r>
            <w:r w:rsidR="0012406D" w:rsidRPr="002169CB">
              <w:t>)</w:t>
            </w:r>
            <w:r w:rsidR="00E9305B" w:rsidRPr="002169CB">
              <w:t xml:space="preserve"> 2020. gadā būs </w:t>
            </w:r>
            <w:r w:rsidR="001C5657" w:rsidRPr="001C5657">
              <w:t xml:space="preserve">1 828 035 </w:t>
            </w:r>
            <w:r w:rsidR="00E9305B" w:rsidRPr="002169CB">
              <w:rPr>
                <w:i/>
              </w:rPr>
              <w:t>euro</w:t>
            </w:r>
            <w:r w:rsidR="00E9305B" w:rsidRPr="002169CB">
              <w:t xml:space="preserve"> (salīdzinot ar šobrīd plānoto – palielinājums par </w:t>
            </w:r>
            <w:r w:rsidR="001C5657">
              <w:br/>
            </w:r>
            <w:r w:rsidR="001C5657" w:rsidRPr="001C5657">
              <w:t xml:space="preserve">993 501 </w:t>
            </w:r>
            <w:r w:rsidR="00E9305B" w:rsidRPr="002169CB">
              <w:rPr>
                <w:i/>
              </w:rPr>
              <w:t>euro</w:t>
            </w:r>
            <w:r w:rsidR="00E9305B" w:rsidRPr="002169CB">
              <w:t xml:space="preserve">), savukārt 2021. gadā būs </w:t>
            </w:r>
            <w:r w:rsidR="001C5657" w:rsidRPr="001C5657">
              <w:t xml:space="preserve">1 016 317 </w:t>
            </w:r>
            <w:r w:rsidR="00E9305B" w:rsidRPr="002169CB">
              <w:rPr>
                <w:i/>
              </w:rPr>
              <w:t>euro</w:t>
            </w:r>
            <w:r w:rsidR="00E9305B">
              <w:t xml:space="preserve"> (salīdzinot ar šobrīd plānoto – samazinājums par</w:t>
            </w:r>
            <w:r w:rsidR="002169CB">
              <w:t xml:space="preserve"> </w:t>
            </w:r>
            <w:r w:rsidR="001C5657" w:rsidRPr="001C5657">
              <w:t xml:space="preserve">993 501 </w:t>
            </w:r>
            <w:r w:rsidR="00E9305B" w:rsidRPr="00E9305B">
              <w:rPr>
                <w:i/>
              </w:rPr>
              <w:t>euro</w:t>
            </w:r>
            <w:r w:rsidR="00E9305B">
              <w:t>).</w:t>
            </w:r>
          </w:p>
        </w:tc>
      </w:tr>
      <w:tr w:rsidR="00DA708F" w:rsidRPr="0033617F" w14:paraId="5F30166E" w14:textId="77777777" w:rsidTr="00EE6938">
        <w:trPr>
          <w:jc w:val="center"/>
        </w:trPr>
        <w:tc>
          <w:tcPr>
            <w:tcW w:w="2175" w:type="dxa"/>
          </w:tcPr>
          <w:p w14:paraId="2E27D7B1" w14:textId="7B50CF1C" w:rsidR="00DA708F" w:rsidRPr="0033617F" w:rsidRDefault="00DA708F" w:rsidP="001B2A96">
            <w:r w:rsidRPr="0033617F">
              <w:t>6.1. detalizēts ieņēmumu aprēķins</w:t>
            </w:r>
          </w:p>
        </w:tc>
        <w:tc>
          <w:tcPr>
            <w:tcW w:w="8168"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EE6938">
        <w:trPr>
          <w:jc w:val="center"/>
        </w:trPr>
        <w:tc>
          <w:tcPr>
            <w:tcW w:w="2175" w:type="dxa"/>
          </w:tcPr>
          <w:p w14:paraId="52D9743E" w14:textId="77777777" w:rsidR="00DA708F" w:rsidRPr="0033617F" w:rsidRDefault="00DA708F" w:rsidP="001B2A96">
            <w:r w:rsidRPr="0033617F">
              <w:t>6.2. detalizēts izdevumu aprēķins</w:t>
            </w:r>
          </w:p>
        </w:tc>
        <w:tc>
          <w:tcPr>
            <w:tcW w:w="8168"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EE6938">
        <w:trPr>
          <w:trHeight w:val="399"/>
          <w:jc w:val="center"/>
        </w:trPr>
        <w:tc>
          <w:tcPr>
            <w:tcW w:w="2175" w:type="dxa"/>
          </w:tcPr>
          <w:p w14:paraId="7FEEAE8C" w14:textId="77777777" w:rsidR="00DA708F" w:rsidRPr="0033617F" w:rsidRDefault="00DA708F" w:rsidP="001B2A96">
            <w:r>
              <w:t>7. Amata vietu skaita izmaiņas</w:t>
            </w:r>
          </w:p>
        </w:tc>
        <w:tc>
          <w:tcPr>
            <w:tcW w:w="8168" w:type="dxa"/>
            <w:gridSpan w:val="7"/>
            <w:shd w:val="clear" w:color="auto" w:fill="auto"/>
          </w:tcPr>
          <w:p w14:paraId="02AB3A95" w14:textId="7B9D1A59" w:rsidR="00DA708F" w:rsidRDefault="00E9305B" w:rsidP="00E9305B">
            <w:pPr>
              <w:ind w:right="34"/>
              <w:jc w:val="both"/>
            </w:pPr>
            <w:r>
              <w:t xml:space="preserve">Rīkojuma projektam </w:t>
            </w:r>
            <w:r w:rsidR="00DA708F">
              <w:t>nav ietekme uz amata vietu skaita izmaiņām.</w:t>
            </w:r>
          </w:p>
        </w:tc>
      </w:tr>
      <w:tr w:rsidR="00DA708F" w:rsidRPr="0033617F" w14:paraId="2CAD9D46" w14:textId="77777777" w:rsidTr="00EE6938">
        <w:trPr>
          <w:trHeight w:val="399"/>
          <w:jc w:val="center"/>
        </w:trPr>
        <w:tc>
          <w:tcPr>
            <w:tcW w:w="2175" w:type="dxa"/>
          </w:tcPr>
          <w:p w14:paraId="715B2A4B" w14:textId="77777777" w:rsidR="00DA708F" w:rsidRPr="0033617F" w:rsidRDefault="00DA708F" w:rsidP="001B2A96">
            <w:r>
              <w:t>8</w:t>
            </w:r>
            <w:r w:rsidRPr="0033617F">
              <w:t>. Cita informācija</w:t>
            </w:r>
          </w:p>
        </w:tc>
        <w:tc>
          <w:tcPr>
            <w:tcW w:w="8168" w:type="dxa"/>
            <w:gridSpan w:val="7"/>
            <w:shd w:val="clear" w:color="auto" w:fill="auto"/>
          </w:tcPr>
          <w:p w14:paraId="40339B67" w14:textId="31284B80" w:rsidR="00B1004D" w:rsidRDefault="00131E29" w:rsidP="00B1004D">
            <w:pPr>
              <w:ind w:right="34"/>
              <w:jc w:val="both"/>
            </w:pPr>
            <w:r>
              <w:tab/>
            </w:r>
            <w:r w:rsidR="00B1004D">
              <w:t>A</w:t>
            </w:r>
            <w:r w:rsidR="00B1004D" w:rsidRPr="00B11AF2">
              <w:t>r Rīkojuma</w:t>
            </w:r>
            <w:r w:rsidR="00B1004D">
              <w:t xml:space="preserve"> projektu </w:t>
            </w:r>
            <w:r w:rsidR="00B1004D" w:rsidRPr="00B11AF2">
              <w:t>vienotā dokumentu paketē tiek virzīts</w:t>
            </w:r>
            <w:r w:rsidR="00B1004D" w:rsidRPr="00486CE8">
              <w:t xml:space="preserve"> </w:t>
            </w:r>
            <w:r w:rsidR="00B1004D" w:rsidRPr="00F25259">
              <w:t>Ministru kabineta rīkojuma projekt</w:t>
            </w:r>
            <w:r w:rsidR="00B1004D">
              <w:t>s</w:t>
            </w:r>
            <w:r w:rsidR="00B1004D" w:rsidRPr="00F25259">
              <w:t xml:space="preserve"> „Par apropriācijas pārdali no Izglītības un zinātnes ministrijas budžeta uz valsts budžeta programmu 02.00.00 „Līdzekļi neparedzētiem gadījumiem””</w:t>
            </w:r>
            <w:r w:rsidR="00B1004D">
              <w:t xml:space="preserve">, </w:t>
            </w:r>
            <w:r w:rsidR="00B1004D" w:rsidRPr="00F25259">
              <w:t>Ministru kabineta rīkojuma projekt</w:t>
            </w:r>
            <w:r w:rsidR="00B1004D">
              <w:t>u</w:t>
            </w:r>
            <w:r w:rsidR="00B1004D" w:rsidRPr="00F25259">
              <w:t xml:space="preserve"> „Par finanšu līdzekļu piešķiršanu no valsts budžeta programmas „Līdzekļi neparedzētiem g</w:t>
            </w:r>
            <w:r w:rsidR="00B1004D">
              <w:t>adījumiem”” un attiecīgs Ministru kabineta sēdes protokollēmuma projekts.</w:t>
            </w:r>
          </w:p>
          <w:p w14:paraId="51726586" w14:textId="79BA25F6" w:rsidR="00B1004D" w:rsidRDefault="00131E29" w:rsidP="00B1004D">
            <w:pPr>
              <w:ind w:right="34"/>
              <w:jc w:val="both"/>
            </w:pPr>
            <w:r>
              <w:tab/>
            </w:r>
            <w:r w:rsidR="00B1004D" w:rsidRPr="00B1004D">
              <w:t>Pēc Rīkojuma projekta pieņemšanas IZM normatīvajos aktos noteiktā kārtībā sagatavos un iesniegs Finanšu ministrijā pieprasījumu valsts pamatbudžeta ilgtermiņa saistību izmaiņām.</w:t>
            </w:r>
            <w:r w:rsidR="00B1004D">
              <w:t xml:space="preserve"> </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CDFFBD6" w:rsidR="00C3572A" w:rsidRPr="00B24229" w:rsidRDefault="00C3572A" w:rsidP="00654BB6">
            <w:pPr>
              <w:ind w:right="127"/>
              <w:jc w:val="center"/>
            </w:pPr>
            <w:r w:rsidRPr="00C3572A">
              <w:t>Projekt</w:t>
            </w:r>
            <w:r w:rsidR="00654BB6">
              <w:t>i</w:t>
            </w:r>
            <w:r w:rsidRPr="00C3572A">
              <w:t xml:space="preserve">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00A74D25" w:rsidR="00C3572A" w:rsidRPr="00B24229" w:rsidRDefault="00C3572A" w:rsidP="00654BB6">
            <w:pPr>
              <w:ind w:right="127"/>
              <w:jc w:val="center"/>
            </w:pPr>
            <w:r w:rsidRPr="00C3572A">
              <w:t>Projekt</w:t>
            </w:r>
            <w:r w:rsidR="00654BB6">
              <w:t>i</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1E92770F" w:rsidR="004149A5" w:rsidRPr="004149A5" w:rsidRDefault="004149A5" w:rsidP="00654BB6">
            <w:pPr>
              <w:pStyle w:val="naisnod"/>
              <w:spacing w:before="0" w:after="0"/>
              <w:rPr>
                <w:b w:val="0"/>
              </w:rPr>
            </w:pPr>
            <w:r w:rsidRPr="004149A5">
              <w:rPr>
                <w:b w:val="0"/>
              </w:rPr>
              <w:t>Projekt</w:t>
            </w:r>
            <w:r w:rsidR="00654BB6">
              <w:rPr>
                <w:b w:val="0"/>
              </w:rPr>
              <w:t>i</w:t>
            </w:r>
            <w:r w:rsidRPr="004149A5">
              <w:rPr>
                <w:b w:val="0"/>
              </w:rPr>
              <w:t xml:space="preserve"> šo jomu neskar</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475557F1" w:rsidR="00C22F23" w:rsidRPr="00B24229" w:rsidRDefault="00B1004D" w:rsidP="00B1004D">
            <w:pPr>
              <w:ind w:left="128" w:right="142"/>
              <w:jc w:val="both"/>
            </w:pPr>
            <w:r>
              <w:t>Rīkojuma projekta</w:t>
            </w:r>
            <w:r w:rsidR="00DD6F2C">
              <w:t xml:space="preserve"> </w:t>
            </w:r>
            <w:r w:rsidR="00E82C1D" w:rsidRPr="00776AC7">
              <w:t xml:space="preserve">izpildi nodrošinās </w:t>
            </w:r>
            <w:r w:rsidR="0013778A">
              <w:t>IZM</w:t>
            </w:r>
            <w:r w:rsidR="00654BB6">
              <w:t xml:space="preserve"> sadarbībā</w:t>
            </w:r>
            <w:r w:rsidR="00B55E3C">
              <w:t xml:space="preserve"> ar LOK</w:t>
            </w:r>
            <w:r>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 xml:space="preserve">Jaunu institūciju izveide, </w:t>
            </w:r>
            <w:r w:rsidRPr="00C22F23">
              <w:lastRenderedPageBreak/>
              <w:t>esošu institūciju likvidācija vai reorganizācija, to ietekme uz institūcijas cilvēkresursiem</w:t>
            </w:r>
          </w:p>
        </w:tc>
        <w:tc>
          <w:tcPr>
            <w:tcW w:w="6861" w:type="dxa"/>
          </w:tcPr>
          <w:p w14:paraId="3A593C1D" w14:textId="3E6E62B3" w:rsidR="00C22F23" w:rsidRDefault="00D47F6F" w:rsidP="00B1004D">
            <w:pPr>
              <w:ind w:left="128" w:right="142"/>
              <w:jc w:val="both"/>
            </w:pPr>
            <w:r>
              <w:lastRenderedPageBreak/>
              <w:t>Rīkojuma projekt</w:t>
            </w:r>
            <w:r w:rsidR="00B1004D">
              <w:t>s</w:t>
            </w:r>
            <w:r w:rsidR="00DD6F2C">
              <w:t xml:space="preserve">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lastRenderedPageBreak/>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32AB0E84" w14:textId="77777777" w:rsidR="00776AC7" w:rsidRDefault="00776AC7"/>
    <w:p w14:paraId="14420283" w14:textId="77777777" w:rsidR="00DD6F2C" w:rsidRPr="005705F9" w:rsidRDefault="00DD6F2C"/>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13FAABDC" w14:textId="77777777" w:rsidR="009F6713" w:rsidRDefault="009F6713"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4D45FD9E" w14:textId="77777777" w:rsidR="008466AD" w:rsidRDefault="008466AD"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2E92" w14:textId="77777777" w:rsidR="00E74FE1" w:rsidRDefault="00E74FE1" w:rsidP="00123E9B">
      <w:r>
        <w:separator/>
      </w:r>
    </w:p>
  </w:endnote>
  <w:endnote w:type="continuationSeparator" w:id="0">
    <w:p w14:paraId="695328CC" w14:textId="77777777" w:rsidR="00E74FE1" w:rsidRDefault="00E74FE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5E1B27D1" w:rsidR="00537DF6" w:rsidRPr="00220D2D" w:rsidRDefault="00220D2D" w:rsidP="00220D2D">
    <w:pPr>
      <w:ind w:left="-567" w:right="-568"/>
      <w:jc w:val="both"/>
      <w:rPr>
        <w:sz w:val="22"/>
        <w:szCs w:val="22"/>
      </w:rPr>
    </w:pPr>
    <w:r>
      <w:rPr>
        <w:sz w:val="22"/>
        <w:szCs w:val="22"/>
      </w:rPr>
      <w:t>IZMAnot_231020_sports_saistibas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4D0631EE" w:rsidR="00537DF6" w:rsidRPr="00692F8F" w:rsidRDefault="00537DF6" w:rsidP="00692F8F">
    <w:pPr>
      <w:ind w:left="-567" w:right="-568"/>
      <w:jc w:val="both"/>
      <w:rPr>
        <w:sz w:val="22"/>
        <w:szCs w:val="22"/>
      </w:rPr>
    </w:pPr>
    <w:r>
      <w:rPr>
        <w:sz w:val="22"/>
        <w:szCs w:val="22"/>
      </w:rPr>
      <w:t>IZMAnot_231020_sports</w:t>
    </w:r>
    <w:r w:rsidR="00220D2D">
      <w:rPr>
        <w:sz w:val="22"/>
        <w:szCs w:val="22"/>
      </w:rPr>
      <w:t>_saistibas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B544" w14:textId="77777777" w:rsidR="00E74FE1" w:rsidRDefault="00E74FE1" w:rsidP="00123E9B">
      <w:r>
        <w:separator/>
      </w:r>
    </w:p>
  </w:footnote>
  <w:footnote w:type="continuationSeparator" w:id="0">
    <w:p w14:paraId="731078D3" w14:textId="77777777" w:rsidR="00E74FE1" w:rsidRDefault="00E74FE1"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537DF6" w:rsidRDefault="00537DF6">
    <w:pPr>
      <w:pStyle w:val="Header"/>
      <w:jc w:val="center"/>
    </w:pPr>
    <w:r>
      <w:fldChar w:fldCharType="begin"/>
    </w:r>
    <w:r>
      <w:instrText xml:space="preserve"> PAGE   \* MERGEFORMAT </w:instrText>
    </w:r>
    <w:r>
      <w:fldChar w:fldCharType="separate"/>
    </w:r>
    <w:r w:rsidR="001C5657">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20664"/>
    <w:rsid w:val="000206DA"/>
    <w:rsid w:val="00020785"/>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E"/>
    <w:rsid w:val="0004742F"/>
    <w:rsid w:val="00047FE8"/>
    <w:rsid w:val="000505C1"/>
    <w:rsid w:val="00050785"/>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516"/>
    <w:rsid w:val="000777A0"/>
    <w:rsid w:val="000777F6"/>
    <w:rsid w:val="00077E21"/>
    <w:rsid w:val="00080116"/>
    <w:rsid w:val="00080CC1"/>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73E"/>
    <w:rsid w:val="000B3B3C"/>
    <w:rsid w:val="000B3EC8"/>
    <w:rsid w:val="000B3FF6"/>
    <w:rsid w:val="000B51C9"/>
    <w:rsid w:val="000B62CA"/>
    <w:rsid w:val="000B6E33"/>
    <w:rsid w:val="000B755F"/>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0EED"/>
    <w:rsid w:val="000D1A0B"/>
    <w:rsid w:val="000D361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06D"/>
    <w:rsid w:val="0012448A"/>
    <w:rsid w:val="0012704D"/>
    <w:rsid w:val="0012791B"/>
    <w:rsid w:val="00131850"/>
    <w:rsid w:val="00131A15"/>
    <w:rsid w:val="00131E29"/>
    <w:rsid w:val="00132473"/>
    <w:rsid w:val="001326B5"/>
    <w:rsid w:val="00132C2C"/>
    <w:rsid w:val="00132D10"/>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236"/>
    <w:rsid w:val="00157E69"/>
    <w:rsid w:val="00157F12"/>
    <w:rsid w:val="0016104B"/>
    <w:rsid w:val="00161261"/>
    <w:rsid w:val="0016142A"/>
    <w:rsid w:val="00162670"/>
    <w:rsid w:val="00162EB5"/>
    <w:rsid w:val="00163AAA"/>
    <w:rsid w:val="0016692F"/>
    <w:rsid w:val="00166975"/>
    <w:rsid w:val="00166CBA"/>
    <w:rsid w:val="001673FC"/>
    <w:rsid w:val="0017086F"/>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0AB"/>
    <w:rsid w:val="0018329D"/>
    <w:rsid w:val="001838EC"/>
    <w:rsid w:val="00183B44"/>
    <w:rsid w:val="00184814"/>
    <w:rsid w:val="0018543F"/>
    <w:rsid w:val="00185946"/>
    <w:rsid w:val="00185DB8"/>
    <w:rsid w:val="00186DF5"/>
    <w:rsid w:val="0018701C"/>
    <w:rsid w:val="0018757E"/>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657"/>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466"/>
    <w:rsid w:val="001D2E9F"/>
    <w:rsid w:val="001D3147"/>
    <w:rsid w:val="001D4A15"/>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18F8"/>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69CB"/>
    <w:rsid w:val="00217F61"/>
    <w:rsid w:val="00220D2D"/>
    <w:rsid w:val="002223B6"/>
    <w:rsid w:val="00222917"/>
    <w:rsid w:val="002239AB"/>
    <w:rsid w:val="00224E27"/>
    <w:rsid w:val="00224F0F"/>
    <w:rsid w:val="0022519E"/>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4807"/>
    <w:rsid w:val="00245D2D"/>
    <w:rsid w:val="00246B67"/>
    <w:rsid w:val="00246FEA"/>
    <w:rsid w:val="0024757F"/>
    <w:rsid w:val="0025085A"/>
    <w:rsid w:val="00250A27"/>
    <w:rsid w:val="00250F03"/>
    <w:rsid w:val="002512F8"/>
    <w:rsid w:val="00254447"/>
    <w:rsid w:val="0025457B"/>
    <w:rsid w:val="0025458A"/>
    <w:rsid w:val="0025483E"/>
    <w:rsid w:val="0025500E"/>
    <w:rsid w:val="002553DA"/>
    <w:rsid w:val="00255BAD"/>
    <w:rsid w:val="00256019"/>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6F37"/>
    <w:rsid w:val="002B03B2"/>
    <w:rsid w:val="002B18D5"/>
    <w:rsid w:val="002B2EB9"/>
    <w:rsid w:val="002B3051"/>
    <w:rsid w:val="002B4AB5"/>
    <w:rsid w:val="002B4D56"/>
    <w:rsid w:val="002B531E"/>
    <w:rsid w:val="002B5787"/>
    <w:rsid w:val="002B5C0B"/>
    <w:rsid w:val="002B6351"/>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CBC"/>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0F82"/>
    <w:rsid w:val="00351AA0"/>
    <w:rsid w:val="00352288"/>
    <w:rsid w:val="00352F47"/>
    <w:rsid w:val="00353516"/>
    <w:rsid w:val="00353B89"/>
    <w:rsid w:val="0035445A"/>
    <w:rsid w:val="0035463A"/>
    <w:rsid w:val="00356383"/>
    <w:rsid w:val="00356BEC"/>
    <w:rsid w:val="00357A2C"/>
    <w:rsid w:val="003608F0"/>
    <w:rsid w:val="00360B68"/>
    <w:rsid w:val="003617CA"/>
    <w:rsid w:val="003620CD"/>
    <w:rsid w:val="00363F09"/>
    <w:rsid w:val="00364714"/>
    <w:rsid w:val="00364A83"/>
    <w:rsid w:val="00367957"/>
    <w:rsid w:val="00367D44"/>
    <w:rsid w:val="003705EF"/>
    <w:rsid w:val="003710C1"/>
    <w:rsid w:val="003719EC"/>
    <w:rsid w:val="0037399A"/>
    <w:rsid w:val="00373F4F"/>
    <w:rsid w:val="00374636"/>
    <w:rsid w:val="00374775"/>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DA9"/>
    <w:rsid w:val="003D5EAB"/>
    <w:rsid w:val="003D7335"/>
    <w:rsid w:val="003E012F"/>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695"/>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CE8"/>
    <w:rsid w:val="00486D29"/>
    <w:rsid w:val="0049070E"/>
    <w:rsid w:val="004925F7"/>
    <w:rsid w:val="004940B7"/>
    <w:rsid w:val="0049673D"/>
    <w:rsid w:val="00496E04"/>
    <w:rsid w:val="004A0D2E"/>
    <w:rsid w:val="004A1976"/>
    <w:rsid w:val="004A1DA4"/>
    <w:rsid w:val="004A1F56"/>
    <w:rsid w:val="004A2074"/>
    <w:rsid w:val="004A2665"/>
    <w:rsid w:val="004A544E"/>
    <w:rsid w:val="004A56AF"/>
    <w:rsid w:val="004A5933"/>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E7E30"/>
    <w:rsid w:val="004F04A1"/>
    <w:rsid w:val="004F1194"/>
    <w:rsid w:val="004F14C5"/>
    <w:rsid w:val="004F1F61"/>
    <w:rsid w:val="004F2099"/>
    <w:rsid w:val="004F21AE"/>
    <w:rsid w:val="004F2C8A"/>
    <w:rsid w:val="004F3806"/>
    <w:rsid w:val="004F380A"/>
    <w:rsid w:val="004F3D0D"/>
    <w:rsid w:val="004F5EB9"/>
    <w:rsid w:val="004F788C"/>
    <w:rsid w:val="00500FE2"/>
    <w:rsid w:val="005018A2"/>
    <w:rsid w:val="00502D8A"/>
    <w:rsid w:val="00503618"/>
    <w:rsid w:val="00503DC4"/>
    <w:rsid w:val="0050407E"/>
    <w:rsid w:val="00504531"/>
    <w:rsid w:val="00504DBC"/>
    <w:rsid w:val="00504DBF"/>
    <w:rsid w:val="005057B7"/>
    <w:rsid w:val="00505965"/>
    <w:rsid w:val="00506A1E"/>
    <w:rsid w:val="00506F79"/>
    <w:rsid w:val="00507383"/>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721C"/>
    <w:rsid w:val="0053795C"/>
    <w:rsid w:val="00537DF6"/>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6D6"/>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0BC6"/>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E7B85"/>
    <w:rsid w:val="005F22A7"/>
    <w:rsid w:val="005F24D7"/>
    <w:rsid w:val="005F2BCF"/>
    <w:rsid w:val="005F2C6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BB6"/>
    <w:rsid w:val="006555D2"/>
    <w:rsid w:val="00655D23"/>
    <w:rsid w:val="0065692E"/>
    <w:rsid w:val="006606C8"/>
    <w:rsid w:val="006617A4"/>
    <w:rsid w:val="00662C4D"/>
    <w:rsid w:val="00662F76"/>
    <w:rsid w:val="00663BC9"/>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3F80"/>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390"/>
    <w:rsid w:val="006F5778"/>
    <w:rsid w:val="006F755B"/>
    <w:rsid w:val="00700411"/>
    <w:rsid w:val="007045EF"/>
    <w:rsid w:val="007052C3"/>
    <w:rsid w:val="00705BB4"/>
    <w:rsid w:val="00705BC7"/>
    <w:rsid w:val="00706CAC"/>
    <w:rsid w:val="00707D91"/>
    <w:rsid w:val="00710206"/>
    <w:rsid w:val="007103A6"/>
    <w:rsid w:val="00710893"/>
    <w:rsid w:val="00712406"/>
    <w:rsid w:val="00712C28"/>
    <w:rsid w:val="007135E7"/>
    <w:rsid w:val="00713888"/>
    <w:rsid w:val="00713EF1"/>
    <w:rsid w:val="00714715"/>
    <w:rsid w:val="00715ACD"/>
    <w:rsid w:val="007175EB"/>
    <w:rsid w:val="00717621"/>
    <w:rsid w:val="00717D4B"/>
    <w:rsid w:val="007207FC"/>
    <w:rsid w:val="007213F1"/>
    <w:rsid w:val="00721827"/>
    <w:rsid w:val="00722668"/>
    <w:rsid w:val="00723E8D"/>
    <w:rsid w:val="00724298"/>
    <w:rsid w:val="007247C1"/>
    <w:rsid w:val="00724AF2"/>
    <w:rsid w:val="00724F55"/>
    <w:rsid w:val="007263F1"/>
    <w:rsid w:val="00726C59"/>
    <w:rsid w:val="007275E1"/>
    <w:rsid w:val="00727B7C"/>
    <w:rsid w:val="0073052C"/>
    <w:rsid w:val="0073235F"/>
    <w:rsid w:val="00732686"/>
    <w:rsid w:val="007327D1"/>
    <w:rsid w:val="00732A32"/>
    <w:rsid w:val="00732ADE"/>
    <w:rsid w:val="00732EF0"/>
    <w:rsid w:val="00733436"/>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5000"/>
    <w:rsid w:val="007951D8"/>
    <w:rsid w:val="00795A9E"/>
    <w:rsid w:val="0079616C"/>
    <w:rsid w:val="00796526"/>
    <w:rsid w:val="00797264"/>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63F3"/>
    <w:rsid w:val="007E0148"/>
    <w:rsid w:val="007E0D5F"/>
    <w:rsid w:val="007E1E49"/>
    <w:rsid w:val="007E2464"/>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466AD"/>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1146"/>
    <w:rsid w:val="0089266F"/>
    <w:rsid w:val="008928E8"/>
    <w:rsid w:val="00892CEB"/>
    <w:rsid w:val="00892DC2"/>
    <w:rsid w:val="0089323C"/>
    <w:rsid w:val="00893CD2"/>
    <w:rsid w:val="00897A25"/>
    <w:rsid w:val="008A0C82"/>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0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1790"/>
    <w:rsid w:val="00991845"/>
    <w:rsid w:val="00992558"/>
    <w:rsid w:val="0099370A"/>
    <w:rsid w:val="009950B3"/>
    <w:rsid w:val="00995D97"/>
    <w:rsid w:val="009966C4"/>
    <w:rsid w:val="00996AEB"/>
    <w:rsid w:val="009A41A2"/>
    <w:rsid w:val="009A5550"/>
    <w:rsid w:val="009A6BFC"/>
    <w:rsid w:val="009A7960"/>
    <w:rsid w:val="009B09FE"/>
    <w:rsid w:val="009B1E13"/>
    <w:rsid w:val="009B2854"/>
    <w:rsid w:val="009B2F21"/>
    <w:rsid w:val="009B49A0"/>
    <w:rsid w:val="009B701E"/>
    <w:rsid w:val="009B774A"/>
    <w:rsid w:val="009C0BE4"/>
    <w:rsid w:val="009C17F0"/>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622E"/>
    <w:rsid w:val="00A37386"/>
    <w:rsid w:val="00A373E1"/>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CB7"/>
    <w:rsid w:val="00A75FB6"/>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D7D17"/>
    <w:rsid w:val="00AE20AD"/>
    <w:rsid w:val="00AE3049"/>
    <w:rsid w:val="00AE38F5"/>
    <w:rsid w:val="00AE4B54"/>
    <w:rsid w:val="00AE4D61"/>
    <w:rsid w:val="00AE5461"/>
    <w:rsid w:val="00AE58E4"/>
    <w:rsid w:val="00AE69B5"/>
    <w:rsid w:val="00AF0996"/>
    <w:rsid w:val="00AF1362"/>
    <w:rsid w:val="00AF31BD"/>
    <w:rsid w:val="00AF3580"/>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72F4"/>
    <w:rsid w:val="00B1004D"/>
    <w:rsid w:val="00B106F1"/>
    <w:rsid w:val="00B109B1"/>
    <w:rsid w:val="00B10B0B"/>
    <w:rsid w:val="00B1173B"/>
    <w:rsid w:val="00B11AF2"/>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5E3C"/>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879B5"/>
    <w:rsid w:val="00B911D8"/>
    <w:rsid w:val="00B91715"/>
    <w:rsid w:val="00B92C2B"/>
    <w:rsid w:val="00B92E1A"/>
    <w:rsid w:val="00B93328"/>
    <w:rsid w:val="00B93654"/>
    <w:rsid w:val="00B93D23"/>
    <w:rsid w:val="00B948E8"/>
    <w:rsid w:val="00B94951"/>
    <w:rsid w:val="00B95D33"/>
    <w:rsid w:val="00B96B6E"/>
    <w:rsid w:val="00B96CA3"/>
    <w:rsid w:val="00B97591"/>
    <w:rsid w:val="00B97B6E"/>
    <w:rsid w:val="00BA006C"/>
    <w:rsid w:val="00BA030C"/>
    <w:rsid w:val="00BA20B0"/>
    <w:rsid w:val="00BA3159"/>
    <w:rsid w:val="00BA372F"/>
    <w:rsid w:val="00BA4E67"/>
    <w:rsid w:val="00BA5CA2"/>
    <w:rsid w:val="00BA6156"/>
    <w:rsid w:val="00BA6305"/>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264C"/>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0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1A8F"/>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161D0"/>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36E1E"/>
    <w:rsid w:val="00D40423"/>
    <w:rsid w:val="00D4125D"/>
    <w:rsid w:val="00D423AF"/>
    <w:rsid w:val="00D43C39"/>
    <w:rsid w:val="00D442BA"/>
    <w:rsid w:val="00D45ADA"/>
    <w:rsid w:val="00D47F6F"/>
    <w:rsid w:val="00D506B1"/>
    <w:rsid w:val="00D50C0B"/>
    <w:rsid w:val="00D51380"/>
    <w:rsid w:val="00D5193A"/>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3916"/>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5912"/>
    <w:rsid w:val="00DA68E7"/>
    <w:rsid w:val="00DA708F"/>
    <w:rsid w:val="00DA77B4"/>
    <w:rsid w:val="00DA7BE4"/>
    <w:rsid w:val="00DA7C20"/>
    <w:rsid w:val="00DB003F"/>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5C0"/>
    <w:rsid w:val="00DD4D1D"/>
    <w:rsid w:val="00DD54C6"/>
    <w:rsid w:val="00DD5A49"/>
    <w:rsid w:val="00DD6F2C"/>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376D"/>
    <w:rsid w:val="00E244D0"/>
    <w:rsid w:val="00E251D1"/>
    <w:rsid w:val="00E25793"/>
    <w:rsid w:val="00E26BAB"/>
    <w:rsid w:val="00E27C4D"/>
    <w:rsid w:val="00E27F1F"/>
    <w:rsid w:val="00E27F93"/>
    <w:rsid w:val="00E30761"/>
    <w:rsid w:val="00E316B0"/>
    <w:rsid w:val="00E31785"/>
    <w:rsid w:val="00E33A6E"/>
    <w:rsid w:val="00E33CDF"/>
    <w:rsid w:val="00E33F44"/>
    <w:rsid w:val="00E344AF"/>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AE3"/>
    <w:rsid w:val="00E74FE1"/>
    <w:rsid w:val="00E754E7"/>
    <w:rsid w:val="00E75C2F"/>
    <w:rsid w:val="00E80F7A"/>
    <w:rsid w:val="00E81CA7"/>
    <w:rsid w:val="00E82C1D"/>
    <w:rsid w:val="00E82EFE"/>
    <w:rsid w:val="00E83297"/>
    <w:rsid w:val="00E83DCC"/>
    <w:rsid w:val="00E8432F"/>
    <w:rsid w:val="00E86232"/>
    <w:rsid w:val="00E86C41"/>
    <w:rsid w:val="00E87358"/>
    <w:rsid w:val="00E87BDA"/>
    <w:rsid w:val="00E87F2C"/>
    <w:rsid w:val="00E904B9"/>
    <w:rsid w:val="00E91393"/>
    <w:rsid w:val="00E91DF4"/>
    <w:rsid w:val="00E9305B"/>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5381"/>
    <w:rsid w:val="00EF58DD"/>
    <w:rsid w:val="00F00F9F"/>
    <w:rsid w:val="00F01660"/>
    <w:rsid w:val="00F01D76"/>
    <w:rsid w:val="00F03A50"/>
    <w:rsid w:val="00F04465"/>
    <w:rsid w:val="00F046D2"/>
    <w:rsid w:val="00F05C65"/>
    <w:rsid w:val="00F06077"/>
    <w:rsid w:val="00F06483"/>
    <w:rsid w:val="00F06528"/>
    <w:rsid w:val="00F0730F"/>
    <w:rsid w:val="00F0738E"/>
    <w:rsid w:val="00F079EA"/>
    <w:rsid w:val="00F07AC1"/>
    <w:rsid w:val="00F106E0"/>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484"/>
    <w:rsid w:val="00F2355B"/>
    <w:rsid w:val="00F24AFB"/>
    <w:rsid w:val="00F25259"/>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C0AAD"/>
    <w:rsid w:val="00FC1724"/>
    <w:rsid w:val="00FC27DB"/>
    <w:rsid w:val="00FC380B"/>
    <w:rsid w:val="00FC6855"/>
    <w:rsid w:val="00FC6911"/>
    <w:rsid w:val="00FC6950"/>
    <w:rsid w:val="00FC6E40"/>
    <w:rsid w:val="00FC73D9"/>
    <w:rsid w:val="00FC7A5E"/>
    <w:rsid w:val="00FD1C56"/>
    <w:rsid w:val="00FD1F87"/>
    <w:rsid w:val="00FD35D0"/>
    <w:rsid w:val="00FD681B"/>
    <w:rsid w:val="00FD7331"/>
    <w:rsid w:val="00FD7FF0"/>
    <w:rsid w:val="00FE0E0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DF7B-45AD-4C70-825C-4724A0CA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7205</Words>
  <Characters>4108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Izglītības un zinātnes ministrijas budžeta uz valsts budžeta programmu 02.00.00 "Līdzekļi neparedzētiem gadījumiem”"; Ministru kabineta rīkojuma projekts "Par finanšu līdzekļu piešķiršanu n</vt:lpstr>
    </vt:vector>
  </TitlesOfParts>
  <Company>Izglītības un zinātnes ministrija, Sporta departaments</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Izglītības un zinātnes ministrijas budžeta uz valsts budžeta programmu 02.00.00 "Līdzekļi neparedzētiem gadījumiem”"; 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29</cp:revision>
  <cp:lastPrinted>2018-03-22T14:28:00Z</cp:lastPrinted>
  <dcterms:created xsi:type="dcterms:W3CDTF">2020-10-22T23:50:00Z</dcterms:created>
  <dcterms:modified xsi:type="dcterms:W3CDTF">2020-10-26T20:39:00Z</dcterms:modified>
</cp:coreProperties>
</file>