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3D8C" w14:textId="2C153541" w:rsidR="00A74AF0" w:rsidRPr="00555A3E" w:rsidRDefault="00A74AF0" w:rsidP="001E5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4A8CBDD" w14:textId="2F7A014A" w:rsidR="002B1F6B" w:rsidRPr="00555A3E" w:rsidRDefault="002B1F6B" w:rsidP="001E5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903B23" w14:textId="77777777" w:rsidR="00555A3E" w:rsidRPr="00555A3E" w:rsidRDefault="00555A3E" w:rsidP="001E5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394D2D8" w14:textId="1DDA5AC9" w:rsidR="002B1F6B" w:rsidRPr="00555A3E" w:rsidRDefault="002B1F6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55A3E">
        <w:rPr>
          <w:rFonts w:ascii="Times New Roman" w:eastAsia="Times New Roman" w:hAnsi="Times New Roman"/>
          <w:sz w:val="28"/>
          <w:szCs w:val="28"/>
        </w:rPr>
        <w:t>2020</w:t>
      </w:r>
      <w:r w:rsidR="00EE7C60" w:rsidRPr="00555A3E">
        <w:rPr>
          <w:rFonts w:ascii="Times New Roman" w:eastAsia="Times New Roman" w:hAnsi="Times New Roman"/>
          <w:sz w:val="28"/>
          <w:szCs w:val="28"/>
        </w:rPr>
        <w:t>. </w:t>
      </w:r>
      <w:r w:rsidRPr="00555A3E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2542F8" w:rsidRPr="002542F8">
        <w:rPr>
          <w:rFonts w:ascii="Times New Roman" w:hAnsi="Times New Roman" w:cs="Times New Roman"/>
          <w:sz w:val="28"/>
          <w:szCs w:val="28"/>
        </w:rPr>
        <w:t>27. oktobrī</w:t>
      </w:r>
      <w:r w:rsidRPr="00555A3E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542F8">
        <w:rPr>
          <w:rFonts w:ascii="Times New Roman" w:eastAsia="Times New Roman" w:hAnsi="Times New Roman"/>
          <w:sz w:val="28"/>
          <w:szCs w:val="28"/>
        </w:rPr>
        <w:t> 656</w:t>
      </w:r>
    </w:p>
    <w:p w14:paraId="1F69775F" w14:textId="5A1D324B" w:rsidR="002B1F6B" w:rsidRPr="00555A3E" w:rsidRDefault="002B1F6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55A3E">
        <w:rPr>
          <w:rFonts w:ascii="Times New Roman" w:eastAsia="Times New Roman" w:hAnsi="Times New Roman"/>
          <w:sz w:val="28"/>
          <w:szCs w:val="28"/>
        </w:rPr>
        <w:t>Rīgā</w:t>
      </w:r>
      <w:r w:rsidRPr="00555A3E">
        <w:rPr>
          <w:rFonts w:ascii="Times New Roman" w:eastAsia="Times New Roman" w:hAnsi="Times New Roman"/>
          <w:sz w:val="28"/>
          <w:szCs w:val="28"/>
        </w:rPr>
        <w:tab/>
        <w:t>(prot</w:t>
      </w:r>
      <w:r w:rsidR="00EE7C60" w:rsidRPr="00555A3E">
        <w:rPr>
          <w:rFonts w:ascii="Times New Roman" w:eastAsia="Times New Roman" w:hAnsi="Times New Roman"/>
          <w:sz w:val="28"/>
          <w:szCs w:val="28"/>
        </w:rPr>
        <w:t>. </w:t>
      </w:r>
      <w:r w:rsidRPr="00555A3E">
        <w:rPr>
          <w:rFonts w:ascii="Times New Roman" w:eastAsia="Times New Roman" w:hAnsi="Times New Roman"/>
          <w:sz w:val="28"/>
          <w:szCs w:val="28"/>
        </w:rPr>
        <w:t>Nr</w:t>
      </w:r>
      <w:r w:rsidR="00EE7C60" w:rsidRPr="00555A3E">
        <w:rPr>
          <w:rFonts w:ascii="Times New Roman" w:eastAsia="Times New Roman" w:hAnsi="Times New Roman"/>
          <w:sz w:val="28"/>
          <w:szCs w:val="28"/>
        </w:rPr>
        <w:t>. </w:t>
      </w:r>
      <w:r w:rsidR="002542F8">
        <w:rPr>
          <w:rFonts w:ascii="Times New Roman" w:eastAsia="Times New Roman" w:hAnsi="Times New Roman"/>
          <w:sz w:val="28"/>
          <w:szCs w:val="28"/>
        </w:rPr>
        <w:t>65 25</w:t>
      </w:r>
      <w:r w:rsidR="00EE7C60" w:rsidRPr="00555A3E">
        <w:rPr>
          <w:rFonts w:ascii="Times New Roman" w:eastAsia="Times New Roman" w:hAnsi="Times New Roman"/>
          <w:sz w:val="28"/>
          <w:szCs w:val="28"/>
        </w:rPr>
        <w:t>. </w:t>
      </w:r>
      <w:r w:rsidRPr="00555A3E">
        <w:rPr>
          <w:rFonts w:ascii="Times New Roman" w:eastAsia="Times New Roman" w:hAnsi="Times New Roman"/>
          <w:sz w:val="28"/>
          <w:szCs w:val="28"/>
        </w:rPr>
        <w:t>§)</w:t>
      </w:r>
    </w:p>
    <w:p w14:paraId="356E004F" w14:textId="77777777" w:rsidR="005074B9" w:rsidRPr="00555A3E" w:rsidRDefault="005074B9" w:rsidP="001E5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6B70E62" w14:textId="2A25229B" w:rsidR="005074B9" w:rsidRPr="00555A3E" w:rsidRDefault="00123C8E" w:rsidP="002B1F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Grozījumi Ministru kabineta 200</w:t>
      </w:r>
      <w:r w:rsidR="00A30D4F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6</w:t>
      </w:r>
      <w:r w:rsidR="00EE7C60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gada </w:t>
      </w:r>
      <w:r w:rsidR="00A30D4F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1</w:t>
      </w: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2</w:t>
      </w:r>
      <w:r w:rsidR="00EE7C60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A30D4F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decembra</w:t>
      </w: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noteikumos</w:t>
      </w:r>
      <w:r w:rsidR="004163F5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</w:t>
      </w: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</w:t>
      </w:r>
      <w:r w:rsidR="00EE7C60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A30D4F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994</w:t>
      </w:r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"</w:t>
      </w:r>
      <w:bookmarkStart w:id="0" w:name="_Hlk40885542"/>
      <w:r w:rsidR="00A30D4F"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Kārtība, kādā augstskolas un koledžas tiek finansētas no valsts budžeta līdzekļiem</w:t>
      </w:r>
      <w:bookmarkEnd w:id="0"/>
      <w:r w:rsidRPr="00555A3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</w:p>
    <w:p w14:paraId="63B1D454" w14:textId="77777777" w:rsidR="00EE7C60" w:rsidRPr="00555A3E" w:rsidRDefault="00EE7C60" w:rsidP="00EE7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D500A4F" w14:textId="77777777" w:rsidR="004F6BF4" w:rsidRPr="00555A3E" w:rsidRDefault="005074B9" w:rsidP="002B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6075D2A7" w14:textId="77777777" w:rsidR="004F6BF4" w:rsidRPr="00555A3E" w:rsidRDefault="00123C8E" w:rsidP="002B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14:paraId="2667F087" w14:textId="319B3726" w:rsidR="00A30D4F" w:rsidRPr="00555A3E" w:rsidRDefault="00123C8E" w:rsidP="002B1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EE7C60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A30D4F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pirmo</w:t>
      </w: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</w:t>
      </w:r>
    </w:p>
    <w:p w14:paraId="382B91E1" w14:textId="77777777" w:rsidR="00EE7C60" w:rsidRPr="00555A3E" w:rsidRDefault="00EE7C60" w:rsidP="00EE7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C8F1177" w14:textId="479554A8" w:rsidR="00123C8E" w:rsidRPr="00555A3E" w:rsidRDefault="00BB57ED" w:rsidP="00EE7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200</w:t>
      </w:r>
      <w:r w:rsidR="00DA2E72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DA2E72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12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A2E72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decembra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noteikumos Nr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A2E72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994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"</w:t>
      </w:r>
      <w:r w:rsidR="00DA2E72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Kārtība, kādā augstskolas un koledžas tiek finansētas no valsts budžeta līdzekļiem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" (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Latvijas Vēstnesis, 2006, 200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2008, 18., 36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2009, 88., 200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2011, 78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2013, 218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2015, 150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2017, 178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2018, 43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2020, 6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E11C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nr.)</w:t>
      </w:r>
      <w:r w:rsidR="004F6BF4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123C8E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šādus grozījumus: </w:t>
      </w:r>
    </w:p>
    <w:p w14:paraId="3B5F7CE2" w14:textId="46E706FA" w:rsidR="00754AB5" w:rsidRPr="00555A3E" w:rsidRDefault="009D6A97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091AB8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BB57ED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754AB5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izteikt 4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754AB5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punktu šādā redakcijā:</w:t>
      </w:r>
    </w:p>
    <w:p w14:paraId="614E7A57" w14:textId="77777777" w:rsidR="002B1F6B" w:rsidRPr="00555A3E" w:rsidRDefault="002B1F6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B054C02" w14:textId="2A74FBAE" w:rsidR="00754AB5" w:rsidRPr="00555A3E" w:rsidRDefault="002B1F6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754AB5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754AB5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Finansējuma apmēru, ko augstskolai vai koledžai piešķir no valsts budžeta līdzekļiem, veido valsts pamatbudžetā izglītībai un zinātnei paredzētais finansējums un līdzekļi, kas paredzēti noteikta mērķa īstenošanai.</w:t>
      </w: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754AB5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</w:p>
    <w:p w14:paraId="09A9F3CE" w14:textId="77777777" w:rsidR="00754AB5" w:rsidRPr="00555A3E" w:rsidRDefault="00754AB5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204BEE1" w14:textId="21036D55" w:rsidR="005B648A" w:rsidRPr="00555A3E" w:rsidRDefault="00754AB5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1.2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B648A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izteikt 17.4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F418DC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</w:t>
      </w:r>
      <w:r w:rsidR="00F35D5F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punktu</w:t>
      </w:r>
      <w:r w:rsidR="005B648A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šādā redakcijā:</w:t>
      </w:r>
    </w:p>
    <w:p w14:paraId="0C3E6CDE" w14:textId="77777777" w:rsidR="00555A3E" w:rsidRPr="00555A3E" w:rsidRDefault="00555A3E" w:rsidP="00555A3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8404C7C" w14:textId="2B282308" w:rsidR="00D165EC" w:rsidRPr="00555A3E" w:rsidRDefault="002B1F6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F6BF4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17.4</w:t>
      </w:r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AB1C49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5B648A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nieguma finansējums par rezultātiem pētniecībā balstītas augstākās izglītības nodrošināšanā augstskolām un koledžām, kura apmēru aprēķina, izmantojot šādu formulu:</w:t>
      </w:r>
    </w:p>
    <w:p w14:paraId="51E33EFD" w14:textId="77777777" w:rsidR="00555A3E" w:rsidRPr="00555A3E" w:rsidRDefault="00555A3E" w:rsidP="00555A3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D9F0ACA" w14:textId="462F7D12" w:rsidR="005B648A" w:rsidRPr="00555A3E" w:rsidRDefault="005B648A" w:rsidP="00EE7C6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  <w:lang w:eastAsia="lv-LV"/>
          </w:rPr>
          <m:t>Fz=Fzd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8"/>
            <w:lang w:eastAsia="lv-LV"/>
          </w:rPr>
          <m:t>a</m:t>
        </m:r>
        <m:r>
          <w:rPr>
            <w:rFonts w:ascii="Cambria Math" w:eastAsiaTheme="minorEastAsia" w:hAnsi="Cambria Math" w:cs="Times New Roman"/>
            <w:sz w:val="24"/>
            <w:szCs w:val="28"/>
            <w:lang w:eastAsia="lv-LV"/>
          </w:rPr>
          <m:t>×</m:t>
        </m:r>
        <w:bookmarkStart w:id="1" w:name="_Hlk41479502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eastAsia="lv-LV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eastAsia="lv-LV"/>
              </w:rPr>
              <m:t>0,3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eastAsia="lv-LV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lv-LV"/>
                      </w:rPr>
                      <m:t>Pz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eastAsia="lv-LV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lv-LV"/>
                          </w:rPr>
                          <m:t>Pz</m:t>
                        </m:r>
                      </m:e>
                    </m:nary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8"/>
                <w:lang w:eastAsia="lv-LV"/>
              </w:rPr>
              <m:t>+0,1</m:t>
            </m:r>
            <w:bookmarkStart w:id="2" w:name="_Hlk41484007"/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eastAsia="lv-LV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lv-LV"/>
                      </w:rPr>
                      <m:t>Dz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eastAsia="lv-LV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lv-LV"/>
                          </w:rPr>
                          <m:t>Dz</m:t>
                        </m:r>
                      </m:e>
                    </m:nary>
                  </m:den>
                </m:f>
              </m:e>
            </m:d>
            <w:bookmarkEnd w:id="2"/>
            <m:r>
              <w:rPr>
                <w:rFonts w:ascii="Cambria Math" w:eastAsiaTheme="minorEastAsia" w:hAnsi="Cambria Math" w:cs="Times New Roman"/>
                <w:sz w:val="24"/>
                <w:szCs w:val="28"/>
                <w:lang w:eastAsia="lv-LV"/>
              </w:rPr>
              <m:t>+0,25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eastAsia="lv-LV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lv-LV"/>
                      </w:rPr>
                      <m:t>Sz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eastAsia="lv-LV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lv-LV"/>
                          </w:rPr>
                          <m:t>Sz</m:t>
                        </m:r>
                      </m:e>
                    </m:nary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8"/>
                <w:lang w:eastAsia="lv-LV"/>
              </w:rPr>
              <m:t>+0,25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eastAsia="lv-LV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lv-LV"/>
                      </w:rPr>
                      <m:t>Lz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eastAsia="lv-LV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lv-LV"/>
                          </w:rPr>
                          <m:t>Lz</m:t>
                        </m:r>
                      </m:e>
                    </m:nary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8"/>
                <w:lang w:eastAsia="lv-LV"/>
              </w:rPr>
              <m:t>+0,1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eastAsia="lv-LV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eastAsia="lv-LV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eastAsia="lv-LV"/>
                      </w:rPr>
                      <m:t>Mz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eastAsia="lv-LV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eastAsia="lv-LV"/>
                          </w:rPr>
                          <m:t>Mz</m:t>
                        </m:r>
                      </m:e>
                    </m:nary>
                  </m:den>
                </m:f>
              </m:e>
            </m:d>
          </m:e>
        </m:d>
      </m:oMath>
      <w:bookmarkEnd w:id="1"/>
      <w:r w:rsidR="00EE7C60" w:rsidRPr="00555A3E">
        <w:rPr>
          <w:rFonts w:ascii="Times New Roman" w:eastAsiaTheme="minorEastAsia" w:hAnsi="Times New Roman" w:cs="Times New Roman"/>
          <w:sz w:val="28"/>
          <w:szCs w:val="28"/>
          <w:lang w:eastAsia="lv-LV"/>
        </w:rPr>
        <w:t>, kur</w:t>
      </w:r>
    </w:p>
    <w:p w14:paraId="15F44E8C" w14:textId="77777777" w:rsidR="00555A3E" w:rsidRPr="00555A3E" w:rsidRDefault="00555A3E" w:rsidP="00555A3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76E74F7" w14:textId="0C4C4624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Fz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institūcijai piešķiramo līdzekļu apmērs; </w:t>
      </w:r>
    </w:p>
    <w:p w14:paraId="35955439" w14:textId="50E731FE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Fzda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finansējums apakšprogrammā 03.03.00 </w:t>
      </w:r>
      <w:r w:rsidR="002B1F6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"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Zinātniskās darbības attīstība augstskolās un koledžās</w:t>
      </w:r>
      <w:r w:rsidR="002B1F6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"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attiecīgajā kalendāra gadā; </w:t>
      </w:r>
    </w:p>
    <w:p w14:paraId="198F70BA" w14:textId="6CFB310E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Pz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augstākās izglītības institūcijā kā vadošie pētnieki, pētnieki un zinātniskie asistenti iepriekšējā gadā nodarbinātie maģistranti, doktoranti, kā arī pēdējo </w:t>
      </w:r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piecu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gadu laikā doktora grādu ieguvušie jaunie zinātnieki pilna darba laika ekvivalenta (pilna darba laika ekvivalents</w:t>
      </w:r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lastRenderedPageBreak/>
        <w:t>nodarbinātā kopējā nostrādāto stundu skaita (tai skaitā ikgadējā apmaksātā atvaļinājuma) attiecība pret kopējo darba stundu skaitu attiecīgajā finansēšanas periodā) izteiksmē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; </w:t>
      </w:r>
    </w:p>
    <w:p w14:paraId="0842DA23" w14:textId="3FD61763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∑</w:t>
      </w: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Pz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pētniecībā (vadošais pētnieks, pētnieks un zinātniskais asistents) iepriekšējā gadā nodarbināto maģistrantu, doktorantu, kā arī pēdējo </w:t>
      </w:r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piecu</w:t>
      </w:r>
      <w:r w:rsidR="00D35437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gadu laikā doktora grādu ieguvušo jauno zinātnieku kopskaits augstākās izglītības institūcijās pilna darba laika ekvivalenta izteiksmē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; </w:t>
      </w:r>
    </w:p>
    <w:p w14:paraId="29A0433F" w14:textId="0CCAE8D4" w:rsidR="00046E1B" w:rsidRPr="00F0328F" w:rsidRDefault="00D35437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D</w:t>
      </w:r>
      <w:r w:rsidR="00046E1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="00D41272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iepriekšējā gadā doktora grādu ieguvušo personu skaits</w:t>
      </w:r>
      <w:r w:rsidR="00F47F88" w:rsidRPr="00F0328F">
        <w:rPr>
          <w:rFonts w:ascii="Arial" w:hAnsi="Arial" w:cs="Arial"/>
          <w:color w:val="414142"/>
          <w:sz w:val="24"/>
          <w:szCs w:val="28"/>
          <w:shd w:val="clear" w:color="auto" w:fill="FFFFFF"/>
        </w:rPr>
        <w:t xml:space="preserve"> </w:t>
      </w:r>
      <w:r w:rsidR="00D41272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augstākās izglītības institūcijā</w:t>
      </w:r>
      <w:r w:rsidR="00046E1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; </w:t>
      </w:r>
    </w:p>
    <w:p w14:paraId="5CCF8C76" w14:textId="60F181C3" w:rsidR="00046E1B" w:rsidRPr="00F0328F" w:rsidRDefault="00D35437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∑</w:t>
      </w: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D</w:t>
      </w:r>
      <w:r w:rsidR="00046E1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="00CD6D12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iepriekšējā gadā doktora grādu ieguvušo personu 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kopskaits</w:t>
      </w:r>
      <w:r w:rsidR="00CD6D12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institūcijās</w:t>
      </w:r>
      <w:r w:rsidR="00046E1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;</w:t>
      </w:r>
    </w:p>
    <w:p w14:paraId="15E91503" w14:textId="56A0ED7D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Sz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institūcijas īstenoto Eiropas Savienības Ietvarprogrammas pētniecības un attīstības projektu (atbilstoši Ekonomiskās sadarbības un attīstības organizācijas (OECD) publicētajā zinātnes statistikas metodoloģijas krājumā </w:t>
      </w:r>
      <w:proofErr w:type="spellStart"/>
      <w:r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Frascati</w:t>
      </w:r>
      <w:proofErr w:type="spellEnd"/>
      <w:r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 xml:space="preserve"> </w:t>
      </w:r>
      <w:proofErr w:type="spellStart"/>
      <w:r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Manual</w:t>
      </w:r>
      <w:proofErr w:type="spellEnd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sniegtajai definīcijai (turpmāk</w:t>
      </w:r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</w:t>
      </w:r>
      <w:proofErr w:type="spellStart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Frascati</w:t>
      </w:r>
      <w:proofErr w:type="spellEnd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 xml:space="preserve"> </w:t>
      </w:r>
      <w:proofErr w:type="spellStart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Manual</w:t>
      </w:r>
      <w:proofErr w:type="spellEnd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)) ietvaros un citu starptautisku pētījumu projektu konkursos iepriekšējā gadā piesaistītais finansējums; </w:t>
      </w:r>
    </w:p>
    <w:p w14:paraId="592933A7" w14:textId="76C3AF38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∑</w:t>
      </w: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Sz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institūciju īstenoto Eiropas Savienības Ietvarprogrammas pētniecības un attīstības projektu ietvaros un citu starptautisku pētījumu projektu (atbilstoši </w:t>
      </w:r>
      <w:proofErr w:type="spellStart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Frascati</w:t>
      </w:r>
      <w:proofErr w:type="spellEnd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 xml:space="preserve"> </w:t>
      </w:r>
      <w:proofErr w:type="spellStart"/>
      <w:r w:rsidR="00CD6D12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Manual</w:t>
      </w:r>
      <w:proofErr w:type="spellEnd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) konkursos iepriekšējā gadā kopējais piesaistītais finansējums; </w:t>
      </w:r>
    </w:p>
    <w:p w14:paraId="1216E166" w14:textId="7BAAC457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Lz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institūcijas īstenoto pētniecības un attīstības līgumdarbu </w:t>
      </w:r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(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tai skaitā pētniecības un attīstības līgumdarbu ar komersantiem, publiskām personām un citiem pasūtītājiem (piemēram, fiziskām personām, biedrībām, nodibinājumiem</w:t>
      </w:r>
      <w:r w:rsidR="00867E55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, pašvaldībām un to uzņēmumiem</w:t>
      </w:r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) </w:t>
      </w:r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ietvaros (atbilstoši </w:t>
      </w:r>
      <w:proofErr w:type="spellStart"/>
      <w:r w:rsidR="00F47F88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Frascati</w:t>
      </w:r>
      <w:proofErr w:type="spellEnd"/>
      <w:r w:rsidR="00F47F88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 xml:space="preserve"> </w:t>
      </w:r>
      <w:proofErr w:type="spellStart"/>
      <w:r w:rsidR="00F47F88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Manual</w:t>
      </w:r>
      <w:proofErr w:type="spellEnd"/>
      <w:r w:rsidR="00F47F88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) 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iepriekšējā gadā piesaistītais finansējums un ieņēmumi no intelektuālā īpašuma tiesību nodošanas; </w:t>
      </w:r>
    </w:p>
    <w:p w14:paraId="00BF800A" w14:textId="0439FAF8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∑</w:t>
      </w: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Lz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augstākās izglītības institūciju īstenoto pētniecības un attīstības līgumdarbu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(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tai skaitā pētniecības un attīstības līgumdarbu ar komersantiem, publiskām personām un citiem pasūtītājiem (piemēram, fiziskām personām, biedrībām, nodibinājumiem</w:t>
      </w:r>
      <w:r w:rsidR="00867E55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, pašvaldībām un to uzņēmumiem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) 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ietvaros (atbilstoši </w:t>
      </w:r>
      <w:proofErr w:type="spellStart"/>
      <w:r w:rsidR="0030342E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Frascati</w:t>
      </w:r>
      <w:proofErr w:type="spellEnd"/>
      <w:r w:rsidR="0030342E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 xml:space="preserve"> </w:t>
      </w:r>
      <w:proofErr w:type="spellStart"/>
      <w:r w:rsidR="0030342E" w:rsidRPr="00F0328F">
        <w:rPr>
          <w:rFonts w:ascii="Times New Roman" w:eastAsiaTheme="minorEastAsia" w:hAnsi="Times New Roman" w:cs="Times New Roman"/>
          <w:i/>
          <w:sz w:val="24"/>
          <w:szCs w:val="28"/>
          <w:lang w:eastAsia="lv-LV"/>
        </w:rPr>
        <w:t>Manual</w:t>
      </w:r>
      <w:proofErr w:type="spellEnd"/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iepriekšējā gadā kopējais piesaistītais finansējums un kopējie ieņēmumi no intelektuālā īpašuma tiesību nodošanas; </w:t>
      </w:r>
    </w:p>
    <w:p w14:paraId="208D52FE" w14:textId="0FF667FC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Mz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atbilstoši Eiropas Savienības Saimniecisko darbību statistiskās klasifikācijas (NACE) kodiem 59, 74.10, 90.01, 90.02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un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90.03 augstākās izglītības institūcijas īstenoto radošo un māksliniecisko projektu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(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tai skaitā radošo un māksliniecisko līgumdarbu ar komersantiem, publiskām personām un citiem pasūtītājiem (piemēram, fiziskām personām, biedrībām, nodibinājumiem)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ietvaros iepriekšējā gadā piesaistītais finansējums un ieņēmumi no intelektuālā īpašuma tiesību nodošanas; </w:t>
      </w:r>
    </w:p>
    <w:p w14:paraId="1D26EC2E" w14:textId="0BCAA362" w:rsidR="00C31E3B" w:rsidRPr="00F0328F" w:rsidRDefault="00C31E3B" w:rsidP="00EE7C6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∑</w:t>
      </w:r>
      <w:proofErr w:type="spellStart"/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Mz</w:t>
      </w:r>
      <w:proofErr w:type="spellEnd"/>
      <w:r w:rsidR="00EE7C60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 –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atbilstoši NACE kodiem 59, 74.10, 90.01, 90.02</w:t>
      </w:r>
      <w:r w:rsidR="0030342E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un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 xml:space="preserve"> 90.03 augstākās izglītības institūciju īstenoto radošo un māksliniecisko projektu </w:t>
      </w:r>
      <w:r w:rsidR="00F9271A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(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tai skaitā radošo un māksliniecisko līgumdarbu ar komersantiem, publiskām personām un citiem pasūtītājiem (piemēram, fiziskām personām, biedrībām, nodibinājumiem</w:t>
      </w:r>
      <w:r w:rsidR="00F9271A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</w:t>
      </w:r>
      <w:r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) ietvaros iepriekšējā gadā kopējais piesaistītais finansējums un kopējie ieņēmumi no intelektuālā īpašuma tiesību nodošanas.</w:t>
      </w:r>
      <w:r w:rsidR="002B1F6B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"</w:t>
      </w:r>
      <w:r w:rsidR="00AD36CD" w:rsidRPr="00F0328F">
        <w:rPr>
          <w:rFonts w:ascii="Times New Roman" w:eastAsiaTheme="minorEastAsia" w:hAnsi="Times New Roman" w:cs="Times New Roman"/>
          <w:sz w:val="24"/>
          <w:szCs w:val="28"/>
          <w:lang w:eastAsia="lv-LV"/>
        </w:rPr>
        <w:t>;</w:t>
      </w:r>
    </w:p>
    <w:p w14:paraId="69D151BD" w14:textId="77777777" w:rsidR="006E4AAB" w:rsidRPr="00555A3E" w:rsidRDefault="006E4AAB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4714D" w14:textId="79939BF3" w:rsidR="007F4CDD" w:rsidRPr="00555A3E" w:rsidRDefault="00410F7A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948BB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E7C60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F4CDD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477B92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18.</w:t>
      </w:r>
      <w:r w:rsidR="00477B92" w:rsidRPr="00555A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E7C60" w:rsidRPr="00555A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7F4CDD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8941D56" w14:textId="77777777" w:rsidR="002B1F6B" w:rsidRPr="00555A3E" w:rsidRDefault="002B1F6B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41FC7F" w14:textId="776E8CE5" w:rsidR="007F4CDD" w:rsidRPr="00AC7E80" w:rsidRDefault="002B1F6B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18.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1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Informāciju, kura nepieciešama šo noteikumu 17.4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apakšpunktā minētā snieguma finansējuma aprēķināšanai nākamajam finansēšanas periodam, nosaka </w:t>
      </w:r>
      <w:r w:rsidR="00F0328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saskaņā ar</w:t>
      </w:r>
      <w:r w:rsidR="00F0328F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augstskol</w:t>
      </w:r>
      <w:r w:rsidR="00F0328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="00F0328F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sniegt</w:t>
      </w:r>
      <w:r w:rsidR="00147D9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o</w:t>
      </w:r>
      <w:r w:rsidR="00F0328F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informācij</w:t>
      </w:r>
      <w:r w:rsidR="00147D9B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zinātnes bāzes finansējuma aprēķināšanai līdz kārtējā gada 1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aprīlim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410F7A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Informāciju par 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augstākās izglītības institūciju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īstenoto radošo un māksliniecisko proje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ktu finansējuma apmēru augstākās izglītības institūcija iesniedz Izglītības un zinātnes ministrijā līdz kārtējā gada 1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aprīlim saskaņā ar šo noteikumu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3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pielikuma I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nodaļ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Informāciju par 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lastRenderedPageBreak/>
        <w:t xml:space="preserve">koledžas 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pētniecības projektu finansējuma apmēru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koledža 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iesniedz Izglītības un zinātnes ministrijā līdz kārtējā gada 1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aprīlim saskaņā ar šo noteikumu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3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pielikuma II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067B03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nodaļ</w:t>
      </w:r>
      <w:r w:rsidR="00A841E7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Informāciju, kura nepieciešama doktora </w:t>
      </w:r>
      <w:r w:rsidR="00555A3E" w:rsidRPr="00AC7E80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grādu ieguvušo personu 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skaita noteikšanai</w:t>
      </w:r>
      <w:r w:rsidR="00555A3E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410F7A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Izglītības un zinātnes ministrija 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nosaka </w:t>
      </w:r>
      <w:r w:rsidR="00AC7E8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atbilstoši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9405E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augstskolas iesniegt</w:t>
      </w:r>
      <w:r w:rsidR="00AC7E8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ajai</w:t>
      </w:r>
      <w:r w:rsidR="009405E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informācija</w:t>
      </w:r>
      <w:r w:rsidR="00AC7E8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</w:t>
      </w:r>
      <w:r w:rsidR="009405E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Valsts izglītības informācijas sistēmā</w:t>
      </w:r>
      <w:r w:rsidR="00EE7C6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  <w:r w:rsidR="00AC7E8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7F4CD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Minēto informāciju pārbauda zvērināts revidents, ko Izglītības un zinātnes ministrija izraudzījusies, izmantojot publisko iepirkumu</w:t>
      </w:r>
      <w:r w:rsidR="00AC7E80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  <w:r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AD36CD" w:rsidRPr="00AC7E8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52FC3386" w14:textId="305186AE" w:rsidR="005C418E" w:rsidRPr="00555A3E" w:rsidRDefault="005C418E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EF5165" w14:textId="39AF4C0D" w:rsidR="005022A9" w:rsidRPr="00555A3E" w:rsidRDefault="009B4BBE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948BB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E7C60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C7E80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E05556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</w:t>
      </w:r>
      <w:r w:rsidR="00EE7C60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022A9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</w:t>
      </w:r>
      <w:r w:rsidR="0092720B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05556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22A9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nosaukumā vārdus </w:t>
      </w:r>
      <w:r w:rsidR="002B1F6B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C7E80" w:rsidRPr="00AC7E80">
        <w:rPr>
          <w:rFonts w:ascii="Times New Roman" w:eastAsia="Times New Roman" w:hAnsi="Times New Roman" w:cs="Times New Roman"/>
          <w:sz w:val="28"/>
          <w:szCs w:val="28"/>
          <w:lang w:eastAsia="lv-LV"/>
        </w:rPr>
        <w:t>koledžu pētniecības projektu finansējuma apmēru, </w:t>
      </w:r>
      <w:r w:rsidR="00AC7E80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22A9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pēc pašvaldību pasūtījuma īstenoto pētniecības un attīstības projektu finansējuma apmēru</w:t>
      </w:r>
      <w:r w:rsidR="002B1F6B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C7E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"un </w:t>
      </w:r>
      <w:r w:rsidR="00AC7E80" w:rsidRPr="00AC7E80">
        <w:rPr>
          <w:rFonts w:ascii="Times New Roman" w:eastAsia="Times New Roman" w:hAnsi="Times New Roman" w:cs="Times New Roman"/>
          <w:sz w:val="28"/>
          <w:szCs w:val="28"/>
          <w:lang w:eastAsia="lv-LV"/>
        </w:rPr>
        <w:t>koledžu pētniecības projektu finansējuma apmēru</w:t>
      </w:r>
      <w:r w:rsidR="00AC7E8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26702" w:rsidRPr="00555A3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8BBDFB" w14:textId="6826D447" w:rsidR="007E3363" w:rsidRPr="002B1F6B" w:rsidRDefault="00C948BB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1.5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C418E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E05556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05556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</w:t>
      </w:r>
      <w:r w:rsidR="0092720B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67B03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III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7B03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</w:t>
      </w:r>
      <w:r w:rsidR="00E05556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7B04406" w14:textId="77777777" w:rsidR="007E3363" w:rsidRPr="002B1F6B" w:rsidRDefault="007E3363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A8835F" w14:textId="676EFA3F" w:rsidR="005C418E" w:rsidRPr="002B1F6B" w:rsidRDefault="007E3363" w:rsidP="00EE7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76DE7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</w:t>
      </w:r>
      <w:r w:rsidR="00250E6F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umi stājas spēkā 2021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50E6F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EE7C6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76DE7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</w:t>
      </w:r>
      <w:r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="005C418E" w:rsidRPr="002B1F6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36719ED" w14:textId="77777777" w:rsidR="002B1F6B" w:rsidRPr="002B1F6B" w:rsidRDefault="002B1F6B" w:rsidP="00EE7C60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A5FE7" w14:textId="77777777" w:rsidR="002B1F6B" w:rsidRPr="002B1F6B" w:rsidRDefault="002B1F6B" w:rsidP="00EE7C60">
      <w:pPr>
        <w:pStyle w:val="ListParagraph"/>
        <w:tabs>
          <w:tab w:val="left" w:pos="4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1E13B5" w14:textId="77777777" w:rsidR="002B1F6B" w:rsidRPr="002B1F6B" w:rsidRDefault="002B1F6B" w:rsidP="00EE7C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p w14:paraId="37E6EB15" w14:textId="6A6DB139" w:rsidR="002B1F6B" w:rsidRPr="002B1F6B" w:rsidRDefault="002B1F6B" w:rsidP="00EE7C6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2B1F6B">
        <w:rPr>
          <w:rFonts w:ascii="Times New Roman" w:eastAsia="Calibri" w:hAnsi="Times New Roman" w:cs="Times New Roman"/>
          <w:sz w:val="28"/>
          <w:szCs w:val="28"/>
          <w:lang w:val="de-DE"/>
        </w:rPr>
        <w:t>A</w:t>
      </w:r>
      <w:r w:rsidR="00EE7C60">
        <w:rPr>
          <w:rFonts w:ascii="Times New Roman" w:eastAsia="Calibri" w:hAnsi="Times New Roman" w:cs="Times New Roman"/>
          <w:sz w:val="28"/>
          <w:szCs w:val="28"/>
          <w:lang w:val="de-DE"/>
        </w:rPr>
        <w:t>. </w:t>
      </w: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EE7C60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30D566C9" w14:textId="77777777" w:rsidR="002B1F6B" w:rsidRPr="002B1F6B" w:rsidRDefault="002B1F6B" w:rsidP="00EE7C60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D504EA" w14:textId="77777777" w:rsidR="002B1F6B" w:rsidRPr="002B1F6B" w:rsidRDefault="002B1F6B" w:rsidP="00EE7C60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82A3AF4" w14:textId="77777777" w:rsidR="002B1F6B" w:rsidRPr="002B1F6B" w:rsidRDefault="002B1F6B" w:rsidP="00EE7C60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7249A73" w14:textId="3C2F9B24" w:rsidR="002B1F6B" w:rsidRPr="002B1F6B" w:rsidRDefault="002B1F6B" w:rsidP="00EE7C6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</w:t>
      </w:r>
      <w:r w:rsidR="00EE7C60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2B1F6B">
        <w:rPr>
          <w:rFonts w:ascii="Times New Roman" w:hAnsi="Times New Roman" w:cs="Times New Roman"/>
          <w:color w:val="auto"/>
          <w:sz w:val="28"/>
          <w:szCs w:val="28"/>
          <w:lang w:val="de-DE"/>
        </w:rPr>
        <w:t>Šuplinska</w:t>
      </w:r>
    </w:p>
    <w:sectPr w:rsidR="002B1F6B" w:rsidRPr="002B1F6B" w:rsidSect="00555A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1317" w14:textId="77777777" w:rsidR="002B5A58" w:rsidRDefault="002B5A58" w:rsidP="00DD5E4F">
      <w:pPr>
        <w:spacing w:after="0" w:line="240" w:lineRule="auto"/>
      </w:pPr>
      <w:r>
        <w:separator/>
      </w:r>
    </w:p>
  </w:endnote>
  <w:endnote w:type="continuationSeparator" w:id="0">
    <w:p w14:paraId="38D628DF" w14:textId="77777777" w:rsidR="002B5A58" w:rsidRDefault="002B5A58" w:rsidP="00D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8C92" w14:textId="77777777" w:rsidR="002B1F6B" w:rsidRPr="002B1F6B" w:rsidRDefault="002B1F6B" w:rsidP="002B1F6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1BFB" w14:textId="494E14E6" w:rsidR="002B1F6B" w:rsidRPr="002B1F6B" w:rsidRDefault="002B1F6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N1954_0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3C6E" w14:textId="77777777" w:rsidR="002B5A58" w:rsidRDefault="002B5A58" w:rsidP="00DD5E4F">
      <w:pPr>
        <w:spacing w:after="0" w:line="240" w:lineRule="auto"/>
      </w:pPr>
      <w:r>
        <w:separator/>
      </w:r>
    </w:p>
  </w:footnote>
  <w:footnote w:type="continuationSeparator" w:id="0">
    <w:p w14:paraId="3DC38302" w14:textId="77777777" w:rsidR="002B5A58" w:rsidRDefault="002B5A58" w:rsidP="00DD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920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8A2F29" w14:textId="39620F09" w:rsidR="002B1F6B" w:rsidRPr="002B1F6B" w:rsidRDefault="002B1F6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F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F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F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B1F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F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C3E7" w14:textId="400D6D27" w:rsidR="002B1F6B" w:rsidRDefault="002B1F6B">
    <w:pPr>
      <w:pStyle w:val="Header"/>
      <w:rPr>
        <w:rFonts w:ascii="Times New Roman" w:hAnsi="Times New Roman" w:cs="Times New Roman"/>
        <w:sz w:val="24"/>
        <w:szCs w:val="24"/>
      </w:rPr>
    </w:pPr>
  </w:p>
  <w:p w14:paraId="6A236BFA" w14:textId="77777777" w:rsidR="002B1F6B" w:rsidRDefault="002B1F6B">
    <w:pPr>
      <w:pStyle w:val="Header"/>
    </w:pPr>
    <w:r>
      <w:rPr>
        <w:noProof/>
      </w:rPr>
      <w:drawing>
        <wp:inline distT="0" distB="0" distL="0" distR="0" wp14:anchorId="6BF253FF" wp14:editId="4A8D59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11CA4"/>
    <w:rsid w:val="00044568"/>
    <w:rsid w:val="000448D4"/>
    <w:rsid w:val="00046E1B"/>
    <w:rsid w:val="00067B03"/>
    <w:rsid w:val="0008099B"/>
    <w:rsid w:val="00083319"/>
    <w:rsid w:val="00087DC7"/>
    <w:rsid w:val="00091159"/>
    <w:rsid w:val="00091AB8"/>
    <w:rsid w:val="000A1372"/>
    <w:rsid w:val="000C2427"/>
    <w:rsid w:val="000D0FC4"/>
    <w:rsid w:val="000D3AE6"/>
    <w:rsid w:val="000F0E71"/>
    <w:rsid w:val="00114819"/>
    <w:rsid w:val="00121665"/>
    <w:rsid w:val="00123C8E"/>
    <w:rsid w:val="00142F41"/>
    <w:rsid w:val="00147D9B"/>
    <w:rsid w:val="00153354"/>
    <w:rsid w:val="001664FC"/>
    <w:rsid w:val="00170320"/>
    <w:rsid w:val="00190E5F"/>
    <w:rsid w:val="0019593A"/>
    <w:rsid w:val="00197BD3"/>
    <w:rsid w:val="001B2BB3"/>
    <w:rsid w:val="001B56C3"/>
    <w:rsid w:val="001E5BBC"/>
    <w:rsid w:val="001F450E"/>
    <w:rsid w:val="00202ABE"/>
    <w:rsid w:val="00224848"/>
    <w:rsid w:val="0022586B"/>
    <w:rsid w:val="00241AB7"/>
    <w:rsid w:val="00250E6F"/>
    <w:rsid w:val="002542F8"/>
    <w:rsid w:val="002600D7"/>
    <w:rsid w:val="00277928"/>
    <w:rsid w:val="0028518F"/>
    <w:rsid w:val="00297B25"/>
    <w:rsid w:val="002A3CB6"/>
    <w:rsid w:val="002A3EAA"/>
    <w:rsid w:val="002B1F6B"/>
    <w:rsid w:val="002B5A58"/>
    <w:rsid w:val="002C2DF3"/>
    <w:rsid w:val="002F7E2D"/>
    <w:rsid w:val="0030342E"/>
    <w:rsid w:val="0032253D"/>
    <w:rsid w:val="0032384A"/>
    <w:rsid w:val="00324E4C"/>
    <w:rsid w:val="00345F50"/>
    <w:rsid w:val="00370E31"/>
    <w:rsid w:val="003725CF"/>
    <w:rsid w:val="00376DE7"/>
    <w:rsid w:val="00381D63"/>
    <w:rsid w:val="00383CA2"/>
    <w:rsid w:val="003B3724"/>
    <w:rsid w:val="003C5132"/>
    <w:rsid w:val="003C75F0"/>
    <w:rsid w:val="00400F11"/>
    <w:rsid w:val="00405013"/>
    <w:rsid w:val="00410F7A"/>
    <w:rsid w:val="004163F5"/>
    <w:rsid w:val="00456BDD"/>
    <w:rsid w:val="00462A30"/>
    <w:rsid w:val="00477B92"/>
    <w:rsid w:val="004833AF"/>
    <w:rsid w:val="00484BE5"/>
    <w:rsid w:val="00495C2D"/>
    <w:rsid w:val="004C7BAF"/>
    <w:rsid w:val="004E11C9"/>
    <w:rsid w:val="004F12E5"/>
    <w:rsid w:val="004F460C"/>
    <w:rsid w:val="004F570B"/>
    <w:rsid w:val="004F6BF4"/>
    <w:rsid w:val="005022A9"/>
    <w:rsid w:val="005074B9"/>
    <w:rsid w:val="00510BB4"/>
    <w:rsid w:val="0055164A"/>
    <w:rsid w:val="00555A3E"/>
    <w:rsid w:val="00570308"/>
    <w:rsid w:val="005B648A"/>
    <w:rsid w:val="005C418E"/>
    <w:rsid w:val="00651342"/>
    <w:rsid w:val="0066169E"/>
    <w:rsid w:val="00690856"/>
    <w:rsid w:val="006A026E"/>
    <w:rsid w:val="006A4F6C"/>
    <w:rsid w:val="006A7E44"/>
    <w:rsid w:val="006C79B2"/>
    <w:rsid w:val="006E4AAB"/>
    <w:rsid w:val="006F0143"/>
    <w:rsid w:val="00754AB5"/>
    <w:rsid w:val="00760E25"/>
    <w:rsid w:val="00785010"/>
    <w:rsid w:val="00791695"/>
    <w:rsid w:val="007B151C"/>
    <w:rsid w:val="007E1912"/>
    <w:rsid w:val="007E3363"/>
    <w:rsid w:val="007E5D0A"/>
    <w:rsid w:val="007E7273"/>
    <w:rsid w:val="007F44CE"/>
    <w:rsid w:val="007F4CDD"/>
    <w:rsid w:val="00867E55"/>
    <w:rsid w:val="0087731A"/>
    <w:rsid w:val="008774AC"/>
    <w:rsid w:val="00895423"/>
    <w:rsid w:val="00897A45"/>
    <w:rsid w:val="008A5796"/>
    <w:rsid w:val="008B69BC"/>
    <w:rsid w:val="00905CFA"/>
    <w:rsid w:val="009209BE"/>
    <w:rsid w:val="00922B05"/>
    <w:rsid w:val="0092720B"/>
    <w:rsid w:val="00936CE9"/>
    <w:rsid w:val="009405E0"/>
    <w:rsid w:val="00944A3F"/>
    <w:rsid w:val="00965C9F"/>
    <w:rsid w:val="00967E11"/>
    <w:rsid w:val="00974CB8"/>
    <w:rsid w:val="00983E8C"/>
    <w:rsid w:val="00994722"/>
    <w:rsid w:val="009B0845"/>
    <w:rsid w:val="009B4BBE"/>
    <w:rsid w:val="009D6A97"/>
    <w:rsid w:val="009E37CD"/>
    <w:rsid w:val="00A20158"/>
    <w:rsid w:val="00A27A8B"/>
    <w:rsid w:val="00A30D4F"/>
    <w:rsid w:val="00A516A5"/>
    <w:rsid w:val="00A64BE1"/>
    <w:rsid w:val="00A74AF0"/>
    <w:rsid w:val="00A841E7"/>
    <w:rsid w:val="00AB1C49"/>
    <w:rsid w:val="00AC1936"/>
    <w:rsid w:val="00AC7E80"/>
    <w:rsid w:val="00AD36CD"/>
    <w:rsid w:val="00AD38EC"/>
    <w:rsid w:val="00AE034D"/>
    <w:rsid w:val="00B0367E"/>
    <w:rsid w:val="00B10FFF"/>
    <w:rsid w:val="00B13E35"/>
    <w:rsid w:val="00B3178A"/>
    <w:rsid w:val="00B87D5B"/>
    <w:rsid w:val="00BB1817"/>
    <w:rsid w:val="00BB57ED"/>
    <w:rsid w:val="00BB5C8A"/>
    <w:rsid w:val="00BE0D08"/>
    <w:rsid w:val="00BF29F0"/>
    <w:rsid w:val="00BF4A1B"/>
    <w:rsid w:val="00C06130"/>
    <w:rsid w:val="00C256F0"/>
    <w:rsid w:val="00C31E3B"/>
    <w:rsid w:val="00C65A84"/>
    <w:rsid w:val="00C948BB"/>
    <w:rsid w:val="00C97741"/>
    <w:rsid w:val="00CB47D5"/>
    <w:rsid w:val="00CC4803"/>
    <w:rsid w:val="00CD1397"/>
    <w:rsid w:val="00CD32DB"/>
    <w:rsid w:val="00CD546B"/>
    <w:rsid w:val="00CD5DAE"/>
    <w:rsid w:val="00CD6D12"/>
    <w:rsid w:val="00D029BF"/>
    <w:rsid w:val="00D165EC"/>
    <w:rsid w:val="00D2349D"/>
    <w:rsid w:val="00D35437"/>
    <w:rsid w:val="00D41272"/>
    <w:rsid w:val="00D45E81"/>
    <w:rsid w:val="00D90934"/>
    <w:rsid w:val="00D97D37"/>
    <w:rsid w:val="00DA2E72"/>
    <w:rsid w:val="00DA634B"/>
    <w:rsid w:val="00DB5762"/>
    <w:rsid w:val="00DC027F"/>
    <w:rsid w:val="00DD5E4F"/>
    <w:rsid w:val="00DE4DB7"/>
    <w:rsid w:val="00E05556"/>
    <w:rsid w:val="00E06163"/>
    <w:rsid w:val="00E13566"/>
    <w:rsid w:val="00E26702"/>
    <w:rsid w:val="00E339C9"/>
    <w:rsid w:val="00E6678E"/>
    <w:rsid w:val="00E73976"/>
    <w:rsid w:val="00E75DA6"/>
    <w:rsid w:val="00E774E8"/>
    <w:rsid w:val="00EA1113"/>
    <w:rsid w:val="00EA3E80"/>
    <w:rsid w:val="00EC0E4D"/>
    <w:rsid w:val="00ED333C"/>
    <w:rsid w:val="00ED7E66"/>
    <w:rsid w:val="00EE7C60"/>
    <w:rsid w:val="00F0328F"/>
    <w:rsid w:val="00F126F5"/>
    <w:rsid w:val="00F2348B"/>
    <w:rsid w:val="00F35D5F"/>
    <w:rsid w:val="00F418DC"/>
    <w:rsid w:val="00F47F88"/>
    <w:rsid w:val="00F66779"/>
    <w:rsid w:val="00F70561"/>
    <w:rsid w:val="00F75CF2"/>
    <w:rsid w:val="00F81F57"/>
    <w:rsid w:val="00F845D8"/>
    <w:rsid w:val="00F9271A"/>
    <w:rsid w:val="00FA44CF"/>
    <w:rsid w:val="00FB3031"/>
    <w:rsid w:val="00FC51ED"/>
    <w:rsid w:val="00FE078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chartTrackingRefBased/>
  <w15:docId w15:val="{9D17D790-4755-436D-8A13-50DFCA7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E"/>
    <w:rPr>
      <w:sz w:val="20"/>
      <w:szCs w:val="20"/>
    </w:rPr>
  </w:style>
  <w:style w:type="character" w:styleId="CommentReference">
    <w:name w:val="annotation reference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F"/>
  </w:style>
  <w:style w:type="paragraph" w:styleId="Footer">
    <w:name w:val="footer"/>
    <w:basedOn w:val="Normal"/>
    <w:link w:val="Foot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F"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B1F6B"/>
  </w:style>
  <w:style w:type="paragraph" w:customStyle="1" w:styleId="Body">
    <w:name w:val="Body"/>
    <w:rsid w:val="002B1F6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990E-8B9B-4B6B-B0EA-76BC5793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Leontīne Babkina</cp:lastModifiedBy>
  <cp:revision>45</cp:revision>
  <dcterms:created xsi:type="dcterms:W3CDTF">2020-09-14T09:30:00Z</dcterms:created>
  <dcterms:modified xsi:type="dcterms:W3CDTF">2020-10-30T14:06:00Z</dcterms:modified>
</cp:coreProperties>
</file>