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E5634" w14:textId="3A5D2EEA" w:rsidR="00AC7447" w:rsidRPr="00CE5232" w:rsidRDefault="00AA3019" w:rsidP="00962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232">
        <w:rPr>
          <w:rFonts w:ascii="Times New Roman" w:hAnsi="Times New Roman"/>
          <w:b/>
          <w:sz w:val="28"/>
          <w:szCs w:val="28"/>
        </w:rPr>
        <w:t>Ministru kabineta rīkojuma projekta</w:t>
      </w:r>
      <w:r w:rsidR="00970758" w:rsidRPr="00CE5232">
        <w:rPr>
          <w:rFonts w:ascii="Times New Roman" w:hAnsi="Times New Roman"/>
          <w:b/>
          <w:sz w:val="28"/>
          <w:szCs w:val="28"/>
        </w:rPr>
        <w:t xml:space="preserve"> </w:t>
      </w:r>
      <w:r w:rsidR="002931B8" w:rsidRPr="00CE5232">
        <w:rPr>
          <w:rFonts w:ascii="Times New Roman" w:hAnsi="Times New Roman"/>
          <w:b/>
          <w:sz w:val="28"/>
          <w:szCs w:val="28"/>
        </w:rPr>
        <w:t>“</w:t>
      </w:r>
      <w:r w:rsidR="00AC3D02" w:rsidRPr="00CE5232">
        <w:rPr>
          <w:rFonts w:ascii="Times New Roman" w:hAnsi="Times New Roman"/>
          <w:b/>
          <w:sz w:val="28"/>
          <w:szCs w:val="28"/>
        </w:rPr>
        <w:t xml:space="preserve">Par </w:t>
      </w:r>
      <w:r w:rsidR="00413DC5" w:rsidRPr="00CE5232">
        <w:rPr>
          <w:rFonts w:ascii="Times New Roman" w:hAnsi="Times New Roman"/>
          <w:b/>
          <w:sz w:val="28"/>
          <w:szCs w:val="28"/>
          <w:shd w:val="clear" w:color="auto" w:fill="FFFFFF"/>
        </w:rPr>
        <w:t>Informācijas sistēmu menedžmenta augstskola</w:t>
      </w:r>
      <w:r w:rsidR="002931B8" w:rsidRPr="00CE5232">
        <w:rPr>
          <w:rFonts w:ascii="Times New Roman" w:hAnsi="Times New Roman"/>
          <w:b/>
          <w:sz w:val="28"/>
          <w:szCs w:val="28"/>
          <w:shd w:val="clear" w:color="auto" w:fill="FFFFFF"/>
        </w:rPr>
        <w:t>s</w:t>
      </w:r>
      <w:r w:rsidR="002A7678" w:rsidRPr="00CE5232">
        <w:rPr>
          <w:rFonts w:ascii="Times New Roman" w:hAnsi="Times New Roman"/>
          <w:b/>
          <w:sz w:val="28"/>
          <w:szCs w:val="28"/>
        </w:rPr>
        <w:t xml:space="preserve"> </w:t>
      </w:r>
      <w:r w:rsidR="00B02462" w:rsidRPr="00CE5232">
        <w:rPr>
          <w:rFonts w:ascii="Times New Roman" w:hAnsi="Times New Roman"/>
          <w:b/>
          <w:bCs/>
          <w:sz w:val="28"/>
          <w:szCs w:val="28"/>
        </w:rPr>
        <w:t xml:space="preserve">rektora </w:t>
      </w:r>
      <w:r w:rsidR="002A7678" w:rsidRPr="00CE5232">
        <w:rPr>
          <w:rFonts w:ascii="Times New Roman" w:hAnsi="Times New Roman"/>
          <w:b/>
          <w:bCs/>
          <w:sz w:val="28"/>
          <w:szCs w:val="28"/>
        </w:rPr>
        <w:t>apstiprināšanu</w:t>
      </w:r>
      <w:r w:rsidR="00D244C8" w:rsidRPr="00CE5232">
        <w:rPr>
          <w:rFonts w:ascii="Times New Roman" w:hAnsi="Times New Roman"/>
          <w:b/>
          <w:bCs/>
          <w:sz w:val="28"/>
          <w:szCs w:val="28"/>
        </w:rPr>
        <w:t>”</w:t>
      </w:r>
      <w:r w:rsidRPr="00CE5232">
        <w:rPr>
          <w:rFonts w:ascii="Times New Roman" w:hAnsi="Times New Roman"/>
          <w:b/>
          <w:sz w:val="28"/>
          <w:szCs w:val="28"/>
        </w:rPr>
        <w:t xml:space="preserve"> sākotnējās ietekmes novērtējuma ziņojums (anotācija)</w:t>
      </w:r>
    </w:p>
    <w:p w14:paraId="033E5635" w14:textId="77777777" w:rsidR="009552B0" w:rsidRPr="00CE5232" w:rsidRDefault="009552B0" w:rsidP="00AC3D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0"/>
        <w:gridCol w:w="6145"/>
      </w:tblGrid>
      <w:tr w:rsidR="00CE5232" w:rsidRPr="00CE5232" w14:paraId="033E5637" w14:textId="77777777" w:rsidTr="001C34BD">
        <w:trPr>
          <w:trHeight w:val="4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3E5636" w14:textId="77777777" w:rsidR="009552B0" w:rsidRPr="00CE5232" w:rsidRDefault="00AA3019" w:rsidP="001C34BD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5232">
              <w:rPr>
                <w:rFonts w:ascii="Times New Roman" w:hAnsi="Times New Roman"/>
                <w:b/>
                <w:bCs/>
                <w:sz w:val="28"/>
                <w:szCs w:val="28"/>
              </w:rPr>
              <w:t>Tiesību akta projekta anotācijas kopsavilkums</w:t>
            </w:r>
          </w:p>
        </w:tc>
      </w:tr>
      <w:tr w:rsidR="00CE5232" w:rsidRPr="00CE5232" w14:paraId="033E563A" w14:textId="77777777" w:rsidTr="009552B0">
        <w:trPr>
          <w:trHeight w:val="405"/>
        </w:trPr>
        <w:tc>
          <w:tcPr>
            <w:tcW w:w="1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E5638" w14:textId="77777777" w:rsidR="009552B0" w:rsidRPr="00CE5232" w:rsidRDefault="00AA3019" w:rsidP="00D72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3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E5639" w14:textId="1370AF98" w:rsidR="009552B0" w:rsidRPr="00CE5232" w:rsidRDefault="00AA3019" w:rsidP="00D72F88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Saskaņā ar Ministru kabineta 2009.</w:t>
            </w:r>
            <w:r w:rsidR="001E5EC2"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gada 15.</w:t>
            </w:r>
            <w:r w:rsidR="001E5EC2"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decembra instrukcijas Nr.</w:t>
            </w:r>
            <w:r w:rsidR="00A53198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19 “Tiesību akta projekta sākotnējās ietekmes izvērtēšanas kārtība” 5.</w:t>
            </w:r>
            <w:r w:rsidRPr="00CE523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1E5EC2" w:rsidRPr="00CE523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punktu anotācijas kopsavilkums nav jāaizpilda, jo projekts ir Ministru kabineta 2009.</w:t>
            </w:r>
            <w:r w:rsidR="002A6B55"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gada 7.</w:t>
            </w:r>
            <w:r w:rsidR="002A6B55"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aprīļa noteikumu Nr.</w:t>
            </w:r>
            <w:r w:rsidR="00A53198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300 “Ministru kabineta kārtības rullis” 73.3.</w:t>
            </w:r>
            <w:r w:rsidR="001E5EC2"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apakšpunktā minētais tiesību akta projekts.</w:t>
            </w:r>
          </w:p>
        </w:tc>
      </w:tr>
    </w:tbl>
    <w:p w14:paraId="033E563B" w14:textId="77777777" w:rsidR="009552B0" w:rsidRPr="00CE5232" w:rsidRDefault="009552B0" w:rsidP="00D7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2459"/>
        <w:gridCol w:w="6145"/>
      </w:tblGrid>
      <w:tr w:rsidR="00CE5232" w:rsidRPr="00CE5232" w14:paraId="033E563D" w14:textId="77777777" w:rsidTr="0090799F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3E563C" w14:textId="77777777" w:rsidR="00AC7447" w:rsidRPr="00CE5232" w:rsidRDefault="00AA3019" w:rsidP="00D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5232">
              <w:rPr>
                <w:rFonts w:ascii="Times New Roman" w:hAnsi="Times New Roman"/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CE5232" w:rsidRPr="00CE5232" w14:paraId="033E5641" w14:textId="77777777" w:rsidTr="0090799F">
        <w:trPr>
          <w:trHeight w:val="40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E563E" w14:textId="77777777" w:rsidR="00AC7447" w:rsidRPr="00CE5232" w:rsidRDefault="00AA3019" w:rsidP="00D7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E563F" w14:textId="77777777" w:rsidR="00AC7447" w:rsidRPr="00CE5232" w:rsidRDefault="00AA3019" w:rsidP="00D72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Pamatojums</w:t>
            </w:r>
          </w:p>
        </w:tc>
        <w:tc>
          <w:tcPr>
            <w:tcW w:w="3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E5640" w14:textId="2E762D29" w:rsidR="00A44891" w:rsidRPr="00CE5232" w:rsidRDefault="005C7BC9" w:rsidP="00413DC5">
            <w:pPr>
              <w:pStyle w:val="Heading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color w:val="auto"/>
                <w:sz w:val="28"/>
                <w:szCs w:val="28"/>
              </w:rPr>
              <w:t>Izglītības un zinātnes ministrija (turpmāk –</w:t>
            </w:r>
            <w:r w:rsidR="002931B8" w:rsidRPr="00CE52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E52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ministrija)  ir sagatavojusi </w:t>
            </w:r>
            <w:r w:rsidR="00AA3019"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Ministru kabineta rīkoj</w:t>
            </w:r>
            <w:r w:rsidR="00763757"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</w:t>
            </w:r>
            <w:r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ma </w:t>
            </w:r>
            <w:r w:rsidR="00E5080B"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“</w:t>
            </w:r>
            <w:r w:rsidR="001E5EC2"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Par </w:t>
            </w:r>
            <w:r w:rsidR="00413DC5" w:rsidRPr="00CE523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Informācijas sistēmu menedžmenta augstskola</w:t>
            </w:r>
            <w:r w:rsidR="002931B8" w:rsidRPr="00CE523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s</w:t>
            </w:r>
            <w:r w:rsidR="004E72F7"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E5EC2"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rektora</w:t>
            </w:r>
            <w:r w:rsidR="006B6633"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apstiprināšanu</w:t>
            </w:r>
            <w:r w:rsidR="00763757"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”</w:t>
            </w:r>
            <w:r w:rsidR="00EA16F0"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A53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projektu </w:t>
            </w:r>
            <w:r w:rsidR="00763757"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(turpmāk </w:t>
            </w:r>
            <w:r w:rsidR="00AA3019"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projekts) saskaņā ar Augstskolu likuma 17.</w:t>
            </w:r>
            <w:r w:rsidR="00D244C8"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B6633" w:rsidRPr="00CE5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panta piektajā daļā noteikto, ka augstskolas ievēlēto rektoru apstiprina Ministru kabinets pēc augstskolas dibinātāja ierosinājuma.</w:t>
            </w:r>
          </w:p>
        </w:tc>
      </w:tr>
      <w:tr w:rsidR="00CE5232" w:rsidRPr="00CE5232" w14:paraId="033E5647" w14:textId="77777777" w:rsidTr="0090799F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E5642" w14:textId="77777777" w:rsidR="00AC7447" w:rsidRPr="00CE5232" w:rsidRDefault="00AA3019" w:rsidP="00D7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E5643" w14:textId="77777777" w:rsidR="00AC7447" w:rsidRPr="00CE5232" w:rsidRDefault="00AA3019" w:rsidP="00D72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EE2772" w14:textId="438DB7E9" w:rsidR="006B6633" w:rsidRPr="00CE5232" w:rsidRDefault="006B6633" w:rsidP="006B6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Augstskolu likuma 17.</w:t>
            </w:r>
            <w:r w:rsidR="00D244C8" w:rsidRPr="00CE5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panta otrā daļa nosaka, ka augstskolas satversmes sapulce rektoru ievēlē uz termiņu, kas nepārsniedz piecus gadus, ne vairāk kā divas reizes pēc kārtas, kā arī</w:t>
            </w:r>
            <w:r w:rsidR="00A53198">
              <w:rPr>
                <w:rFonts w:ascii="Times New Roman" w:hAnsi="Times New Roman"/>
                <w:sz w:val="28"/>
                <w:szCs w:val="28"/>
              </w:rPr>
              <w:t xml:space="preserve"> to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, ka augstskolās, kas nav universitātes, par rektoru ievēlē profesoru vai personu, kurai ir doktora grāds.</w:t>
            </w:r>
          </w:p>
          <w:p w14:paraId="366C2C50" w14:textId="362933FE" w:rsidR="006B6633" w:rsidRPr="00CE5232" w:rsidRDefault="00D736B9" w:rsidP="006B6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Informācijas </w:t>
            </w:r>
            <w:r w:rsidRPr="00CE52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sistēmu menedžmenta augstskola</w:t>
            </w:r>
            <w:r w:rsidR="002931B8" w:rsidRPr="00CE52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s</w:t>
            </w:r>
            <w:r w:rsidRPr="00CE52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036583" w:rsidRPr="00CE5232">
              <w:rPr>
                <w:rFonts w:ascii="Times New Roman" w:hAnsi="Times New Roman"/>
                <w:sz w:val="28"/>
                <w:szCs w:val="24"/>
              </w:rPr>
              <w:t>Satversmes</w:t>
            </w:r>
            <w:r w:rsidR="002931B8" w:rsidRPr="00CE5232">
              <w:rPr>
                <w:rFonts w:ascii="Times New Roman" w:hAnsi="Times New Roman"/>
                <w:sz w:val="28"/>
                <w:szCs w:val="24"/>
              </w:rPr>
              <w:t xml:space="preserve"> (apstiprināta ar Ministru kabineta 2014. gada 2. jūlija rīkojumu Nr. 318 “Par </w:t>
            </w:r>
            <w:r w:rsidR="002931B8"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Informācijas </w:t>
            </w:r>
            <w:r w:rsidR="002931B8" w:rsidRPr="00CE52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sistēmu menedžmenta augstskolas Satversmes apstiprināšanu”</w:t>
            </w:r>
            <w:r w:rsidR="0018287C" w:rsidRPr="00CE52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)</w:t>
            </w:r>
            <w:r w:rsidR="00036583" w:rsidRPr="00CE5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E5232">
              <w:rPr>
                <w:rFonts w:ascii="Times New Roman" w:hAnsi="Times New Roman"/>
                <w:sz w:val="28"/>
                <w:szCs w:val="24"/>
              </w:rPr>
              <w:t>34</w:t>
            </w:r>
            <w:r w:rsidR="00036583" w:rsidRPr="00CE5232">
              <w:rPr>
                <w:rFonts w:ascii="Times New Roman" w:hAnsi="Times New Roman"/>
                <w:sz w:val="28"/>
                <w:szCs w:val="24"/>
              </w:rPr>
              <w:t>.</w:t>
            </w:r>
            <w:r w:rsidR="00D244C8" w:rsidRPr="00CE5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36583" w:rsidRPr="00CE5232">
              <w:rPr>
                <w:rFonts w:ascii="Times New Roman" w:hAnsi="Times New Roman"/>
                <w:sz w:val="28"/>
                <w:szCs w:val="24"/>
              </w:rPr>
              <w:t>punkts nosaka, ka r</w:t>
            </w:r>
            <w:r w:rsidRPr="00CE52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ektoru, aizklāti balsojot, ievēlē </w:t>
            </w:r>
            <w:hyperlink r:id="rId8" w:tgtFrame="_blank" w:history="1">
              <w:r w:rsidRPr="00CE5232">
                <w:rPr>
                  <w:rStyle w:val="Hyperlink"/>
                  <w:rFonts w:ascii="Times New Roman" w:hAnsi="Times New Roman"/>
                  <w:color w:val="auto"/>
                  <w:sz w:val="28"/>
                  <w:szCs w:val="24"/>
                  <w:u w:val="none"/>
                  <w:shd w:val="clear" w:color="auto" w:fill="FFFFFF"/>
                </w:rPr>
                <w:t>satversmes</w:t>
              </w:r>
            </w:hyperlink>
            <w:r w:rsidRPr="00CE52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 sapulce uz pieciem gadiem, ne vairāk kā divas reizes pēc kārtas. Par rektoru var ievēlēt profesoru vai personu, kurai ir doktora zinātniskais grāds.</w:t>
            </w:r>
          </w:p>
          <w:p w14:paraId="3D2D8931" w14:textId="77777777" w:rsidR="006E5650" w:rsidRDefault="00A53198" w:rsidP="001B4E92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Deniss Djakons ir </w:t>
            </w:r>
            <w:r w:rsidRPr="00CE5232">
              <w:rPr>
                <w:szCs w:val="28"/>
                <w:shd w:val="clear" w:color="auto" w:fill="FFFFFF"/>
              </w:rPr>
              <w:t xml:space="preserve">Informācijas </w:t>
            </w:r>
            <w:r w:rsidRPr="00CE5232">
              <w:rPr>
                <w:shd w:val="clear" w:color="auto" w:fill="FFFFFF"/>
              </w:rPr>
              <w:t xml:space="preserve">sistēmu menedžmenta augstskolas </w:t>
            </w:r>
            <w:r>
              <w:rPr>
                <w:shd w:val="clear" w:color="auto" w:fill="FFFFFF"/>
              </w:rPr>
              <w:t xml:space="preserve">asociētais profesors. </w:t>
            </w:r>
            <w:proofErr w:type="spellStart"/>
            <w:r w:rsidR="006E5650">
              <w:rPr>
                <w:szCs w:val="28"/>
              </w:rPr>
              <w:t>D.Djakons</w:t>
            </w:r>
            <w:proofErr w:type="spellEnd"/>
            <w:r w:rsidR="006E5650">
              <w:rPr>
                <w:szCs w:val="28"/>
              </w:rPr>
              <w:t xml:space="preserve"> ir ieguvis ekonomikas </w:t>
            </w:r>
            <w:r w:rsidR="006E5650" w:rsidRPr="00B0633A">
              <w:rPr>
                <w:szCs w:val="28"/>
              </w:rPr>
              <w:t>zinātņu kandidāta grādu Municipālās vadības akadēmijā Ukrainā.</w:t>
            </w:r>
          </w:p>
          <w:p w14:paraId="21CE85B7" w14:textId="0CA67CED" w:rsidR="006E5650" w:rsidRPr="001B4E92" w:rsidRDefault="00D55626" w:rsidP="001B4E92">
            <w:pPr>
              <w:pStyle w:val="BodyText"/>
              <w:jc w:val="both"/>
              <w:rPr>
                <w:szCs w:val="28"/>
              </w:rPr>
            </w:pPr>
            <w:r w:rsidRPr="00CE5232">
              <w:rPr>
                <w:szCs w:val="28"/>
              </w:rPr>
              <w:t>Lai izvērtētu, vai Denis</w:t>
            </w:r>
            <w:r w:rsidR="00120339" w:rsidRPr="00CE5232">
              <w:rPr>
                <w:szCs w:val="28"/>
              </w:rPr>
              <w:t>a</w:t>
            </w:r>
            <w:r w:rsidRPr="00CE5232">
              <w:rPr>
                <w:szCs w:val="28"/>
              </w:rPr>
              <w:t xml:space="preserve"> Djakon</w:t>
            </w:r>
            <w:r w:rsidR="00120339" w:rsidRPr="00CE5232">
              <w:rPr>
                <w:szCs w:val="28"/>
              </w:rPr>
              <w:t>a ārvalstīs iegūtā izglītība</w:t>
            </w:r>
            <w:r w:rsidRPr="00CE5232">
              <w:rPr>
                <w:szCs w:val="28"/>
              </w:rPr>
              <w:t xml:space="preserve"> atbilst</w:t>
            </w:r>
            <w:r w:rsidR="00120339" w:rsidRPr="00CE5232">
              <w:rPr>
                <w:szCs w:val="28"/>
              </w:rPr>
              <w:t xml:space="preserve"> </w:t>
            </w:r>
            <w:r w:rsidR="00A53198" w:rsidRPr="00CE5232">
              <w:rPr>
                <w:szCs w:val="28"/>
              </w:rPr>
              <w:t>Augstskolu likuma 17. panta otr</w:t>
            </w:r>
            <w:r w:rsidR="00A53198">
              <w:rPr>
                <w:szCs w:val="28"/>
              </w:rPr>
              <w:t xml:space="preserve">ajā daļā </w:t>
            </w:r>
            <w:r w:rsidR="00A53198">
              <w:rPr>
                <w:szCs w:val="28"/>
              </w:rPr>
              <w:lastRenderedPageBreak/>
              <w:t>un</w:t>
            </w:r>
            <w:r w:rsidR="00A53198" w:rsidRPr="00CE5232">
              <w:rPr>
                <w:szCs w:val="28"/>
              </w:rPr>
              <w:t xml:space="preserve"> </w:t>
            </w:r>
            <w:r w:rsidR="00120339" w:rsidRPr="00CE5232">
              <w:rPr>
                <w:szCs w:val="28"/>
                <w:shd w:val="clear" w:color="auto" w:fill="FFFFFF"/>
              </w:rPr>
              <w:t xml:space="preserve">Informācijas </w:t>
            </w:r>
            <w:r w:rsidR="00120339" w:rsidRPr="00CE5232">
              <w:rPr>
                <w:shd w:val="clear" w:color="auto" w:fill="FFFFFF"/>
              </w:rPr>
              <w:t xml:space="preserve">sistēmu menedžmenta augstskolas </w:t>
            </w:r>
            <w:r w:rsidR="00120339" w:rsidRPr="00CE5232">
              <w:t>Satversmes</w:t>
            </w:r>
            <w:r w:rsidRPr="00CE5232">
              <w:rPr>
                <w:szCs w:val="28"/>
              </w:rPr>
              <w:t xml:space="preserve"> </w:t>
            </w:r>
            <w:r w:rsidR="00120339" w:rsidRPr="00CE5232">
              <w:rPr>
                <w:szCs w:val="28"/>
              </w:rPr>
              <w:t>34. punktā noteiktaj</w:t>
            </w:r>
            <w:r w:rsidR="00A53198">
              <w:rPr>
                <w:szCs w:val="28"/>
              </w:rPr>
              <w:t>ā</w:t>
            </w:r>
            <w:r w:rsidR="00120339" w:rsidRPr="00CE5232">
              <w:rPr>
                <w:szCs w:val="28"/>
              </w:rPr>
              <w:t>m</w:t>
            </w:r>
            <w:r w:rsidR="00A53198">
              <w:rPr>
                <w:szCs w:val="28"/>
              </w:rPr>
              <w:t xml:space="preserve"> prasībām</w:t>
            </w:r>
            <w:r w:rsidR="00120339" w:rsidRPr="00CE5232">
              <w:rPr>
                <w:szCs w:val="28"/>
              </w:rPr>
              <w:t xml:space="preserve">, </w:t>
            </w:r>
            <w:r w:rsidR="00A53198">
              <w:rPr>
                <w:szCs w:val="28"/>
              </w:rPr>
              <w:t xml:space="preserve">lai personu varētu ievēlēt par augstskolas, kas nav universitāte, rektoru, </w:t>
            </w:r>
            <w:r w:rsidR="00120339" w:rsidRPr="00CE5232">
              <w:rPr>
                <w:szCs w:val="28"/>
              </w:rPr>
              <w:t>tika veikta Denisa Djakona ā</w:t>
            </w:r>
            <w:r w:rsidRPr="00CE5232">
              <w:rPr>
                <w:szCs w:val="28"/>
                <w:shd w:val="clear" w:color="auto" w:fill="FFFFFF"/>
              </w:rPr>
              <w:t>rva</w:t>
            </w:r>
            <w:r w:rsidR="00120339" w:rsidRPr="00CE5232">
              <w:rPr>
                <w:szCs w:val="28"/>
                <w:shd w:val="clear" w:color="auto" w:fill="FFFFFF"/>
              </w:rPr>
              <w:t>lst</w:t>
            </w:r>
            <w:r w:rsidRPr="00CE5232">
              <w:rPr>
                <w:szCs w:val="28"/>
                <w:shd w:val="clear" w:color="auto" w:fill="FFFFFF"/>
              </w:rPr>
              <w:t xml:space="preserve">īs iegūtā </w:t>
            </w:r>
            <w:r w:rsidR="006E5650">
              <w:rPr>
                <w:szCs w:val="28"/>
                <w:shd w:val="clear" w:color="auto" w:fill="FFFFFF"/>
              </w:rPr>
              <w:t xml:space="preserve">akadēmiskā grāda un </w:t>
            </w:r>
            <w:r w:rsidRPr="00CE5232">
              <w:rPr>
                <w:szCs w:val="28"/>
                <w:shd w:val="clear" w:color="auto" w:fill="FFFFFF"/>
              </w:rPr>
              <w:t xml:space="preserve">izglītības dokumenta ekspertīze </w:t>
            </w:r>
            <w:r w:rsidR="00120339" w:rsidRPr="00CE5232">
              <w:rPr>
                <w:szCs w:val="28"/>
                <w:shd w:val="clear" w:color="auto" w:fill="FFFFFF"/>
              </w:rPr>
              <w:t xml:space="preserve">saskaņā ar </w:t>
            </w:r>
            <w:r w:rsidRPr="00CE5232">
              <w:rPr>
                <w:szCs w:val="28"/>
                <w:shd w:val="clear" w:color="auto" w:fill="FFFFFF"/>
              </w:rPr>
              <w:t>Augstskolu likuma 85.</w:t>
            </w:r>
            <w:r w:rsidR="006E5650">
              <w:rPr>
                <w:szCs w:val="28"/>
                <w:shd w:val="clear" w:color="auto" w:fill="FFFFFF"/>
              </w:rPr>
              <w:t> </w:t>
            </w:r>
            <w:r w:rsidRPr="00CE5232">
              <w:rPr>
                <w:szCs w:val="28"/>
                <w:shd w:val="clear" w:color="auto" w:fill="FFFFFF"/>
              </w:rPr>
              <w:t>pant</w:t>
            </w:r>
            <w:r w:rsidR="00120339" w:rsidRPr="00CE5232">
              <w:rPr>
                <w:szCs w:val="28"/>
                <w:shd w:val="clear" w:color="auto" w:fill="FFFFFF"/>
              </w:rPr>
              <w:t>u.</w:t>
            </w:r>
            <w:r w:rsidRPr="00CE5232">
              <w:rPr>
                <w:szCs w:val="28"/>
                <w:shd w:val="clear" w:color="auto" w:fill="FFFFFF"/>
              </w:rPr>
              <w:t xml:space="preserve"> </w:t>
            </w:r>
          </w:p>
          <w:p w14:paraId="37A49271" w14:textId="77777777" w:rsidR="006E5650" w:rsidRDefault="006E5650" w:rsidP="001B4E92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Augstskolu likuma</w:t>
            </w:r>
            <w:r w:rsidRPr="00B0633A">
              <w:rPr>
                <w:sz w:val="28"/>
                <w:szCs w:val="28"/>
              </w:rPr>
              <w:t xml:space="preserve"> 85.</w:t>
            </w:r>
            <w:r>
              <w:rPr>
                <w:sz w:val="28"/>
                <w:szCs w:val="28"/>
              </w:rPr>
              <w:t> </w:t>
            </w:r>
            <w:r w:rsidRPr="00B0633A">
              <w:rPr>
                <w:sz w:val="28"/>
                <w:szCs w:val="28"/>
              </w:rPr>
              <w:t xml:space="preserve">panta pirmā daļa nosaka, ka </w:t>
            </w:r>
            <w:r>
              <w:rPr>
                <w:sz w:val="28"/>
                <w:szCs w:val="28"/>
              </w:rPr>
              <w:t>ā</w:t>
            </w:r>
            <w:r w:rsidRPr="00B0633A">
              <w:rPr>
                <w:sz w:val="28"/>
                <w:szCs w:val="28"/>
              </w:rPr>
              <w:t>rvalstīs iegūto akadēmisko grādu un izglītības dokumentu, kā arī vidējo izglītību apliecinošu dokumentu ekspertīzi veic Akadēmiskais informācijas centrs.</w:t>
            </w:r>
            <w:r>
              <w:rPr>
                <w:sz w:val="28"/>
                <w:szCs w:val="28"/>
              </w:rPr>
              <w:t xml:space="preserve"> Minētā panta otrā daļa paredz, ka i</w:t>
            </w:r>
            <w:r w:rsidRPr="00B0633A">
              <w:rPr>
                <w:sz w:val="28"/>
                <w:szCs w:val="28"/>
              </w:rPr>
              <w:t>esniegto dokumentu ekspertīzes rezultātā tiek noteikts:</w:t>
            </w:r>
          </w:p>
          <w:p w14:paraId="7DB12597" w14:textId="2EF79CFB" w:rsidR="006E5650" w:rsidRDefault="006E5650" w:rsidP="001B4E92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633A">
              <w:rPr>
                <w:sz w:val="28"/>
                <w:szCs w:val="28"/>
              </w:rPr>
              <w:t xml:space="preserve">1) vai ārvalstīs iegūtais izglītības dokuments atbilst kādam Latvijā piešķirtajam augstākās izglītības </w:t>
            </w:r>
            <w:r>
              <w:rPr>
                <w:sz w:val="28"/>
                <w:szCs w:val="28"/>
              </w:rPr>
              <w:t>dokumentam (turpmāk šajā pantā –</w:t>
            </w:r>
            <w:r w:rsidRPr="00B0633A">
              <w:rPr>
                <w:sz w:val="28"/>
                <w:szCs w:val="28"/>
              </w:rPr>
              <w:t xml:space="preserve"> diploms);</w:t>
            </w:r>
          </w:p>
          <w:p w14:paraId="1313D2C6" w14:textId="77777777" w:rsidR="006E5650" w:rsidRDefault="006E5650" w:rsidP="001B4E92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633A">
              <w:rPr>
                <w:sz w:val="28"/>
                <w:szCs w:val="28"/>
              </w:rPr>
              <w:t>2) kādam Latvijā piešķirtam akadēmiskajam grādam vai diplomam to var pielīdzināt;</w:t>
            </w:r>
          </w:p>
          <w:p w14:paraId="3548483A" w14:textId="77777777" w:rsidR="004E177C" w:rsidRDefault="006E5650" w:rsidP="001B4E92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633A">
              <w:rPr>
                <w:sz w:val="28"/>
                <w:szCs w:val="28"/>
              </w:rPr>
              <w:t xml:space="preserve">3) kādi papildu nosacījumi jāizpilda, lai ārvalstīs iegūto izglītības dokumentu varētu pielīdzināt kādam no Latvijā piešķirtajiem akadēmiskajiem grādiem vai diplomiem, ja ārvalstīs iegūtais akadēmiskais grāds vai izglītības </w:t>
            </w:r>
            <w:r w:rsidRPr="00F72A90">
              <w:rPr>
                <w:sz w:val="28"/>
                <w:szCs w:val="28"/>
              </w:rPr>
              <w:t xml:space="preserve">dokuments neapmierina neviena Latvijā piešķirta akadēmiskā grāda vai diploma prasības. Savukārt </w:t>
            </w:r>
            <w:r w:rsidR="004E177C">
              <w:rPr>
                <w:sz w:val="28"/>
                <w:szCs w:val="28"/>
              </w:rPr>
              <w:t>Augstskolu likuma</w:t>
            </w:r>
            <w:r w:rsidR="004E177C" w:rsidRPr="00B0633A">
              <w:rPr>
                <w:sz w:val="28"/>
                <w:szCs w:val="28"/>
              </w:rPr>
              <w:t xml:space="preserve"> 85.</w:t>
            </w:r>
            <w:r w:rsidR="004E177C">
              <w:rPr>
                <w:sz w:val="28"/>
                <w:szCs w:val="28"/>
              </w:rPr>
              <w:t> </w:t>
            </w:r>
            <w:r w:rsidRPr="00F72A90">
              <w:rPr>
                <w:sz w:val="28"/>
                <w:szCs w:val="28"/>
              </w:rPr>
              <w:t>panta trešā daļa nosaka, ka izglītības dokumenta ekspertīzes rezultātā tā īpašniekam tiek izsniegta izziņa par to, kādam Latvijā piešķirtam akadēmiskajam grādam vai diplomam atbilst ārvalstīs iegūtais izglītības dokuments.</w:t>
            </w:r>
          </w:p>
          <w:p w14:paraId="1B804180" w14:textId="3D195625" w:rsidR="004639CE" w:rsidRDefault="004639CE" w:rsidP="004639CE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Saskaņā ar </w:t>
            </w:r>
            <w:r w:rsidR="00D55626" w:rsidRPr="00CE5232">
              <w:rPr>
                <w:szCs w:val="28"/>
                <w:shd w:val="clear" w:color="auto" w:fill="FFFFFF"/>
              </w:rPr>
              <w:t>Akadēmiskās informācijas centr</w:t>
            </w:r>
            <w:r>
              <w:rPr>
                <w:szCs w:val="28"/>
                <w:shd w:val="clear" w:color="auto" w:fill="FFFFFF"/>
              </w:rPr>
              <w:t>a</w:t>
            </w:r>
            <w:r w:rsidR="00D55626" w:rsidRPr="00CE5232">
              <w:rPr>
                <w:szCs w:val="28"/>
                <w:shd w:val="clear" w:color="auto" w:fill="FFFFFF"/>
              </w:rPr>
              <w:t xml:space="preserve"> </w:t>
            </w:r>
            <w:r w:rsidR="00D55626" w:rsidRPr="00CE5232">
              <w:rPr>
                <w:szCs w:val="28"/>
              </w:rPr>
              <w:t>2014.</w:t>
            </w:r>
            <w:r>
              <w:rPr>
                <w:szCs w:val="28"/>
              </w:rPr>
              <w:t> </w:t>
            </w:r>
            <w:r w:rsidR="00D55626" w:rsidRPr="00CE5232">
              <w:rPr>
                <w:szCs w:val="28"/>
              </w:rPr>
              <w:t>gada 16.</w:t>
            </w:r>
            <w:r>
              <w:rPr>
                <w:szCs w:val="28"/>
              </w:rPr>
              <w:t> </w:t>
            </w:r>
            <w:r w:rsidR="00D55626" w:rsidRPr="00CE5232">
              <w:rPr>
                <w:szCs w:val="28"/>
              </w:rPr>
              <w:t>oktobr</w:t>
            </w:r>
            <w:r>
              <w:rPr>
                <w:szCs w:val="28"/>
              </w:rPr>
              <w:t>a</w:t>
            </w:r>
            <w:r w:rsidR="00D55626" w:rsidRPr="00CE5232">
              <w:rPr>
                <w:szCs w:val="28"/>
              </w:rPr>
              <w:t xml:space="preserve"> izziņu N</w:t>
            </w:r>
            <w:r>
              <w:rPr>
                <w:szCs w:val="28"/>
              </w:rPr>
              <w:t>r. </w:t>
            </w:r>
            <w:r w:rsidR="00D55626" w:rsidRPr="00CE5232">
              <w:rPr>
                <w:szCs w:val="28"/>
              </w:rPr>
              <w:t>2143889 “Par Denisa Djakona izglītības dokumentu”</w:t>
            </w:r>
            <w:r>
              <w:rPr>
                <w:szCs w:val="28"/>
              </w:rPr>
              <w:t xml:space="preserve"> diploms, kas apliecina, ka </w:t>
            </w:r>
            <w:r w:rsidR="00D55626" w:rsidRPr="00CE5232">
              <w:rPr>
                <w:szCs w:val="28"/>
              </w:rPr>
              <w:t>Denis</w:t>
            </w:r>
            <w:r>
              <w:rPr>
                <w:szCs w:val="28"/>
              </w:rPr>
              <w:t>s</w:t>
            </w:r>
            <w:r w:rsidR="00D55626" w:rsidRPr="00CE5232">
              <w:rPr>
                <w:szCs w:val="28"/>
              </w:rPr>
              <w:t xml:space="preserve"> </w:t>
            </w:r>
            <w:proofErr w:type="spellStart"/>
            <w:r w:rsidR="00D55626" w:rsidRPr="00CE5232">
              <w:rPr>
                <w:szCs w:val="28"/>
              </w:rPr>
              <w:t>Djakon</w:t>
            </w:r>
            <w:r>
              <w:rPr>
                <w:szCs w:val="28"/>
              </w:rPr>
              <w:t>s</w:t>
            </w:r>
            <w:proofErr w:type="spellEnd"/>
            <w:r>
              <w:rPr>
                <w:szCs w:val="28"/>
              </w:rPr>
              <w:t xml:space="preserve"> </w:t>
            </w:r>
            <w:r w:rsidRPr="00B0633A">
              <w:rPr>
                <w:szCs w:val="28"/>
              </w:rPr>
              <w:t>Munici</w:t>
            </w:r>
            <w:r>
              <w:rPr>
                <w:szCs w:val="28"/>
              </w:rPr>
              <w:t>pālās vadības akadēmijā Ukrainā ir ieguvis ekonomikas zinātņu kandidāta grādu, ir pielīdzināms Latvijā izsniegtam doktora diplomam.</w:t>
            </w:r>
          </w:p>
          <w:p w14:paraId="65BC5A1C" w14:textId="206CA16C" w:rsidR="00D55626" w:rsidRDefault="004639CE" w:rsidP="006B6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D55626" w:rsidRPr="00CE5232">
              <w:rPr>
                <w:rFonts w:ascii="Times New Roman" w:hAnsi="Times New Roman"/>
                <w:sz w:val="28"/>
                <w:szCs w:val="28"/>
              </w:rPr>
              <w:t>askaņā ar Izglītības likuma 11.</w:t>
            </w:r>
            <w:r w:rsidR="00D55626" w:rsidRPr="00CE523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 </w:t>
            </w:r>
            <w:r w:rsidR="00D55626" w:rsidRPr="00CE5232">
              <w:rPr>
                <w:rFonts w:ascii="Times New Roman" w:hAnsi="Times New Roman"/>
                <w:sz w:val="28"/>
                <w:szCs w:val="28"/>
              </w:rPr>
              <w:t>panta ceturtās daļas 2.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55626" w:rsidRPr="00CE5232">
              <w:rPr>
                <w:rFonts w:ascii="Times New Roman" w:hAnsi="Times New Roman"/>
                <w:sz w:val="28"/>
                <w:szCs w:val="28"/>
              </w:rPr>
              <w:t>punktu l</w:t>
            </w:r>
            <w:r w:rsidR="00D55626"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ēmumu par izglītības dokumenta atzīšanu, pamatojoties uz Akadēmiskās informācijas centra izziņu, pieņemšanai darbā profesijās, kurās profesionālā darbība vai tai nepieciešam</w:t>
            </w:r>
            <w:r w:rsidR="005E7F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ā</w:t>
            </w:r>
            <w:r w:rsidR="00D55626"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izglītība nav reglamentēta likumos, kā arī citos normatīvajos aktos,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5E7F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pieņem </w:t>
            </w:r>
            <w:r w:rsidR="00D55626"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darba devējs. </w:t>
            </w:r>
          </w:p>
          <w:p w14:paraId="7B2DBB62" w14:textId="7EB399E4" w:rsidR="005E7F44" w:rsidRPr="00CE5232" w:rsidRDefault="00D244C8" w:rsidP="005E7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lastRenderedPageBreak/>
              <w:t>Saskaņā ar Ministru kabineta 2015.</w:t>
            </w:r>
            <w:r w:rsidR="00407060" w:rsidRPr="00CE5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 xml:space="preserve">gada </w:t>
            </w:r>
            <w:r w:rsidR="00D736B9" w:rsidRPr="00CE5232">
              <w:rPr>
                <w:rFonts w:ascii="Times New Roman" w:hAnsi="Times New Roman"/>
                <w:sz w:val="28"/>
                <w:szCs w:val="28"/>
              </w:rPr>
              <w:t>28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.</w:t>
            </w:r>
            <w:r w:rsidR="00407060" w:rsidRPr="00CE5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36B9" w:rsidRPr="00CE5232">
              <w:rPr>
                <w:rFonts w:ascii="Times New Roman" w:hAnsi="Times New Roman"/>
                <w:sz w:val="28"/>
                <w:szCs w:val="28"/>
              </w:rPr>
              <w:t>jūlija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 xml:space="preserve"> rīkojumu Nr.</w:t>
            </w:r>
            <w:r w:rsidR="002931B8"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4</w:t>
            </w:r>
            <w:r w:rsidR="00D736B9" w:rsidRPr="00CE5232">
              <w:rPr>
                <w:rFonts w:ascii="Times New Roman" w:hAnsi="Times New Roman"/>
                <w:sz w:val="28"/>
                <w:szCs w:val="28"/>
              </w:rPr>
              <w:t>15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 xml:space="preserve"> “Par </w:t>
            </w:r>
            <w:r w:rsidR="00D736B9" w:rsidRPr="00CE5232">
              <w:rPr>
                <w:rFonts w:ascii="Times New Roman" w:hAnsi="Times New Roman"/>
                <w:sz w:val="28"/>
                <w:szCs w:val="28"/>
              </w:rPr>
              <w:t>Denisu Djakonu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 xml:space="preserve">” par </w:t>
            </w:r>
            <w:r w:rsidR="00584BAD"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Informācijas sistēmu menedžmenta augstskola</w:t>
            </w:r>
            <w:r w:rsidR="002931B8"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</w:t>
            </w:r>
            <w:r w:rsidRPr="00CE5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rektoru uz pirmo piecu gadu termiņu tika apstiprināts</w:t>
            </w:r>
            <w:r w:rsidR="00584BAD" w:rsidRPr="00CE5232">
              <w:rPr>
                <w:rFonts w:ascii="Times New Roman" w:hAnsi="Times New Roman"/>
                <w:sz w:val="28"/>
                <w:szCs w:val="28"/>
              </w:rPr>
              <w:t xml:space="preserve"> Deniss </w:t>
            </w:r>
            <w:proofErr w:type="spellStart"/>
            <w:r w:rsidR="00584BAD" w:rsidRPr="00CE5232">
              <w:rPr>
                <w:rFonts w:ascii="Times New Roman" w:hAnsi="Times New Roman"/>
                <w:sz w:val="28"/>
                <w:szCs w:val="28"/>
              </w:rPr>
              <w:t>Djakons</w:t>
            </w:r>
            <w:proofErr w:type="spellEnd"/>
            <w:r w:rsidR="00F323D9">
              <w:rPr>
                <w:rFonts w:ascii="Times New Roman" w:hAnsi="Times New Roman"/>
                <w:sz w:val="28"/>
                <w:szCs w:val="28"/>
              </w:rPr>
              <w:t>. Šobrīd Denisa Djakona</w:t>
            </w:r>
            <w:r w:rsidR="005E7F44" w:rsidRPr="00CE5232">
              <w:rPr>
                <w:rFonts w:ascii="Times New Roman" w:hAnsi="Times New Roman"/>
                <w:sz w:val="28"/>
                <w:szCs w:val="28"/>
              </w:rPr>
              <w:t xml:space="preserve"> amata pilnvaru termiņš ir beidzies. </w:t>
            </w:r>
          </w:p>
          <w:p w14:paraId="67F26C82" w14:textId="1FF73775" w:rsidR="005C599E" w:rsidRPr="00CE5232" w:rsidRDefault="005C599E" w:rsidP="009627EE">
            <w:pPr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Informācijas sistēmu menedžmenta augstskola</w:t>
            </w:r>
            <w:r w:rsidR="00D244C8" w:rsidRPr="00CE5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C7BC9" w:rsidRPr="00CE5232">
              <w:rPr>
                <w:rFonts w:ascii="Times New Roman" w:hAnsi="Times New Roman"/>
                <w:sz w:val="28"/>
                <w:szCs w:val="28"/>
              </w:rPr>
              <w:t>ar</w:t>
            </w:r>
            <w:r w:rsidR="00AA1B8E" w:rsidRPr="00CE5232">
              <w:rPr>
                <w:rFonts w:ascii="Times New Roman" w:hAnsi="Times New Roman"/>
                <w:sz w:val="28"/>
                <w:szCs w:val="28"/>
              </w:rPr>
              <w:t xml:space="preserve"> 2020.</w:t>
            </w:r>
            <w:r w:rsidR="00D244C8" w:rsidRPr="00CE5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B8E" w:rsidRPr="00CE5232">
              <w:rPr>
                <w:rFonts w:ascii="Times New Roman" w:hAnsi="Times New Roman"/>
                <w:sz w:val="28"/>
                <w:szCs w:val="28"/>
              </w:rPr>
              <w:t xml:space="preserve">gada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14</w:t>
            </w:r>
            <w:r w:rsidR="00AA1B8E" w:rsidRPr="00CE5232">
              <w:rPr>
                <w:rFonts w:ascii="Times New Roman" w:hAnsi="Times New Roman"/>
                <w:sz w:val="28"/>
                <w:szCs w:val="28"/>
              </w:rPr>
              <w:t>.</w:t>
            </w:r>
            <w:r w:rsidR="002931B8"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oktobra</w:t>
            </w:r>
            <w:r w:rsidR="00254BFC" w:rsidRPr="00CE5232">
              <w:rPr>
                <w:rFonts w:ascii="Times New Roman" w:hAnsi="Times New Roman"/>
                <w:sz w:val="28"/>
                <w:szCs w:val="28"/>
              </w:rPr>
              <w:t xml:space="preserve"> vēstuli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 xml:space="preserve"> Nr.</w:t>
            </w:r>
            <w:r w:rsidR="002931B8"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 xml:space="preserve">1-24/64-20 </w:t>
            </w:r>
            <w:r w:rsidR="002931B8" w:rsidRPr="00CE5232">
              <w:rPr>
                <w:rFonts w:ascii="Times New Roman" w:hAnsi="Times New Roman"/>
                <w:sz w:val="28"/>
                <w:szCs w:val="28"/>
              </w:rPr>
              <w:t>“</w:t>
            </w:r>
            <w:r w:rsidR="00036583" w:rsidRPr="00CE5232">
              <w:rPr>
                <w:rFonts w:ascii="Times New Roman" w:hAnsi="Times New Roman"/>
                <w:sz w:val="28"/>
                <w:szCs w:val="28"/>
              </w:rPr>
              <w:t xml:space="preserve">Par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rektora vēlēšanu rezultātiem</w:t>
            </w:r>
            <w:r w:rsidR="00D244C8" w:rsidRPr="00CE5232">
              <w:rPr>
                <w:rFonts w:ascii="Times New Roman" w:hAnsi="Times New Roman"/>
                <w:sz w:val="28"/>
                <w:szCs w:val="28"/>
              </w:rPr>
              <w:t>” ir informējusi</w:t>
            </w:r>
            <w:r w:rsidR="002A6B55" w:rsidRPr="00CE5232">
              <w:rPr>
                <w:rFonts w:ascii="Times New Roman" w:hAnsi="Times New Roman"/>
                <w:sz w:val="28"/>
                <w:szCs w:val="28"/>
              </w:rPr>
              <w:t xml:space="preserve"> ministriju, ka</w:t>
            </w:r>
            <w:r w:rsidR="003027B1" w:rsidRPr="00CE5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B55" w:rsidRPr="00CE5232">
              <w:rPr>
                <w:rFonts w:ascii="Times New Roman" w:hAnsi="Times New Roman"/>
                <w:sz w:val="28"/>
                <w:szCs w:val="28"/>
              </w:rPr>
              <w:t>2020.</w:t>
            </w:r>
            <w:r w:rsidR="001553E6"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="002A6B55" w:rsidRPr="00CE5232">
              <w:rPr>
                <w:rFonts w:ascii="Times New Roman" w:hAnsi="Times New Roman"/>
                <w:sz w:val="28"/>
                <w:szCs w:val="28"/>
              </w:rPr>
              <w:t xml:space="preserve">gada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9</w:t>
            </w:r>
            <w:r w:rsidR="002A6B55" w:rsidRPr="00CE5232">
              <w:rPr>
                <w:rFonts w:ascii="Times New Roman" w:hAnsi="Times New Roman"/>
                <w:sz w:val="28"/>
                <w:szCs w:val="28"/>
              </w:rPr>
              <w:t>.</w:t>
            </w:r>
            <w:r w:rsidR="00D244C8" w:rsidRPr="00CE5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 xml:space="preserve">oktobrī saskaņā ar satversmes sapulces lēmumu </w:t>
            </w:r>
            <w:r w:rsidR="006E5650">
              <w:rPr>
                <w:rFonts w:ascii="Times New Roman" w:hAnsi="Times New Roman"/>
                <w:sz w:val="28"/>
                <w:szCs w:val="28"/>
              </w:rPr>
              <w:t>(</w:t>
            </w:r>
            <w:r w:rsidR="006E5650"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Informācijas sistēmu menedžmenta augstskola</w:t>
            </w:r>
            <w:r w:rsidR="006E5650">
              <w:rPr>
                <w:rFonts w:ascii="Times New Roman" w:hAnsi="Times New Roman"/>
                <w:sz w:val="28"/>
                <w:szCs w:val="24"/>
              </w:rPr>
              <w:t xml:space="preserve">s Satversmes sapulces 2020. gada 9. oktobra protokola 8. punkts)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 xml:space="preserve">par </w:t>
            </w:r>
            <w:r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Informācijas sistēmu menedžmenta augstskola</w:t>
            </w:r>
            <w:r w:rsidR="001553E6"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 rektoru</w:t>
            </w:r>
            <w:r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ir iev</w:t>
            </w:r>
            <w:r w:rsidR="001553E6"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ē</w:t>
            </w:r>
            <w:r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lēts </w:t>
            </w:r>
            <w:r w:rsidRPr="00CE52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asociētais profesors,</w:t>
            </w:r>
            <w:r w:rsidRPr="00CE5232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ekonomikas zinātņu doktors Deniss Djakons.</w:t>
            </w:r>
          </w:p>
          <w:p w14:paraId="2B8976B9" w14:textId="1A5607E4" w:rsidR="0083630D" w:rsidRPr="00CE5232" w:rsidRDefault="003027B1" w:rsidP="005E2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Saskaņā ar Augstskolu likuma 17.</w:t>
            </w:r>
            <w:r w:rsidR="00C51E6D" w:rsidRPr="00CE5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panta pirmo daļu rektors ir augstskolas augstākā amatpersona, kas īsteno augstskolas vispārējo administratīvo vadību un bez īpaša pilnvarojuma pārstāv augstskolu. Rektor</w:t>
            </w:r>
            <w:r w:rsidR="0018287C" w:rsidRPr="00CE5232">
              <w:rPr>
                <w:rFonts w:ascii="Times New Roman" w:hAnsi="Times New Roman"/>
                <w:sz w:val="28"/>
                <w:szCs w:val="28"/>
              </w:rPr>
              <w:t>a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3E6" w:rsidRPr="00CE5232">
              <w:rPr>
                <w:rFonts w:ascii="Times New Roman" w:hAnsi="Times New Roman"/>
                <w:sz w:val="28"/>
                <w:szCs w:val="28"/>
              </w:rPr>
              <w:t>kompetence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3E6" w:rsidRPr="00CE5232">
              <w:rPr>
                <w:rFonts w:ascii="Times New Roman" w:hAnsi="Times New Roman"/>
                <w:sz w:val="28"/>
                <w:szCs w:val="28"/>
              </w:rPr>
              <w:t xml:space="preserve">ir noteikta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Augstskolu likuma 17.</w:t>
            </w:r>
            <w:r w:rsidRPr="00CE523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1553E6" w:rsidRPr="00CE5232">
              <w:rPr>
                <w:rFonts w:ascii="Times New Roman" w:hAnsi="Times New Roman"/>
                <w:sz w:val="28"/>
                <w:szCs w:val="28"/>
                <w:vertAlign w:val="superscript"/>
              </w:rPr>
              <w:t> 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pantā</w:t>
            </w:r>
            <w:r w:rsidR="001553E6" w:rsidRPr="00CE5232">
              <w:rPr>
                <w:rFonts w:ascii="Times New Roman" w:hAnsi="Times New Roman"/>
                <w:sz w:val="28"/>
                <w:szCs w:val="28"/>
              </w:rPr>
              <w:t>.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3E6" w:rsidRPr="00CE5232">
              <w:rPr>
                <w:rFonts w:ascii="Times New Roman" w:hAnsi="Times New Roman"/>
                <w:sz w:val="28"/>
                <w:szCs w:val="28"/>
              </w:rPr>
              <w:t>A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ugstskolas rektors atbild par augstskolas darbības atbilstību normatīvo aktu prasībām</w:t>
            </w:r>
            <w:r w:rsidR="001553E6" w:rsidRPr="00CE5232">
              <w:rPr>
                <w:rFonts w:ascii="Times New Roman" w:hAnsi="Times New Roman"/>
                <w:sz w:val="28"/>
                <w:szCs w:val="28"/>
              </w:rPr>
              <w:t>.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3E6" w:rsidRPr="00CE5232">
              <w:rPr>
                <w:rFonts w:ascii="Times New Roman" w:hAnsi="Times New Roman"/>
                <w:sz w:val="28"/>
                <w:szCs w:val="28"/>
              </w:rPr>
              <w:t>L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 xml:space="preserve">īdz ar to </w:t>
            </w:r>
            <w:r w:rsidR="00977121"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Informācijas sistēmu menedžmenta </w:t>
            </w:r>
            <w:r w:rsidR="00407060"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augstskola</w:t>
            </w:r>
            <w:r w:rsidR="001553E6"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</w:t>
            </w:r>
            <w:r w:rsidR="005C68C4"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t>darbības nepārtrauktai nodrošināšanai ir nepieciešams rektors.</w:t>
            </w:r>
          </w:p>
          <w:p w14:paraId="033E5646" w14:textId="32DD1E87" w:rsidR="00964FF0" w:rsidRPr="00CE5232" w:rsidRDefault="005E2397" w:rsidP="00796C6E">
            <w:pPr>
              <w:pStyle w:val="BodyText"/>
              <w:jc w:val="both"/>
              <w:rPr>
                <w:szCs w:val="28"/>
              </w:rPr>
            </w:pPr>
            <w:r w:rsidRPr="00CE5232">
              <w:rPr>
                <w:szCs w:val="28"/>
              </w:rPr>
              <w:t>Ņemot vērā minēto,</w:t>
            </w:r>
            <w:r w:rsidR="000E031A" w:rsidRPr="00CE5232">
              <w:rPr>
                <w:szCs w:val="28"/>
              </w:rPr>
              <w:t xml:space="preserve"> </w:t>
            </w:r>
            <w:r w:rsidRPr="00CE5232">
              <w:rPr>
                <w:szCs w:val="28"/>
              </w:rPr>
              <w:t>nepieciešams apstiprināt</w:t>
            </w:r>
            <w:r w:rsidR="00796C6E" w:rsidRPr="00CE5232">
              <w:rPr>
                <w:shd w:val="clear" w:color="auto" w:fill="FFFFFF"/>
              </w:rPr>
              <w:t xml:space="preserve"> </w:t>
            </w:r>
            <w:r w:rsidR="00796C6E" w:rsidRPr="00CE5232">
              <w:rPr>
                <w:szCs w:val="28"/>
              </w:rPr>
              <w:t xml:space="preserve">ekonomikas zinātņu doktoru Denisu Djakonu par </w:t>
            </w:r>
            <w:r w:rsidR="00796C6E" w:rsidRPr="00CE5232">
              <w:rPr>
                <w:szCs w:val="28"/>
                <w:shd w:val="clear" w:color="auto" w:fill="FFFFFF"/>
              </w:rPr>
              <w:t>Informācijas sistēmu menedžmenta augstskola</w:t>
            </w:r>
            <w:r w:rsidR="001553E6" w:rsidRPr="00CE5232">
              <w:rPr>
                <w:szCs w:val="28"/>
                <w:shd w:val="clear" w:color="auto" w:fill="FFFFFF"/>
              </w:rPr>
              <w:t>s</w:t>
            </w:r>
            <w:r w:rsidR="009E6A84" w:rsidRPr="00CE5232">
              <w:rPr>
                <w:szCs w:val="28"/>
                <w:shd w:val="clear" w:color="auto" w:fill="FFFFFF"/>
              </w:rPr>
              <w:t xml:space="preserve"> </w:t>
            </w:r>
            <w:r w:rsidRPr="00CE5232">
              <w:rPr>
                <w:szCs w:val="28"/>
              </w:rPr>
              <w:t>rektoru atkārtoti.</w:t>
            </w:r>
          </w:p>
        </w:tc>
      </w:tr>
      <w:tr w:rsidR="00CE5232" w:rsidRPr="00CE5232" w14:paraId="033E564B" w14:textId="77777777" w:rsidTr="0090799F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E5648" w14:textId="0EDF7A5D" w:rsidR="00AC7447" w:rsidRPr="00CE5232" w:rsidRDefault="00AA3019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E5649" w14:textId="77777777" w:rsidR="00AC7447" w:rsidRPr="00CE523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Projekta izstrādē iesaistītās institūcijas</w:t>
            </w:r>
            <w:r w:rsidR="00F849CC" w:rsidRPr="00CE5232">
              <w:rPr>
                <w:rFonts w:ascii="Times New Roman" w:hAnsi="Times New Roman"/>
                <w:sz w:val="28"/>
                <w:szCs w:val="28"/>
              </w:rPr>
              <w:t xml:space="preserve"> un publiskas personas kapitālsabiedrības</w:t>
            </w:r>
          </w:p>
        </w:tc>
        <w:tc>
          <w:tcPr>
            <w:tcW w:w="3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3E564A" w14:textId="77777777" w:rsidR="00AC7447" w:rsidRPr="00CE5232" w:rsidRDefault="0090799F" w:rsidP="006E0B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M</w:t>
            </w:r>
            <w:r w:rsidR="00AA3019" w:rsidRPr="00CE5232">
              <w:rPr>
                <w:rFonts w:ascii="Times New Roman" w:hAnsi="Times New Roman"/>
                <w:sz w:val="28"/>
                <w:szCs w:val="28"/>
              </w:rPr>
              <w:t>inistrija.</w:t>
            </w:r>
          </w:p>
        </w:tc>
      </w:tr>
      <w:tr w:rsidR="00CE5232" w:rsidRPr="00CE5232" w14:paraId="033E564F" w14:textId="77777777" w:rsidTr="0090799F"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E564C" w14:textId="77777777" w:rsidR="00AC7447" w:rsidRPr="00CE5232" w:rsidRDefault="00AA3019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E564D" w14:textId="77777777" w:rsidR="00AC7447" w:rsidRPr="00CE523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3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E564E" w14:textId="77777777" w:rsidR="00AC7447" w:rsidRPr="00CE5232" w:rsidRDefault="001E5EC2" w:rsidP="004A3FEC">
            <w:pPr>
              <w:spacing w:before="100" w:beforeAutospacing="1" w:after="100" w:afterAutospacing="1" w:line="29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Nav.</w:t>
            </w:r>
            <w:r w:rsidR="00B861BA" w:rsidRPr="00CE52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39FACF1A" w14:textId="77777777" w:rsidR="00CE5232" w:rsidRDefault="00CE5232" w:rsidP="00CE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658"/>
        <w:gridCol w:w="5944"/>
      </w:tblGrid>
      <w:tr w:rsidR="00CE5232" w:rsidRPr="00CE5232" w14:paraId="21DC1ADB" w14:textId="77777777" w:rsidTr="00CE5232">
        <w:trPr>
          <w:trHeight w:val="351"/>
        </w:trPr>
        <w:tc>
          <w:tcPr>
            <w:tcW w:w="9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E8F7" w14:textId="77777777" w:rsidR="00CE5232" w:rsidRPr="00CE5232" w:rsidRDefault="00CE5232" w:rsidP="00227465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CE5232" w:rsidRPr="00CE5232" w14:paraId="4F946B20" w14:textId="77777777" w:rsidTr="00CE5232">
        <w:trPr>
          <w:trHeight w:val="465"/>
        </w:trPr>
        <w:tc>
          <w:tcPr>
            <w:tcW w:w="453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FF1635" w14:textId="77777777" w:rsidR="00CE5232" w:rsidRPr="00CE5232" w:rsidRDefault="00CE5232" w:rsidP="00227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3B024" w14:textId="77777777" w:rsidR="00CE5232" w:rsidRPr="00CE5232" w:rsidRDefault="00CE5232" w:rsidP="00227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Sabiedrības mērķgrupas, kuras tiesiskais regulējums </w:t>
            </w:r>
            <w:r w:rsidRPr="00CE52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ietekmē vai varētu ietekmēt</w:t>
            </w:r>
          </w:p>
        </w:tc>
        <w:tc>
          <w:tcPr>
            <w:tcW w:w="5944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93A74" w14:textId="6B3AFD00" w:rsidR="00CE5232" w:rsidRPr="00CE5232" w:rsidRDefault="00CE5232" w:rsidP="00CE5232">
            <w:pPr>
              <w:spacing w:before="10"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Informācijas sistēmu un menedžmenta augstskola.</w:t>
            </w:r>
          </w:p>
        </w:tc>
      </w:tr>
      <w:tr w:rsidR="00CE5232" w:rsidRPr="00CE5232" w14:paraId="67C91B49" w14:textId="77777777" w:rsidTr="00227465">
        <w:trPr>
          <w:trHeight w:val="381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DE958D" w14:textId="77777777" w:rsidR="00CE5232" w:rsidRPr="00CE5232" w:rsidRDefault="00CE5232" w:rsidP="00227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BFD6A" w14:textId="77777777" w:rsidR="00CE5232" w:rsidRPr="00CE5232" w:rsidRDefault="00CE5232" w:rsidP="00227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color w:val="000000"/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DFFBBB" w14:textId="1A8A52D3" w:rsidR="00CE5232" w:rsidRPr="00CE5232" w:rsidRDefault="00CE5232" w:rsidP="00CE5232">
            <w:pPr>
              <w:spacing w:before="10"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iCs/>
                <w:sz w:val="28"/>
                <w:szCs w:val="24"/>
              </w:rPr>
              <w:t>Projekts šo jomu neskar.</w:t>
            </w:r>
          </w:p>
        </w:tc>
      </w:tr>
      <w:tr w:rsidR="00CE5232" w:rsidRPr="00CE5232" w14:paraId="5403AB1E" w14:textId="77777777" w:rsidTr="00227465">
        <w:trPr>
          <w:trHeight w:val="510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89E28" w14:textId="77777777" w:rsidR="00CE5232" w:rsidRPr="00CE5232" w:rsidRDefault="00CE5232" w:rsidP="00227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4827D2" w14:textId="77777777" w:rsidR="00CE5232" w:rsidRPr="00CE5232" w:rsidRDefault="00CE5232" w:rsidP="00227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color w:val="000000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E2487D" w14:textId="466B3984" w:rsidR="00CE5232" w:rsidRPr="00CE5232" w:rsidRDefault="00CE5232" w:rsidP="00CE5232">
            <w:pPr>
              <w:spacing w:before="10"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iCs/>
                <w:sz w:val="28"/>
                <w:szCs w:val="24"/>
              </w:rPr>
              <w:t>Projekts šo jomu neskar.</w:t>
            </w:r>
          </w:p>
        </w:tc>
      </w:tr>
      <w:tr w:rsidR="00CE5232" w:rsidRPr="00CE5232" w14:paraId="3C7AF8A7" w14:textId="77777777" w:rsidTr="00227465">
        <w:trPr>
          <w:trHeight w:val="345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C87138" w14:textId="77777777" w:rsidR="00CE5232" w:rsidRPr="00CE5232" w:rsidRDefault="00CE5232" w:rsidP="00227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C4A95" w14:textId="77777777" w:rsidR="00CE5232" w:rsidRPr="00CE5232" w:rsidRDefault="00CE5232" w:rsidP="00227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color w:val="000000"/>
                <w:sz w:val="28"/>
                <w:szCs w:val="28"/>
              </w:rPr>
              <w:t>Atbilstības izmaksu monetārs novērtējums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B61CC8" w14:textId="4D33EAD1" w:rsidR="00CE5232" w:rsidRPr="00CE5232" w:rsidRDefault="00CE5232" w:rsidP="00CE5232">
            <w:pPr>
              <w:spacing w:before="10" w:after="0" w:line="240" w:lineRule="auto"/>
              <w:ind w:right="11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iCs/>
                <w:sz w:val="28"/>
                <w:szCs w:val="24"/>
              </w:rPr>
              <w:t>Projekts šo jomu neskar.</w:t>
            </w:r>
          </w:p>
        </w:tc>
      </w:tr>
      <w:tr w:rsidR="00CE5232" w:rsidRPr="00CE5232" w14:paraId="6F818E99" w14:textId="77777777" w:rsidTr="00227465">
        <w:trPr>
          <w:trHeight w:val="345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A1E9E5" w14:textId="77777777" w:rsidR="00CE5232" w:rsidRPr="00CE5232" w:rsidRDefault="00CE5232" w:rsidP="00227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6DE1D" w14:textId="77777777" w:rsidR="00CE5232" w:rsidRPr="00CE5232" w:rsidRDefault="00CE5232" w:rsidP="00227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color w:val="000000"/>
                <w:sz w:val="28"/>
                <w:szCs w:val="28"/>
              </w:rPr>
              <w:t>Cita informācija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3FC44" w14:textId="5BC440DF" w:rsidR="00CE5232" w:rsidRPr="00CE5232" w:rsidRDefault="00CE5232" w:rsidP="00CE5232">
            <w:pPr>
              <w:spacing w:before="10"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color w:val="000000"/>
                <w:sz w:val="28"/>
                <w:szCs w:val="28"/>
              </w:rPr>
              <w:t>Nav.</w:t>
            </w:r>
          </w:p>
        </w:tc>
      </w:tr>
    </w:tbl>
    <w:p w14:paraId="033E5668" w14:textId="77777777" w:rsidR="00D12779" w:rsidRPr="00CE5232" w:rsidRDefault="00D12779" w:rsidP="00AC7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E5232" w:rsidRPr="00CE5232" w14:paraId="033E566A" w14:textId="77777777" w:rsidTr="001553E6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3E5669" w14:textId="77777777" w:rsidR="00840E1F" w:rsidRPr="00CE5232" w:rsidRDefault="00AA3019" w:rsidP="00840E1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CE5232" w:rsidRPr="00CE5232" w14:paraId="033E566C" w14:textId="77777777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3E566B" w14:textId="77777777" w:rsidR="00840E1F" w:rsidRPr="00CE5232" w:rsidRDefault="00AA3019" w:rsidP="00840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</w:tbl>
    <w:p w14:paraId="033E566D" w14:textId="77777777" w:rsidR="00D12779" w:rsidRPr="00CE5232" w:rsidRDefault="00D12779" w:rsidP="00AC7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E5232" w:rsidRPr="00CE5232" w14:paraId="033E566F" w14:textId="77777777" w:rsidTr="001553E6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3E566E" w14:textId="77777777" w:rsidR="00840E1F" w:rsidRPr="00CE5232" w:rsidRDefault="00AA3019" w:rsidP="00840E1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CE5232" w:rsidRPr="00CE5232" w14:paraId="033E5671" w14:textId="77777777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3E5670" w14:textId="77777777" w:rsidR="00840E1F" w:rsidRPr="00CE5232" w:rsidRDefault="00AA3019" w:rsidP="00840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</w:tbl>
    <w:p w14:paraId="033E5672" w14:textId="77777777" w:rsidR="00840E1F" w:rsidRPr="00CE5232" w:rsidRDefault="00840E1F" w:rsidP="00AC7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E5232" w:rsidRPr="00CE5232" w14:paraId="033E5674" w14:textId="77777777" w:rsidTr="001553E6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3E5673" w14:textId="77777777" w:rsidR="00840E1F" w:rsidRPr="00CE5232" w:rsidRDefault="00AA3019" w:rsidP="00840E1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CE5232" w:rsidRPr="00CE5232" w14:paraId="033E5676" w14:textId="77777777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3E5675" w14:textId="77777777" w:rsidR="00840E1F" w:rsidRPr="00CE5232" w:rsidRDefault="00AA3019" w:rsidP="00840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</w:tbl>
    <w:p w14:paraId="033E5677" w14:textId="77777777" w:rsidR="00840E1F" w:rsidRPr="00CE5232" w:rsidRDefault="00840E1F" w:rsidP="00AC7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E5232" w:rsidRPr="00CE5232" w14:paraId="033E5679" w14:textId="77777777" w:rsidTr="001553E6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3E5678" w14:textId="77777777" w:rsidR="00840E1F" w:rsidRPr="00CE5232" w:rsidRDefault="00AA3019" w:rsidP="00840E1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CE5232" w:rsidRPr="00CE5232" w14:paraId="033E567B" w14:textId="77777777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3E567A" w14:textId="77777777" w:rsidR="00840E1F" w:rsidRPr="00CE5232" w:rsidRDefault="00AA3019" w:rsidP="00840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</w:tbl>
    <w:p w14:paraId="033E567C" w14:textId="77777777" w:rsidR="00840E1F" w:rsidRPr="00CE5232" w:rsidRDefault="00840E1F" w:rsidP="00AC7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475"/>
        <w:gridCol w:w="5036"/>
      </w:tblGrid>
      <w:tr w:rsidR="00CE5232" w:rsidRPr="00CE5232" w14:paraId="033E567E" w14:textId="77777777" w:rsidTr="006E0B9F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3E567D" w14:textId="77777777" w:rsidR="00AC7447" w:rsidRPr="00CE5232" w:rsidRDefault="00AA3019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 </w:t>
            </w:r>
            <w:r w:rsidRPr="00CE5232">
              <w:rPr>
                <w:rFonts w:ascii="Times New Roman" w:hAnsi="Times New Roman"/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CE5232" w:rsidRPr="00CE5232" w14:paraId="033E5682" w14:textId="77777777" w:rsidTr="00F849CC">
        <w:trPr>
          <w:trHeight w:val="42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567F" w14:textId="77777777" w:rsidR="00AC7447" w:rsidRPr="00CE523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680" w14:textId="77777777" w:rsidR="00AC7447" w:rsidRPr="00CE523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Projekta izpildē iesaistītās institūcijas</w:t>
            </w:r>
          </w:p>
        </w:tc>
        <w:tc>
          <w:tcPr>
            <w:tcW w:w="27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33E5681" w14:textId="49735DA2" w:rsidR="00AC7447" w:rsidRPr="00CE5232" w:rsidRDefault="00796C6E" w:rsidP="00A34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Informācijas sistēmu un menedžmenta augstskola.</w:t>
            </w:r>
          </w:p>
        </w:tc>
      </w:tr>
      <w:tr w:rsidR="00CE5232" w:rsidRPr="00CE5232" w14:paraId="033E5686" w14:textId="77777777" w:rsidTr="00F849CC">
        <w:trPr>
          <w:trHeight w:val="45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5683" w14:textId="77777777" w:rsidR="00AC7447" w:rsidRPr="00CE523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684" w14:textId="77777777" w:rsidR="00AC7447" w:rsidRPr="00CE523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 xml:space="preserve">Projekta izpildes ietekme uz pārvaldes funkcijām un institucionālo struktūru. Jaunu institūciju izveide, esošu institūciju likvidācija vai </w:t>
            </w:r>
            <w:r w:rsidRPr="00CE5232">
              <w:rPr>
                <w:rFonts w:ascii="Times New Roman" w:hAnsi="Times New Roman"/>
                <w:sz w:val="28"/>
                <w:szCs w:val="28"/>
              </w:rPr>
              <w:lastRenderedPageBreak/>
              <w:t>reorganizācija, to ietekme uz institūcijas cilvēkresursiem</w:t>
            </w:r>
          </w:p>
        </w:tc>
        <w:tc>
          <w:tcPr>
            <w:tcW w:w="27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3E5685" w14:textId="77777777" w:rsidR="00AC7447" w:rsidRPr="00CE5232" w:rsidRDefault="00AA3019" w:rsidP="006E0B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lastRenderedPageBreak/>
              <w:t>Projekts šo jomu neskar.</w:t>
            </w:r>
          </w:p>
        </w:tc>
      </w:tr>
      <w:tr w:rsidR="00CE5232" w:rsidRPr="00CE5232" w14:paraId="033E568A" w14:textId="77777777" w:rsidTr="00F849CC">
        <w:trPr>
          <w:trHeight w:val="39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5687" w14:textId="77777777" w:rsidR="00AC7447" w:rsidRPr="00CE523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688" w14:textId="77777777" w:rsidR="00AC7447" w:rsidRPr="00CE523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27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33E5689" w14:textId="3A9A8999" w:rsidR="00AC7447" w:rsidRPr="00CE5232" w:rsidRDefault="00AA3019" w:rsidP="006E0B9F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CE5232">
              <w:rPr>
                <w:rFonts w:ascii="Times New Roman" w:hAnsi="Times New Roman"/>
                <w:sz w:val="28"/>
                <w:szCs w:val="28"/>
              </w:rPr>
              <w:t>Nav</w:t>
            </w:r>
            <w:r w:rsidR="00970758" w:rsidRPr="00CE52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712ACE7" w14:textId="77777777" w:rsidR="00A53198" w:rsidRDefault="00AA3019" w:rsidP="00840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32">
        <w:rPr>
          <w:rFonts w:ascii="Times New Roman" w:hAnsi="Times New Roman"/>
          <w:sz w:val="28"/>
          <w:szCs w:val="28"/>
        </w:rPr>
        <w:tab/>
      </w:r>
    </w:p>
    <w:p w14:paraId="033E568B" w14:textId="527FF854" w:rsidR="00173F3D" w:rsidRPr="00CE5232" w:rsidRDefault="00AA3019" w:rsidP="00840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32">
        <w:rPr>
          <w:rFonts w:ascii="Times New Roman" w:hAnsi="Times New Roman"/>
          <w:sz w:val="28"/>
          <w:szCs w:val="28"/>
        </w:rPr>
        <w:tab/>
      </w:r>
      <w:r w:rsidRPr="00CE5232">
        <w:rPr>
          <w:rFonts w:ascii="Times New Roman" w:hAnsi="Times New Roman"/>
          <w:sz w:val="28"/>
          <w:szCs w:val="28"/>
        </w:rPr>
        <w:tab/>
      </w:r>
      <w:r w:rsidRPr="00CE5232">
        <w:rPr>
          <w:rFonts w:ascii="Times New Roman" w:hAnsi="Times New Roman"/>
          <w:sz w:val="28"/>
          <w:szCs w:val="28"/>
        </w:rPr>
        <w:tab/>
      </w:r>
      <w:r w:rsidRPr="00CE5232">
        <w:rPr>
          <w:rFonts w:ascii="Times New Roman" w:hAnsi="Times New Roman"/>
          <w:sz w:val="28"/>
          <w:szCs w:val="28"/>
        </w:rPr>
        <w:tab/>
        <w:t xml:space="preserve"> </w:t>
      </w:r>
    </w:p>
    <w:p w14:paraId="033E568C" w14:textId="77777777" w:rsidR="00D05C0E" w:rsidRPr="00CE5232" w:rsidRDefault="00D05C0E" w:rsidP="00D05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32">
        <w:rPr>
          <w:rFonts w:ascii="Times New Roman" w:hAnsi="Times New Roman"/>
          <w:sz w:val="28"/>
          <w:szCs w:val="28"/>
        </w:rPr>
        <w:t>Izglītības un zinātnes ministre</w:t>
      </w:r>
      <w:r w:rsidRPr="00CE5232">
        <w:rPr>
          <w:rFonts w:ascii="Times New Roman" w:hAnsi="Times New Roman"/>
          <w:sz w:val="28"/>
          <w:szCs w:val="28"/>
        </w:rPr>
        <w:tab/>
      </w:r>
      <w:r w:rsidRPr="00CE5232">
        <w:rPr>
          <w:rFonts w:ascii="Times New Roman" w:hAnsi="Times New Roman"/>
          <w:sz w:val="28"/>
          <w:szCs w:val="28"/>
        </w:rPr>
        <w:tab/>
      </w:r>
      <w:r w:rsidRPr="00CE5232">
        <w:rPr>
          <w:rFonts w:ascii="Times New Roman" w:hAnsi="Times New Roman"/>
          <w:sz w:val="28"/>
          <w:szCs w:val="28"/>
        </w:rPr>
        <w:tab/>
      </w:r>
      <w:r w:rsidRPr="00CE5232">
        <w:rPr>
          <w:rFonts w:ascii="Times New Roman" w:hAnsi="Times New Roman"/>
          <w:sz w:val="28"/>
          <w:szCs w:val="28"/>
        </w:rPr>
        <w:tab/>
      </w:r>
      <w:r w:rsidRPr="00CE5232">
        <w:rPr>
          <w:rFonts w:ascii="Times New Roman" w:hAnsi="Times New Roman"/>
          <w:sz w:val="28"/>
          <w:szCs w:val="28"/>
        </w:rPr>
        <w:tab/>
      </w:r>
      <w:r w:rsidRPr="00CE5232">
        <w:rPr>
          <w:rFonts w:ascii="Times New Roman" w:hAnsi="Times New Roman"/>
          <w:sz w:val="28"/>
          <w:szCs w:val="28"/>
        </w:rPr>
        <w:tab/>
        <w:t>I</w:t>
      </w:r>
      <w:r w:rsidR="00E06ECC" w:rsidRPr="00CE5232">
        <w:rPr>
          <w:rFonts w:ascii="Times New Roman" w:hAnsi="Times New Roman"/>
          <w:sz w:val="28"/>
          <w:szCs w:val="28"/>
        </w:rPr>
        <w:t>.</w:t>
      </w:r>
      <w:r w:rsidRPr="00CE5232">
        <w:rPr>
          <w:rFonts w:ascii="Times New Roman" w:hAnsi="Times New Roman"/>
          <w:sz w:val="28"/>
          <w:szCs w:val="28"/>
        </w:rPr>
        <w:t xml:space="preserve"> Šuplinska </w:t>
      </w:r>
    </w:p>
    <w:p w14:paraId="033E568D" w14:textId="77777777" w:rsidR="00D05C0E" w:rsidRPr="00CE5232" w:rsidRDefault="00D05C0E" w:rsidP="00D05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3E568E" w14:textId="77777777" w:rsidR="006266AE" w:rsidRPr="00CE5232" w:rsidRDefault="006266AE" w:rsidP="00D05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3E5690" w14:textId="77777777" w:rsidR="00D05C0E" w:rsidRPr="00CE5232" w:rsidRDefault="00D05C0E" w:rsidP="00D05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32">
        <w:rPr>
          <w:rFonts w:ascii="Times New Roman" w:hAnsi="Times New Roman"/>
          <w:sz w:val="28"/>
          <w:szCs w:val="28"/>
        </w:rPr>
        <w:t>Vizē:</w:t>
      </w:r>
    </w:p>
    <w:p w14:paraId="2B094095" w14:textId="69DBE2A5" w:rsidR="0083630D" w:rsidRPr="00CE5232" w:rsidRDefault="0083630D" w:rsidP="0083630D">
      <w:pPr>
        <w:tabs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5232">
        <w:rPr>
          <w:rFonts w:ascii="Times New Roman" w:hAnsi="Times New Roman"/>
          <w:noProof/>
          <w:sz w:val="28"/>
          <w:szCs w:val="28"/>
        </w:rPr>
        <w:t>Valsts sekretāre</w:t>
      </w:r>
      <w:r w:rsidRPr="00CE52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E5232">
        <w:rPr>
          <w:rFonts w:ascii="Times New Roman" w:hAnsi="Times New Roman"/>
          <w:noProof/>
          <w:sz w:val="28"/>
          <w:szCs w:val="28"/>
        </w:rPr>
        <w:t>L</w:t>
      </w:r>
      <w:r w:rsidR="002931B8" w:rsidRPr="00CE5232">
        <w:rPr>
          <w:rFonts w:ascii="Times New Roman" w:hAnsi="Times New Roman"/>
          <w:noProof/>
          <w:sz w:val="28"/>
          <w:szCs w:val="28"/>
        </w:rPr>
        <w:t>.</w:t>
      </w:r>
      <w:r w:rsidRPr="00CE5232">
        <w:rPr>
          <w:rFonts w:ascii="Times New Roman" w:hAnsi="Times New Roman"/>
          <w:noProof/>
          <w:sz w:val="28"/>
          <w:szCs w:val="28"/>
        </w:rPr>
        <w:t xml:space="preserve"> Lejiņa</w:t>
      </w:r>
    </w:p>
    <w:p w14:paraId="1CFF5B17" w14:textId="77777777" w:rsidR="0083630D" w:rsidRPr="00CE5232" w:rsidRDefault="0083630D" w:rsidP="0083630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033E5697" w14:textId="77777777" w:rsidR="00750F74" w:rsidRPr="00CE5232" w:rsidRDefault="00750F74" w:rsidP="00AC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3E5698" w14:textId="77777777" w:rsidR="006266AE" w:rsidRPr="00CE5232" w:rsidRDefault="006266AE" w:rsidP="00AC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3E5699" w14:textId="77777777" w:rsidR="006266AE" w:rsidRPr="00CE5232" w:rsidRDefault="006266AE" w:rsidP="00AC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3E569A" w14:textId="77777777" w:rsidR="006266AE" w:rsidRPr="00CE5232" w:rsidRDefault="006266AE" w:rsidP="00AC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3E569B" w14:textId="77777777" w:rsidR="00F047FB" w:rsidRPr="00CE5232" w:rsidRDefault="00F047FB" w:rsidP="00F047FB">
      <w:pPr>
        <w:pStyle w:val="StyleRight"/>
        <w:spacing w:after="0"/>
        <w:ind w:firstLine="0"/>
        <w:jc w:val="both"/>
        <w:rPr>
          <w:sz w:val="20"/>
          <w:szCs w:val="20"/>
        </w:rPr>
      </w:pPr>
      <w:r w:rsidRPr="00CE5232">
        <w:rPr>
          <w:sz w:val="20"/>
          <w:szCs w:val="20"/>
        </w:rPr>
        <w:t>Karelova,67047982</w:t>
      </w:r>
    </w:p>
    <w:p w14:paraId="033E569C" w14:textId="77777777" w:rsidR="00F047FB" w:rsidRPr="00CE5232" w:rsidRDefault="00C9313E" w:rsidP="00F047FB">
      <w:pPr>
        <w:spacing w:after="0" w:line="240" w:lineRule="auto"/>
        <w:rPr>
          <w:rFonts w:ascii="Times New Roman" w:hAnsi="Times New Roman"/>
          <w:noProof/>
          <w:sz w:val="20"/>
          <w:szCs w:val="24"/>
        </w:rPr>
      </w:pPr>
      <w:hyperlink r:id="rId9" w:history="1">
        <w:r w:rsidR="00F047FB" w:rsidRPr="00CE5232">
          <w:rPr>
            <w:rStyle w:val="Hyperlink"/>
            <w:rFonts w:ascii="Times New Roman" w:hAnsi="Times New Roman"/>
            <w:noProof/>
            <w:color w:val="auto"/>
            <w:sz w:val="20"/>
            <w:szCs w:val="24"/>
          </w:rPr>
          <w:t>dana.karelova@izm.gov.lv</w:t>
        </w:r>
      </w:hyperlink>
    </w:p>
    <w:p w14:paraId="033E569D" w14:textId="77777777" w:rsidR="00300C3D" w:rsidRPr="00CE5232" w:rsidRDefault="00300C3D" w:rsidP="00D05C0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0C3D" w:rsidRPr="00CE5232" w:rsidSect="004C4282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D8B2E" w14:textId="77777777" w:rsidR="00C9313E" w:rsidRDefault="00C9313E">
      <w:pPr>
        <w:spacing w:after="0" w:line="240" w:lineRule="auto"/>
      </w:pPr>
      <w:r>
        <w:separator/>
      </w:r>
    </w:p>
  </w:endnote>
  <w:endnote w:type="continuationSeparator" w:id="0">
    <w:p w14:paraId="7893D455" w14:textId="77777777" w:rsidR="00C9313E" w:rsidRDefault="00C9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56A4" w14:textId="5F77EBD2" w:rsidR="001553E6" w:rsidRPr="00D05C0E" w:rsidRDefault="001553E6" w:rsidP="00D05C0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IZManot_2</w:t>
    </w:r>
    <w:r w:rsidR="00A852BF">
      <w:rPr>
        <w:rFonts w:ascii="Times New Roman" w:hAnsi="Times New Roman"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t>10</w:t>
    </w:r>
    <w:r w:rsidRPr="00D05C0E">
      <w:rPr>
        <w:rFonts w:ascii="Times New Roman" w:hAnsi="Times New Roman"/>
        <w:sz w:val="20"/>
        <w:szCs w:val="20"/>
      </w:rPr>
      <w:t>20_</w:t>
    </w:r>
    <w:r>
      <w:rPr>
        <w:rFonts w:ascii="Times New Roman" w:hAnsi="Times New Roman"/>
        <w:sz w:val="20"/>
        <w:szCs w:val="20"/>
      </w:rPr>
      <w:t>Djakons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56A5" w14:textId="51354436" w:rsidR="001553E6" w:rsidRPr="00752704" w:rsidRDefault="00A852BF" w:rsidP="00AC744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IZManot_27</w:t>
    </w:r>
    <w:r w:rsidR="001553E6">
      <w:rPr>
        <w:rFonts w:ascii="Times New Roman" w:hAnsi="Times New Roman"/>
        <w:sz w:val="20"/>
        <w:szCs w:val="20"/>
      </w:rPr>
      <w:t>1020</w:t>
    </w:r>
    <w:r w:rsidR="001553E6" w:rsidRPr="00D05C0E">
      <w:rPr>
        <w:rFonts w:ascii="Times New Roman" w:hAnsi="Times New Roman"/>
        <w:sz w:val="20"/>
        <w:szCs w:val="20"/>
      </w:rPr>
      <w:t>_</w:t>
    </w:r>
    <w:r w:rsidR="001553E6">
      <w:rPr>
        <w:rFonts w:ascii="Times New Roman" w:hAnsi="Times New Roman"/>
        <w:sz w:val="20"/>
        <w:szCs w:val="20"/>
      </w:rPr>
      <w:t>Djakons</w:t>
    </w:r>
  </w:p>
  <w:p w14:paraId="033E56A6" w14:textId="77777777" w:rsidR="001553E6" w:rsidRPr="00752704" w:rsidRDefault="001553E6" w:rsidP="00752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677E8" w14:textId="77777777" w:rsidR="00C9313E" w:rsidRDefault="00C9313E">
      <w:pPr>
        <w:spacing w:after="0" w:line="240" w:lineRule="auto"/>
      </w:pPr>
      <w:r>
        <w:separator/>
      </w:r>
    </w:p>
  </w:footnote>
  <w:footnote w:type="continuationSeparator" w:id="0">
    <w:p w14:paraId="4103512A" w14:textId="77777777" w:rsidR="00C9313E" w:rsidRDefault="00C9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56A2" w14:textId="77777777" w:rsidR="001553E6" w:rsidRPr="00D25F9A" w:rsidRDefault="001553E6">
    <w:pPr>
      <w:pStyle w:val="Header"/>
      <w:jc w:val="center"/>
      <w:rPr>
        <w:rFonts w:ascii="Times New Roman" w:hAnsi="Times New Roman"/>
        <w:sz w:val="24"/>
        <w:szCs w:val="24"/>
      </w:rPr>
    </w:pPr>
    <w:r w:rsidRPr="00D25F9A">
      <w:rPr>
        <w:rFonts w:ascii="Times New Roman" w:hAnsi="Times New Roman"/>
        <w:sz w:val="24"/>
        <w:szCs w:val="24"/>
      </w:rPr>
      <w:fldChar w:fldCharType="begin"/>
    </w:r>
    <w:r w:rsidRPr="00D25F9A">
      <w:rPr>
        <w:rFonts w:ascii="Times New Roman" w:hAnsi="Times New Roman"/>
        <w:sz w:val="24"/>
        <w:szCs w:val="24"/>
      </w:rPr>
      <w:instrText xml:space="preserve"> PAGE   \* MERGEFORMAT </w:instrText>
    </w:r>
    <w:r w:rsidRPr="00D25F9A">
      <w:rPr>
        <w:rFonts w:ascii="Times New Roman" w:hAnsi="Times New Roman"/>
        <w:sz w:val="24"/>
        <w:szCs w:val="24"/>
      </w:rPr>
      <w:fldChar w:fldCharType="separate"/>
    </w:r>
    <w:r w:rsidR="00A852BF">
      <w:rPr>
        <w:rFonts w:ascii="Times New Roman" w:hAnsi="Times New Roman"/>
        <w:noProof/>
        <w:sz w:val="24"/>
        <w:szCs w:val="24"/>
      </w:rPr>
      <w:t>2</w:t>
    </w:r>
    <w:r w:rsidRPr="00D25F9A">
      <w:rPr>
        <w:rFonts w:ascii="Times New Roman" w:hAnsi="Times New Roman"/>
        <w:noProof/>
        <w:sz w:val="24"/>
        <w:szCs w:val="24"/>
      </w:rPr>
      <w:fldChar w:fldCharType="end"/>
    </w:r>
  </w:p>
  <w:p w14:paraId="033E56A3" w14:textId="77777777" w:rsidR="001553E6" w:rsidRDefault="00155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A7D56"/>
    <w:multiLevelType w:val="hybridMultilevel"/>
    <w:tmpl w:val="02BE7030"/>
    <w:lvl w:ilvl="0" w:tplc="523C1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AC6AA72" w:tentative="1">
      <w:start w:val="1"/>
      <w:numFmt w:val="lowerLetter"/>
      <w:lvlText w:val="%2."/>
      <w:lvlJc w:val="left"/>
      <w:pPr>
        <w:ind w:left="1440" w:hanging="360"/>
      </w:pPr>
    </w:lvl>
    <w:lvl w:ilvl="2" w:tplc="7592C434" w:tentative="1">
      <w:start w:val="1"/>
      <w:numFmt w:val="lowerRoman"/>
      <w:lvlText w:val="%3."/>
      <w:lvlJc w:val="right"/>
      <w:pPr>
        <w:ind w:left="2160" w:hanging="180"/>
      </w:pPr>
    </w:lvl>
    <w:lvl w:ilvl="3" w:tplc="AEF6B35E" w:tentative="1">
      <w:start w:val="1"/>
      <w:numFmt w:val="decimal"/>
      <w:lvlText w:val="%4."/>
      <w:lvlJc w:val="left"/>
      <w:pPr>
        <w:ind w:left="2880" w:hanging="360"/>
      </w:pPr>
    </w:lvl>
    <w:lvl w:ilvl="4" w:tplc="B2808008" w:tentative="1">
      <w:start w:val="1"/>
      <w:numFmt w:val="lowerLetter"/>
      <w:lvlText w:val="%5."/>
      <w:lvlJc w:val="left"/>
      <w:pPr>
        <w:ind w:left="3600" w:hanging="360"/>
      </w:pPr>
    </w:lvl>
    <w:lvl w:ilvl="5" w:tplc="20BAC97E" w:tentative="1">
      <w:start w:val="1"/>
      <w:numFmt w:val="lowerRoman"/>
      <w:lvlText w:val="%6."/>
      <w:lvlJc w:val="right"/>
      <w:pPr>
        <w:ind w:left="4320" w:hanging="180"/>
      </w:pPr>
    </w:lvl>
    <w:lvl w:ilvl="6" w:tplc="72AA7684" w:tentative="1">
      <w:start w:val="1"/>
      <w:numFmt w:val="decimal"/>
      <w:lvlText w:val="%7."/>
      <w:lvlJc w:val="left"/>
      <w:pPr>
        <w:ind w:left="5040" w:hanging="360"/>
      </w:pPr>
    </w:lvl>
    <w:lvl w:ilvl="7" w:tplc="1F1858CE" w:tentative="1">
      <w:start w:val="1"/>
      <w:numFmt w:val="lowerLetter"/>
      <w:lvlText w:val="%8."/>
      <w:lvlJc w:val="left"/>
      <w:pPr>
        <w:ind w:left="5760" w:hanging="360"/>
      </w:pPr>
    </w:lvl>
    <w:lvl w:ilvl="8" w:tplc="3350C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3755"/>
    <w:multiLevelType w:val="multilevel"/>
    <w:tmpl w:val="EA6E2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DM1Mbe0NDMzMjRU0lEKTi0uzszPAykwqgUAX3qPeywAAAA="/>
  </w:docVars>
  <w:rsids>
    <w:rsidRoot w:val="00FD2679"/>
    <w:rsid w:val="000011C3"/>
    <w:rsid w:val="0003579B"/>
    <w:rsid w:val="00036583"/>
    <w:rsid w:val="00043C93"/>
    <w:rsid w:val="000708D6"/>
    <w:rsid w:val="0008397B"/>
    <w:rsid w:val="0009083F"/>
    <w:rsid w:val="000A1FAC"/>
    <w:rsid w:val="000E031A"/>
    <w:rsid w:val="000E5E38"/>
    <w:rsid w:val="000E64C3"/>
    <w:rsid w:val="00106964"/>
    <w:rsid w:val="00110ADD"/>
    <w:rsid w:val="00116CAF"/>
    <w:rsid w:val="00120339"/>
    <w:rsid w:val="00126110"/>
    <w:rsid w:val="001553E6"/>
    <w:rsid w:val="00173F3D"/>
    <w:rsid w:val="0017457D"/>
    <w:rsid w:val="00175049"/>
    <w:rsid w:val="00177111"/>
    <w:rsid w:val="0018287C"/>
    <w:rsid w:val="001900A1"/>
    <w:rsid w:val="001B4E92"/>
    <w:rsid w:val="001C34BD"/>
    <w:rsid w:val="001E03E0"/>
    <w:rsid w:val="001E5EC2"/>
    <w:rsid w:val="00211F85"/>
    <w:rsid w:val="002229C0"/>
    <w:rsid w:val="00254BFC"/>
    <w:rsid w:val="00267372"/>
    <w:rsid w:val="0027420B"/>
    <w:rsid w:val="002931B8"/>
    <w:rsid w:val="00294949"/>
    <w:rsid w:val="002A6B55"/>
    <w:rsid w:val="002A75DD"/>
    <w:rsid w:val="002A7678"/>
    <w:rsid w:val="002B56EF"/>
    <w:rsid w:val="00300C3D"/>
    <w:rsid w:val="003027B1"/>
    <w:rsid w:val="003047C4"/>
    <w:rsid w:val="00341047"/>
    <w:rsid w:val="00385EFC"/>
    <w:rsid w:val="003E44F7"/>
    <w:rsid w:val="00407060"/>
    <w:rsid w:val="00413DC5"/>
    <w:rsid w:val="004170CF"/>
    <w:rsid w:val="004477D9"/>
    <w:rsid w:val="004639CE"/>
    <w:rsid w:val="00491FB1"/>
    <w:rsid w:val="004A3FEC"/>
    <w:rsid w:val="004A7867"/>
    <w:rsid w:val="004C4282"/>
    <w:rsid w:val="004E177C"/>
    <w:rsid w:val="004E72F7"/>
    <w:rsid w:val="004F050E"/>
    <w:rsid w:val="0050060E"/>
    <w:rsid w:val="00551AB6"/>
    <w:rsid w:val="00570578"/>
    <w:rsid w:val="0057585D"/>
    <w:rsid w:val="00584BAD"/>
    <w:rsid w:val="005A3C87"/>
    <w:rsid w:val="005C599E"/>
    <w:rsid w:val="005C68C4"/>
    <w:rsid w:val="005C7BC9"/>
    <w:rsid w:val="005D1079"/>
    <w:rsid w:val="005E2397"/>
    <w:rsid w:val="005E7F44"/>
    <w:rsid w:val="00611BEC"/>
    <w:rsid w:val="006266AE"/>
    <w:rsid w:val="00633D22"/>
    <w:rsid w:val="0064084C"/>
    <w:rsid w:val="00642073"/>
    <w:rsid w:val="0068083C"/>
    <w:rsid w:val="006A12F7"/>
    <w:rsid w:val="006B6633"/>
    <w:rsid w:val="006C7BB6"/>
    <w:rsid w:val="006D0CEA"/>
    <w:rsid w:val="006D2347"/>
    <w:rsid w:val="006E0B9F"/>
    <w:rsid w:val="006E5650"/>
    <w:rsid w:val="007221E4"/>
    <w:rsid w:val="00750F74"/>
    <w:rsid w:val="00752704"/>
    <w:rsid w:val="00763757"/>
    <w:rsid w:val="0076610B"/>
    <w:rsid w:val="00780A52"/>
    <w:rsid w:val="007867A8"/>
    <w:rsid w:val="00796C6E"/>
    <w:rsid w:val="007A2ACD"/>
    <w:rsid w:val="007A5431"/>
    <w:rsid w:val="007B236A"/>
    <w:rsid w:val="007B3E67"/>
    <w:rsid w:val="007D53EE"/>
    <w:rsid w:val="00811DC7"/>
    <w:rsid w:val="00826856"/>
    <w:rsid w:val="0083630D"/>
    <w:rsid w:val="00840E1F"/>
    <w:rsid w:val="008562FF"/>
    <w:rsid w:val="008731E6"/>
    <w:rsid w:val="0088495E"/>
    <w:rsid w:val="00893219"/>
    <w:rsid w:val="008A2F1A"/>
    <w:rsid w:val="008A391C"/>
    <w:rsid w:val="00904270"/>
    <w:rsid w:val="0090799F"/>
    <w:rsid w:val="00910543"/>
    <w:rsid w:val="00913FC1"/>
    <w:rsid w:val="00920DE3"/>
    <w:rsid w:val="009224A3"/>
    <w:rsid w:val="00932D00"/>
    <w:rsid w:val="00944A7A"/>
    <w:rsid w:val="009547BB"/>
    <w:rsid w:val="009552B0"/>
    <w:rsid w:val="009627EE"/>
    <w:rsid w:val="00964495"/>
    <w:rsid w:val="00964FF0"/>
    <w:rsid w:val="00970758"/>
    <w:rsid w:val="00977121"/>
    <w:rsid w:val="00985808"/>
    <w:rsid w:val="00995E26"/>
    <w:rsid w:val="009B4730"/>
    <w:rsid w:val="009D0186"/>
    <w:rsid w:val="009D69A7"/>
    <w:rsid w:val="009E6A84"/>
    <w:rsid w:val="00A1609B"/>
    <w:rsid w:val="00A17A17"/>
    <w:rsid w:val="00A30B88"/>
    <w:rsid w:val="00A3461E"/>
    <w:rsid w:val="00A37529"/>
    <w:rsid w:val="00A40850"/>
    <w:rsid w:val="00A4114F"/>
    <w:rsid w:val="00A44891"/>
    <w:rsid w:val="00A53198"/>
    <w:rsid w:val="00A852BF"/>
    <w:rsid w:val="00AA1B8E"/>
    <w:rsid w:val="00AA3019"/>
    <w:rsid w:val="00AB5842"/>
    <w:rsid w:val="00AB7B22"/>
    <w:rsid w:val="00AC296F"/>
    <w:rsid w:val="00AC3D02"/>
    <w:rsid w:val="00AC68AF"/>
    <w:rsid w:val="00AC7447"/>
    <w:rsid w:val="00AF4EC9"/>
    <w:rsid w:val="00B02462"/>
    <w:rsid w:val="00B13D90"/>
    <w:rsid w:val="00B648F5"/>
    <w:rsid w:val="00B861BA"/>
    <w:rsid w:val="00B86F13"/>
    <w:rsid w:val="00BB09E3"/>
    <w:rsid w:val="00BD68AA"/>
    <w:rsid w:val="00BF122F"/>
    <w:rsid w:val="00C041B7"/>
    <w:rsid w:val="00C40ED2"/>
    <w:rsid w:val="00C475DD"/>
    <w:rsid w:val="00C51E6D"/>
    <w:rsid w:val="00C53397"/>
    <w:rsid w:val="00C6452F"/>
    <w:rsid w:val="00C75B9A"/>
    <w:rsid w:val="00C9313E"/>
    <w:rsid w:val="00C95DAE"/>
    <w:rsid w:val="00CA4AF3"/>
    <w:rsid w:val="00CE5232"/>
    <w:rsid w:val="00CF7C2B"/>
    <w:rsid w:val="00D0220A"/>
    <w:rsid w:val="00D05C0E"/>
    <w:rsid w:val="00D12779"/>
    <w:rsid w:val="00D244C8"/>
    <w:rsid w:val="00D25F9A"/>
    <w:rsid w:val="00D31A8D"/>
    <w:rsid w:val="00D44727"/>
    <w:rsid w:val="00D55626"/>
    <w:rsid w:val="00D649F2"/>
    <w:rsid w:val="00D72F88"/>
    <w:rsid w:val="00D736B9"/>
    <w:rsid w:val="00D809A8"/>
    <w:rsid w:val="00DC2C0F"/>
    <w:rsid w:val="00DC4C1A"/>
    <w:rsid w:val="00DF0240"/>
    <w:rsid w:val="00DF7CCE"/>
    <w:rsid w:val="00E0174A"/>
    <w:rsid w:val="00E0607D"/>
    <w:rsid w:val="00E06ECC"/>
    <w:rsid w:val="00E209AA"/>
    <w:rsid w:val="00E5080B"/>
    <w:rsid w:val="00E9051C"/>
    <w:rsid w:val="00EA16F0"/>
    <w:rsid w:val="00EB6C40"/>
    <w:rsid w:val="00EC0BE6"/>
    <w:rsid w:val="00EE2933"/>
    <w:rsid w:val="00EF140D"/>
    <w:rsid w:val="00EF2D6D"/>
    <w:rsid w:val="00F047FB"/>
    <w:rsid w:val="00F0661D"/>
    <w:rsid w:val="00F07278"/>
    <w:rsid w:val="00F15288"/>
    <w:rsid w:val="00F201CB"/>
    <w:rsid w:val="00F323D9"/>
    <w:rsid w:val="00F325FD"/>
    <w:rsid w:val="00F849CC"/>
    <w:rsid w:val="00F94779"/>
    <w:rsid w:val="00F9672B"/>
    <w:rsid w:val="00FA63F8"/>
    <w:rsid w:val="00FC2D53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E5634"/>
  <w15:chartTrackingRefBased/>
  <w15:docId w15:val="{FCAADD8D-B024-4056-AE96-D2852A4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47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EC2"/>
    <w:pPr>
      <w:keepNext/>
      <w:keepLines/>
      <w:widowControl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7447"/>
    <w:rPr>
      <w:color w:val="0000FF"/>
      <w:u w:val="single"/>
    </w:rPr>
  </w:style>
  <w:style w:type="paragraph" w:customStyle="1" w:styleId="tv20787921">
    <w:name w:val="tv207_87_921"/>
    <w:basedOn w:val="Normal"/>
    <w:rsid w:val="00AC7447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naisf">
    <w:name w:val="naisf"/>
    <w:basedOn w:val="Normal"/>
    <w:rsid w:val="00AC7447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47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C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47"/>
    <w:rPr>
      <w:rFonts w:ascii="Calibri" w:eastAsia="Times New Roman" w:hAnsi="Calibri" w:cs="Times New Roman"/>
      <w:lang w:eastAsia="lv-LV"/>
    </w:rPr>
  </w:style>
  <w:style w:type="paragraph" w:styleId="ListParagraph">
    <w:name w:val="List Paragraph"/>
    <w:basedOn w:val="Normal"/>
    <w:uiPriority w:val="99"/>
    <w:qFormat/>
    <w:rsid w:val="00AC7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CC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E5E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6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B55"/>
    <w:rPr>
      <w:rFonts w:ascii="Calibri" w:eastAsia="Times New Roman" w:hAnsi="Calibri" w:cs="Times New Roman"/>
      <w:sz w:val="20"/>
      <w:szCs w:val="20"/>
      <w:lang w:eastAsia="lv-LV"/>
    </w:rPr>
  </w:style>
  <w:style w:type="paragraph" w:customStyle="1" w:styleId="StyleRight">
    <w:name w:val="Style Right"/>
    <w:basedOn w:val="Normal"/>
    <w:rsid w:val="00F047FB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3027B1"/>
    <w:pPr>
      <w:spacing w:after="0" w:line="240" w:lineRule="auto"/>
    </w:pPr>
    <w:rPr>
      <w:rFonts w:ascii="Times New Roman" w:hAnsi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027B1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A2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2F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F1A"/>
    <w:rPr>
      <w:rFonts w:ascii="Calibri" w:eastAsia="Times New Roman" w:hAnsi="Calibri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A2F1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3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3E6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6E56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66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980-latvijas-republikas-satvers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a.karelova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A9137-12E3-4632-8924-4000AD56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4717</Words>
  <Characters>2689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Dana Karelova</cp:lastModifiedBy>
  <cp:revision>11</cp:revision>
  <dcterms:created xsi:type="dcterms:W3CDTF">2020-10-22T11:33:00Z</dcterms:created>
  <dcterms:modified xsi:type="dcterms:W3CDTF">2020-10-27T08:23:00Z</dcterms:modified>
</cp:coreProperties>
</file>