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C17E9" w:rsidR="002C678D" w:rsidP="002C678D" w:rsidRDefault="002C678D">
      <w:pPr>
        <w:pStyle w:val="naisnod"/>
        <w:spacing w:before="0" w:after="0"/>
        <w:rPr>
          <w:sz w:val="22"/>
          <w:szCs w:val="22"/>
        </w:rPr>
      </w:pPr>
      <w:bookmarkStart w:name="_GoBack" w:id="0"/>
      <w:bookmarkEnd w:id="0"/>
      <w:r w:rsidRPr="004C17E9">
        <w:rPr>
          <w:sz w:val="22"/>
          <w:szCs w:val="22"/>
        </w:rPr>
        <w:t>Izziņa par atzinumos sniegtajiem iebildumiem</w:t>
      </w:r>
    </w:p>
    <w:p w:rsidRPr="004C17E9" w:rsidR="00485731" w:rsidP="002C678D" w:rsidRDefault="002C678D">
      <w:pPr>
        <w:jc w:val="center"/>
        <w:rPr>
          <w:b/>
          <w:bCs/>
          <w:sz w:val="22"/>
          <w:szCs w:val="22"/>
        </w:rPr>
      </w:pPr>
      <w:r w:rsidRPr="004C17E9">
        <w:rPr>
          <w:b/>
          <w:sz w:val="22"/>
          <w:szCs w:val="22"/>
        </w:rPr>
        <w:t>par Ministru kabineta rīkojuma projektu „</w:t>
      </w:r>
      <w:r w:rsidRPr="004C17E9" w:rsidR="00B856B6">
        <w:rPr>
          <w:b/>
          <w:bCs/>
          <w:sz w:val="22"/>
          <w:szCs w:val="22"/>
        </w:rPr>
        <w:t xml:space="preserve">Par valstij dividendēs izmaksājamo valsts sabiedrības ar ierobežotu atbildību </w:t>
      </w:r>
    </w:p>
    <w:p w:rsidRPr="004C17E9" w:rsidR="002C678D" w:rsidP="002C678D" w:rsidRDefault="00B856B6">
      <w:pPr>
        <w:jc w:val="center"/>
        <w:rPr>
          <w:b/>
          <w:sz w:val="22"/>
          <w:szCs w:val="22"/>
        </w:rPr>
      </w:pPr>
      <w:r w:rsidRPr="004C17E9">
        <w:rPr>
          <w:b/>
          <w:sz w:val="22"/>
          <w:szCs w:val="22"/>
        </w:rPr>
        <w:t>„</w:t>
      </w:r>
      <w:r w:rsidRPr="004C17E9" w:rsidR="00DC7ACD">
        <w:rPr>
          <w:b/>
          <w:sz w:val="22"/>
          <w:szCs w:val="22"/>
        </w:rPr>
        <w:t>Mihaila Čehova Rīgas Krievu teātris</w:t>
      </w:r>
      <w:r w:rsidRPr="004C17E9">
        <w:rPr>
          <w:b/>
          <w:sz w:val="22"/>
          <w:szCs w:val="22"/>
        </w:rPr>
        <w:t xml:space="preserve">” </w:t>
      </w:r>
      <w:r w:rsidRPr="004C17E9">
        <w:rPr>
          <w:b/>
          <w:bCs/>
          <w:sz w:val="22"/>
          <w:szCs w:val="22"/>
        </w:rPr>
        <w:t>peļņas daļu</w:t>
      </w:r>
      <w:r w:rsidRPr="004C17E9" w:rsidR="002C678D">
        <w:rPr>
          <w:b/>
          <w:sz w:val="22"/>
          <w:szCs w:val="22"/>
        </w:rPr>
        <w:t>”</w:t>
      </w:r>
    </w:p>
    <w:p w:rsidRPr="004C17E9" w:rsidR="002C678D" w:rsidP="002C678D" w:rsidRDefault="002C678D">
      <w:pPr>
        <w:jc w:val="center"/>
        <w:rPr>
          <w:b/>
          <w:sz w:val="22"/>
          <w:szCs w:val="22"/>
        </w:rPr>
      </w:pPr>
    </w:p>
    <w:p w:rsidRPr="004C17E9" w:rsidR="002C678D" w:rsidP="002C678D" w:rsidRDefault="00B856B6">
      <w:pPr>
        <w:numPr>
          <w:ilvl w:val="0"/>
          <w:numId w:val="1"/>
        </w:numPr>
        <w:ind w:left="567" w:hanging="207"/>
        <w:jc w:val="center"/>
        <w:rPr>
          <w:b/>
          <w:bCs/>
          <w:sz w:val="22"/>
          <w:szCs w:val="22"/>
        </w:rPr>
      </w:pPr>
      <w:r w:rsidRPr="004C17E9">
        <w:rPr>
          <w:b/>
          <w:bCs/>
          <w:sz w:val="22"/>
          <w:szCs w:val="22"/>
        </w:rPr>
        <w:t>Jautājumi, par kuriem saskaņošanā vienošanās nav panākta</w:t>
      </w:r>
    </w:p>
    <w:p w:rsidRPr="004C17E9" w:rsidR="002C678D" w:rsidP="002C678D" w:rsidRDefault="002C678D">
      <w:pPr>
        <w:ind w:left="567"/>
        <w:rPr>
          <w:b/>
          <w:bCs/>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20"/>
        <w:gridCol w:w="2415"/>
        <w:gridCol w:w="3169"/>
        <w:gridCol w:w="3018"/>
        <w:gridCol w:w="2451"/>
        <w:gridCol w:w="2446"/>
      </w:tblGrid>
      <w:tr w:rsidRPr="004C17E9" w:rsidR="002C678D" w:rsidTr="00777F2F">
        <w:tc>
          <w:tcPr>
            <w:tcW w:w="253"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B856B6">
            <w:pPr>
              <w:pStyle w:val="naisc"/>
              <w:spacing w:before="0" w:after="0"/>
              <w:rPr>
                <w:lang w:eastAsia="en-US"/>
              </w:rPr>
            </w:pPr>
            <w:r w:rsidRPr="004C17E9">
              <w:rPr>
                <w:sz w:val="22"/>
                <w:szCs w:val="22"/>
                <w:lang w:eastAsia="en-US"/>
              </w:rPr>
              <w:t>Nr. p.k.</w:t>
            </w:r>
          </w:p>
        </w:tc>
        <w:tc>
          <w:tcPr>
            <w:tcW w:w="849"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ind w:firstLine="12"/>
              <w:rPr>
                <w:lang w:eastAsia="en-US"/>
              </w:rPr>
            </w:pPr>
            <w:r w:rsidRPr="004C17E9">
              <w:rPr>
                <w:sz w:val="22"/>
                <w:szCs w:val="22"/>
                <w:lang w:eastAsia="en-US"/>
              </w:rPr>
              <w:t>Saskaņošanai nosūtītā projekta redakcija (konkrēta punkta (panta) redakcija)</w:t>
            </w:r>
          </w:p>
        </w:tc>
        <w:tc>
          <w:tcPr>
            <w:tcW w:w="1114"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ind w:right="3"/>
              <w:rPr>
                <w:lang w:eastAsia="en-US"/>
              </w:rPr>
            </w:pPr>
            <w:r w:rsidRPr="004C17E9">
              <w:rPr>
                <w:sz w:val="22"/>
                <w:szCs w:val="22"/>
                <w:lang w:eastAsia="en-US"/>
              </w:rPr>
              <w:t>Atzinumā norādītais ministrijas (citas institūcijas) iebildums, kā arī saskaņošanā papildus izteiktais iebildums par projekta konkrēto punktu (pantu)</w:t>
            </w:r>
          </w:p>
        </w:tc>
        <w:tc>
          <w:tcPr>
            <w:tcW w:w="1061"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ind w:firstLine="21"/>
              <w:rPr>
                <w:lang w:eastAsia="en-US"/>
              </w:rPr>
            </w:pPr>
            <w:r w:rsidRPr="004C17E9">
              <w:rPr>
                <w:sz w:val="22"/>
                <w:szCs w:val="22"/>
                <w:lang w:eastAsia="en-US"/>
              </w:rPr>
              <w:t>Atbildīgās ministrijas pamatojums iebilduma noraidījumam</w:t>
            </w:r>
          </w:p>
        </w:tc>
        <w:tc>
          <w:tcPr>
            <w:tcW w:w="862" w:type="pct"/>
            <w:tcBorders>
              <w:top w:val="single" w:color="auto" w:sz="4" w:space="0"/>
              <w:left w:val="single" w:color="auto" w:sz="4" w:space="0"/>
              <w:bottom w:val="single" w:color="auto" w:sz="4" w:space="0"/>
              <w:right w:val="single" w:color="auto" w:sz="4" w:space="0"/>
            </w:tcBorders>
            <w:vAlign w:val="center"/>
            <w:hideMark/>
          </w:tcPr>
          <w:p w:rsidRPr="004C17E9" w:rsidR="002C678D" w:rsidP="00777F2F" w:rsidRDefault="002C678D">
            <w:pPr>
              <w:jc w:val="center"/>
              <w:rPr>
                <w:lang w:eastAsia="en-US"/>
              </w:rPr>
            </w:pPr>
            <w:r w:rsidRPr="004C17E9">
              <w:rPr>
                <w:sz w:val="22"/>
                <w:szCs w:val="22"/>
                <w:lang w:eastAsia="en-US"/>
              </w:rPr>
              <w:t>Atzinuma sniedzēja uzturētais iebildums, ja tas atšķiras no atzinumā norādītā iebilduma pamatojuma</w:t>
            </w:r>
          </w:p>
        </w:tc>
        <w:tc>
          <w:tcPr>
            <w:tcW w:w="860" w:type="pct"/>
            <w:tcBorders>
              <w:top w:val="single" w:color="auto" w:sz="4" w:space="0"/>
              <w:left w:val="single" w:color="auto" w:sz="4" w:space="0"/>
              <w:bottom w:val="single" w:color="auto" w:sz="4" w:space="0"/>
              <w:right w:val="single" w:color="auto" w:sz="4" w:space="0"/>
            </w:tcBorders>
            <w:vAlign w:val="center"/>
            <w:hideMark/>
          </w:tcPr>
          <w:p w:rsidRPr="004C17E9" w:rsidR="002C678D" w:rsidP="00777F2F" w:rsidRDefault="002C678D">
            <w:pPr>
              <w:jc w:val="center"/>
              <w:rPr>
                <w:lang w:eastAsia="en-US"/>
              </w:rPr>
            </w:pPr>
            <w:r w:rsidRPr="004C17E9">
              <w:rPr>
                <w:sz w:val="22"/>
                <w:szCs w:val="22"/>
                <w:lang w:eastAsia="en-US"/>
              </w:rPr>
              <w:t>Projekta attiecīgā punkta (panta) galīgā redakcija</w:t>
            </w:r>
          </w:p>
        </w:tc>
      </w:tr>
      <w:tr w:rsidRPr="004C17E9" w:rsidR="002C678D" w:rsidTr="00777F2F">
        <w:tc>
          <w:tcPr>
            <w:tcW w:w="253"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pStyle w:val="naisc"/>
              <w:spacing w:before="0" w:after="0"/>
              <w:rPr>
                <w:lang w:eastAsia="en-US"/>
              </w:rPr>
            </w:pPr>
            <w:r w:rsidRPr="004C17E9">
              <w:rPr>
                <w:sz w:val="22"/>
                <w:szCs w:val="22"/>
                <w:lang w:eastAsia="en-US"/>
              </w:rPr>
              <w:t>1</w:t>
            </w:r>
          </w:p>
        </w:tc>
        <w:tc>
          <w:tcPr>
            <w:tcW w:w="849"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pStyle w:val="naisc"/>
              <w:spacing w:before="0" w:after="0"/>
              <w:ind w:hanging="11"/>
              <w:rPr>
                <w:lang w:eastAsia="en-US"/>
              </w:rPr>
            </w:pPr>
            <w:r w:rsidRPr="004C17E9">
              <w:rPr>
                <w:sz w:val="22"/>
                <w:szCs w:val="22"/>
                <w:lang w:eastAsia="en-US"/>
              </w:rPr>
              <w:t>2</w:t>
            </w:r>
          </w:p>
        </w:tc>
        <w:tc>
          <w:tcPr>
            <w:tcW w:w="1114"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pStyle w:val="naisc"/>
              <w:spacing w:before="0" w:after="0"/>
              <w:rPr>
                <w:lang w:eastAsia="en-US"/>
              </w:rPr>
            </w:pPr>
            <w:r w:rsidRPr="004C17E9">
              <w:rPr>
                <w:sz w:val="22"/>
                <w:szCs w:val="22"/>
                <w:lang w:eastAsia="en-US"/>
              </w:rPr>
              <w:t>3</w:t>
            </w:r>
          </w:p>
        </w:tc>
        <w:tc>
          <w:tcPr>
            <w:tcW w:w="1061"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pStyle w:val="naisc"/>
              <w:spacing w:before="0" w:after="0"/>
              <w:rPr>
                <w:lang w:eastAsia="en-US"/>
              </w:rPr>
            </w:pPr>
            <w:r w:rsidRPr="004C17E9">
              <w:rPr>
                <w:sz w:val="22"/>
                <w:szCs w:val="22"/>
                <w:lang w:eastAsia="en-US"/>
              </w:rPr>
              <w:t>4</w:t>
            </w:r>
          </w:p>
        </w:tc>
        <w:tc>
          <w:tcPr>
            <w:tcW w:w="862" w:type="pct"/>
            <w:tcBorders>
              <w:top w:val="single" w:color="auto" w:sz="4" w:space="0"/>
              <w:left w:val="single" w:color="auto" w:sz="4" w:space="0"/>
              <w:bottom w:val="single" w:color="auto" w:sz="4" w:space="0"/>
              <w:right w:val="single" w:color="auto" w:sz="4" w:space="0"/>
            </w:tcBorders>
            <w:hideMark/>
          </w:tcPr>
          <w:p w:rsidRPr="004C17E9" w:rsidR="002C678D" w:rsidP="00777F2F" w:rsidRDefault="002C678D">
            <w:pPr>
              <w:jc w:val="center"/>
              <w:rPr>
                <w:lang w:eastAsia="en-US"/>
              </w:rPr>
            </w:pPr>
            <w:r w:rsidRPr="004C17E9">
              <w:rPr>
                <w:sz w:val="22"/>
                <w:szCs w:val="22"/>
                <w:lang w:eastAsia="en-US"/>
              </w:rPr>
              <w:t>5</w:t>
            </w:r>
          </w:p>
        </w:tc>
        <w:tc>
          <w:tcPr>
            <w:tcW w:w="860" w:type="pct"/>
            <w:tcBorders>
              <w:top w:val="single" w:color="auto" w:sz="4" w:space="0"/>
              <w:left w:val="single" w:color="auto" w:sz="4" w:space="0"/>
              <w:bottom w:val="single" w:color="auto" w:sz="4" w:space="0"/>
              <w:right w:val="single" w:color="auto" w:sz="4" w:space="0"/>
            </w:tcBorders>
            <w:hideMark/>
          </w:tcPr>
          <w:p w:rsidRPr="004C17E9" w:rsidR="002C678D" w:rsidP="00777F2F" w:rsidRDefault="002C678D">
            <w:pPr>
              <w:jc w:val="center"/>
              <w:rPr>
                <w:lang w:eastAsia="en-US"/>
              </w:rPr>
            </w:pPr>
            <w:r w:rsidRPr="004C17E9">
              <w:rPr>
                <w:sz w:val="22"/>
                <w:szCs w:val="22"/>
                <w:lang w:eastAsia="en-US"/>
              </w:rPr>
              <w:t>6</w:t>
            </w:r>
          </w:p>
        </w:tc>
      </w:tr>
      <w:tr w:rsidRPr="004C17E9" w:rsidR="002C678D" w:rsidTr="00777F2F">
        <w:tc>
          <w:tcPr>
            <w:tcW w:w="253"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pStyle w:val="naisc"/>
              <w:spacing w:before="0" w:after="0"/>
              <w:rPr>
                <w:lang w:eastAsia="en-US"/>
              </w:rPr>
            </w:pPr>
          </w:p>
        </w:tc>
        <w:tc>
          <w:tcPr>
            <w:tcW w:w="849" w:type="pct"/>
            <w:tcBorders>
              <w:top w:val="single" w:color="000000" w:sz="6" w:space="0"/>
              <w:left w:val="single" w:color="000000" w:sz="6" w:space="0"/>
              <w:bottom w:val="single" w:color="000000" w:sz="6" w:space="0"/>
              <w:right w:val="single" w:color="000000" w:sz="6" w:space="0"/>
            </w:tcBorders>
          </w:tcPr>
          <w:p w:rsidRPr="004C17E9" w:rsidR="002C678D" w:rsidP="00777F2F" w:rsidRDefault="002C678D">
            <w:pPr>
              <w:jc w:val="both"/>
              <w:rPr>
                <w:lang w:eastAsia="en-US"/>
              </w:rPr>
            </w:pPr>
          </w:p>
        </w:tc>
        <w:tc>
          <w:tcPr>
            <w:tcW w:w="1114"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rPr>
                <w:rFonts w:eastAsiaTheme="minorHAnsi"/>
                <w:lang w:eastAsia="en-US"/>
              </w:rPr>
            </w:pPr>
          </w:p>
        </w:tc>
        <w:tc>
          <w:tcPr>
            <w:tcW w:w="1061" w:type="pct"/>
            <w:tcBorders>
              <w:top w:val="single" w:color="000000" w:sz="6" w:space="0"/>
              <w:left w:val="single" w:color="000000" w:sz="6" w:space="0"/>
              <w:bottom w:val="single" w:color="000000" w:sz="6" w:space="0"/>
              <w:right w:val="single" w:color="000000" w:sz="6" w:space="0"/>
            </w:tcBorders>
            <w:hideMark/>
          </w:tcPr>
          <w:p w:rsidRPr="004C17E9" w:rsidR="002C678D" w:rsidP="00777F2F" w:rsidRDefault="002C678D">
            <w:pPr>
              <w:rPr>
                <w:rFonts w:eastAsiaTheme="minorHAnsi"/>
                <w:lang w:eastAsia="en-US"/>
              </w:rPr>
            </w:pPr>
          </w:p>
        </w:tc>
        <w:tc>
          <w:tcPr>
            <w:tcW w:w="862" w:type="pct"/>
            <w:tcBorders>
              <w:top w:val="single" w:color="auto" w:sz="4" w:space="0"/>
              <w:left w:val="single" w:color="auto" w:sz="4" w:space="0"/>
              <w:bottom w:val="single" w:color="auto" w:sz="4" w:space="0"/>
              <w:right w:val="single" w:color="auto" w:sz="4" w:space="0"/>
            </w:tcBorders>
          </w:tcPr>
          <w:p w:rsidRPr="004C17E9" w:rsidR="002C678D" w:rsidP="00777F2F" w:rsidRDefault="002C678D">
            <w:pPr>
              <w:pStyle w:val="Bezatstarpm"/>
              <w:jc w:val="both"/>
              <w:rPr>
                <w:rFonts w:ascii="Times New Roman" w:hAnsi="Times New Roman" w:eastAsia="Times New Roman"/>
                <w:lang w:eastAsia="lv-LV" w:bidi="yi-Hebr"/>
              </w:rPr>
            </w:pPr>
          </w:p>
        </w:tc>
        <w:tc>
          <w:tcPr>
            <w:tcW w:w="860" w:type="pct"/>
            <w:tcBorders>
              <w:top w:val="single" w:color="auto" w:sz="4" w:space="0"/>
              <w:left w:val="single" w:color="auto" w:sz="4" w:space="0"/>
              <w:bottom w:val="single" w:color="auto" w:sz="4" w:space="0"/>
              <w:right w:val="single" w:color="auto" w:sz="4" w:space="0"/>
            </w:tcBorders>
          </w:tcPr>
          <w:p w:rsidRPr="004C17E9" w:rsidR="002C678D" w:rsidP="00777F2F" w:rsidRDefault="002C678D">
            <w:pPr>
              <w:jc w:val="both"/>
              <w:rPr>
                <w:color w:val="000000"/>
                <w:lang w:eastAsia="en-US"/>
              </w:rPr>
            </w:pPr>
          </w:p>
        </w:tc>
      </w:tr>
    </w:tbl>
    <w:p w:rsidRPr="004C17E9" w:rsidR="002C678D" w:rsidP="002C678D" w:rsidRDefault="002C678D">
      <w:pPr>
        <w:ind w:left="57" w:right="57" w:firstLine="375"/>
        <w:contextualSpacing/>
        <w:mirrorIndents/>
        <w:jc w:val="both"/>
        <w:rPr>
          <w:sz w:val="22"/>
          <w:szCs w:val="22"/>
        </w:rPr>
      </w:pPr>
    </w:p>
    <w:p w:rsidRPr="004C17E9" w:rsidR="002C678D" w:rsidP="002C678D" w:rsidRDefault="002C678D">
      <w:pPr>
        <w:ind w:left="57" w:right="57"/>
        <w:contextualSpacing/>
        <w:mirrorIndents/>
        <w:rPr>
          <w:sz w:val="22"/>
          <w:szCs w:val="22"/>
        </w:rPr>
      </w:pPr>
      <w:r w:rsidRPr="004C17E9">
        <w:rPr>
          <w:b/>
          <w:bCs/>
          <w:sz w:val="22"/>
          <w:szCs w:val="22"/>
        </w:rPr>
        <w:t> </w:t>
      </w:r>
      <w:r w:rsidRPr="004C17E9" w:rsidR="00B856B6">
        <w:rPr>
          <w:b/>
          <w:bCs/>
          <w:sz w:val="22"/>
          <w:szCs w:val="22"/>
        </w:rPr>
        <w:t>Informācija par starpministriju (starpinstitūciju) sanāksmi vai elektronisko saskaņošanu</w:t>
      </w:r>
      <w:r w:rsidRPr="004C17E9" w:rsidR="00B856B6">
        <w:rPr>
          <w:sz w:val="22"/>
          <w:szCs w:val="22"/>
        </w:rPr>
        <w:t> </w:t>
      </w:r>
    </w:p>
    <w:p w:rsidRPr="004C17E9" w:rsidR="002C678D" w:rsidP="002C678D" w:rsidRDefault="002C678D">
      <w:pPr>
        <w:ind w:left="57" w:right="57"/>
        <w:contextualSpacing/>
        <w:mirrorIndents/>
        <w:rPr>
          <w:sz w:val="22"/>
          <w:szCs w:val="22"/>
        </w:rPr>
      </w:pPr>
    </w:p>
    <w:tbl>
      <w:tblPr>
        <w:tblW w:w="14207" w:type="dxa"/>
        <w:tblLook w:val="00A0" w:firstRow="1" w:lastRow="0" w:firstColumn="1" w:lastColumn="0" w:noHBand="0" w:noVBand="0"/>
      </w:tblPr>
      <w:tblGrid>
        <w:gridCol w:w="14219"/>
      </w:tblGrid>
      <w:tr w:rsidRPr="004C17E9" w:rsidR="002C678D" w:rsidTr="004E27E0">
        <w:trPr>
          <w:trHeight w:val="2844"/>
        </w:trPr>
        <w:tc>
          <w:tcPr>
            <w:tcW w:w="14207" w:type="dxa"/>
            <w:hideMark/>
          </w:tcPr>
          <w:tbl>
            <w:tblPr>
              <w:tblW w:w="14034" w:type="dxa"/>
              <w:tblLook w:val="00A0" w:firstRow="1" w:lastRow="0" w:firstColumn="1" w:lastColumn="0" w:noHBand="0" w:noVBand="0"/>
            </w:tblPr>
            <w:tblGrid>
              <w:gridCol w:w="6487"/>
              <w:gridCol w:w="7547"/>
            </w:tblGrid>
            <w:tr w:rsidRPr="004C17E9" w:rsidR="002C678D" w:rsidTr="00780F24">
              <w:tc>
                <w:tcPr>
                  <w:tcW w:w="6487" w:type="dxa"/>
                  <w:hideMark/>
                </w:tcPr>
                <w:p w:rsidRPr="004C17E9" w:rsidR="002C678D" w:rsidP="00777F2F" w:rsidRDefault="00B856B6">
                  <w:pPr>
                    <w:pStyle w:val="naisf"/>
                    <w:spacing w:before="0" w:after="0"/>
                    <w:ind w:firstLine="0"/>
                    <w:rPr>
                      <w:lang w:eastAsia="en-US"/>
                    </w:rPr>
                  </w:pPr>
                  <w:r w:rsidRPr="004C17E9">
                    <w:rPr>
                      <w:sz w:val="22"/>
                      <w:szCs w:val="22"/>
                      <w:lang w:eastAsia="en-US"/>
                    </w:rPr>
                    <w:t>Datums</w:t>
                  </w:r>
                </w:p>
              </w:tc>
              <w:tc>
                <w:tcPr>
                  <w:tcW w:w="7547" w:type="dxa"/>
                  <w:tcBorders>
                    <w:top w:val="nil"/>
                    <w:left w:val="nil"/>
                    <w:bottom w:val="single" w:color="auto" w:sz="4" w:space="0"/>
                    <w:right w:val="nil"/>
                  </w:tcBorders>
                  <w:hideMark/>
                </w:tcPr>
                <w:p w:rsidRPr="004C17E9" w:rsidR="002C678D" w:rsidP="008869C7" w:rsidRDefault="00615CF4">
                  <w:pPr>
                    <w:pStyle w:val="Paraststmeklis"/>
                    <w:spacing w:before="0" w:beforeAutospacing="0" w:after="0" w:afterAutospacing="0"/>
                    <w:rPr>
                      <w:lang w:eastAsia="en-US"/>
                    </w:rPr>
                  </w:pPr>
                  <w:r w:rsidRPr="004C17E9">
                    <w:rPr>
                      <w:sz w:val="22"/>
                      <w:szCs w:val="22"/>
                    </w:rPr>
                    <w:t>20</w:t>
                  </w:r>
                  <w:r w:rsidRPr="004C17E9" w:rsidR="006B50E7">
                    <w:rPr>
                      <w:sz w:val="22"/>
                      <w:szCs w:val="22"/>
                    </w:rPr>
                    <w:t>20</w:t>
                  </w:r>
                  <w:r w:rsidRPr="004C17E9">
                    <w:rPr>
                      <w:sz w:val="22"/>
                      <w:szCs w:val="22"/>
                    </w:rPr>
                    <w:t xml:space="preserve">.gada </w:t>
                  </w:r>
                  <w:r w:rsidR="008D0EDE">
                    <w:rPr>
                      <w:sz w:val="22"/>
                      <w:szCs w:val="22"/>
                    </w:rPr>
                    <w:t>4</w:t>
                  </w:r>
                  <w:r w:rsidR="004C17E9">
                    <w:rPr>
                      <w:sz w:val="22"/>
                      <w:szCs w:val="22"/>
                    </w:rPr>
                    <w:t>.septembris</w:t>
                  </w:r>
                </w:p>
              </w:tc>
            </w:tr>
            <w:tr w:rsidRPr="004C17E9" w:rsidR="002C678D" w:rsidTr="00780F24">
              <w:tc>
                <w:tcPr>
                  <w:tcW w:w="6487" w:type="dxa"/>
                </w:tcPr>
                <w:p w:rsidRPr="004C17E9" w:rsidR="002C678D" w:rsidP="00777F2F" w:rsidRDefault="002C678D">
                  <w:pPr>
                    <w:pStyle w:val="naisf"/>
                    <w:spacing w:before="0" w:after="0"/>
                    <w:rPr>
                      <w:lang w:eastAsia="en-US"/>
                    </w:rPr>
                  </w:pPr>
                </w:p>
              </w:tc>
              <w:tc>
                <w:tcPr>
                  <w:tcW w:w="7547" w:type="dxa"/>
                  <w:tcBorders>
                    <w:top w:val="single" w:color="auto" w:sz="4" w:space="0"/>
                    <w:left w:val="nil"/>
                    <w:bottom w:val="nil"/>
                    <w:right w:val="nil"/>
                  </w:tcBorders>
                </w:tcPr>
                <w:p w:rsidRPr="004C17E9" w:rsidR="002C678D" w:rsidP="00777F2F" w:rsidRDefault="002C678D">
                  <w:pPr>
                    <w:pStyle w:val="Paraststmeklis"/>
                    <w:spacing w:before="0" w:beforeAutospacing="0" w:after="0" w:afterAutospacing="0"/>
                    <w:ind w:firstLine="720"/>
                    <w:rPr>
                      <w:lang w:eastAsia="en-US"/>
                    </w:rPr>
                  </w:pPr>
                </w:p>
              </w:tc>
            </w:tr>
            <w:tr w:rsidRPr="004C17E9" w:rsidR="002C678D" w:rsidTr="00780F24">
              <w:tc>
                <w:tcPr>
                  <w:tcW w:w="6487" w:type="dxa"/>
                  <w:hideMark/>
                </w:tcPr>
                <w:p w:rsidRPr="004C17E9" w:rsidR="002C678D" w:rsidP="00777F2F" w:rsidRDefault="002C678D">
                  <w:pPr>
                    <w:pStyle w:val="naiskr"/>
                    <w:tabs>
                      <w:tab w:val="center" w:pos="3135"/>
                    </w:tabs>
                    <w:spacing w:before="0" w:after="0"/>
                    <w:rPr>
                      <w:lang w:eastAsia="en-US"/>
                    </w:rPr>
                  </w:pPr>
                  <w:r w:rsidRPr="004C17E9">
                    <w:rPr>
                      <w:sz w:val="22"/>
                      <w:szCs w:val="22"/>
                      <w:lang w:eastAsia="en-US"/>
                    </w:rPr>
                    <w:t>Saskaņošanas dalībnieki</w:t>
                  </w:r>
                  <w:r w:rsidRPr="004C17E9">
                    <w:rPr>
                      <w:sz w:val="22"/>
                      <w:szCs w:val="22"/>
                      <w:lang w:eastAsia="en-US"/>
                    </w:rPr>
                    <w:tab/>
                  </w:r>
                </w:p>
              </w:tc>
              <w:tc>
                <w:tcPr>
                  <w:tcW w:w="7547" w:type="dxa"/>
                  <w:tcBorders>
                    <w:top w:val="nil"/>
                    <w:left w:val="nil"/>
                    <w:bottom w:val="single" w:color="auto" w:sz="4" w:space="0"/>
                    <w:right w:val="nil"/>
                  </w:tcBorders>
                  <w:hideMark/>
                </w:tcPr>
                <w:p w:rsidRPr="004C17E9" w:rsidR="002C678D" w:rsidP="00777F2F" w:rsidRDefault="002C678D">
                  <w:pPr>
                    <w:pStyle w:val="Paraststmeklis"/>
                    <w:spacing w:before="0" w:beforeAutospacing="0" w:after="0" w:afterAutospacing="0"/>
                    <w:rPr>
                      <w:lang w:eastAsia="en-US"/>
                    </w:rPr>
                  </w:pPr>
                  <w:r w:rsidRPr="004C17E9">
                    <w:rPr>
                      <w:sz w:val="22"/>
                      <w:szCs w:val="22"/>
                      <w:lang w:eastAsia="en-US"/>
                    </w:rPr>
                    <w:t>Finanšu ministrija, Tieslietu ministrija, Latvijas Brīvo arodbiedrību savienība un Pārresoru koordinācijas centrs</w:t>
                  </w:r>
                </w:p>
              </w:tc>
            </w:tr>
            <w:tr w:rsidRPr="004C17E9" w:rsidR="008D0EDE" w:rsidTr="004962AB">
              <w:trPr>
                <w:trHeight w:val="208"/>
              </w:trPr>
              <w:tc>
                <w:tcPr>
                  <w:tcW w:w="6487" w:type="dxa"/>
                </w:tcPr>
                <w:p w:rsidRPr="004C17E9" w:rsidR="008D0EDE" w:rsidP="00777F2F" w:rsidRDefault="008D0EDE">
                  <w:pPr>
                    <w:pStyle w:val="naiskr"/>
                    <w:spacing w:before="0" w:after="0"/>
                    <w:rPr>
                      <w:lang w:eastAsia="en-US"/>
                    </w:rPr>
                  </w:pPr>
                </w:p>
              </w:tc>
              <w:tc>
                <w:tcPr>
                  <w:tcW w:w="7547" w:type="dxa"/>
                </w:tcPr>
                <w:p w:rsidRPr="004C17E9" w:rsidR="008D0EDE" w:rsidP="00777F2F" w:rsidRDefault="008D0EDE">
                  <w:pPr>
                    <w:pStyle w:val="naiskr"/>
                    <w:spacing w:before="0" w:after="0"/>
                    <w:ind w:firstLine="12"/>
                    <w:rPr>
                      <w:lang w:eastAsia="en-US"/>
                    </w:rPr>
                  </w:pPr>
                </w:p>
              </w:tc>
            </w:tr>
            <w:tr w:rsidRPr="004C17E9" w:rsidR="002C678D" w:rsidTr="00780F24">
              <w:trPr>
                <w:trHeight w:val="461"/>
              </w:trPr>
              <w:tc>
                <w:tcPr>
                  <w:tcW w:w="6487" w:type="dxa"/>
                  <w:hideMark/>
                </w:tcPr>
                <w:p w:rsidRPr="004C17E9" w:rsidR="002C678D" w:rsidP="00777F2F" w:rsidRDefault="002C678D">
                  <w:pPr>
                    <w:pStyle w:val="naiskr"/>
                    <w:spacing w:before="0" w:after="0"/>
                    <w:ind w:right="500"/>
                    <w:rPr>
                      <w:lang w:eastAsia="en-US"/>
                    </w:rPr>
                  </w:pPr>
                  <w:r w:rsidRPr="004C17E9">
                    <w:rPr>
                      <w:sz w:val="22"/>
                      <w:szCs w:val="22"/>
                      <w:lang w:eastAsia="en-US"/>
                    </w:rPr>
                    <w:t>Saskaņošanas dalībnieki izskatīja šādu ministriju (citu institūciju) iebildumus</w:t>
                  </w:r>
                </w:p>
              </w:tc>
              <w:tc>
                <w:tcPr>
                  <w:tcW w:w="7547" w:type="dxa"/>
                  <w:tcBorders>
                    <w:top w:val="nil"/>
                    <w:left w:val="nil"/>
                    <w:bottom w:val="single" w:color="auto" w:sz="4" w:space="0"/>
                    <w:right w:val="nil"/>
                  </w:tcBorders>
                  <w:hideMark/>
                </w:tcPr>
                <w:p w:rsidRPr="004C17E9" w:rsidR="00241562" w:rsidP="00777F2F" w:rsidRDefault="00241562">
                  <w:pPr>
                    <w:pStyle w:val="naiskr"/>
                    <w:spacing w:before="0" w:after="0"/>
                    <w:ind w:right="500"/>
                    <w:rPr>
                      <w:lang w:eastAsia="en-US"/>
                    </w:rPr>
                  </w:pPr>
                </w:p>
                <w:p w:rsidRPr="004C17E9" w:rsidR="002C678D" w:rsidP="000C3D46" w:rsidRDefault="000C3D46">
                  <w:pPr>
                    <w:pStyle w:val="naiskr"/>
                    <w:spacing w:before="0" w:after="0"/>
                    <w:ind w:right="500"/>
                    <w:rPr>
                      <w:lang w:eastAsia="en-US"/>
                    </w:rPr>
                  </w:pPr>
                  <w:r w:rsidRPr="004C17E9">
                    <w:rPr>
                      <w:sz w:val="22"/>
                      <w:szCs w:val="22"/>
                      <w:lang w:eastAsia="en-US"/>
                    </w:rPr>
                    <w:t>Pārresoru koordinācijas centrs</w:t>
                  </w:r>
                </w:p>
              </w:tc>
            </w:tr>
            <w:tr w:rsidRPr="004C17E9" w:rsidR="002C678D" w:rsidTr="00780F24">
              <w:trPr>
                <w:trHeight w:val="224"/>
              </w:trPr>
              <w:tc>
                <w:tcPr>
                  <w:tcW w:w="14034" w:type="dxa"/>
                  <w:gridSpan w:val="2"/>
                </w:tcPr>
                <w:p w:rsidRPr="004C17E9" w:rsidR="002C678D" w:rsidP="00777F2F" w:rsidRDefault="002C678D">
                  <w:pPr>
                    <w:pStyle w:val="naisc"/>
                    <w:spacing w:before="0" w:after="0"/>
                    <w:ind w:right="500"/>
                    <w:rPr>
                      <w:lang w:eastAsia="en-US"/>
                    </w:rPr>
                  </w:pPr>
                </w:p>
              </w:tc>
            </w:tr>
            <w:tr w:rsidRPr="004C17E9" w:rsidR="002C678D" w:rsidTr="00780F24">
              <w:tc>
                <w:tcPr>
                  <w:tcW w:w="6487" w:type="dxa"/>
                  <w:hideMark/>
                </w:tcPr>
                <w:p w:rsidRPr="004C17E9" w:rsidR="002C678D" w:rsidP="00777F2F" w:rsidRDefault="002C678D">
                  <w:pPr>
                    <w:pStyle w:val="naiskr"/>
                    <w:spacing w:before="0" w:after="0"/>
                    <w:ind w:right="500"/>
                    <w:rPr>
                      <w:lang w:eastAsia="en-US"/>
                    </w:rPr>
                  </w:pPr>
                  <w:r w:rsidRPr="004C17E9">
                    <w:rPr>
                      <w:sz w:val="22"/>
                      <w:szCs w:val="22"/>
                      <w:lang w:eastAsia="en-US"/>
                    </w:rPr>
                    <w:t>Ministrijas (citas institūcijas), kuras nav ieradušās uz sanāksmi vai kuras nav atbildējušas uz uzaicinājumu piedalīties elektroniskajā saskaņošanā</w:t>
                  </w:r>
                </w:p>
              </w:tc>
              <w:tc>
                <w:tcPr>
                  <w:tcW w:w="7547" w:type="dxa"/>
                  <w:tcBorders>
                    <w:top w:val="nil"/>
                    <w:left w:val="nil"/>
                    <w:bottom w:val="single" w:color="auto" w:sz="4" w:space="0"/>
                    <w:right w:val="nil"/>
                  </w:tcBorders>
                </w:tcPr>
                <w:p w:rsidRPr="004C17E9" w:rsidR="002C678D" w:rsidP="00777F2F" w:rsidRDefault="002C678D">
                  <w:pPr>
                    <w:pStyle w:val="naiskr"/>
                    <w:spacing w:before="0" w:after="0"/>
                    <w:ind w:right="500" w:firstLine="720"/>
                    <w:rPr>
                      <w:lang w:eastAsia="en-US"/>
                    </w:rPr>
                  </w:pPr>
                </w:p>
              </w:tc>
            </w:tr>
          </w:tbl>
          <w:p w:rsidR="00485731" w:rsidP="00777F2F" w:rsidRDefault="002C678D">
            <w:pPr>
              <w:pStyle w:val="naiskr"/>
              <w:spacing w:before="0" w:after="0"/>
              <w:ind w:right="500" w:firstLine="720"/>
              <w:rPr>
                <w:lang w:eastAsia="en-US"/>
              </w:rPr>
            </w:pPr>
            <w:r w:rsidRPr="004C17E9">
              <w:rPr>
                <w:sz w:val="22"/>
                <w:szCs w:val="22"/>
                <w:lang w:eastAsia="en-US"/>
              </w:rPr>
              <w:t>  </w:t>
            </w:r>
          </w:p>
          <w:p w:rsidR="00423F05" w:rsidP="00777F2F" w:rsidRDefault="00423F05">
            <w:pPr>
              <w:pStyle w:val="naiskr"/>
              <w:spacing w:before="0" w:after="0"/>
              <w:ind w:right="500" w:firstLine="720"/>
              <w:rPr>
                <w:lang w:eastAsia="en-US"/>
              </w:rPr>
            </w:pPr>
          </w:p>
          <w:p w:rsidR="00423F05" w:rsidP="00777F2F" w:rsidRDefault="00423F05">
            <w:pPr>
              <w:pStyle w:val="naiskr"/>
              <w:spacing w:before="0" w:after="0"/>
              <w:ind w:right="500" w:firstLine="720"/>
              <w:rPr>
                <w:lang w:eastAsia="en-US"/>
              </w:rPr>
            </w:pPr>
          </w:p>
          <w:p w:rsidR="00423F05" w:rsidP="00777F2F" w:rsidRDefault="00423F05">
            <w:pPr>
              <w:pStyle w:val="naiskr"/>
              <w:spacing w:before="0" w:after="0"/>
              <w:ind w:right="500" w:firstLine="720"/>
              <w:rPr>
                <w:lang w:eastAsia="en-US"/>
              </w:rPr>
            </w:pPr>
          </w:p>
          <w:p w:rsidR="00423F05" w:rsidP="00777F2F" w:rsidRDefault="00423F05">
            <w:pPr>
              <w:pStyle w:val="naiskr"/>
              <w:spacing w:before="0" w:after="0"/>
              <w:ind w:right="500" w:firstLine="720"/>
              <w:rPr>
                <w:lang w:eastAsia="en-US"/>
              </w:rPr>
            </w:pPr>
          </w:p>
          <w:p w:rsidR="00423F05" w:rsidP="00777F2F" w:rsidRDefault="00423F05">
            <w:pPr>
              <w:pStyle w:val="naiskr"/>
              <w:spacing w:before="0" w:after="0"/>
              <w:ind w:right="500" w:firstLine="720"/>
              <w:rPr>
                <w:lang w:eastAsia="en-US"/>
              </w:rPr>
            </w:pPr>
          </w:p>
          <w:p w:rsidR="008913B5" w:rsidP="00777F2F" w:rsidRDefault="008913B5">
            <w:pPr>
              <w:pStyle w:val="naiskr"/>
              <w:spacing w:before="0" w:after="0"/>
              <w:ind w:right="500" w:firstLine="720"/>
              <w:rPr>
                <w:lang w:eastAsia="en-US"/>
              </w:rPr>
            </w:pPr>
          </w:p>
          <w:p w:rsidRPr="004C17E9" w:rsidR="00423F05" w:rsidP="00777F2F" w:rsidRDefault="00423F05">
            <w:pPr>
              <w:pStyle w:val="naiskr"/>
              <w:spacing w:before="0" w:after="0"/>
              <w:ind w:right="500" w:firstLine="720"/>
              <w:rPr>
                <w:lang w:eastAsia="en-US"/>
              </w:rPr>
            </w:pPr>
          </w:p>
          <w:p w:rsidRPr="004C17E9" w:rsidR="00485731" w:rsidP="00777F2F" w:rsidRDefault="00485731">
            <w:pPr>
              <w:pStyle w:val="naiskr"/>
              <w:spacing w:before="0" w:after="0"/>
              <w:ind w:right="500" w:firstLine="720"/>
              <w:rPr>
                <w:lang w:eastAsia="en-US"/>
              </w:rPr>
            </w:pPr>
          </w:p>
        </w:tc>
      </w:tr>
    </w:tbl>
    <w:p w:rsidRPr="004C17E9" w:rsidR="002C678D" w:rsidP="002C678D" w:rsidRDefault="002C678D">
      <w:pPr>
        <w:pStyle w:val="naisnod"/>
        <w:spacing w:before="0" w:after="0"/>
        <w:ind w:left="57" w:right="57"/>
        <w:contextualSpacing/>
        <w:mirrorIndents/>
        <w:rPr>
          <w:sz w:val="22"/>
          <w:szCs w:val="22"/>
        </w:rPr>
      </w:pPr>
      <w:r w:rsidRPr="004C17E9">
        <w:rPr>
          <w:sz w:val="22"/>
          <w:szCs w:val="22"/>
        </w:rPr>
        <w:lastRenderedPageBreak/>
        <w:t>II. Jautājumi, par kuriem saskaņošanā vienošanās ir panākta</w:t>
      </w:r>
    </w:p>
    <w:p w:rsidRPr="004C17E9" w:rsidR="002C678D" w:rsidP="002C678D" w:rsidRDefault="002C678D">
      <w:pPr>
        <w:pStyle w:val="naisnod"/>
        <w:spacing w:before="0" w:after="0"/>
        <w:ind w:left="57" w:right="57"/>
        <w:contextualSpacing/>
        <w:mirrorIndents/>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564"/>
        <w:gridCol w:w="3293"/>
        <w:gridCol w:w="3597"/>
        <w:gridCol w:w="3168"/>
        <w:gridCol w:w="3597"/>
      </w:tblGrid>
      <w:tr w:rsidRPr="004C17E9" w:rsidR="002C678D" w:rsidTr="00777F2F">
        <w:tc>
          <w:tcPr>
            <w:tcW w:w="198" w:type="pct"/>
            <w:tcBorders>
              <w:top w:val="single" w:color="000000" w:sz="6" w:space="0"/>
              <w:left w:val="single" w:color="000000" w:sz="6" w:space="0"/>
              <w:bottom w:val="single" w:color="000000" w:sz="6" w:space="0"/>
              <w:right w:val="single" w:color="000000" w:sz="6" w:space="0"/>
            </w:tcBorders>
            <w:vAlign w:val="center"/>
          </w:tcPr>
          <w:p w:rsidRPr="004C17E9" w:rsidR="002C678D" w:rsidP="00777F2F" w:rsidRDefault="002C678D">
            <w:pPr>
              <w:pStyle w:val="naisc"/>
              <w:spacing w:before="0" w:after="0"/>
              <w:rPr>
                <w:lang w:eastAsia="en-US"/>
              </w:rPr>
            </w:pPr>
          </w:p>
        </w:tc>
        <w:tc>
          <w:tcPr>
            <w:tcW w:w="1158"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ind w:firstLine="12"/>
              <w:rPr>
                <w:lang w:eastAsia="en-US"/>
              </w:rPr>
            </w:pPr>
            <w:r w:rsidRPr="004C17E9">
              <w:rPr>
                <w:sz w:val="22"/>
                <w:szCs w:val="22"/>
                <w:lang w:eastAsia="en-US"/>
              </w:rPr>
              <w:t>Saskaņošanai nosūtītā projekta redakcija (konkrēta punkta (panta) redakcija)</w:t>
            </w:r>
          </w:p>
        </w:tc>
        <w:tc>
          <w:tcPr>
            <w:tcW w:w="1265"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ind w:right="31"/>
              <w:rPr>
                <w:lang w:eastAsia="en-US"/>
              </w:rPr>
            </w:pPr>
            <w:r w:rsidRPr="004C17E9">
              <w:rPr>
                <w:sz w:val="22"/>
                <w:szCs w:val="22"/>
                <w:lang w:eastAsia="en-US"/>
              </w:rPr>
              <w:t>Atzinumā norādītais ministrijas (citas institūcijas) iebildums, kā arī saskaņošanā papildus izteiktais iebildums par projekta konkrēto punktu (pantu)</w:t>
            </w:r>
          </w:p>
        </w:tc>
        <w:tc>
          <w:tcPr>
            <w:tcW w:w="1114" w:type="pct"/>
            <w:tcBorders>
              <w:top w:val="single" w:color="000000" w:sz="6" w:space="0"/>
              <w:left w:val="single" w:color="000000" w:sz="6" w:space="0"/>
              <w:bottom w:val="single" w:color="000000" w:sz="6" w:space="0"/>
              <w:right w:val="single" w:color="000000" w:sz="6" w:space="0"/>
            </w:tcBorders>
            <w:vAlign w:val="center"/>
            <w:hideMark/>
          </w:tcPr>
          <w:p w:rsidRPr="004C17E9" w:rsidR="002C678D" w:rsidP="00777F2F" w:rsidRDefault="002C678D">
            <w:pPr>
              <w:pStyle w:val="naisc"/>
              <w:spacing w:before="0" w:after="0"/>
              <w:rPr>
                <w:lang w:eastAsia="en-US"/>
              </w:rPr>
            </w:pPr>
            <w:r w:rsidRPr="004C17E9">
              <w:rPr>
                <w:sz w:val="22"/>
                <w:szCs w:val="22"/>
                <w:lang w:eastAsia="en-US"/>
              </w:rPr>
              <w:t>Atbildīgās ministrijas norāde par to, ka iebildums ir ņemts vērā, vai informācija par saskaņošanā panākto alternatīvo risinājumu</w:t>
            </w:r>
          </w:p>
        </w:tc>
        <w:tc>
          <w:tcPr>
            <w:tcW w:w="1265" w:type="pct"/>
            <w:tcBorders>
              <w:top w:val="single" w:color="auto" w:sz="4" w:space="0"/>
              <w:left w:val="single" w:color="auto" w:sz="4" w:space="0"/>
              <w:bottom w:val="single" w:color="auto" w:sz="4" w:space="0"/>
              <w:right w:val="single" w:color="auto" w:sz="4" w:space="0"/>
            </w:tcBorders>
            <w:vAlign w:val="center"/>
            <w:hideMark/>
          </w:tcPr>
          <w:p w:rsidRPr="004C17E9" w:rsidR="002C678D" w:rsidP="00777F2F" w:rsidRDefault="002C678D">
            <w:pPr>
              <w:pStyle w:val="naisc"/>
              <w:spacing w:before="0" w:after="0"/>
              <w:rPr>
                <w:lang w:eastAsia="en-US"/>
              </w:rPr>
            </w:pPr>
            <w:r w:rsidRPr="004C17E9">
              <w:rPr>
                <w:sz w:val="22"/>
                <w:szCs w:val="22"/>
                <w:lang w:eastAsia="en-US"/>
              </w:rPr>
              <w:t>Projekta attiecīgā punkta (panta) galīgā redakcija</w:t>
            </w:r>
          </w:p>
        </w:tc>
      </w:tr>
      <w:tr w:rsidRPr="004C17E9" w:rsidR="002C678D" w:rsidTr="00777F2F">
        <w:tc>
          <w:tcPr>
            <w:tcW w:w="198" w:type="pct"/>
            <w:tcBorders>
              <w:top w:val="single" w:color="000000" w:sz="6" w:space="0"/>
              <w:left w:val="single" w:color="000000" w:sz="6" w:space="0"/>
              <w:bottom w:val="single" w:color="auto" w:sz="4" w:space="0"/>
              <w:right w:val="single" w:color="000000" w:sz="6" w:space="0"/>
            </w:tcBorders>
            <w:hideMark/>
          </w:tcPr>
          <w:p w:rsidRPr="004C17E9" w:rsidR="002C678D" w:rsidP="00777F2F" w:rsidRDefault="002C678D">
            <w:pPr>
              <w:pStyle w:val="naisc"/>
              <w:spacing w:before="0" w:after="0"/>
              <w:rPr>
                <w:lang w:eastAsia="en-US"/>
              </w:rPr>
            </w:pPr>
            <w:r w:rsidRPr="004C17E9">
              <w:rPr>
                <w:sz w:val="22"/>
                <w:szCs w:val="22"/>
                <w:lang w:eastAsia="en-US"/>
              </w:rPr>
              <w:t>1</w:t>
            </w:r>
          </w:p>
        </w:tc>
        <w:tc>
          <w:tcPr>
            <w:tcW w:w="1158" w:type="pct"/>
            <w:tcBorders>
              <w:top w:val="single" w:color="000000" w:sz="6" w:space="0"/>
              <w:left w:val="single" w:color="000000" w:sz="6" w:space="0"/>
              <w:bottom w:val="single" w:color="auto" w:sz="4" w:space="0"/>
              <w:right w:val="single" w:color="000000" w:sz="6" w:space="0"/>
            </w:tcBorders>
            <w:hideMark/>
          </w:tcPr>
          <w:p w:rsidRPr="004C17E9" w:rsidR="002C678D" w:rsidP="00777F2F" w:rsidRDefault="002C678D">
            <w:pPr>
              <w:pStyle w:val="naisc"/>
              <w:spacing w:before="0" w:after="0"/>
              <w:ind w:firstLine="12"/>
              <w:rPr>
                <w:lang w:eastAsia="en-US"/>
              </w:rPr>
            </w:pPr>
            <w:r w:rsidRPr="004C17E9">
              <w:rPr>
                <w:sz w:val="22"/>
                <w:szCs w:val="22"/>
                <w:lang w:eastAsia="en-US"/>
              </w:rPr>
              <w:t>2</w:t>
            </w:r>
          </w:p>
        </w:tc>
        <w:tc>
          <w:tcPr>
            <w:tcW w:w="1265" w:type="pct"/>
            <w:tcBorders>
              <w:top w:val="single" w:color="000000" w:sz="6" w:space="0"/>
              <w:left w:val="single" w:color="000000" w:sz="6" w:space="0"/>
              <w:bottom w:val="single" w:color="auto" w:sz="4" w:space="0"/>
              <w:right w:val="single" w:color="000000" w:sz="6" w:space="0"/>
            </w:tcBorders>
            <w:hideMark/>
          </w:tcPr>
          <w:p w:rsidRPr="004C17E9" w:rsidR="002C678D" w:rsidP="00777F2F" w:rsidRDefault="002C678D">
            <w:pPr>
              <w:pStyle w:val="naisc"/>
              <w:spacing w:before="0" w:after="0"/>
              <w:ind w:right="31"/>
              <w:rPr>
                <w:lang w:eastAsia="en-US"/>
              </w:rPr>
            </w:pPr>
            <w:r w:rsidRPr="004C17E9">
              <w:rPr>
                <w:sz w:val="22"/>
                <w:szCs w:val="22"/>
                <w:lang w:eastAsia="en-US"/>
              </w:rPr>
              <w:t>3</w:t>
            </w:r>
          </w:p>
        </w:tc>
        <w:tc>
          <w:tcPr>
            <w:tcW w:w="1114" w:type="pct"/>
            <w:tcBorders>
              <w:top w:val="single" w:color="000000" w:sz="6" w:space="0"/>
              <w:left w:val="single" w:color="000000" w:sz="6" w:space="0"/>
              <w:bottom w:val="single" w:color="auto" w:sz="4" w:space="0"/>
              <w:right w:val="single" w:color="000000" w:sz="6" w:space="0"/>
            </w:tcBorders>
            <w:hideMark/>
          </w:tcPr>
          <w:p w:rsidRPr="004C17E9" w:rsidR="002C678D" w:rsidP="00777F2F" w:rsidRDefault="002C678D">
            <w:pPr>
              <w:pStyle w:val="naisc"/>
              <w:spacing w:before="0" w:after="0"/>
              <w:rPr>
                <w:lang w:eastAsia="en-US"/>
              </w:rPr>
            </w:pPr>
            <w:r w:rsidRPr="004C17E9">
              <w:rPr>
                <w:sz w:val="22"/>
                <w:szCs w:val="22"/>
                <w:lang w:eastAsia="en-US"/>
              </w:rPr>
              <w:t>4</w:t>
            </w:r>
          </w:p>
        </w:tc>
        <w:tc>
          <w:tcPr>
            <w:tcW w:w="1265" w:type="pct"/>
            <w:tcBorders>
              <w:top w:val="single" w:color="auto" w:sz="4" w:space="0"/>
              <w:left w:val="single" w:color="auto" w:sz="4" w:space="0"/>
              <w:bottom w:val="single" w:color="auto" w:sz="4" w:space="0"/>
              <w:right w:val="single" w:color="auto" w:sz="4" w:space="0"/>
            </w:tcBorders>
            <w:hideMark/>
          </w:tcPr>
          <w:p w:rsidRPr="004C17E9" w:rsidR="002C678D" w:rsidP="00777F2F" w:rsidRDefault="002C678D">
            <w:pPr>
              <w:jc w:val="center"/>
              <w:rPr>
                <w:lang w:eastAsia="en-US"/>
              </w:rPr>
            </w:pPr>
            <w:r w:rsidRPr="004C17E9">
              <w:rPr>
                <w:sz w:val="22"/>
                <w:szCs w:val="22"/>
                <w:lang w:eastAsia="en-US"/>
              </w:rPr>
              <w:t>5</w:t>
            </w:r>
          </w:p>
        </w:tc>
      </w:tr>
      <w:tr w:rsidRPr="004C17E9" w:rsidR="002C678D" w:rsidTr="00777F2F">
        <w:tc>
          <w:tcPr>
            <w:tcW w:w="198" w:type="pct"/>
            <w:tcBorders>
              <w:top w:val="single" w:color="auto" w:sz="4" w:space="0"/>
              <w:left w:val="single" w:color="000000" w:sz="6" w:space="0"/>
              <w:bottom w:val="single" w:color="auto" w:sz="4" w:space="0"/>
              <w:right w:val="single" w:color="000000" w:sz="6" w:space="0"/>
            </w:tcBorders>
          </w:tcPr>
          <w:p w:rsidRPr="004C17E9" w:rsidR="002C678D" w:rsidP="00777F2F" w:rsidRDefault="002C678D">
            <w:pPr>
              <w:pStyle w:val="naisc"/>
              <w:numPr>
                <w:ilvl w:val="0"/>
                <w:numId w:val="2"/>
              </w:numPr>
              <w:spacing w:before="0" w:after="0"/>
              <w:jc w:val="right"/>
              <w:rPr>
                <w:lang w:eastAsia="en-US"/>
              </w:rPr>
            </w:pPr>
          </w:p>
        </w:tc>
        <w:tc>
          <w:tcPr>
            <w:tcW w:w="1158" w:type="pct"/>
            <w:tcBorders>
              <w:top w:val="single" w:color="auto" w:sz="4" w:space="0"/>
              <w:left w:val="single" w:color="000000" w:sz="6" w:space="0"/>
              <w:right w:val="single" w:color="000000" w:sz="6" w:space="0"/>
            </w:tcBorders>
            <w:hideMark/>
          </w:tcPr>
          <w:p w:rsidRPr="004C17E9" w:rsidR="002C678D" w:rsidP="00777F2F" w:rsidRDefault="00777F2F">
            <w:pPr>
              <w:pStyle w:val="Sarakstarindkopa"/>
              <w:ind w:left="0"/>
              <w:jc w:val="both"/>
              <w:rPr>
                <w:rFonts w:ascii="Times New Roman" w:hAnsi="Times New Roman"/>
              </w:rPr>
            </w:pPr>
            <w:r w:rsidRPr="004C17E9">
              <w:rPr>
                <w:rFonts w:ascii="Times New Roman" w:hAnsi="Times New Roman"/>
              </w:rPr>
              <w:t>Ministru kabineta rīkojuma projekts „Par valstij dividendēs izmaksājamo valsts sabiedrības ar ierobežotu atbildību „</w:t>
            </w:r>
            <w:r w:rsidRPr="008913B5" w:rsidR="008913B5">
              <w:rPr>
                <w:rFonts w:ascii="Times New Roman" w:hAnsi="Times New Roman"/>
              </w:rPr>
              <w:t>Mihaila Čehova Rīgas Krievu teātris</w:t>
            </w:r>
            <w:r w:rsidRPr="004C17E9" w:rsidR="00B856B6">
              <w:rPr>
                <w:rFonts w:ascii="Times New Roman" w:hAnsi="Times New Roman" w:eastAsia="Batang"/>
              </w:rPr>
              <w:t>” peļņas daļu”</w:t>
            </w:r>
            <w:r w:rsidRPr="004C17E9" w:rsidR="00B856B6">
              <w:rPr>
                <w:rFonts w:ascii="Times New Roman" w:hAnsi="Times New Roman"/>
              </w:rPr>
              <w:t xml:space="preserve"> (turpmāk – rīkojuma projekts) </w:t>
            </w:r>
            <w:r w:rsidRPr="004C17E9" w:rsidR="006B50E7">
              <w:rPr>
                <w:rFonts w:ascii="Times New Roman" w:hAnsi="Times New Roman"/>
              </w:rPr>
              <w:t>sākotnējās ietekmes novērtējuma ziņojuma (anotācijas) I sadaļas 2.punkts</w:t>
            </w:r>
            <w:r w:rsidRPr="004C17E9" w:rsidR="00B856B6">
              <w:rPr>
                <w:rFonts w:ascii="Times New Roman" w:hAnsi="Times New Roman"/>
              </w:rPr>
              <w:t>.</w:t>
            </w:r>
          </w:p>
        </w:tc>
        <w:tc>
          <w:tcPr>
            <w:tcW w:w="1265" w:type="pct"/>
            <w:tcBorders>
              <w:top w:val="single" w:color="auto" w:sz="4" w:space="0"/>
              <w:left w:val="single" w:color="000000" w:sz="6" w:space="0"/>
              <w:bottom w:val="single" w:color="auto" w:sz="4" w:space="0"/>
              <w:right w:val="single" w:color="000000" w:sz="6" w:space="0"/>
            </w:tcBorders>
            <w:hideMark/>
          </w:tcPr>
          <w:p w:rsidRPr="004C17E9" w:rsidR="002C678D" w:rsidP="00777F2F" w:rsidRDefault="002C678D">
            <w:pPr>
              <w:pStyle w:val="Sarakstarindkopa"/>
              <w:ind w:left="0"/>
              <w:jc w:val="both"/>
              <w:rPr>
                <w:rFonts w:ascii="Times New Roman" w:hAnsi="Times New Roman"/>
                <w:lang w:eastAsia="lv-LV"/>
              </w:rPr>
            </w:pPr>
            <w:r w:rsidRPr="004C17E9">
              <w:rPr>
                <w:rFonts w:ascii="Times New Roman" w:hAnsi="Times New Roman"/>
                <w:b/>
              </w:rPr>
              <w:t>Pārresoru koordinācijas centrs:</w:t>
            </w:r>
          </w:p>
          <w:p w:rsidRPr="004C17E9" w:rsidR="002C678D" w:rsidP="002C678D" w:rsidRDefault="00411BE5">
            <w:pPr>
              <w:pStyle w:val="Kjene"/>
              <w:widowControl w:val="0"/>
              <w:tabs>
                <w:tab w:val="clear" w:pos="4153"/>
                <w:tab w:val="clear" w:pos="8306"/>
                <w:tab w:val="left" w:pos="851"/>
                <w:tab w:val="right" w:pos="8640"/>
              </w:tabs>
              <w:jc w:val="both"/>
              <w:rPr>
                <w:rFonts w:eastAsiaTheme="minorHAnsi"/>
                <w:lang w:eastAsia="en-US"/>
              </w:rPr>
            </w:pPr>
            <w:r w:rsidRPr="004C17E9">
              <w:rPr>
                <w:sz w:val="22"/>
                <w:szCs w:val="22"/>
              </w:rPr>
              <w:t xml:space="preserve">Lūdzam svītrot no anotācijas tekstu “Tā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novirzīt kapitālsabiedrībai kapitālsabiedrības finanšu stabilitātes stiprināšanai.”, jo minētais pants nosaka vien to, ka valsts kapitālsabiedrības un valsts kontrolētas kapitālsabiedrības var finansēt no valsts budžeta līdzekļiem, piešķirot dotācijas konkrētu valsts deleģētu kultūras funkciju veikšanai gadskārtējā valsts budžeta likumā noteiktajā apmērā. Vēršam uzmanību, ka valsts kapitālsabiedrību darbības pamatojums ir to mērķu sasniegšana, kas ir to dibināšanas pamatā un tie ir noteikti katras kapitālsabiedrības vispārējā stratēģiskajā mērķī. Vienlaikus kapitālsabiedrība ir komersants un saskaņā ar </w:t>
            </w:r>
            <w:r w:rsidRPr="004C17E9">
              <w:rPr>
                <w:sz w:val="22"/>
                <w:szCs w:val="22"/>
              </w:rPr>
              <w:lastRenderedPageBreak/>
              <w:t>Komerclikuma 1.panta otro daļu komercdarbība ir atklāta saimnieciskā darbība, kuru savā vārdā peļņas gūšanas nolūkā veic komersants. Ievērojot minēto, valsts kapitālsabiedrību uzdevums ir pēc iespējas atrast līdzsvaru starp finanšu un nefinanšu mērķiem. PKC ieskatā anotācijā iekļautās atsauces uz tiem normatīvajiem aktiem, kas pie noteiktiem nosacījumiem atļauj kapitālsabiedrībai neizmaksāt dividendes, bet gan dividendēs neizmaksāto peļņas daļu novirzīt kapitālsabiedrības mērķu īstenošanai ir pietiekamas.</w:t>
            </w:r>
          </w:p>
        </w:tc>
        <w:tc>
          <w:tcPr>
            <w:tcW w:w="1114" w:type="pct"/>
            <w:tcBorders>
              <w:top w:val="single" w:color="auto" w:sz="4" w:space="0"/>
              <w:left w:val="single" w:color="000000" w:sz="6" w:space="0"/>
              <w:bottom w:val="single" w:color="auto" w:sz="4" w:space="0"/>
              <w:right w:val="single" w:color="000000" w:sz="6" w:space="0"/>
            </w:tcBorders>
            <w:hideMark/>
          </w:tcPr>
          <w:p w:rsidRPr="004C17E9" w:rsidR="002C678D" w:rsidP="00777F2F" w:rsidRDefault="002C678D">
            <w:pPr>
              <w:jc w:val="center"/>
              <w:rPr>
                <w:b/>
                <w:lang w:eastAsia="en-US"/>
              </w:rPr>
            </w:pPr>
            <w:r w:rsidRPr="004C17E9">
              <w:rPr>
                <w:b/>
                <w:sz w:val="22"/>
                <w:szCs w:val="22"/>
                <w:lang w:eastAsia="en-US"/>
              </w:rPr>
              <w:lastRenderedPageBreak/>
              <w:t>Ņemts vērā</w:t>
            </w:r>
          </w:p>
        </w:tc>
        <w:tc>
          <w:tcPr>
            <w:tcW w:w="1265" w:type="pct"/>
            <w:tcBorders>
              <w:top w:val="single" w:color="auto" w:sz="4" w:space="0"/>
              <w:left w:val="single" w:color="auto" w:sz="4" w:space="0"/>
              <w:bottom w:val="single" w:color="auto" w:sz="4" w:space="0"/>
              <w:right w:val="single" w:color="auto" w:sz="4" w:space="0"/>
            </w:tcBorders>
          </w:tcPr>
          <w:p w:rsidR="004C17E9" w:rsidP="00777F2F" w:rsidRDefault="00777F2F">
            <w:pPr>
              <w:pStyle w:val="tv2132"/>
              <w:spacing w:line="240" w:lineRule="auto"/>
              <w:ind w:firstLine="0"/>
              <w:jc w:val="both"/>
              <w:rPr>
                <w:color w:val="auto"/>
                <w:sz w:val="22"/>
                <w:szCs w:val="22"/>
              </w:rPr>
            </w:pPr>
            <w:r w:rsidRPr="004C17E9">
              <w:rPr>
                <w:color w:val="auto"/>
                <w:sz w:val="22"/>
                <w:szCs w:val="22"/>
              </w:rPr>
              <w:t>Precizēt</w:t>
            </w:r>
            <w:r w:rsidRPr="004C17E9" w:rsidR="006B50E7">
              <w:rPr>
                <w:color w:val="auto"/>
                <w:sz w:val="22"/>
                <w:szCs w:val="22"/>
              </w:rPr>
              <w:t>a</w:t>
            </w:r>
            <w:r w:rsidRPr="004C17E9">
              <w:rPr>
                <w:color w:val="auto"/>
                <w:sz w:val="22"/>
                <w:szCs w:val="22"/>
              </w:rPr>
              <w:t xml:space="preserve"> </w:t>
            </w:r>
            <w:r w:rsidRPr="004C17E9" w:rsidR="006B50E7">
              <w:rPr>
                <w:color w:val="auto"/>
                <w:sz w:val="22"/>
                <w:szCs w:val="22"/>
              </w:rPr>
              <w:t xml:space="preserve">rīkojuma projekta sākotnējās ietekmes novērtējuma ziņojuma (anotācijas) </w:t>
            </w:r>
            <w:r w:rsidRPr="004C17E9" w:rsidR="006B50E7">
              <w:rPr>
                <w:color w:val="auto"/>
                <w:sz w:val="22"/>
                <w:szCs w:val="22"/>
                <w:lang w:eastAsia="en-US"/>
              </w:rPr>
              <w:t>I sadaļas 2.punkt</w:t>
            </w:r>
            <w:r w:rsidRPr="004C17E9" w:rsidR="00411BE5">
              <w:rPr>
                <w:color w:val="auto"/>
                <w:sz w:val="22"/>
                <w:szCs w:val="22"/>
                <w:lang w:eastAsia="en-US"/>
              </w:rPr>
              <w:t>a</w:t>
            </w:r>
            <w:r w:rsidRPr="004C17E9" w:rsidR="006B50E7">
              <w:rPr>
                <w:color w:val="auto"/>
                <w:sz w:val="22"/>
                <w:szCs w:val="22"/>
                <w:lang w:eastAsia="en-US"/>
              </w:rPr>
              <w:t xml:space="preserve"> </w:t>
            </w:r>
            <w:r w:rsidRPr="004C17E9" w:rsidR="00411BE5">
              <w:rPr>
                <w:color w:val="auto"/>
                <w:sz w:val="22"/>
                <w:szCs w:val="22"/>
                <w:lang w:eastAsia="en-US"/>
              </w:rPr>
              <w:t xml:space="preserve">otrā rindkopa </w:t>
            </w:r>
            <w:r w:rsidRPr="004C17E9" w:rsidR="006B50E7">
              <w:rPr>
                <w:bCs/>
                <w:iCs/>
                <w:color w:val="auto"/>
                <w:sz w:val="22"/>
                <w:szCs w:val="22"/>
                <w:lang w:val="sv-SE"/>
              </w:rPr>
              <w:t>šādā redakcijā</w:t>
            </w:r>
            <w:r w:rsidRPr="004C17E9">
              <w:rPr>
                <w:color w:val="auto"/>
                <w:sz w:val="22"/>
                <w:szCs w:val="22"/>
              </w:rPr>
              <w:t>:</w:t>
            </w:r>
          </w:p>
          <w:p w:rsidRPr="004C17E9" w:rsidR="004C17E9" w:rsidP="00777F2F" w:rsidRDefault="004C17E9">
            <w:pPr>
              <w:pStyle w:val="tv2132"/>
              <w:spacing w:line="240" w:lineRule="auto"/>
              <w:ind w:firstLine="0"/>
              <w:jc w:val="both"/>
              <w:rPr>
                <w:color w:val="auto"/>
                <w:sz w:val="22"/>
                <w:szCs w:val="22"/>
              </w:rPr>
            </w:pPr>
          </w:p>
          <w:p w:rsidRPr="004C17E9" w:rsidR="00777F2F" w:rsidP="00411BE5" w:rsidRDefault="00777F2F">
            <w:pPr>
              <w:pStyle w:val="Paraststmeklis1"/>
              <w:spacing w:before="0" w:beforeAutospacing="0" w:after="0" w:afterAutospacing="0"/>
              <w:jc w:val="both"/>
              <w:rPr>
                <w:rFonts w:ascii="Times New Roman" w:hAnsi="Times New Roman"/>
                <w:color w:val="auto"/>
                <w:sz w:val="22"/>
                <w:szCs w:val="22"/>
              </w:rPr>
            </w:pPr>
            <w:r w:rsidRPr="004C17E9">
              <w:rPr>
                <w:rFonts w:ascii="Times New Roman" w:hAnsi="Times New Roman" w:eastAsiaTheme="minorHAnsi"/>
                <w:color w:val="auto"/>
                <w:sz w:val="22"/>
                <w:szCs w:val="22"/>
                <w:lang w:eastAsia="en-US"/>
              </w:rPr>
              <w:t>„</w:t>
            </w:r>
            <w:r w:rsidRPr="004C17E9" w:rsidR="00411BE5">
              <w:rPr>
                <w:rFonts w:ascii="Times New Roman" w:hAnsi="Times New Roman"/>
                <w:color w:val="auto"/>
                <w:sz w:val="22"/>
                <w:szCs w:val="22"/>
              </w:rPr>
              <w:t>Kapitālsabiedrības Stratēģijā noteiktie finanšu mērķi ir neto apgrozījums, pārējie saimnieciskās darbības ieņēmumi, neto apgrozījuma attiecība pret kopējiem ieņēmumiem, i</w:t>
            </w:r>
            <w:r w:rsidRPr="004C17E9" w:rsidR="00411BE5">
              <w:rPr>
                <w:rFonts w:ascii="Times New Roman" w:hAnsi="Times New Roman"/>
                <w:color w:val="auto"/>
                <w:sz w:val="22"/>
                <w:szCs w:val="22"/>
                <w:shd w:val="clear" w:color="auto" w:fill="FFFFFF"/>
              </w:rPr>
              <w:t>eņēmumi pirms procentu, nodokļu, nolietojuma un amortizācijas atskaitījumiem</w:t>
            </w:r>
            <w:r w:rsidRPr="004C17E9" w:rsidR="00411BE5">
              <w:rPr>
                <w:rFonts w:ascii="Times New Roman" w:hAnsi="Times New Roman"/>
                <w:color w:val="auto"/>
                <w:sz w:val="22"/>
                <w:szCs w:val="22"/>
              </w:rPr>
              <w:t xml:space="preserve"> (EBITDA), neto peļņas rentabilitāte, pašu kapitāla lielums, bilances vērtība, pašu kapitāla rādītājs, neto naudas plūsma, ātrās likviditātes rādītājs, peļņa</w:t>
            </w:r>
            <w:r w:rsidRPr="004C17E9" w:rsidR="00411BE5">
              <w:rPr>
                <w:rFonts w:ascii="Times New Roman" w:hAnsi="Times New Roman"/>
                <w:color w:val="FF0000"/>
                <w:sz w:val="22"/>
                <w:szCs w:val="22"/>
              </w:rPr>
              <w:t xml:space="preserve"> </w:t>
            </w:r>
            <w:r w:rsidRPr="004C17E9" w:rsidR="00411BE5">
              <w:rPr>
                <w:rFonts w:ascii="Times New Roman" w:hAnsi="Times New Roman"/>
                <w:color w:val="auto"/>
                <w:sz w:val="22"/>
                <w:szCs w:val="22"/>
              </w:rPr>
              <w:t xml:space="preserve">(2019.gadā – </w:t>
            </w:r>
            <w:r w:rsidRPr="004C17E9" w:rsidR="00411BE5">
              <w:rPr>
                <w:rFonts w:ascii="Times New Roman" w:hAnsi="Times New Roman" w:eastAsiaTheme="minorHAnsi"/>
                <w:bCs/>
                <w:color w:val="auto"/>
                <w:sz w:val="22"/>
                <w:szCs w:val="22"/>
              </w:rPr>
              <w:t>14</w:t>
            </w:r>
            <w:r w:rsidRPr="004C17E9" w:rsidR="00411BE5">
              <w:rPr>
                <w:rFonts w:ascii="Times New Roman" w:hAnsi="Times New Roman"/>
                <w:color w:val="auto"/>
                <w:sz w:val="22"/>
                <w:szCs w:val="22"/>
              </w:rPr>
              <w:t> </w:t>
            </w:r>
            <w:r w:rsidRPr="004C17E9" w:rsidR="00411BE5">
              <w:rPr>
                <w:rFonts w:ascii="Times New Roman" w:hAnsi="Times New Roman" w:eastAsiaTheme="minorHAnsi"/>
                <w:bCs/>
                <w:color w:val="auto"/>
                <w:sz w:val="22"/>
                <w:szCs w:val="22"/>
              </w:rPr>
              <w:t>325</w:t>
            </w:r>
            <w:r w:rsidRPr="004C17E9" w:rsidR="00411BE5">
              <w:rPr>
                <w:rFonts w:ascii="Times New Roman" w:hAnsi="Times New Roman"/>
                <w:color w:val="auto"/>
                <w:sz w:val="22"/>
                <w:szCs w:val="22"/>
              </w:rPr>
              <w:t> </w:t>
            </w:r>
            <w:r w:rsidRPr="004C17E9" w:rsidR="00411BE5">
              <w:rPr>
                <w:rFonts w:ascii="Times New Roman" w:hAnsi="Times New Roman"/>
                <w:i/>
                <w:color w:val="auto"/>
                <w:sz w:val="22"/>
                <w:szCs w:val="22"/>
              </w:rPr>
              <w:t>euro</w:t>
            </w:r>
            <w:r w:rsidRPr="004C17E9" w:rsidR="00411BE5">
              <w:rPr>
                <w:rFonts w:ascii="Times New Roman" w:hAnsi="Times New Roman"/>
                <w:color w:val="auto"/>
                <w:sz w:val="22"/>
                <w:szCs w:val="22"/>
              </w:rPr>
              <w:t>, 2020.gadā – 6 800 </w:t>
            </w:r>
            <w:r w:rsidRPr="004C17E9" w:rsidR="00411BE5">
              <w:rPr>
                <w:rFonts w:ascii="Times New Roman" w:hAnsi="Times New Roman"/>
                <w:i/>
                <w:color w:val="auto"/>
                <w:sz w:val="22"/>
                <w:szCs w:val="22"/>
              </w:rPr>
              <w:t>euro</w:t>
            </w:r>
            <w:r w:rsidRPr="004C17E9" w:rsidR="00411BE5">
              <w:rPr>
                <w:rFonts w:ascii="Times New Roman" w:hAnsi="Times New Roman"/>
                <w:color w:val="auto"/>
                <w:sz w:val="22"/>
                <w:szCs w:val="22"/>
              </w:rPr>
              <w:t>, 2021.gadā – 15 000 </w:t>
            </w:r>
            <w:r w:rsidRPr="004C17E9" w:rsidR="00411BE5">
              <w:rPr>
                <w:rFonts w:ascii="Times New Roman" w:hAnsi="Times New Roman"/>
                <w:i/>
                <w:color w:val="auto"/>
                <w:sz w:val="22"/>
                <w:szCs w:val="22"/>
              </w:rPr>
              <w:t xml:space="preserve">euro, </w:t>
            </w:r>
            <w:r w:rsidRPr="004C17E9" w:rsidR="00411BE5">
              <w:rPr>
                <w:rFonts w:ascii="Times New Roman" w:hAnsi="Times New Roman"/>
                <w:color w:val="auto"/>
                <w:sz w:val="22"/>
                <w:szCs w:val="22"/>
              </w:rPr>
              <w:t>2022.gadā – 23 000 </w:t>
            </w:r>
            <w:r w:rsidRPr="004C17E9" w:rsidR="00411BE5">
              <w:rPr>
                <w:rFonts w:ascii="Times New Roman" w:hAnsi="Times New Roman"/>
                <w:i/>
                <w:color w:val="auto"/>
                <w:sz w:val="22"/>
                <w:szCs w:val="22"/>
              </w:rPr>
              <w:t xml:space="preserve">euro, </w:t>
            </w:r>
            <w:r w:rsidRPr="004C17E9" w:rsidR="00411BE5">
              <w:rPr>
                <w:rFonts w:ascii="Times New Roman" w:hAnsi="Times New Roman"/>
                <w:color w:val="auto"/>
                <w:sz w:val="22"/>
                <w:szCs w:val="22"/>
              </w:rPr>
              <w:t>2023.gadā –30 600 </w:t>
            </w:r>
            <w:r w:rsidRPr="004C17E9" w:rsidR="00411BE5">
              <w:rPr>
                <w:rFonts w:ascii="Times New Roman" w:hAnsi="Times New Roman"/>
                <w:i/>
                <w:color w:val="auto"/>
                <w:sz w:val="22"/>
                <w:szCs w:val="22"/>
              </w:rPr>
              <w:t>euro</w:t>
            </w:r>
            <w:r w:rsidRPr="004C17E9" w:rsidR="00411BE5">
              <w:rPr>
                <w:rFonts w:ascii="Times New Roman" w:hAnsi="Times New Roman"/>
                <w:color w:val="auto"/>
                <w:sz w:val="22"/>
                <w:szCs w:val="22"/>
              </w:rPr>
              <w:t>) un kopējais likviditātes rādītājs (2019.gadā – 0,5, 2020.gadā – 0,4, 2021.gadā – 0,4, 2022.gadā – 0,5, 2023.gadā – 0,5).</w:t>
            </w:r>
            <w:r w:rsidRPr="004C17E9">
              <w:rPr>
                <w:rFonts w:ascii="Times New Roman" w:hAnsi="Times New Roman" w:eastAsiaTheme="minorHAnsi"/>
                <w:color w:val="auto"/>
                <w:sz w:val="22"/>
                <w:szCs w:val="22"/>
                <w:lang w:eastAsia="en-US"/>
              </w:rPr>
              <w:t>”</w:t>
            </w:r>
          </w:p>
        </w:tc>
      </w:tr>
      <w:tr w:rsidRPr="004C17E9" w:rsidR="002C678D" w:rsidTr="00FB456B">
        <w:tc>
          <w:tcPr>
            <w:tcW w:w="198" w:type="pct"/>
            <w:tcBorders>
              <w:top w:val="single" w:color="auto" w:sz="4" w:space="0"/>
              <w:left w:val="single" w:color="000000" w:sz="6" w:space="0"/>
              <w:bottom w:val="single" w:color="auto" w:sz="4" w:space="0"/>
              <w:right w:val="single" w:color="000000" w:sz="6" w:space="0"/>
            </w:tcBorders>
          </w:tcPr>
          <w:p w:rsidRPr="004C17E9" w:rsidR="002C678D" w:rsidP="00777F2F" w:rsidRDefault="002C678D">
            <w:pPr>
              <w:pStyle w:val="naisc"/>
              <w:numPr>
                <w:ilvl w:val="0"/>
                <w:numId w:val="2"/>
              </w:numPr>
              <w:spacing w:before="0" w:after="0"/>
              <w:jc w:val="right"/>
              <w:rPr>
                <w:lang w:eastAsia="en-US"/>
              </w:rPr>
            </w:pPr>
          </w:p>
        </w:tc>
        <w:tc>
          <w:tcPr>
            <w:tcW w:w="0" w:type="auto"/>
            <w:tcBorders>
              <w:top w:val="single" w:color="auto" w:sz="4" w:space="0"/>
              <w:left w:val="single" w:color="000000" w:sz="6" w:space="0"/>
              <w:bottom w:val="single" w:color="auto" w:sz="4" w:space="0"/>
              <w:right w:val="single" w:color="000000" w:sz="6" w:space="0"/>
            </w:tcBorders>
            <w:hideMark/>
          </w:tcPr>
          <w:p w:rsidRPr="004C17E9" w:rsidR="002C678D" w:rsidP="00777F2F" w:rsidRDefault="00777F2F">
            <w:pPr>
              <w:jc w:val="both"/>
              <w:rPr>
                <w:lang w:eastAsia="en-US"/>
              </w:rPr>
            </w:pPr>
            <w:r w:rsidRPr="004C17E9">
              <w:rPr>
                <w:sz w:val="22"/>
                <w:szCs w:val="22"/>
              </w:rPr>
              <w:t>R</w:t>
            </w:r>
            <w:r w:rsidRPr="004C17E9" w:rsidR="002C678D">
              <w:rPr>
                <w:sz w:val="22"/>
                <w:szCs w:val="22"/>
              </w:rPr>
              <w:t>īkojuma projekt</w:t>
            </w:r>
            <w:r w:rsidRPr="004C17E9">
              <w:rPr>
                <w:sz w:val="22"/>
                <w:szCs w:val="22"/>
              </w:rPr>
              <w:t xml:space="preserve">a </w:t>
            </w:r>
            <w:r w:rsidRPr="004C17E9" w:rsidR="004C17E9">
              <w:rPr>
                <w:sz w:val="22"/>
                <w:szCs w:val="22"/>
              </w:rPr>
              <w:t xml:space="preserve">sākotnējās ietekmes novērtējuma ziņojuma </w:t>
            </w:r>
            <w:r w:rsidR="004C17E9">
              <w:rPr>
                <w:sz w:val="22"/>
                <w:szCs w:val="22"/>
              </w:rPr>
              <w:t>(</w:t>
            </w:r>
            <w:r w:rsidRPr="004C17E9" w:rsidR="00B856B6">
              <w:rPr>
                <w:bCs/>
                <w:iCs/>
                <w:sz w:val="22"/>
                <w:szCs w:val="22"/>
                <w:lang w:val="sv-SE"/>
              </w:rPr>
              <w:t>anotācijas</w:t>
            </w:r>
            <w:r w:rsidR="004C17E9">
              <w:rPr>
                <w:bCs/>
                <w:iCs/>
                <w:sz w:val="22"/>
                <w:szCs w:val="22"/>
                <w:lang w:val="sv-SE"/>
              </w:rPr>
              <w:t>)</w:t>
            </w:r>
            <w:r w:rsidRPr="004C17E9" w:rsidR="00B856B6">
              <w:rPr>
                <w:bCs/>
                <w:iCs/>
                <w:sz w:val="22"/>
                <w:szCs w:val="22"/>
                <w:lang w:val="sv-SE"/>
              </w:rPr>
              <w:t xml:space="preserve"> </w:t>
            </w:r>
            <w:r w:rsidRPr="004C17E9" w:rsidR="00FB456B">
              <w:rPr>
                <w:sz w:val="22"/>
                <w:szCs w:val="22"/>
                <w:lang w:eastAsia="en-US"/>
              </w:rPr>
              <w:t>I sadaļas 2.punkts</w:t>
            </w:r>
            <w:r w:rsidRPr="004C17E9" w:rsidR="00FB456B">
              <w:rPr>
                <w:sz w:val="22"/>
                <w:szCs w:val="22"/>
              </w:rPr>
              <w:t>.</w:t>
            </w:r>
          </w:p>
        </w:tc>
        <w:tc>
          <w:tcPr>
            <w:tcW w:w="1265" w:type="pct"/>
            <w:tcBorders>
              <w:top w:val="single" w:color="auto" w:sz="4" w:space="0"/>
              <w:left w:val="single" w:color="000000" w:sz="6" w:space="0"/>
              <w:bottom w:val="single" w:color="auto" w:sz="4" w:space="0"/>
              <w:right w:val="single" w:color="000000" w:sz="6" w:space="0"/>
            </w:tcBorders>
            <w:hideMark/>
          </w:tcPr>
          <w:p w:rsidRPr="004C17E9" w:rsidR="002C678D" w:rsidP="00777F2F" w:rsidRDefault="00777F2F">
            <w:pPr>
              <w:pStyle w:val="Sarakstarindkopa"/>
              <w:ind w:left="0" w:right="31"/>
              <w:jc w:val="both"/>
              <w:rPr>
                <w:rFonts w:ascii="Times New Roman" w:hAnsi="Times New Roman"/>
                <w:b/>
              </w:rPr>
            </w:pPr>
            <w:r w:rsidRPr="004C17E9">
              <w:rPr>
                <w:rFonts w:ascii="Times New Roman" w:hAnsi="Times New Roman"/>
                <w:b/>
              </w:rPr>
              <w:t>Pārresoru koordinācijas centrs:</w:t>
            </w:r>
          </w:p>
          <w:p w:rsidRPr="004C17E9" w:rsidR="005624B6" w:rsidP="00777F2F" w:rsidRDefault="00411BE5">
            <w:pPr>
              <w:pStyle w:val="Sarakstarindkopa"/>
              <w:ind w:left="0" w:right="31"/>
              <w:jc w:val="both"/>
              <w:rPr>
                <w:rFonts w:ascii="Times New Roman" w:hAnsi="Times New Roman"/>
                <w:b/>
              </w:rPr>
            </w:pPr>
            <w:r w:rsidRPr="004C17E9">
              <w:rPr>
                <w:rFonts w:ascii="Times New Roman" w:hAnsi="Times New Roman"/>
              </w:rPr>
              <w:t>Lūdzam papildināt vai precizēt anotācijas tekstu ar informāciju, ka atbilstoši sabiedrības ar ierobežotu atbildību “Mihaila Čehova Rīgas Krievu teātris” 2019.gada pārskatam iepriekšējo gadu uzkrātie zaudējumi ir 168 746 eiro, jo anotācijā norādītā uzkrāto zaudējumu summa ir 154 421 eiro, taču šāda summa atbilst 2020.gada noslēgumā plānotajam uzkrāto zaudējumu apmēram, kas samazinātos par summu, kas vienāda ar 2019.gada peļņu un kuru plānots atstāt kapitālsabiedrības rīcībā ar šo rīkojuma projektu.</w:t>
            </w:r>
          </w:p>
        </w:tc>
        <w:tc>
          <w:tcPr>
            <w:tcW w:w="1114" w:type="pct"/>
            <w:tcBorders>
              <w:top w:val="single" w:color="auto" w:sz="4" w:space="0"/>
              <w:left w:val="single" w:color="000000" w:sz="6" w:space="0"/>
              <w:bottom w:val="single" w:color="auto" w:sz="4" w:space="0"/>
              <w:right w:val="single" w:color="000000" w:sz="6" w:space="0"/>
            </w:tcBorders>
            <w:hideMark/>
          </w:tcPr>
          <w:p w:rsidRPr="004C17E9" w:rsidR="002C678D" w:rsidP="00777F2F" w:rsidRDefault="00B856B6">
            <w:pPr>
              <w:jc w:val="center"/>
              <w:rPr>
                <w:b/>
                <w:lang w:eastAsia="en-US"/>
              </w:rPr>
            </w:pPr>
            <w:r w:rsidRPr="004C17E9">
              <w:rPr>
                <w:b/>
                <w:sz w:val="22"/>
                <w:szCs w:val="22"/>
                <w:lang w:eastAsia="en-US"/>
              </w:rPr>
              <w:t>Ņemts vērā</w:t>
            </w:r>
          </w:p>
        </w:tc>
        <w:tc>
          <w:tcPr>
            <w:tcW w:w="1265" w:type="pct"/>
            <w:tcBorders>
              <w:top w:val="single" w:color="auto" w:sz="4" w:space="0"/>
              <w:left w:val="single" w:color="auto" w:sz="4" w:space="0"/>
              <w:bottom w:val="single" w:color="auto" w:sz="4" w:space="0"/>
              <w:right w:val="single" w:color="auto" w:sz="4" w:space="0"/>
            </w:tcBorders>
          </w:tcPr>
          <w:p w:rsidR="002C678D" w:rsidP="00D3056F" w:rsidRDefault="00FB456B">
            <w:pPr>
              <w:pStyle w:val="Default"/>
              <w:jc w:val="both"/>
              <w:rPr>
                <w:bCs/>
                <w:iCs/>
                <w:color w:val="auto"/>
                <w:sz w:val="22"/>
                <w:szCs w:val="22"/>
                <w:lang w:val="sv-SE"/>
              </w:rPr>
            </w:pPr>
            <w:r w:rsidRPr="004C17E9">
              <w:rPr>
                <w:color w:val="auto"/>
                <w:sz w:val="22"/>
                <w:szCs w:val="22"/>
              </w:rPr>
              <w:t xml:space="preserve">Precizēta rīkojuma projekta sākotnējās ietekmes novērtējuma ziņojuma (anotācijas) I sadaļas 2.punkta sestā rindkopa </w:t>
            </w:r>
            <w:r w:rsidRPr="004C17E9">
              <w:rPr>
                <w:bCs/>
                <w:iCs/>
                <w:color w:val="auto"/>
                <w:sz w:val="22"/>
                <w:szCs w:val="22"/>
                <w:lang w:val="sv-SE"/>
              </w:rPr>
              <w:t>šādā redakcijā:</w:t>
            </w:r>
          </w:p>
          <w:p w:rsidRPr="004C17E9" w:rsidR="004C17E9" w:rsidP="00D3056F" w:rsidRDefault="004C17E9">
            <w:pPr>
              <w:pStyle w:val="Default"/>
              <w:jc w:val="both"/>
              <w:rPr>
                <w:bCs/>
                <w:iCs/>
                <w:color w:val="auto"/>
                <w:sz w:val="22"/>
                <w:szCs w:val="22"/>
                <w:lang w:val="sv-SE"/>
              </w:rPr>
            </w:pPr>
          </w:p>
          <w:p w:rsidRPr="004C17E9" w:rsidR="00FB456B" w:rsidP="008869C7" w:rsidRDefault="00B5740E">
            <w:pPr>
              <w:pStyle w:val="Default"/>
              <w:jc w:val="both"/>
              <w:rPr>
                <w:color w:val="000000" w:themeColor="text1"/>
                <w:sz w:val="22"/>
                <w:szCs w:val="22"/>
              </w:rPr>
            </w:pPr>
            <w:r w:rsidRPr="004C17E9">
              <w:rPr>
                <w:rFonts w:eastAsiaTheme="minorHAnsi"/>
                <w:color w:val="auto"/>
                <w:sz w:val="22"/>
                <w:szCs w:val="22"/>
              </w:rPr>
              <w:t>„</w:t>
            </w:r>
            <w:r w:rsidRPr="004C17E9" w:rsidR="008869C7">
              <w:rPr>
                <w:color w:val="000000" w:themeColor="text1"/>
                <w:sz w:val="22"/>
                <w:szCs w:val="22"/>
              </w:rPr>
              <w:t xml:space="preserve">Saskaņā ar Noteikumu Nr.806 6.3.1.1.apakšpunktu, </w:t>
            </w:r>
            <w:r w:rsidRPr="004C17E9" w:rsidR="008869C7">
              <w:rPr>
                <w:rFonts w:eastAsiaTheme="minorHAnsi"/>
                <w:color w:val="000000" w:themeColor="text1"/>
                <w:sz w:val="22"/>
                <w:szCs w:val="22"/>
              </w:rPr>
              <w:t xml:space="preserve">ņemot vērā </w:t>
            </w:r>
            <w:r w:rsidRPr="004C17E9" w:rsidR="008869C7">
              <w:rPr>
                <w:rFonts w:eastAsiaTheme="minorHAnsi"/>
                <w:sz w:val="22"/>
                <w:szCs w:val="22"/>
              </w:rPr>
              <w:t xml:space="preserve">nepieciešamību stiprināt </w:t>
            </w:r>
            <w:r w:rsidRPr="004C17E9" w:rsidR="008869C7">
              <w:rPr>
                <w:rFonts w:eastAsia="Times New Roman"/>
                <w:sz w:val="22"/>
                <w:szCs w:val="22"/>
              </w:rPr>
              <w:t xml:space="preserve">kapitālsabiedrības </w:t>
            </w:r>
            <w:r w:rsidRPr="004C17E9" w:rsidR="008869C7">
              <w:rPr>
                <w:sz w:val="22"/>
                <w:szCs w:val="22"/>
              </w:rPr>
              <w:t>finanšu stabilitāti</w:t>
            </w:r>
            <w:r w:rsidRPr="004C17E9" w:rsidR="008869C7">
              <w:rPr>
                <w:rFonts w:eastAsiaTheme="minorHAnsi"/>
                <w:sz w:val="22"/>
                <w:szCs w:val="22"/>
              </w:rPr>
              <w:t xml:space="preserve">, finansējums, ko kapitālsabiedrība spēj piesaistīt pašu spēkiem, </w:t>
            </w:r>
            <w:r w:rsidR="0027588E">
              <w:rPr>
                <w:rFonts w:eastAsiaTheme="minorHAnsi"/>
                <w:sz w:val="22"/>
                <w:szCs w:val="22"/>
              </w:rPr>
              <w:t>Stratēģijas</w:t>
            </w:r>
            <w:r w:rsidRPr="004C17E9" w:rsidR="008869C7">
              <w:rPr>
                <w:rFonts w:eastAsiaTheme="minorHAnsi"/>
                <w:sz w:val="22"/>
                <w:szCs w:val="22"/>
              </w:rPr>
              <w:t xml:space="preserve"> </w:t>
            </w:r>
            <w:r w:rsidRPr="00695F05" w:rsidR="00695F05">
              <w:rPr>
                <w:rFonts w:eastAsiaTheme="minorHAnsi"/>
                <w:sz w:val="22"/>
                <w:szCs w:val="22"/>
              </w:rPr>
              <w:t xml:space="preserve">darbības perioda </w:t>
            </w:r>
            <w:r w:rsidRPr="004C17E9" w:rsidR="008869C7">
              <w:rPr>
                <w:rFonts w:eastAsiaTheme="minorHAnsi"/>
                <w:sz w:val="22"/>
                <w:szCs w:val="22"/>
              </w:rPr>
              <w:t xml:space="preserve">ietvaros ir jāsaglabā kapitālsabiedrības rīcībā </w:t>
            </w:r>
            <w:r w:rsidRPr="004C17E9" w:rsidR="008869C7">
              <w:rPr>
                <w:sz w:val="22"/>
                <w:szCs w:val="22"/>
              </w:rPr>
              <w:t>iepriekšējos gados gūto un uzkrāto zaudējumu segšanai</w:t>
            </w:r>
            <w:r w:rsidRPr="004C17E9" w:rsidR="008869C7">
              <w:rPr>
                <w:rFonts w:eastAsiaTheme="minorHAnsi"/>
                <w:sz w:val="22"/>
                <w:szCs w:val="22"/>
              </w:rPr>
              <w:t xml:space="preserve">, lai kapitālsabiedrība spētu </w:t>
            </w:r>
            <w:r w:rsidRPr="004C17E9" w:rsidR="008869C7">
              <w:rPr>
                <w:rFonts w:eastAsia="Times New Roman"/>
                <w:sz w:val="22"/>
                <w:szCs w:val="22"/>
              </w:rPr>
              <w:t xml:space="preserve">nodrošināt </w:t>
            </w:r>
            <w:r w:rsidRPr="004C17E9" w:rsidR="008869C7">
              <w:rPr>
                <w:sz w:val="22"/>
                <w:szCs w:val="22"/>
                <w:shd w:val="clear" w:color="auto" w:fill="FFFFFF"/>
              </w:rPr>
              <w:t xml:space="preserve">teātra mākslas pieejamību galvenokārt krievvalodīgajai auditorijai, vienlaikus nodrošinot izrāžu titrus latviešu valodā un tādā </w:t>
            </w:r>
            <w:r w:rsidRPr="004C17E9" w:rsidR="008869C7">
              <w:rPr>
                <w:sz w:val="22"/>
                <w:szCs w:val="22"/>
                <w:shd w:val="clear" w:color="auto" w:fill="FFFFFF"/>
              </w:rPr>
              <w:lastRenderedPageBreak/>
              <w:t xml:space="preserve">veidā veicinot sabiedrības integrāciju, un atbilstoši kultūrpolitiskajām prioritātēm </w:t>
            </w:r>
            <w:r w:rsidR="008913B5">
              <w:rPr>
                <w:sz w:val="22"/>
                <w:szCs w:val="22"/>
                <w:shd w:val="clear" w:color="auto" w:fill="FFFFFF"/>
              </w:rPr>
              <w:t xml:space="preserve">spētu </w:t>
            </w:r>
            <w:r w:rsidRPr="004C17E9" w:rsidR="008869C7">
              <w:rPr>
                <w:sz w:val="22"/>
                <w:szCs w:val="22"/>
                <w:shd w:val="clear" w:color="auto" w:fill="FFFFFF"/>
              </w:rPr>
              <w:t>nodrošin</w:t>
            </w:r>
            <w:r w:rsidR="008913B5">
              <w:rPr>
                <w:sz w:val="22"/>
                <w:szCs w:val="22"/>
                <w:shd w:val="clear" w:color="auto" w:fill="FFFFFF"/>
              </w:rPr>
              <w:t>āt</w:t>
            </w:r>
            <w:r w:rsidRPr="004C17E9" w:rsidR="008869C7">
              <w:rPr>
                <w:sz w:val="22"/>
                <w:szCs w:val="22"/>
                <w:shd w:val="clear" w:color="auto" w:fill="FFFFFF"/>
              </w:rPr>
              <w:t xml:space="preserve"> augstāku kvalitātes standartu teātra mākslas jomā</w:t>
            </w:r>
            <w:r w:rsidRPr="004C17E9" w:rsidR="008869C7">
              <w:rPr>
                <w:rFonts w:eastAsiaTheme="minorHAnsi"/>
                <w:sz w:val="22"/>
                <w:szCs w:val="22"/>
              </w:rPr>
              <w:t xml:space="preserve">, kas tika noteikts </w:t>
            </w:r>
            <w:r w:rsidRPr="004C17E9" w:rsidR="008869C7">
              <w:rPr>
                <w:sz w:val="22"/>
                <w:szCs w:val="22"/>
              </w:rPr>
              <w:t>Ministru</w:t>
            </w:r>
            <w:r w:rsidRPr="004C17E9" w:rsidR="008869C7">
              <w:rPr>
                <w:color w:val="000000" w:themeColor="text1"/>
                <w:sz w:val="22"/>
                <w:szCs w:val="22"/>
              </w:rPr>
              <w:t xml:space="preserve"> kabineta 2015.gada 22.decembra sēdē (prot</w:t>
            </w:r>
            <w:r w:rsidR="008913B5">
              <w:rPr>
                <w:color w:val="000000" w:themeColor="text1"/>
                <w:sz w:val="22"/>
                <w:szCs w:val="22"/>
              </w:rPr>
              <w:t>.</w:t>
            </w:r>
            <w:r w:rsidRPr="004C17E9" w:rsidR="008869C7">
              <w:rPr>
                <w:color w:val="000000" w:themeColor="text1"/>
                <w:sz w:val="22"/>
                <w:szCs w:val="22"/>
              </w:rPr>
              <w:t xml:space="preserve"> Nr.68 80.§), pieņemot lēmumu par valsts līdzdalības saglabāšanu kapitālsabiedrībā</w:t>
            </w:r>
            <w:r w:rsidRPr="004C17E9" w:rsidR="008869C7">
              <w:rPr>
                <w:rFonts w:eastAsiaTheme="minorHAnsi"/>
                <w:color w:val="000000" w:themeColor="text1"/>
                <w:sz w:val="22"/>
                <w:szCs w:val="22"/>
              </w:rPr>
              <w:t xml:space="preserve">. </w:t>
            </w:r>
            <w:r w:rsidRPr="004C17E9" w:rsidR="008869C7">
              <w:rPr>
                <w:sz w:val="22"/>
                <w:szCs w:val="22"/>
              </w:rPr>
              <w:t xml:space="preserve">Stratēģijā minētajā laika periodā </w:t>
            </w:r>
            <w:r w:rsidRPr="004C17E9" w:rsidR="008869C7">
              <w:rPr>
                <w:color w:val="000000" w:themeColor="text1"/>
                <w:sz w:val="22"/>
                <w:szCs w:val="22"/>
              </w:rPr>
              <w:t xml:space="preserve">kapitālsabiedrībai ir nepieciešami ieguldījumi iepriekšējos gados gūto un uzkrāto zaudējumu segšanai, kas uz 2019.gada 31.decembri bija </w:t>
            </w:r>
            <w:r w:rsidRPr="004C17E9" w:rsidR="008869C7">
              <w:rPr>
                <w:sz w:val="22"/>
                <w:szCs w:val="22"/>
              </w:rPr>
              <w:t>168 746</w:t>
            </w:r>
            <w:r w:rsidRPr="004C17E9" w:rsidR="008869C7">
              <w:rPr>
                <w:color w:val="000000" w:themeColor="text1"/>
                <w:sz w:val="22"/>
                <w:szCs w:val="22"/>
              </w:rPr>
              <w:t> </w:t>
            </w:r>
            <w:r w:rsidRPr="004C17E9" w:rsidR="008869C7">
              <w:rPr>
                <w:i/>
                <w:color w:val="000000" w:themeColor="text1"/>
                <w:sz w:val="22"/>
                <w:szCs w:val="22"/>
              </w:rPr>
              <w:t>euro</w:t>
            </w:r>
            <w:r w:rsidRPr="004C17E9" w:rsidR="008869C7">
              <w:rPr>
                <w:color w:val="000000" w:themeColor="text1"/>
                <w:sz w:val="22"/>
                <w:szCs w:val="22"/>
              </w:rPr>
              <w:t xml:space="preserve"> apmērā, no kuriem 47 300 </w:t>
            </w:r>
            <w:r w:rsidRPr="004C17E9" w:rsidR="008869C7">
              <w:rPr>
                <w:i/>
                <w:color w:val="000000" w:themeColor="text1"/>
                <w:sz w:val="22"/>
                <w:szCs w:val="22"/>
              </w:rPr>
              <w:t>euro</w:t>
            </w:r>
            <w:r w:rsidRPr="004C17E9" w:rsidR="008869C7">
              <w:rPr>
                <w:color w:val="000000" w:themeColor="text1"/>
                <w:sz w:val="22"/>
                <w:szCs w:val="22"/>
              </w:rPr>
              <w:t xml:space="preserve"> apmērā plānots segt no dividendēm, bet pārējo</w:t>
            </w:r>
            <w:r w:rsidRPr="004C17E9" w:rsidR="008869C7">
              <w:rPr>
                <w:sz w:val="22"/>
                <w:szCs w:val="22"/>
              </w:rPr>
              <w:t xml:space="preserve"> summu no atlikušās peļņas daļas.</w:t>
            </w:r>
            <w:r w:rsidRPr="004C17E9" w:rsidR="00FB456B">
              <w:rPr>
                <w:sz w:val="22"/>
                <w:szCs w:val="22"/>
              </w:rPr>
              <w:t>”</w:t>
            </w:r>
          </w:p>
        </w:tc>
      </w:tr>
      <w:tr w:rsidRPr="004C17E9" w:rsidR="002C678D" w:rsidTr="00FB456B">
        <w:tc>
          <w:tcPr>
            <w:tcW w:w="198" w:type="pct"/>
            <w:tcBorders>
              <w:top w:val="single" w:color="auto" w:sz="4" w:space="0"/>
              <w:left w:val="single" w:color="000000" w:sz="6" w:space="0"/>
              <w:bottom w:val="single" w:color="auto" w:sz="4" w:space="0"/>
              <w:right w:val="single" w:color="000000" w:sz="6" w:space="0"/>
            </w:tcBorders>
          </w:tcPr>
          <w:p w:rsidRPr="004C17E9" w:rsidR="002C678D" w:rsidP="00777F2F" w:rsidRDefault="002C678D">
            <w:pPr>
              <w:pStyle w:val="naisc"/>
              <w:numPr>
                <w:ilvl w:val="0"/>
                <w:numId w:val="2"/>
              </w:numPr>
              <w:spacing w:before="0" w:after="0"/>
              <w:jc w:val="right"/>
              <w:rPr>
                <w:lang w:eastAsia="en-US"/>
              </w:rPr>
            </w:pPr>
          </w:p>
        </w:tc>
        <w:tc>
          <w:tcPr>
            <w:tcW w:w="0" w:type="auto"/>
            <w:tcBorders>
              <w:top w:val="single" w:color="auto" w:sz="4" w:space="0"/>
              <w:left w:val="single" w:color="000000" w:sz="6" w:space="0"/>
              <w:bottom w:val="single" w:color="auto" w:sz="4" w:space="0"/>
              <w:right w:val="single" w:color="000000" w:sz="6" w:space="0"/>
            </w:tcBorders>
            <w:hideMark/>
          </w:tcPr>
          <w:p w:rsidRPr="004C17E9" w:rsidR="002C678D" w:rsidP="004E27E0" w:rsidRDefault="0006652D">
            <w:pPr>
              <w:jc w:val="both"/>
            </w:pPr>
            <w:r w:rsidRPr="004C17E9">
              <w:rPr>
                <w:sz w:val="22"/>
                <w:szCs w:val="22"/>
              </w:rPr>
              <w:t xml:space="preserve">Rīkojuma projekta </w:t>
            </w:r>
            <w:r w:rsidRPr="004C17E9">
              <w:rPr>
                <w:sz w:val="22"/>
                <w:szCs w:val="22"/>
                <w:lang w:eastAsia="en-US"/>
              </w:rPr>
              <w:t>sākotnējās ietekmes novērtējuma ziņojuma (anotācijas) I sadaļas 2.punkt</w:t>
            </w:r>
            <w:r w:rsidRPr="004C17E9" w:rsidR="004E27E0">
              <w:rPr>
                <w:sz w:val="22"/>
                <w:szCs w:val="22"/>
                <w:lang w:eastAsia="en-US"/>
              </w:rPr>
              <w:t>s</w:t>
            </w:r>
            <w:r w:rsidRPr="004C17E9">
              <w:rPr>
                <w:sz w:val="22"/>
                <w:szCs w:val="22"/>
              </w:rPr>
              <w:t>.</w:t>
            </w:r>
          </w:p>
        </w:tc>
        <w:tc>
          <w:tcPr>
            <w:tcW w:w="1265" w:type="pct"/>
            <w:tcBorders>
              <w:top w:val="single" w:color="auto" w:sz="4" w:space="0"/>
              <w:left w:val="single" w:color="000000" w:sz="6" w:space="0"/>
              <w:bottom w:val="single" w:color="auto" w:sz="4" w:space="0"/>
              <w:right w:val="single" w:color="000000" w:sz="6" w:space="0"/>
            </w:tcBorders>
          </w:tcPr>
          <w:p w:rsidRPr="004C17E9" w:rsidR="00FB456B" w:rsidP="00FB456B" w:rsidRDefault="00FB456B">
            <w:pPr>
              <w:pStyle w:val="Sarakstarindkopa"/>
              <w:ind w:left="0" w:right="31"/>
              <w:jc w:val="both"/>
              <w:rPr>
                <w:rFonts w:ascii="Times New Roman" w:hAnsi="Times New Roman"/>
                <w:b/>
              </w:rPr>
            </w:pPr>
            <w:r w:rsidRPr="004C17E9">
              <w:rPr>
                <w:rFonts w:ascii="Times New Roman" w:hAnsi="Times New Roman"/>
                <w:b/>
              </w:rPr>
              <w:t>Pārresoru koordinācijas centrs:</w:t>
            </w:r>
          </w:p>
          <w:p w:rsidRPr="004C17E9" w:rsidR="002C678D" w:rsidP="005624B6" w:rsidRDefault="00FB456B">
            <w:pPr>
              <w:pStyle w:val="Kjene"/>
              <w:tabs>
                <w:tab w:val="left" w:pos="851"/>
              </w:tabs>
              <w:jc w:val="both"/>
              <w:rPr>
                <w:b/>
              </w:rPr>
            </w:pPr>
            <w:r w:rsidRPr="004C17E9">
              <w:rPr>
                <w:sz w:val="22"/>
                <w:szCs w:val="22"/>
              </w:rPr>
              <w:t xml:space="preserve">Anotācijā minēts, ka </w:t>
            </w:r>
            <w:bookmarkStart w:name="_Hlk48552734" w:id="1"/>
            <w:r w:rsidRPr="004C17E9">
              <w:rPr>
                <w:sz w:val="22"/>
                <w:szCs w:val="22"/>
              </w:rPr>
              <w:t xml:space="preserve">sabiedrības ar ierobežotu atbildību “Mihaila Čehova Rīgas Krievu teātris” </w:t>
            </w:r>
            <w:bookmarkEnd w:id="1"/>
            <w:r w:rsidRPr="004C17E9">
              <w:rPr>
                <w:sz w:val="22"/>
                <w:szCs w:val="22"/>
              </w:rPr>
              <w:t>izrādēs nodrošina titrus latviešu valodā, taču tālāk anotācijā minēts, ka teātra repertuārā ir tikai dramatiskās izrādes krievu valodā bez tulkojuma citās valodās. Ievērojot minēto lūdzam iekļaut anotācijas tekstā precizējumu, ka izrādēs tulkojums titru formā ir pieejams tikai latviešu valodā, tādēļ tās netiek reklamētas ārpus Latvijas, līdz ar to teātra izrādes ir paredzētas vietējai mērķauditorijai vai tiem teātra apmeklētājiem, kuri pārvalda latviešu vai krievu valodu.</w:t>
            </w:r>
          </w:p>
        </w:tc>
        <w:tc>
          <w:tcPr>
            <w:tcW w:w="1114" w:type="pct"/>
            <w:tcBorders>
              <w:top w:val="single" w:color="auto" w:sz="4" w:space="0"/>
              <w:left w:val="single" w:color="000000" w:sz="6" w:space="0"/>
              <w:bottom w:val="single" w:color="auto" w:sz="4" w:space="0"/>
              <w:right w:val="single" w:color="000000" w:sz="6" w:space="0"/>
            </w:tcBorders>
          </w:tcPr>
          <w:p w:rsidRPr="004C17E9" w:rsidR="002C678D" w:rsidP="00777F2F" w:rsidRDefault="00FB456B">
            <w:pPr>
              <w:jc w:val="center"/>
              <w:rPr>
                <w:b/>
                <w:lang w:eastAsia="en-US"/>
              </w:rPr>
            </w:pPr>
            <w:r w:rsidRPr="004C17E9">
              <w:rPr>
                <w:b/>
                <w:sz w:val="22"/>
                <w:szCs w:val="22"/>
                <w:lang w:eastAsia="en-US"/>
              </w:rPr>
              <w:t>Ņemts vērā</w:t>
            </w:r>
          </w:p>
        </w:tc>
        <w:tc>
          <w:tcPr>
            <w:tcW w:w="1265" w:type="pct"/>
            <w:tcBorders>
              <w:top w:val="single" w:color="auto" w:sz="4" w:space="0"/>
              <w:left w:val="single" w:color="auto" w:sz="4" w:space="0"/>
              <w:bottom w:val="single" w:color="auto" w:sz="4" w:space="0"/>
              <w:right w:val="single" w:color="auto" w:sz="4" w:space="0"/>
            </w:tcBorders>
          </w:tcPr>
          <w:p w:rsidR="00FB456B" w:rsidP="00FB456B" w:rsidRDefault="00FB456B">
            <w:pPr>
              <w:pStyle w:val="Default"/>
              <w:jc w:val="both"/>
              <w:rPr>
                <w:bCs/>
                <w:iCs/>
                <w:color w:val="auto"/>
                <w:sz w:val="22"/>
                <w:szCs w:val="22"/>
                <w:lang w:val="sv-SE"/>
              </w:rPr>
            </w:pPr>
            <w:r w:rsidRPr="004C17E9">
              <w:rPr>
                <w:color w:val="auto"/>
                <w:sz w:val="22"/>
                <w:szCs w:val="22"/>
              </w:rPr>
              <w:t xml:space="preserve">Precizēta rīkojuma projekta sākotnējās ietekmes novērtējuma ziņojuma (anotācijas) I sadaļas 2.punkta </w:t>
            </w:r>
            <w:r w:rsidRPr="004C17E9" w:rsidR="005A6A29">
              <w:rPr>
                <w:color w:val="auto"/>
                <w:sz w:val="22"/>
                <w:szCs w:val="22"/>
              </w:rPr>
              <w:t>vienpadsmitā</w:t>
            </w:r>
            <w:r w:rsidRPr="004C17E9">
              <w:rPr>
                <w:color w:val="auto"/>
                <w:sz w:val="22"/>
                <w:szCs w:val="22"/>
              </w:rPr>
              <w:t xml:space="preserve"> rindkopa </w:t>
            </w:r>
            <w:r w:rsidRPr="004C17E9">
              <w:rPr>
                <w:bCs/>
                <w:iCs/>
                <w:color w:val="auto"/>
                <w:sz w:val="22"/>
                <w:szCs w:val="22"/>
                <w:lang w:val="sv-SE"/>
              </w:rPr>
              <w:t>šādā redakcijā:</w:t>
            </w:r>
          </w:p>
          <w:p w:rsidRPr="004C17E9" w:rsidR="00B449B8" w:rsidP="00FB456B" w:rsidRDefault="00B449B8">
            <w:pPr>
              <w:pStyle w:val="Default"/>
              <w:jc w:val="both"/>
              <w:rPr>
                <w:bCs/>
                <w:iCs/>
                <w:color w:val="auto"/>
                <w:sz w:val="22"/>
                <w:szCs w:val="22"/>
                <w:lang w:val="sv-SE"/>
              </w:rPr>
            </w:pPr>
          </w:p>
          <w:p w:rsidRPr="004C17E9" w:rsidR="005530F1" w:rsidP="00485731" w:rsidRDefault="00B5740E">
            <w:pPr>
              <w:jc w:val="both"/>
              <w:rPr>
                <w:color w:val="000000" w:themeColor="text1"/>
              </w:rPr>
            </w:pPr>
            <w:r w:rsidRPr="004C17E9">
              <w:rPr>
                <w:rFonts w:eastAsiaTheme="minorHAnsi"/>
                <w:sz w:val="22"/>
                <w:szCs w:val="22"/>
                <w:lang w:eastAsia="en-US"/>
              </w:rPr>
              <w:t>„</w:t>
            </w:r>
            <w:r w:rsidRPr="004C17E9">
              <w:rPr>
                <w:sz w:val="22"/>
                <w:szCs w:val="22"/>
              </w:rPr>
              <w:t>Teātra repertuārā ir tikai dramatiskās izrādes krievu valodā</w:t>
            </w:r>
            <w:r w:rsidR="00B449B8">
              <w:rPr>
                <w:sz w:val="22"/>
                <w:szCs w:val="22"/>
              </w:rPr>
              <w:t>,</w:t>
            </w:r>
            <w:r w:rsidRPr="004C17E9">
              <w:rPr>
                <w:sz w:val="22"/>
                <w:szCs w:val="22"/>
              </w:rPr>
              <w:t xml:space="preserve"> atsevišķās izrādēs tulkojumus titru formā nodrošinot arī latviešu valodā, līdz ar to izrādes ir paredzētas vietējai mērķauditorijai vai tiem teātra apmeklētājiem, kuri pārvalda latviešu vai krievu valodu. Izrādes netiek reklamētas </w:t>
            </w:r>
            <w:r w:rsidR="001249FD">
              <w:t xml:space="preserve">Eiropas Savienības dalībvalstīs </w:t>
            </w:r>
            <w:r w:rsidRPr="004C17E9">
              <w:rPr>
                <w:sz w:val="22"/>
                <w:szCs w:val="22"/>
              </w:rPr>
              <w:t xml:space="preserve">un valodas barjeras dēļ izrādes nepiesaista skatītājus no citām Eiropas Savienības dalībvalstīm, līdz </w:t>
            </w:r>
            <w:r w:rsidRPr="004C17E9">
              <w:rPr>
                <w:sz w:val="22"/>
                <w:szCs w:val="22"/>
              </w:rPr>
              <w:lastRenderedPageBreak/>
              <w:t xml:space="preserve">ar to piešķirtais valsts </w:t>
            </w:r>
            <w:r w:rsidR="009F5EE3">
              <w:rPr>
                <w:sz w:val="22"/>
                <w:szCs w:val="22"/>
              </w:rPr>
              <w:t xml:space="preserve">budžeta </w:t>
            </w:r>
            <w:r w:rsidRPr="004C17E9">
              <w:rPr>
                <w:sz w:val="22"/>
                <w:szCs w:val="22"/>
              </w:rPr>
              <w:t>finansējums kapitālsabiedrībai nevar ietekmēt tirdzniecību starp dalībvalstīm un konkurenci, un šim atbalsta pasākumam (t.i., dotācijai no valsts pamatbudžeta) ir vienīgi vietēja mēroga ietekme. Ņemot vērā iepriekš minēto, ka ne</w:t>
            </w:r>
            <w:r w:rsidRPr="004C17E9">
              <w:rPr>
                <w:bCs/>
                <w:sz w:val="22"/>
                <w:szCs w:val="22"/>
              </w:rPr>
              <w:t>pastāv potenciāla ietekme uz tirdzniecību un konkurenci starp</w:t>
            </w:r>
            <w:r w:rsidRPr="004C17E9">
              <w:rPr>
                <w:b/>
                <w:bCs/>
                <w:sz w:val="22"/>
                <w:szCs w:val="22"/>
              </w:rPr>
              <w:t xml:space="preserve"> </w:t>
            </w:r>
            <w:r w:rsidRPr="004C17E9">
              <w:rPr>
                <w:sz w:val="22"/>
                <w:szCs w:val="22"/>
              </w:rPr>
              <w:t>citām Eiropas Savienības dalībvalstīm, komercdarbības atbalstu regulējošās tiesību normas nav jāpiemēro.”</w:t>
            </w:r>
          </w:p>
        </w:tc>
      </w:tr>
    </w:tbl>
    <w:p w:rsidRPr="004C17E9" w:rsidR="002C678D" w:rsidP="002C678D" w:rsidRDefault="002C678D">
      <w:pPr>
        <w:outlineLvl w:val="0"/>
        <w:rPr>
          <w:sz w:val="22"/>
          <w:szCs w:val="22"/>
        </w:rPr>
      </w:pPr>
    </w:p>
    <w:p w:rsidRPr="004C17E9" w:rsidR="002C678D" w:rsidP="002C678D" w:rsidRDefault="002C678D">
      <w:pPr>
        <w:outlineLvl w:val="0"/>
        <w:rPr>
          <w:sz w:val="22"/>
          <w:szCs w:val="22"/>
        </w:rPr>
      </w:pPr>
    </w:p>
    <w:p w:rsidRPr="004C17E9" w:rsidR="002C678D" w:rsidP="002C678D" w:rsidRDefault="00B856B6">
      <w:pPr>
        <w:outlineLvl w:val="0"/>
        <w:rPr>
          <w:sz w:val="20"/>
          <w:szCs w:val="20"/>
        </w:rPr>
      </w:pPr>
      <w:r w:rsidRPr="004C17E9">
        <w:rPr>
          <w:sz w:val="20"/>
          <w:szCs w:val="20"/>
        </w:rPr>
        <w:t>Mārcis Katajs</w:t>
      </w:r>
    </w:p>
    <w:p w:rsidRPr="004C17E9" w:rsidR="002C678D" w:rsidP="002C678D" w:rsidRDefault="00B856B6">
      <w:pPr>
        <w:rPr>
          <w:iCs/>
          <w:sz w:val="20"/>
          <w:szCs w:val="20"/>
        </w:rPr>
      </w:pPr>
      <w:r w:rsidRPr="004C17E9">
        <w:rPr>
          <w:iCs/>
          <w:sz w:val="20"/>
          <w:szCs w:val="20"/>
        </w:rPr>
        <w:t xml:space="preserve">Kultūras ministrijas </w:t>
      </w:r>
    </w:p>
    <w:p w:rsidRPr="004C17E9" w:rsidR="002C678D" w:rsidP="002C678D" w:rsidRDefault="00B856B6">
      <w:pPr>
        <w:rPr>
          <w:iCs/>
          <w:sz w:val="20"/>
          <w:szCs w:val="20"/>
        </w:rPr>
      </w:pPr>
      <w:r w:rsidRPr="004C17E9">
        <w:rPr>
          <w:iCs/>
          <w:sz w:val="20"/>
          <w:szCs w:val="20"/>
        </w:rPr>
        <w:t>Kultūrpolitikas departamenta</w:t>
      </w:r>
    </w:p>
    <w:p w:rsidRPr="004C17E9" w:rsidR="002C678D" w:rsidP="002C678D" w:rsidRDefault="00B856B6">
      <w:pPr>
        <w:rPr>
          <w:iCs/>
          <w:sz w:val="20"/>
          <w:szCs w:val="20"/>
        </w:rPr>
      </w:pPr>
      <w:r w:rsidRPr="004C17E9">
        <w:rPr>
          <w:iCs/>
          <w:sz w:val="20"/>
          <w:szCs w:val="20"/>
        </w:rPr>
        <w:t>Nozaru politikas nodaļas vecākais referents</w:t>
      </w:r>
    </w:p>
    <w:p w:rsidRPr="008913B5" w:rsidR="00A258F4" w:rsidP="008913B5" w:rsidRDefault="00B856B6">
      <w:pPr>
        <w:tabs>
          <w:tab w:val="left" w:pos="6804"/>
        </w:tabs>
        <w:rPr>
          <w:color w:val="000000"/>
          <w:sz w:val="20"/>
          <w:szCs w:val="20"/>
        </w:rPr>
      </w:pPr>
      <w:r w:rsidRPr="004C17E9">
        <w:rPr>
          <w:sz w:val="20"/>
          <w:szCs w:val="20"/>
        </w:rPr>
        <w:t>Tālr.67330327</w:t>
      </w:r>
      <w:r w:rsidR="008913B5">
        <w:rPr>
          <w:color w:val="000000"/>
          <w:sz w:val="20"/>
          <w:szCs w:val="20"/>
        </w:rPr>
        <w:t xml:space="preserve">; </w:t>
      </w:r>
      <w:hyperlink w:history="1" r:id="rId8">
        <w:r w:rsidRPr="00E84452" w:rsidR="008913B5">
          <w:rPr>
            <w:rStyle w:val="Hipersaite"/>
            <w:sz w:val="20"/>
            <w:szCs w:val="20"/>
          </w:rPr>
          <w:t>Marcis.Katajs@km.gov.lv</w:t>
        </w:r>
      </w:hyperlink>
    </w:p>
    <w:sectPr w:rsidRPr="008913B5" w:rsidR="00A258F4" w:rsidSect="00777F2F">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39" w:rsidRDefault="00B73239" w:rsidP="002C678D">
      <w:r>
        <w:separator/>
      </w:r>
    </w:p>
  </w:endnote>
  <w:endnote w:type="continuationSeparator" w:id="0">
    <w:p w:rsidR="00B73239" w:rsidRDefault="00B73239" w:rsidP="002C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DE" w:rsidRDefault="008D0ED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1" w:rsidRPr="00E7045D" w:rsidRDefault="00C417E0" w:rsidP="00777F2F">
    <w:pPr>
      <w:pStyle w:val="Kjene"/>
      <w:rPr>
        <w:sz w:val="20"/>
        <w:szCs w:val="20"/>
      </w:rPr>
    </w:pPr>
    <w:r w:rsidRPr="00E7045D">
      <w:rPr>
        <w:sz w:val="20"/>
        <w:szCs w:val="20"/>
      </w:rPr>
      <w:t>KMIzz_</w:t>
    </w:r>
    <w:r w:rsidR="008D0EDE">
      <w:rPr>
        <w:sz w:val="20"/>
        <w:szCs w:val="20"/>
      </w:rPr>
      <w:t>29</w:t>
    </w:r>
    <w:r>
      <w:rPr>
        <w:sz w:val="20"/>
        <w:szCs w:val="20"/>
      </w:rPr>
      <w:t>0920</w:t>
    </w:r>
    <w:r w:rsidRPr="00E7045D">
      <w:rPr>
        <w:sz w:val="20"/>
        <w:szCs w:val="20"/>
      </w:rPr>
      <w:t>_</w:t>
    </w:r>
    <w:r>
      <w:rPr>
        <w:sz w:val="20"/>
        <w:szCs w:val="20"/>
      </w:rPr>
      <w:t>MCRKT</w:t>
    </w:r>
    <w:r w:rsidRPr="00E7045D">
      <w:rPr>
        <w:sz w:val="20"/>
        <w:szCs w:val="20"/>
      </w:rPr>
      <w:t>_strategija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31" w:rsidRPr="00E7045D" w:rsidRDefault="00485731">
    <w:pPr>
      <w:pStyle w:val="Kjene"/>
      <w:rPr>
        <w:sz w:val="20"/>
        <w:szCs w:val="20"/>
      </w:rPr>
    </w:pPr>
    <w:r w:rsidRPr="00E7045D">
      <w:rPr>
        <w:sz w:val="20"/>
        <w:szCs w:val="20"/>
      </w:rPr>
      <w:t>KMIzz_</w:t>
    </w:r>
    <w:r w:rsidR="008D0EDE">
      <w:rPr>
        <w:sz w:val="20"/>
        <w:szCs w:val="20"/>
      </w:rPr>
      <w:t>290920</w:t>
    </w:r>
    <w:r w:rsidRPr="00E7045D">
      <w:rPr>
        <w:sz w:val="20"/>
        <w:szCs w:val="20"/>
      </w:rPr>
      <w:t>_</w:t>
    </w:r>
    <w:r w:rsidR="00DC7ACD">
      <w:rPr>
        <w:sz w:val="20"/>
        <w:szCs w:val="20"/>
      </w:rPr>
      <w:t>MCRKT</w:t>
    </w:r>
    <w:r w:rsidRPr="00E7045D">
      <w:rPr>
        <w:sz w:val="20"/>
        <w:szCs w:val="20"/>
      </w:rPr>
      <w:t>_strategija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39" w:rsidRDefault="00B73239" w:rsidP="002C678D">
      <w:r>
        <w:separator/>
      </w:r>
    </w:p>
  </w:footnote>
  <w:footnote w:type="continuationSeparator" w:id="0">
    <w:p w:rsidR="00B73239" w:rsidRDefault="00B73239" w:rsidP="002C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DE" w:rsidRDefault="008D0EDE">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50929"/>
      <w:docPartObj>
        <w:docPartGallery w:val="Page Numbers (Top of Page)"/>
        <w:docPartUnique/>
      </w:docPartObj>
    </w:sdtPr>
    <w:sdtEndPr>
      <w:rPr>
        <w:sz w:val="22"/>
        <w:szCs w:val="22"/>
      </w:rPr>
    </w:sdtEndPr>
    <w:sdtContent>
      <w:p w:rsidRPr="001248BC" w:rsidR="00485731" w:rsidRDefault="00D41728">
        <w:pPr>
          <w:pStyle w:val="Galvene"/>
          <w:jc w:val="center"/>
          <w:rPr>
            <w:sz w:val="22"/>
            <w:szCs w:val="22"/>
          </w:rPr>
        </w:pPr>
        <w:r w:rsidRPr="001248BC">
          <w:rPr>
            <w:sz w:val="22"/>
            <w:szCs w:val="22"/>
          </w:rPr>
          <w:fldChar w:fldCharType="begin"/>
        </w:r>
        <w:r w:rsidRPr="001248BC" w:rsidR="00485731">
          <w:rPr>
            <w:sz w:val="22"/>
            <w:szCs w:val="22"/>
          </w:rPr>
          <w:instrText xml:space="preserve"> PAGE   \* MERGEFORMAT </w:instrText>
        </w:r>
        <w:r w:rsidRPr="001248BC">
          <w:rPr>
            <w:sz w:val="22"/>
            <w:szCs w:val="22"/>
          </w:rPr>
          <w:fldChar w:fldCharType="separate"/>
        </w:r>
        <w:r w:rsidR="008869C7">
          <w:rPr>
            <w:noProof/>
            <w:sz w:val="22"/>
            <w:szCs w:val="22"/>
          </w:rPr>
          <w:t>2</w:t>
        </w:r>
        <w:r w:rsidRPr="001248BC">
          <w:rPr>
            <w:sz w:val="22"/>
            <w:szCs w:val="22"/>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EDE" w:rsidRDefault="008D0EDE">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6BF"/>
    <w:multiLevelType w:val="hybridMultilevel"/>
    <w:tmpl w:val="C186B374"/>
    <w:lvl w:ilvl="0" w:tplc="D89A31CE">
      <w:start w:val="1"/>
      <w:numFmt w:val="decimal"/>
      <w:lvlText w:val="%1."/>
      <w:lvlJc w:val="left"/>
      <w:pPr>
        <w:ind w:left="360" w:hanging="360"/>
      </w:pPr>
      <w:rPr>
        <w:sz w:val="22"/>
        <w:szCs w:val="22"/>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15:restartNumberingAfterBreak="0">
    <w:nsid w:val="39582FBB"/>
    <w:multiLevelType w:val="hybridMultilevel"/>
    <w:tmpl w:val="271A75CC"/>
    <w:lvl w:ilvl="0" w:tplc="11DA51B0">
      <w:start w:val="1"/>
      <w:numFmt w:val="decimal"/>
      <w:lvlText w:val="%1."/>
      <w:lvlJc w:val="left"/>
      <w:pPr>
        <w:ind w:left="1080" w:hanging="360"/>
      </w:pPr>
      <w:rPr>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63754486"/>
    <w:multiLevelType w:val="hybridMultilevel"/>
    <w:tmpl w:val="4A6EF4C2"/>
    <w:lvl w:ilvl="0" w:tplc="733091EA">
      <w:start w:val="1"/>
      <w:numFmt w:val="upperRoman"/>
      <w:lvlText w:val="%1."/>
      <w:lvlJc w:val="left"/>
      <w:pPr>
        <w:ind w:left="1080" w:hanging="72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678D"/>
    <w:rsid w:val="00022100"/>
    <w:rsid w:val="0006652D"/>
    <w:rsid w:val="000C3D46"/>
    <w:rsid w:val="000D1A1A"/>
    <w:rsid w:val="000D1A88"/>
    <w:rsid w:val="000F09AF"/>
    <w:rsid w:val="001249FD"/>
    <w:rsid w:val="001319F1"/>
    <w:rsid w:val="001C035B"/>
    <w:rsid w:val="001C0EB6"/>
    <w:rsid w:val="00232F25"/>
    <w:rsid w:val="00241562"/>
    <w:rsid w:val="0027588E"/>
    <w:rsid w:val="002A6F98"/>
    <w:rsid w:val="002C2737"/>
    <w:rsid w:val="002C678D"/>
    <w:rsid w:val="003018FC"/>
    <w:rsid w:val="00371BD3"/>
    <w:rsid w:val="00376E52"/>
    <w:rsid w:val="003A4F7D"/>
    <w:rsid w:val="00411BE5"/>
    <w:rsid w:val="004135F8"/>
    <w:rsid w:val="00423F05"/>
    <w:rsid w:val="004467A5"/>
    <w:rsid w:val="00470C0C"/>
    <w:rsid w:val="00485731"/>
    <w:rsid w:val="004C17E9"/>
    <w:rsid w:val="004C4A4D"/>
    <w:rsid w:val="004E27E0"/>
    <w:rsid w:val="005530F1"/>
    <w:rsid w:val="005624B6"/>
    <w:rsid w:val="005A5DD8"/>
    <w:rsid w:val="005A6A29"/>
    <w:rsid w:val="006056A0"/>
    <w:rsid w:val="00615CF4"/>
    <w:rsid w:val="006572A4"/>
    <w:rsid w:val="00695F05"/>
    <w:rsid w:val="006B50E7"/>
    <w:rsid w:val="007271EF"/>
    <w:rsid w:val="00761AE2"/>
    <w:rsid w:val="00777F2F"/>
    <w:rsid w:val="00780F24"/>
    <w:rsid w:val="00784DFB"/>
    <w:rsid w:val="00823A6B"/>
    <w:rsid w:val="008869C7"/>
    <w:rsid w:val="008913B5"/>
    <w:rsid w:val="008D0EDE"/>
    <w:rsid w:val="009F5EE3"/>
    <w:rsid w:val="00A258F4"/>
    <w:rsid w:val="00B2122F"/>
    <w:rsid w:val="00B449B8"/>
    <w:rsid w:val="00B5740E"/>
    <w:rsid w:val="00B73239"/>
    <w:rsid w:val="00B856B6"/>
    <w:rsid w:val="00BF2673"/>
    <w:rsid w:val="00BF4EED"/>
    <w:rsid w:val="00C32824"/>
    <w:rsid w:val="00C417E0"/>
    <w:rsid w:val="00C87846"/>
    <w:rsid w:val="00CD3F60"/>
    <w:rsid w:val="00CE619A"/>
    <w:rsid w:val="00D0161D"/>
    <w:rsid w:val="00D3056F"/>
    <w:rsid w:val="00D3566B"/>
    <w:rsid w:val="00D41728"/>
    <w:rsid w:val="00DC7ACD"/>
    <w:rsid w:val="00E00B21"/>
    <w:rsid w:val="00E220F2"/>
    <w:rsid w:val="00E23D2F"/>
    <w:rsid w:val="00E46217"/>
    <w:rsid w:val="00E55892"/>
    <w:rsid w:val="00E84D51"/>
    <w:rsid w:val="00EB4CA4"/>
    <w:rsid w:val="00EE2A06"/>
    <w:rsid w:val="00F069E3"/>
    <w:rsid w:val="00F2485D"/>
    <w:rsid w:val="00FA67C8"/>
    <w:rsid w:val="00FB45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91FBF3-7223-46F9-B0B8-33C94340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C678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2C678D"/>
    <w:rPr>
      <w:color w:val="0000FF"/>
      <w:u w:val="single"/>
    </w:rPr>
  </w:style>
  <w:style w:type="paragraph" w:styleId="Paraststmeklis">
    <w:name w:val="Normal (Web)"/>
    <w:basedOn w:val="Parasts"/>
    <w:uiPriority w:val="99"/>
    <w:unhideWhenUsed/>
    <w:rsid w:val="002C678D"/>
    <w:pPr>
      <w:spacing w:before="100" w:beforeAutospacing="1" w:after="100" w:afterAutospacing="1"/>
    </w:pPr>
  </w:style>
  <w:style w:type="paragraph" w:styleId="Komentrateksts">
    <w:name w:val="annotation text"/>
    <w:basedOn w:val="Parasts"/>
    <w:link w:val="KomentratekstsRakstz"/>
    <w:uiPriority w:val="99"/>
    <w:unhideWhenUsed/>
    <w:rsid w:val="002C678D"/>
    <w:rPr>
      <w:sz w:val="20"/>
      <w:szCs w:val="20"/>
    </w:rPr>
  </w:style>
  <w:style w:type="character" w:customStyle="1" w:styleId="KomentratekstsRakstz">
    <w:name w:val="Komentāra teksts Rakstz."/>
    <w:basedOn w:val="Noklusjumarindkopasfonts"/>
    <w:link w:val="Komentrateksts"/>
    <w:uiPriority w:val="99"/>
    <w:rsid w:val="002C678D"/>
    <w:rPr>
      <w:rFonts w:ascii="Times New Roman" w:eastAsia="Times New Roman" w:hAnsi="Times New Roman" w:cs="Times New Roman"/>
      <w:sz w:val="20"/>
      <w:szCs w:val="20"/>
      <w:lang w:eastAsia="lv-LV"/>
    </w:rPr>
  </w:style>
  <w:style w:type="paragraph" w:styleId="Galvene">
    <w:name w:val="header"/>
    <w:basedOn w:val="Parasts"/>
    <w:link w:val="GalveneRakstz"/>
    <w:uiPriority w:val="99"/>
    <w:unhideWhenUsed/>
    <w:rsid w:val="002C678D"/>
    <w:pPr>
      <w:widowControl w:val="0"/>
      <w:tabs>
        <w:tab w:val="center" w:pos="4153"/>
        <w:tab w:val="right" w:pos="8306"/>
      </w:tabs>
    </w:pPr>
    <w:rPr>
      <w:sz w:val="28"/>
      <w:szCs w:val="20"/>
      <w:lang w:eastAsia="en-US"/>
    </w:rPr>
  </w:style>
  <w:style w:type="character" w:customStyle="1" w:styleId="GalveneRakstz">
    <w:name w:val="Galvene Rakstz."/>
    <w:basedOn w:val="Noklusjumarindkopasfonts"/>
    <w:link w:val="Galvene"/>
    <w:uiPriority w:val="99"/>
    <w:rsid w:val="002C678D"/>
    <w:rPr>
      <w:rFonts w:ascii="Times New Roman" w:eastAsia="Times New Roman" w:hAnsi="Times New Roman" w:cs="Times New Roman"/>
      <w:sz w:val="28"/>
      <w:szCs w:val="20"/>
    </w:rPr>
  </w:style>
  <w:style w:type="paragraph" w:styleId="Kjene">
    <w:name w:val="footer"/>
    <w:basedOn w:val="Parasts"/>
    <w:link w:val="KjeneRakstz"/>
    <w:uiPriority w:val="99"/>
    <w:unhideWhenUsed/>
    <w:rsid w:val="002C678D"/>
    <w:pPr>
      <w:tabs>
        <w:tab w:val="center" w:pos="4153"/>
        <w:tab w:val="right" w:pos="8306"/>
      </w:tabs>
    </w:pPr>
  </w:style>
  <w:style w:type="character" w:customStyle="1" w:styleId="KjeneRakstz">
    <w:name w:val="Kājene Rakstz."/>
    <w:basedOn w:val="Noklusjumarindkopasfonts"/>
    <w:link w:val="Kjene"/>
    <w:uiPriority w:val="99"/>
    <w:rsid w:val="002C678D"/>
    <w:rPr>
      <w:rFonts w:ascii="Times New Roman" w:eastAsia="Times New Roman" w:hAnsi="Times New Roman" w:cs="Times New Roman"/>
      <w:sz w:val="24"/>
      <w:szCs w:val="24"/>
      <w:lang w:eastAsia="lv-LV"/>
    </w:rPr>
  </w:style>
  <w:style w:type="paragraph" w:styleId="Bezatstarpm">
    <w:name w:val="No Spacing"/>
    <w:uiPriority w:val="1"/>
    <w:qFormat/>
    <w:rsid w:val="002C678D"/>
    <w:pPr>
      <w:spacing w:after="0" w:line="240" w:lineRule="auto"/>
    </w:pPr>
    <w:rPr>
      <w:rFonts w:ascii="Calibri" w:eastAsia="Calibri" w:hAnsi="Calibri" w:cs="Times New Roman"/>
    </w:rPr>
  </w:style>
  <w:style w:type="paragraph" w:styleId="Sarakstarindkopa">
    <w:name w:val="List Paragraph"/>
    <w:basedOn w:val="Parasts"/>
    <w:uiPriority w:val="34"/>
    <w:qFormat/>
    <w:rsid w:val="002C678D"/>
    <w:pPr>
      <w:ind w:left="720"/>
      <w:contextualSpacing/>
    </w:pPr>
    <w:rPr>
      <w:rFonts w:ascii="Calibri" w:eastAsia="Calibri" w:hAnsi="Calibri"/>
      <w:sz w:val="22"/>
      <w:szCs w:val="22"/>
      <w:lang w:eastAsia="en-US"/>
    </w:rPr>
  </w:style>
  <w:style w:type="paragraph" w:customStyle="1" w:styleId="naisf">
    <w:name w:val="naisf"/>
    <w:basedOn w:val="Parasts"/>
    <w:uiPriority w:val="99"/>
    <w:rsid w:val="002C678D"/>
    <w:pPr>
      <w:spacing w:before="75" w:after="75"/>
      <w:ind w:firstLine="375"/>
      <w:jc w:val="both"/>
    </w:pPr>
  </w:style>
  <w:style w:type="paragraph" w:customStyle="1" w:styleId="naisnod">
    <w:name w:val="naisnod"/>
    <w:basedOn w:val="Parasts"/>
    <w:uiPriority w:val="99"/>
    <w:rsid w:val="002C678D"/>
    <w:pPr>
      <w:spacing w:before="150" w:after="150"/>
      <w:jc w:val="center"/>
    </w:pPr>
    <w:rPr>
      <w:b/>
      <w:bCs/>
    </w:rPr>
  </w:style>
  <w:style w:type="paragraph" w:customStyle="1" w:styleId="naiskr">
    <w:name w:val="naiskr"/>
    <w:basedOn w:val="Parasts"/>
    <w:uiPriority w:val="99"/>
    <w:rsid w:val="002C678D"/>
    <w:pPr>
      <w:spacing w:before="75" w:after="75"/>
    </w:pPr>
  </w:style>
  <w:style w:type="paragraph" w:customStyle="1" w:styleId="naisc">
    <w:name w:val="naisc"/>
    <w:basedOn w:val="Parasts"/>
    <w:uiPriority w:val="99"/>
    <w:rsid w:val="002C678D"/>
    <w:pPr>
      <w:spacing w:before="75" w:after="75"/>
      <w:jc w:val="center"/>
    </w:pPr>
  </w:style>
  <w:style w:type="paragraph" w:customStyle="1" w:styleId="tv2132">
    <w:name w:val="tv2132"/>
    <w:basedOn w:val="Parasts"/>
    <w:uiPriority w:val="99"/>
    <w:rsid w:val="002C678D"/>
    <w:pPr>
      <w:spacing w:line="360" w:lineRule="auto"/>
      <w:ind w:firstLine="300"/>
    </w:pPr>
    <w:rPr>
      <w:color w:val="414142"/>
      <w:sz w:val="20"/>
      <w:szCs w:val="20"/>
    </w:rPr>
  </w:style>
  <w:style w:type="paragraph" w:customStyle="1" w:styleId="Default">
    <w:name w:val="Default"/>
    <w:uiPriority w:val="99"/>
    <w:rsid w:val="002C678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1">
    <w:name w:val="c1"/>
    <w:basedOn w:val="Noklusjumarindkopasfonts"/>
    <w:rsid w:val="002C678D"/>
    <w:rPr>
      <w:rFonts w:ascii="Arial" w:hAnsi="Arial" w:cs="Arial" w:hint="default"/>
      <w:sz w:val="24"/>
      <w:szCs w:val="24"/>
    </w:rPr>
  </w:style>
  <w:style w:type="paragraph" w:customStyle="1" w:styleId="Paraststmeklis1">
    <w:name w:val="Parasts (tīmeklis)1"/>
    <w:basedOn w:val="Parasts"/>
    <w:rsid w:val="002C678D"/>
    <w:pPr>
      <w:spacing w:before="100" w:beforeAutospacing="1" w:after="100" w:afterAutospacing="1"/>
    </w:pPr>
    <w:rPr>
      <w:rFonts w:ascii="Helvetica" w:hAnsi="Helvetica"/>
      <w:color w:val="000000"/>
      <w:sz w:val="20"/>
      <w:szCs w:val="20"/>
    </w:rPr>
  </w:style>
  <w:style w:type="paragraph" w:styleId="Dokumentakarte">
    <w:name w:val="Document Map"/>
    <w:basedOn w:val="Parasts"/>
    <w:link w:val="DokumentakarteRakstz"/>
    <w:semiHidden/>
    <w:rsid w:val="005624B6"/>
    <w:pPr>
      <w:shd w:val="clear" w:color="auto" w:fill="000080"/>
      <w:jc w:val="both"/>
    </w:pPr>
    <w:rPr>
      <w:rFonts w:ascii="Tahoma" w:hAnsi="Tahoma" w:cs="Tahoma"/>
      <w:szCs w:val="20"/>
      <w:lang w:eastAsia="en-US"/>
    </w:rPr>
  </w:style>
  <w:style w:type="character" w:customStyle="1" w:styleId="DokumentakarteRakstz">
    <w:name w:val="Dokumenta karte Rakstz."/>
    <w:basedOn w:val="Noklusjumarindkopasfonts"/>
    <w:link w:val="Dokumentakarte"/>
    <w:semiHidden/>
    <w:rsid w:val="005624B6"/>
    <w:rPr>
      <w:rFonts w:ascii="Tahoma" w:eastAsia="Times New Roman" w:hAnsi="Tahoma" w:cs="Tahoma"/>
      <w:sz w:val="24"/>
      <w:szCs w:val="20"/>
      <w:shd w:val="clear" w:color="auto" w:fill="000080"/>
    </w:rPr>
  </w:style>
  <w:style w:type="paragraph" w:styleId="Balonteksts">
    <w:name w:val="Balloon Text"/>
    <w:basedOn w:val="Parasts"/>
    <w:link w:val="BalontekstsRakstz"/>
    <w:uiPriority w:val="99"/>
    <w:semiHidden/>
    <w:unhideWhenUsed/>
    <w:rsid w:val="004E27E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27E0"/>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4E27E0"/>
    <w:rPr>
      <w:sz w:val="16"/>
      <w:szCs w:val="16"/>
    </w:rPr>
  </w:style>
  <w:style w:type="paragraph" w:styleId="Komentratma">
    <w:name w:val="annotation subject"/>
    <w:basedOn w:val="Komentrateksts"/>
    <w:next w:val="Komentrateksts"/>
    <w:link w:val="KomentratmaRakstz"/>
    <w:uiPriority w:val="99"/>
    <w:semiHidden/>
    <w:unhideWhenUsed/>
    <w:rsid w:val="004E27E0"/>
    <w:rPr>
      <w:b/>
      <w:bCs/>
    </w:rPr>
  </w:style>
  <w:style w:type="character" w:customStyle="1" w:styleId="KomentratmaRakstz">
    <w:name w:val="Komentāra tēma Rakstz."/>
    <w:basedOn w:val="KomentratekstsRakstz"/>
    <w:link w:val="Komentratma"/>
    <w:uiPriority w:val="99"/>
    <w:semiHidden/>
    <w:rsid w:val="004E27E0"/>
    <w:rPr>
      <w:rFonts w:ascii="Times New Roman" w:eastAsia="Times New Roman" w:hAnsi="Times New Roman" w:cs="Times New Roman"/>
      <w:b/>
      <w:bCs/>
      <w:sz w:val="20"/>
      <w:szCs w:val="20"/>
      <w:lang w:eastAsia="lv-LV"/>
    </w:rPr>
  </w:style>
  <w:style w:type="character" w:styleId="Neatrisintapieminana">
    <w:name w:val="Unresolved Mention"/>
    <w:basedOn w:val="Noklusjumarindkopasfonts"/>
    <w:uiPriority w:val="99"/>
    <w:semiHidden/>
    <w:unhideWhenUsed/>
    <w:rsid w:val="008913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78D8CB-96CB-48D2-9E54-940BEBF9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5134</Words>
  <Characters>2927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Mārcis Katajs</dc:creator>
  <cp:lastModifiedBy>Inese Duļķe</cp:lastModifiedBy>
  <cp:revision>4</cp:revision>
  <dcterms:created xsi:type="dcterms:W3CDTF">2020-09-17T14:08:00Z</dcterms:created>
  <dcterms:modified xsi:type="dcterms:W3CDTF">2020-09-29T08:48:00Z</dcterms:modified>
</cp:coreProperties>
</file>