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165CB3" w:rsidRPr="007C27A5" w:rsidRDefault="00E84443" w:rsidP="001846DF">
      <w:pPr>
        <w:jc w:val="center"/>
        <w:rPr>
          <w:b/>
          <w:iCs/>
          <w:sz w:val="28"/>
          <w:szCs w:val="28"/>
        </w:rPr>
      </w:pPr>
      <w:r w:rsidRPr="007C27A5">
        <w:rPr>
          <w:b/>
          <w:iCs/>
          <w:sz w:val="28"/>
          <w:szCs w:val="28"/>
        </w:rPr>
        <w:t>Grozījumi Valsts un pašvaldību institūciju amatpersonu un darbinieku atlīdzības likumā</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bookmarkStart w:id="0" w:name="_GoBack"/>
      <w:bookmarkEnd w:id="0"/>
      <w:r w:rsidR="00CD157C">
        <w:rPr>
          <w:rStyle w:val="Emphasis"/>
          <w:b/>
          <w:sz w:val="26"/>
          <w:szCs w:val="26"/>
        </w:rPr>
        <w:t>8</w:t>
      </w:r>
      <w:r w:rsidR="00E84443">
        <w:rPr>
          <w:rStyle w:val="Emphasis"/>
          <w:b/>
          <w:sz w:val="26"/>
          <w:szCs w:val="26"/>
        </w:rPr>
        <w:t>06</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E84443">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4C7EE8">
              <w:rPr>
                <w:b/>
              </w:rPr>
              <w:t>2</w:t>
            </w:r>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E84443">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Izdarīt Valsts un pašvaldību institūciju amatpersonu un darbinieku atlīdzības likumā (Latvijas Vēstnesis, 2009, 199., 200. nr.; 2010, 12., 66., 99., 174., 206. nr.; 2011, 103., 204. nr.; 2012, 190., 203. nr.; 2013, 51., 191., 232., 234., 252. nr.; 2014, 206., 228., 257. nr.; 2015, 248. nr.; 2016, 182., 241. nr.; 2017, 90., 242. nr.; 2018, 196., 244. nr.; 2019, 240. nr.) šādus grozījumus:</w:t>
            </w:r>
          </w:p>
          <w:p w:rsidR="00CF6AE2" w:rsidRPr="005E54AA" w:rsidRDefault="00CF6AE2" w:rsidP="00B712D1">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CF6AE2" w:rsidRPr="001B3F41" w:rsidTr="00E84443">
        <w:tc>
          <w:tcPr>
            <w:tcW w:w="3964" w:type="dxa"/>
            <w:shd w:val="clear" w:color="auto" w:fill="auto"/>
          </w:tcPr>
          <w:p w:rsidR="00CF6AE2" w:rsidRDefault="00817601" w:rsidP="00FB32C2">
            <w:pPr>
              <w:ind w:firstLine="567"/>
              <w:jc w:val="both"/>
              <w:rPr>
                <w:b/>
                <w:bCs/>
                <w:sz w:val="22"/>
              </w:rPr>
            </w:pPr>
            <w:r w:rsidRPr="00817601">
              <w:rPr>
                <w:b/>
                <w:bCs/>
                <w:sz w:val="22"/>
              </w:rPr>
              <w:t>4.pants. Mēnešalgas apmēra noteikšanas vispārīgie principi sadalījumā pa amatu grupām</w:t>
            </w:r>
          </w:p>
          <w:p w:rsidR="00817601" w:rsidRPr="00817601" w:rsidRDefault="00817601" w:rsidP="00FB32C2">
            <w:pPr>
              <w:ind w:firstLine="567"/>
              <w:jc w:val="both"/>
              <w:rPr>
                <w:sz w:val="22"/>
              </w:rPr>
            </w:pPr>
            <w:r w:rsidRPr="00817601">
              <w:rPr>
                <w:sz w:val="22"/>
              </w:rPr>
              <w:t>(12)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1. Izteikt 4. panta divpadsmito daļu šādā redakcijā:</w:t>
            </w:r>
          </w:p>
          <w:p w:rsidR="00E84443" w:rsidRPr="00E84443" w:rsidRDefault="00E84443" w:rsidP="00E84443">
            <w:pPr>
              <w:ind w:firstLine="567"/>
              <w:jc w:val="both"/>
              <w:rPr>
                <w:rFonts w:eastAsia="Times New Roman"/>
                <w:iCs/>
                <w:color w:val="000000"/>
                <w:sz w:val="22"/>
                <w:lang w:eastAsia="lv-LV"/>
              </w:rPr>
            </w:pP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 xml:space="preserve">"(12) Iekšlietu ministrijas sistēmas iestāžu amatpersonām ar speciālajām dienesta pakāpēm, kurām noteikts pienākums veikt izmeklēšanu </w:t>
            </w:r>
            <w:r w:rsidRPr="00E84443">
              <w:rPr>
                <w:rFonts w:eastAsia="Times New Roman"/>
                <w:bCs/>
                <w:iCs/>
                <w:color w:val="000000"/>
                <w:sz w:val="22"/>
                <w:lang w:eastAsia="lv-LV"/>
              </w:rPr>
              <w:t>īpaši sarežģītās, smagu vai sevišķi smagu starpreģionāla vai starptautiska rakstura noziegumu lietās</w:t>
            </w:r>
            <w:r w:rsidRPr="00E84443">
              <w:rPr>
                <w:rFonts w:eastAsia="Times New Roman"/>
                <w:iCs/>
                <w:color w:val="000000"/>
                <w:sz w:val="22"/>
                <w:lang w:eastAsia="lv-LV"/>
              </w:rPr>
              <w:t xml:space="preserve">, </w:t>
            </w:r>
            <w:r w:rsidRPr="00E84443">
              <w:rPr>
                <w:rFonts w:eastAsia="Times New Roman"/>
                <w:bCs/>
                <w:iCs/>
                <w:color w:val="000000"/>
                <w:sz w:val="22"/>
                <w:lang w:eastAsia="lv-LV"/>
              </w:rPr>
              <w:t>un Korupcijas novēršanas un apkarošanas biroja amatpersonām, kuras ir iesaistītas</w:t>
            </w:r>
            <w:r w:rsidRPr="00E84443">
              <w:rPr>
                <w:rFonts w:eastAsia="Times New Roman"/>
                <w:iCs/>
                <w:color w:val="000000"/>
                <w:sz w:val="22"/>
                <w:lang w:eastAsia="lv-LV"/>
              </w:rPr>
              <w:t xml:space="preserve"> izmeklēšanas darbību veikšanā minētā veida lietās, maksimālo mēnešalgas apmēru nosaka atbilstoši rajona (republikas pilsētas) prokurora mēnešalgai."</w:t>
            </w:r>
          </w:p>
          <w:p w:rsidR="00CF6AE2" w:rsidRPr="005E54AA"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0959BC" w:rsidRPr="001B3F41" w:rsidTr="00E84443">
        <w:tc>
          <w:tcPr>
            <w:tcW w:w="3964" w:type="dxa"/>
            <w:shd w:val="clear" w:color="auto" w:fill="auto"/>
          </w:tcPr>
          <w:p w:rsidR="000959BC" w:rsidRPr="000959BC" w:rsidRDefault="000959BC" w:rsidP="000959BC">
            <w:pPr>
              <w:ind w:firstLine="567"/>
              <w:jc w:val="both"/>
              <w:rPr>
                <w:bCs/>
                <w:sz w:val="22"/>
              </w:rPr>
            </w:pPr>
            <w:r w:rsidRPr="000959BC">
              <w:rPr>
                <w:b/>
                <w:bCs/>
                <w:sz w:val="22"/>
              </w:rPr>
              <w:lastRenderedPageBreak/>
              <w:t>12. pants.</w:t>
            </w:r>
            <w:r w:rsidRPr="000959BC">
              <w:rPr>
                <w:bCs/>
                <w:sz w:val="22"/>
              </w:rPr>
              <w:t> </w:t>
            </w:r>
            <w:r w:rsidRPr="000959BC">
              <w:rPr>
                <w:b/>
                <w:bCs/>
                <w:sz w:val="22"/>
              </w:rPr>
              <w:t>Ārstniecības personu un neatliekamās medicīniskās palīdzības brigādes operatīvā medicīniskā transportlīdzekļa vadītāju mēnešalga</w:t>
            </w:r>
          </w:p>
          <w:p w:rsidR="000959BC" w:rsidRPr="000959BC" w:rsidRDefault="000959BC" w:rsidP="000959BC">
            <w:pPr>
              <w:ind w:firstLine="567"/>
              <w:jc w:val="both"/>
              <w:rPr>
                <w:bCs/>
                <w:sz w:val="22"/>
              </w:rPr>
            </w:pPr>
            <w:r w:rsidRPr="000959BC">
              <w:rPr>
                <w:bCs/>
                <w:sz w:val="22"/>
              </w:rPr>
              <w:t>Pašvaldību iestādēs, valsts iestādēs,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 un ārstniecības personām, kuras sniedz no pašvaldību budžetiem apmaksātos veselības aprūpes pakalpojumus pašvaldību izglītības iestādēs, kā arī Neatliekamās medicīniskās palīdzības dienesta neatliekamās medicīniskās palīdzības brigādes operatīvā medicīniskā transportlīdzekļa vadītāju zemākās mēnešalgas nosaka Ministru kabinets.</w:t>
            </w:r>
          </w:p>
          <w:p w:rsidR="000959BC" w:rsidRPr="000959BC" w:rsidRDefault="000959BC" w:rsidP="000959BC">
            <w:pPr>
              <w:ind w:firstLine="567"/>
              <w:jc w:val="both"/>
              <w:rPr>
                <w:bCs/>
                <w:sz w:val="22"/>
              </w:rPr>
            </w:pPr>
          </w:p>
        </w:tc>
        <w:tc>
          <w:tcPr>
            <w:tcW w:w="3969" w:type="dxa"/>
            <w:shd w:val="clear" w:color="auto" w:fill="auto"/>
          </w:tcPr>
          <w:p w:rsidR="000959BC" w:rsidRPr="00E84443" w:rsidRDefault="000959BC" w:rsidP="00E84443">
            <w:pPr>
              <w:ind w:firstLine="567"/>
              <w:jc w:val="both"/>
              <w:rPr>
                <w:rFonts w:eastAsia="Times New Roman"/>
                <w:iCs/>
                <w:color w:val="000000"/>
                <w:sz w:val="22"/>
                <w:lang w:eastAsia="lv-LV"/>
              </w:rPr>
            </w:pPr>
          </w:p>
        </w:tc>
        <w:tc>
          <w:tcPr>
            <w:tcW w:w="581" w:type="dxa"/>
          </w:tcPr>
          <w:p w:rsidR="000959BC" w:rsidRPr="00A43531" w:rsidRDefault="00E114B3"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0959BC" w:rsidRPr="000959BC" w:rsidRDefault="000959BC" w:rsidP="000959BC">
            <w:pPr>
              <w:ind w:firstLine="567"/>
              <w:jc w:val="both"/>
              <w:rPr>
                <w:rFonts w:eastAsia="Times New Roman"/>
                <w:b/>
                <w:iCs/>
                <w:color w:val="000000"/>
                <w:sz w:val="22"/>
                <w:u w:val="single"/>
                <w:lang w:eastAsia="lv-LV"/>
              </w:rPr>
            </w:pPr>
            <w:r w:rsidRPr="000959BC">
              <w:rPr>
                <w:rFonts w:eastAsia="Times New Roman"/>
                <w:b/>
                <w:iCs/>
                <w:color w:val="000000"/>
                <w:sz w:val="22"/>
                <w:u w:val="single"/>
                <w:lang w:eastAsia="lv-LV"/>
              </w:rPr>
              <w:t>Veselības ministre I.Viņķele</w:t>
            </w:r>
          </w:p>
          <w:p w:rsidR="000959BC" w:rsidRPr="000959BC" w:rsidRDefault="000959BC" w:rsidP="000959BC">
            <w:pPr>
              <w:ind w:firstLine="567"/>
              <w:jc w:val="both"/>
              <w:rPr>
                <w:rFonts w:eastAsia="Times New Roman"/>
                <w:iCs/>
                <w:color w:val="000000"/>
                <w:sz w:val="22"/>
                <w:lang w:eastAsia="lv-LV"/>
              </w:rPr>
            </w:pPr>
            <w:r w:rsidRPr="000959BC">
              <w:rPr>
                <w:rFonts w:eastAsia="Times New Roman"/>
                <w:iCs/>
                <w:color w:val="000000"/>
                <w:sz w:val="22"/>
                <w:lang w:eastAsia="lv-LV"/>
              </w:rPr>
              <w:t>Papildināt likumprojektu ar jaunu 2. pantu šādā redakcijā (attiecīgi uzskatot līdzšinējo pantu par 3. pantu):</w:t>
            </w:r>
          </w:p>
          <w:p w:rsidR="000959BC" w:rsidRPr="000959BC" w:rsidRDefault="000959BC" w:rsidP="000959BC">
            <w:pPr>
              <w:ind w:firstLine="567"/>
              <w:jc w:val="both"/>
              <w:rPr>
                <w:rFonts w:eastAsia="Times New Roman"/>
                <w:iCs/>
                <w:color w:val="000000"/>
                <w:sz w:val="22"/>
                <w:lang w:eastAsia="lv-LV"/>
              </w:rPr>
            </w:pPr>
            <w:r w:rsidRPr="000959BC">
              <w:rPr>
                <w:rFonts w:eastAsia="Times New Roman"/>
                <w:iCs/>
                <w:color w:val="000000"/>
                <w:sz w:val="22"/>
                <w:lang w:eastAsia="lv-LV"/>
              </w:rPr>
              <w:t>"Izteikt 12. pantu šādā redakcijā:</w:t>
            </w:r>
          </w:p>
          <w:p w:rsidR="000959BC" w:rsidRPr="000959BC" w:rsidRDefault="000959BC" w:rsidP="000959BC">
            <w:pPr>
              <w:ind w:firstLine="567"/>
              <w:jc w:val="both"/>
              <w:rPr>
                <w:rFonts w:eastAsia="Times New Roman"/>
                <w:iCs/>
                <w:color w:val="000000"/>
                <w:sz w:val="22"/>
                <w:lang w:eastAsia="lv-LV"/>
              </w:rPr>
            </w:pPr>
            <w:r w:rsidRPr="000959BC">
              <w:rPr>
                <w:rFonts w:eastAsia="Times New Roman"/>
                <w:iCs/>
                <w:color w:val="000000"/>
                <w:sz w:val="22"/>
                <w:lang w:eastAsia="lv-LV"/>
              </w:rPr>
              <w:t>"</w:t>
            </w:r>
            <w:r w:rsidRPr="000959BC">
              <w:rPr>
                <w:rFonts w:eastAsia="Times New Roman"/>
                <w:b/>
                <w:bCs/>
                <w:iCs/>
                <w:color w:val="000000"/>
                <w:sz w:val="22"/>
                <w:lang w:eastAsia="lv-LV"/>
              </w:rPr>
              <w:t>12. pants. Ārstniecības personu, medicīnas asistentu, Valsts tiesu medicīnas ekspertīzes centrā nodarbināto ārstniecības personu, kuras veic ekspertīzi un neatliekamās medicīniskās palīdzības brigādes operatīvā medicīniskā transportlīdzekļa vadītāju mēnešalga</w:t>
            </w:r>
          </w:p>
          <w:p w:rsidR="000959BC" w:rsidRPr="001268F5" w:rsidRDefault="000959BC" w:rsidP="000959BC">
            <w:pPr>
              <w:ind w:firstLine="567"/>
              <w:jc w:val="both"/>
              <w:rPr>
                <w:rFonts w:eastAsia="Times New Roman"/>
                <w:iCs/>
                <w:color w:val="000000"/>
                <w:sz w:val="22"/>
                <w:lang w:eastAsia="lv-LV"/>
              </w:rPr>
            </w:pPr>
            <w:r w:rsidRPr="000959BC">
              <w:rPr>
                <w:rFonts w:eastAsia="Times New Roman"/>
                <w:iCs/>
                <w:color w:val="000000"/>
                <w:sz w:val="22"/>
                <w:lang w:eastAsia="lv-LV"/>
              </w:rPr>
              <w:t>Pašvaldību iestādēs, valsts iestādēs, valsts un pašvaldību kapitālsabiedrībās vai publiski privātās kapitālsabiedrībās, nodarbinātajām ārstniecības personām, kuras sniedz no valsts vai pašvaldības budžeta apmaksātos veselības aprūpes pakalpojumus, medicīnas asistentiem, ārstniecības personām, kuras sniedz no pašvaldību budžetiem apmaksātos veselības aprūpes pakalpojumus pašvaldību izglītības iestādēs, kā arī Valsts tiesu medicīnas ekspertīzes centrā nodarbinātajām ārstniecības personām, kuras veic ekspertīzi un Neatliekamās medicīniskās palīdzības dienesta neatliekamās medicīniskās palīdzības brigādes operatīvā medicīniskā transportlīdzekļa vadītāju zemākās mēnešalgas nosaka Ministru kabinets."."</w:t>
            </w:r>
          </w:p>
        </w:tc>
        <w:tc>
          <w:tcPr>
            <w:tcW w:w="1417" w:type="dxa"/>
          </w:tcPr>
          <w:p w:rsidR="000959BC" w:rsidRPr="001268F5" w:rsidRDefault="000959BC" w:rsidP="001268F5">
            <w:pPr>
              <w:ind w:firstLine="567"/>
              <w:jc w:val="both"/>
              <w:rPr>
                <w:rFonts w:eastAsia="Times New Roman"/>
                <w:iCs/>
                <w:color w:val="000000"/>
                <w:sz w:val="22"/>
                <w:lang w:eastAsia="lv-LV"/>
              </w:rPr>
            </w:pPr>
          </w:p>
        </w:tc>
        <w:tc>
          <w:tcPr>
            <w:tcW w:w="1418" w:type="dxa"/>
          </w:tcPr>
          <w:p w:rsidR="000959BC" w:rsidRPr="001268F5" w:rsidRDefault="000959BC" w:rsidP="001268F5">
            <w:pPr>
              <w:ind w:firstLine="567"/>
              <w:jc w:val="both"/>
              <w:rPr>
                <w:rFonts w:eastAsia="Times New Roman"/>
                <w:iCs/>
                <w:color w:val="000000"/>
                <w:sz w:val="22"/>
                <w:lang w:eastAsia="lv-LV"/>
              </w:rPr>
            </w:pPr>
          </w:p>
        </w:tc>
      </w:tr>
      <w:tr w:rsidR="00552EA4" w:rsidRPr="001B3F41" w:rsidTr="00E84443">
        <w:tc>
          <w:tcPr>
            <w:tcW w:w="3964" w:type="dxa"/>
            <w:shd w:val="clear" w:color="auto" w:fill="auto"/>
          </w:tcPr>
          <w:p w:rsidR="00951FFB" w:rsidRPr="00951FFB" w:rsidRDefault="00951FFB" w:rsidP="00951FFB">
            <w:pPr>
              <w:ind w:firstLine="567"/>
              <w:jc w:val="both"/>
              <w:rPr>
                <w:bCs/>
                <w:sz w:val="22"/>
              </w:rPr>
            </w:pPr>
            <w:r w:rsidRPr="00951FFB">
              <w:rPr>
                <w:b/>
                <w:bCs/>
                <w:sz w:val="22"/>
              </w:rPr>
              <w:t>13.</w:t>
            </w:r>
            <w:r w:rsidRPr="00951FFB">
              <w:rPr>
                <w:b/>
                <w:bCs/>
                <w:sz w:val="22"/>
                <w:vertAlign w:val="superscript"/>
              </w:rPr>
              <w:t>7</w:t>
            </w:r>
            <w:r w:rsidRPr="00951FFB">
              <w:rPr>
                <w:b/>
                <w:bCs/>
                <w:sz w:val="22"/>
              </w:rPr>
              <w:t> pants. Datu valsts inspekcijas direktora un amatpersonu (darbinieku) mēnešalga</w:t>
            </w:r>
          </w:p>
          <w:p w:rsidR="00951FFB" w:rsidRPr="00951FFB" w:rsidRDefault="00951FFB" w:rsidP="00951FFB">
            <w:pPr>
              <w:ind w:firstLine="567"/>
              <w:jc w:val="both"/>
              <w:rPr>
                <w:bCs/>
                <w:sz w:val="22"/>
              </w:rPr>
            </w:pPr>
            <w:r w:rsidRPr="00951FFB">
              <w:rPr>
                <w:bCs/>
                <w:sz w:val="22"/>
              </w:rPr>
              <w:t xml:space="preserve">(1) Datu valsts inspekcijas direktoram mēnešalgu nosaka, bāzes </w:t>
            </w:r>
            <w:r w:rsidRPr="00951FFB">
              <w:rPr>
                <w:bCs/>
                <w:sz w:val="22"/>
              </w:rPr>
              <w:lastRenderedPageBreak/>
              <w:t>mēnešalgas apmēram (4. panta otrā daļa) piemērojot koeficientu 4,05.</w:t>
            </w:r>
          </w:p>
          <w:p w:rsidR="00951FFB" w:rsidRPr="00951FFB" w:rsidRDefault="00951FFB" w:rsidP="00951FFB">
            <w:pPr>
              <w:ind w:firstLine="567"/>
              <w:jc w:val="both"/>
              <w:rPr>
                <w:bCs/>
                <w:sz w:val="22"/>
              </w:rPr>
            </w:pPr>
            <w:r w:rsidRPr="00951FFB">
              <w:rPr>
                <w:bCs/>
                <w:sz w:val="22"/>
              </w:rPr>
              <w:t>(2) Datu valsts inspekcijas amatpersonu (darbinieku) mēnešalgu šīs institūcijas reglamentētajā kārtībā nosaka, ņemot vērā amata vērtību (atbildības līmeni un sarežģītību), konkrētās amatpersonas (darbinieka) individuālās kvalifikācijas un kompetenču novērtējumu, kā arī bāzes mēnešalgas apmēru (4. panta otrā daļa). Datu valsts inspekcijas amatpersonu (darbinieku) mēnešalga nedrīkst pārsniegt bāzes mēnešalgas apmēru (4. panta otrā daļa), kam piemērots koeficients 4,05 un kas noapaļots pilnos e</w:t>
            </w:r>
            <w:r w:rsidRPr="00951FFB">
              <w:rPr>
                <w:bCs/>
                <w:i/>
                <w:iCs/>
                <w:sz w:val="22"/>
              </w:rPr>
              <w:t>uro</w:t>
            </w:r>
            <w:r w:rsidRPr="00951FFB">
              <w:rPr>
                <w:bCs/>
                <w:sz w:val="22"/>
              </w:rPr>
              <w:t>.</w:t>
            </w:r>
          </w:p>
          <w:p w:rsidR="00552EA4" w:rsidRPr="00552EA4" w:rsidRDefault="00552EA4" w:rsidP="009F214F">
            <w:pPr>
              <w:ind w:firstLine="567"/>
              <w:jc w:val="both"/>
              <w:rPr>
                <w:bCs/>
                <w:sz w:val="22"/>
              </w:rPr>
            </w:pP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lastRenderedPageBreak/>
              <w:t>2. Papildināt III nodaļu ar 13.</w:t>
            </w:r>
            <w:r w:rsidRPr="00E84443">
              <w:rPr>
                <w:rFonts w:eastAsia="Times New Roman"/>
                <w:iCs/>
                <w:color w:val="000000"/>
                <w:sz w:val="22"/>
                <w:vertAlign w:val="superscript"/>
                <w:lang w:eastAsia="lv-LV"/>
              </w:rPr>
              <w:t>8 </w:t>
            </w:r>
            <w:r w:rsidRPr="00E84443">
              <w:rPr>
                <w:rFonts w:eastAsia="Times New Roman"/>
                <w:iCs/>
                <w:color w:val="000000"/>
                <w:sz w:val="22"/>
                <w:lang w:eastAsia="lv-LV"/>
              </w:rPr>
              <w:t>pantu šādā redakcijā:</w:t>
            </w:r>
          </w:p>
          <w:p w:rsidR="00E84443" w:rsidRPr="00E84443" w:rsidRDefault="00E84443" w:rsidP="00E84443">
            <w:pPr>
              <w:ind w:firstLine="567"/>
              <w:jc w:val="both"/>
              <w:rPr>
                <w:rFonts w:eastAsia="Times New Roman"/>
                <w:iCs/>
                <w:color w:val="000000"/>
                <w:sz w:val="22"/>
                <w:lang w:eastAsia="lv-LV"/>
              </w:rPr>
            </w:pP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w:t>
            </w:r>
            <w:r w:rsidRPr="00E84443">
              <w:rPr>
                <w:rFonts w:eastAsia="Times New Roman"/>
                <w:b/>
                <w:iCs/>
                <w:color w:val="000000"/>
                <w:sz w:val="22"/>
                <w:lang w:eastAsia="lv-LV"/>
              </w:rPr>
              <w:t>13.</w:t>
            </w:r>
            <w:r w:rsidRPr="00E84443">
              <w:rPr>
                <w:rFonts w:eastAsia="Times New Roman"/>
                <w:b/>
                <w:iCs/>
                <w:color w:val="000000"/>
                <w:sz w:val="22"/>
                <w:vertAlign w:val="superscript"/>
                <w:lang w:eastAsia="lv-LV"/>
              </w:rPr>
              <w:t>8 </w:t>
            </w:r>
            <w:r w:rsidRPr="00E84443">
              <w:rPr>
                <w:rFonts w:eastAsia="Times New Roman"/>
                <w:b/>
                <w:iCs/>
                <w:color w:val="000000"/>
                <w:sz w:val="22"/>
                <w:lang w:eastAsia="lv-LV"/>
              </w:rPr>
              <w:t>pants. Korupcijas novēršanas un apkarošanas biroja amatpersonu (darbinieku) mēnešalga</w:t>
            </w: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lastRenderedPageBreak/>
              <w:t>Korupcijas novēršanas un apkarošanas biroja amatpersonu (darbinieku) mēnešalgas apmēru un noteikšanas kārtību nosaka Ministru kabinets saskaņā ar šā likuma 5. pielikumu."</w:t>
            </w:r>
          </w:p>
          <w:p w:rsidR="00552EA4" w:rsidRPr="001268F5" w:rsidRDefault="00552EA4" w:rsidP="002F0BBF">
            <w:pPr>
              <w:ind w:firstLine="567"/>
              <w:jc w:val="both"/>
              <w:rPr>
                <w:rFonts w:eastAsia="Times New Roman"/>
                <w:iCs/>
                <w:color w:val="000000"/>
                <w:sz w:val="22"/>
                <w:lang w:eastAsia="lv-LV"/>
              </w:rPr>
            </w:pPr>
          </w:p>
        </w:tc>
        <w:tc>
          <w:tcPr>
            <w:tcW w:w="581" w:type="dxa"/>
          </w:tcPr>
          <w:p w:rsidR="00552EA4" w:rsidRPr="00A43531" w:rsidRDefault="00552EA4" w:rsidP="00A43531">
            <w:pPr>
              <w:jc w:val="center"/>
              <w:rPr>
                <w:rFonts w:eastAsia="Times New Roman"/>
                <w:b/>
                <w:iCs/>
                <w:color w:val="000000"/>
                <w:sz w:val="22"/>
                <w:lang w:eastAsia="lv-LV"/>
              </w:rPr>
            </w:pPr>
          </w:p>
        </w:tc>
        <w:tc>
          <w:tcPr>
            <w:tcW w:w="3969" w:type="dxa"/>
          </w:tcPr>
          <w:p w:rsidR="00552EA4" w:rsidRPr="00552EA4" w:rsidRDefault="00552EA4" w:rsidP="00552EA4">
            <w:pPr>
              <w:ind w:firstLine="567"/>
              <w:jc w:val="both"/>
              <w:rPr>
                <w:rFonts w:eastAsia="Times New Roman"/>
                <w:iCs/>
                <w:color w:val="000000"/>
                <w:sz w:val="22"/>
                <w:lang w:eastAsia="lv-LV"/>
              </w:rPr>
            </w:pP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E84443">
        <w:tc>
          <w:tcPr>
            <w:tcW w:w="3964" w:type="dxa"/>
            <w:shd w:val="clear" w:color="auto" w:fill="auto"/>
          </w:tcPr>
          <w:p w:rsidR="00CF6AE2" w:rsidRDefault="00951FFB" w:rsidP="00165CB3">
            <w:pPr>
              <w:ind w:firstLine="567"/>
              <w:jc w:val="both"/>
              <w:rPr>
                <w:b/>
                <w:bCs/>
                <w:sz w:val="22"/>
              </w:rPr>
            </w:pPr>
            <w:r w:rsidRPr="00951FFB">
              <w:rPr>
                <w:b/>
                <w:bCs/>
                <w:sz w:val="22"/>
              </w:rPr>
              <w:t>14.pants. Vispārējās piemaksas</w:t>
            </w:r>
          </w:p>
          <w:p w:rsidR="00951FFB" w:rsidRPr="00951FFB" w:rsidRDefault="00951FFB" w:rsidP="00951FFB">
            <w:pPr>
              <w:ind w:firstLine="567"/>
              <w:jc w:val="both"/>
              <w:rPr>
                <w:sz w:val="22"/>
              </w:rPr>
            </w:pPr>
            <w:r w:rsidRPr="00951FFB">
              <w:rPr>
                <w:sz w:val="22"/>
              </w:rPr>
              <w:t>(12) Valsts un pašvaldību institūciju vadītāji nolūkā nodrošināt kompetentāko amatpersonu (darbinieku), izņemot šā likuma 5., 5.</w:t>
            </w:r>
            <w:r w:rsidRPr="00951FFB">
              <w:rPr>
                <w:sz w:val="22"/>
                <w:vertAlign w:val="superscript"/>
              </w:rPr>
              <w:t>1</w:t>
            </w:r>
            <w:r w:rsidRPr="00951FFB">
              <w:rPr>
                <w:sz w:val="22"/>
              </w:rPr>
              <w:t>, 6., 6.</w:t>
            </w:r>
            <w:r w:rsidRPr="00951FFB">
              <w:rPr>
                <w:sz w:val="22"/>
                <w:vertAlign w:val="superscript"/>
              </w:rPr>
              <w:t>1</w:t>
            </w:r>
            <w:r w:rsidRPr="00951FFB">
              <w:rPr>
                <w:sz w:val="22"/>
              </w:rPr>
              <w:t> pantā, </w:t>
            </w:r>
            <w:r w:rsidRPr="00025312">
              <w:rPr>
                <w:sz w:val="22"/>
              </w:rPr>
              <w:t>6.</w:t>
            </w:r>
            <w:r w:rsidRPr="00025312">
              <w:rPr>
                <w:sz w:val="22"/>
                <w:vertAlign w:val="superscript"/>
              </w:rPr>
              <w:t>2</w:t>
            </w:r>
            <w:r w:rsidRPr="00025312">
              <w:rPr>
                <w:sz w:val="22"/>
              </w:rPr>
              <w:t> panta</w:t>
            </w:r>
            <w:r w:rsidRPr="00951FFB">
              <w:rPr>
                <w:sz w:val="22"/>
              </w:rPr>
              <w:t> pirmās daļas 10.punktā un </w:t>
            </w:r>
            <w:r w:rsidRPr="00025312">
              <w:rPr>
                <w:sz w:val="22"/>
              </w:rPr>
              <w:t>13.pantā</w:t>
            </w:r>
            <w:r w:rsidRPr="00951FFB">
              <w:rPr>
                <w:sz w:val="22"/>
              </w:rPr>
              <w:t> minētās amatpersonas (darbiniekus) un fiziskā darba veicējus, motivēšanu un ņemot vērā konkrētās amatpersonas (darbinieka) ieguldījumu attiecīgās institūcijas mērķu sasniegšanā var šai amatpersonai (darbiniekam) noteikt piemaksu par personisko darba ieguldījumu un darba kvalitāti. Piemaksas apmērs mēnesī nedrīkst pārsniegt 40 procentus no amatpersonai (darbiniekam) noteiktās mēnešalgas. Piemaksu regulāri pārskata, izvērtējot tās nepieciešamību un pamatojumu, bet ne retāk kā reizi gadā.</w:t>
            </w:r>
          </w:p>
          <w:p w:rsidR="00951FFB" w:rsidRPr="00951FFB" w:rsidRDefault="00951FFB" w:rsidP="00951FFB">
            <w:pPr>
              <w:ind w:firstLine="567"/>
              <w:jc w:val="both"/>
              <w:rPr>
                <w:sz w:val="22"/>
              </w:rPr>
            </w:pPr>
            <w:r w:rsidRPr="00951FFB">
              <w:rPr>
                <w:sz w:val="22"/>
              </w:rPr>
              <w:t xml:space="preserve">(13) Ja amatpersona (darbinieks) saņem vienu vai vairākas šā panta pirmajā </w:t>
            </w:r>
            <w:r w:rsidRPr="00951FFB">
              <w:rPr>
                <w:sz w:val="22"/>
              </w:rPr>
              <w:lastRenderedPageBreak/>
              <w:t>daļā minētās piemaksas un vienlaikus arī šā panta divpadsmitajā daļā minēto piemaksu, piemaksu kopsumma nedrīkst pārsniegt 60 procentus no mēnešalgas.</w:t>
            </w:r>
          </w:p>
          <w:p w:rsidR="00951FFB" w:rsidRPr="00951FFB" w:rsidRDefault="00951FFB" w:rsidP="00951FFB">
            <w:pPr>
              <w:ind w:firstLine="567"/>
              <w:jc w:val="both"/>
              <w:rPr>
                <w:i/>
                <w:sz w:val="20"/>
                <w:szCs w:val="20"/>
              </w:rPr>
            </w:pPr>
            <w:r w:rsidRPr="00951FFB">
              <w:rPr>
                <w:i/>
                <w:sz w:val="20"/>
                <w:szCs w:val="20"/>
              </w:rPr>
              <w:t>(Ar grozījumiem, kas izdarīti ar 10.12.2009., 14.01.2010., 15.04.2010., 14.10.2010., 16.12.2010., 16.06.2011., 15.11.2012., 28.02.2013., 06.11.2013., 12.12.2013., 30.10.2014., 23.11.2016., 20.04.2017., 06.12.2018. likumu un Satversmes tiesas 02.05.2019. spriedumu, kas stājas spēkā 07.05.2019. 3.1 daļas pirmā teikuma jaunā redakcija stājas spēkā 01.06.2019. Sk. Pārejas noteikumu 45. punktu)</w:t>
            </w: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lastRenderedPageBreak/>
              <w:t xml:space="preserve">3. Izteikt 14. panta divpadsmito un </w:t>
            </w:r>
            <w:r w:rsidRPr="00951FFB">
              <w:rPr>
                <w:rFonts w:eastAsia="Times New Roman"/>
                <w:iCs/>
                <w:sz w:val="22"/>
                <w:lang w:eastAsia="lv-LV"/>
              </w:rPr>
              <w:t xml:space="preserve">trīspadsmito daļu </w:t>
            </w:r>
            <w:r w:rsidRPr="00E84443">
              <w:rPr>
                <w:rFonts w:eastAsia="Times New Roman"/>
                <w:iCs/>
                <w:color w:val="000000"/>
                <w:sz w:val="22"/>
                <w:lang w:eastAsia="lv-LV"/>
              </w:rPr>
              <w:t>šādā redakcijā:</w:t>
            </w:r>
          </w:p>
          <w:p w:rsidR="00E84443" w:rsidRPr="00E84443" w:rsidRDefault="00E84443" w:rsidP="00E84443">
            <w:pPr>
              <w:ind w:firstLine="567"/>
              <w:jc w:val="both"/>
              <w:rPr>
                <w:rFonts w:eastAsia="Times New Roman"/>
                <w:iCs/>
                <w:color w:val="000000"/>
                <w:sz w:val="22"/>
                <w:lang w:eastAsia="lv-LV"/>
              </w:rPr>
            </w:pP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 xml:space="preserve">"(12) Valsts un pašvaldību institūciju vadītāji nolūkā nodrošināt kompetentāko amatpersonu (darbinieku) (izņemot šā likuma </w:t>
            </w:r>
            <w:r w:rsidRPr="00951FFB">
              <w:rPr>
                <w:rFonts w:eastAsia="Times New Roman"/>
                <w:iCs/>
                <w:color w:val="000000"/>
                <w:sz w:val="22"/>
                <w:lang w:eastAsia="lv-LV"/>
              </w:rPr>
              <w:t>5.</w:t>
            </w:r>
            <w:r w:rsidRPr="00E84443">
              <w:rPr>
                <w:rFonts w:eastAsia="Times New Roman"/>
                <w:iCs/>
                <w:color w:val="000000"/>
                <w:sz w:val="22"/>
                <w:lang w:eastAsia="lv-LV"/>
              </w:rPr>
              <w:t xml:space="preserve">, </w:t>
            </w:r>
            <w:r w:rsidRPr="00951FFB">
              <w:rPr>
                <w:rFonts w:eastAsia="Times New Roman"/>
                <w:iCs/>
                <w:color w:val="000000"/>
                <w:sz w:val="22"/>
                <w:lang w:eastAsia="lv-LV"/>
              </w:rPr>
              <w:t>5.</w:t>
            </w:r>
            <w:r w:rsidRPr="00951FFB">
              <w:rPr>
                <w:rFonts w:eastAsia="Times New Roman"/>
                <w:iCs/>
                <w:color w:val="000000"/>
                <w:sz w:val="22"/>
                <w:vertAlign w:val="superscript"/>
                <w:lang w:eastAsia="lv-LV"/>
              </w:rPr>
              <w:t>1</w:t>
            </w:r>
            <w:r w:rsidRPr="00E84443">
              <w:rPr>
                <w:rFonts w:eastAsia="Times New Roman"/>
                <w:iCs/>
                <w:color w:val="000000"/>
                <w:sz w:val="22"/>
                <w:lang w:eastAsia="lv-LV"/>
              </w:rPr>
              <w:t xml:space="preserve">, </w:t>
            </w:r>
            <w:r w:rsidRPr="00951FFB">
              <w:rPr>
                <w:rFonts w:eastAsia="Times New Roman"/>
                <w:iCs/>
                <w:color w:val="000000"/>
                <w:sz w:val="22"/>
                <w:lang w:eastAsia="lv-LV"/>
              </w:rPr>
              <w:t>6.</w:t>
            </w:r>
            <w:r w:rsidRPr="00E84443">
              <w:rPr>
                <w:rFonts w:eastAsia="Times New Roman"/>
                <w:iCs/>
                <w:color w:val="000000"/>
                <w:sz w:val="22"/>
                <w:lang w:eastAsia="lv-LV"/>
              </w:rPr>
              <w:t xml:space="preserve">, </w:t>
            </w:r>
            <w:r w:rsidRPr="00951FFB">
              <w:rPr>
                <w:rFonts w:eastAsia="Times New Roman"/>
                <w:iCs/>
                <w:color w:val="000000"/>
                <w:sz w:val="22"/>
                <w:lang w:eastAsia="lv-LV"/>
              </w:rPr>
              <w:t>6.</w:t>
            </w:r>
            <w:r w:rsidRPr="00951FFB">
              <w:rPr>
                <w:rFonts w:eastAsia="Times New Roman"/>
                <w:iCs/>
                <w:color w:val="000000"/>
                <w:sz w:val="22"/>
                <w:vertAlign w:val="superscript"/>
                <w:lang w:eastAsia="lv-LV"/>
              </w:rPr>
              <w:t>1 </w:t>
            </w:r>
            <w:r w:rsidRPr="00951FFB">
              <w:rPr>
                <w:rFonts w:eastAsia="Times New Roman"/>
                <w:iCs/>
                <w:color w:val="000000"/>
                <w:sz w:val="22"/>
                <w:lang w:eastAsia="lv-LV"/>
              </w:rPr>
              <w:t>pantā</w:t>
            </w:r>
            <w:r w:rsidRPr="00E84443">
              <w:rPr>
                <w:rFonts w:eastAsia="Times New Roman"/>
                <w:iCs/>
                <w:color w:val="000000"/>
                <w:sz w:val="22"/>
                <w:lang w:eastAsia="lv-LV"/>
              </w:rPr>
              <w:t xml:space="preserve">, </w:t>
            </w:r>
            <w:r w:rsidRPr="00951FFB">
              <w:rPr>
                <w:rFonts w:eastAsia="Times New Roman"/>
                <w:iCs/>
                <w:color w:val="000000"/>
                <w:sz w:val="22"/>
                <w:lang w:eastAsia="lv-LV"/>
              </w:rPr>
              <w:t>6.</w:t>
            </w:r>
            <w:r w:rsidRPr="00951FFB">
              <w:rPr>
                <w:rFonts w:eastAsia="Times New Roman"/>
                <w:iCs/>
                <w:color w:val="000000"/>
                <w:sz w:val="22"/>
                <w:vertAlign w:val="superscript"/>
                <w:lang w:eastAsia="lv-LV"/>
              </w:rPr>
              <w:t>2 </w:t>
            </w:r>
            <w:r w:rsidRPr="00951FFB">
              <w:rPr>
                <w:rFonts w:eastAsia="Times New Roman"/>
                <w:iCs/>
                <w:color w:val="000000"/>
                <w:sz w:val="22"/>
                <w:lang w:eastAsia="lv-LV"/>
              </w:rPr>
              <w:t>panta</w:t>
            </w:r>
            <w:r w:rsidRPr="00E84443">
              <w:rPr>
                <w:rFonts w:eastAsia="Times New Roman"/>
                <w:iCs/>
                <w:color w:val="000000"/>
                <w:sz w:val="22"/>
                <w:lang w:eastAsia="lv-LV"/>
              </w:rPr>
              <w:t xml:space="preserve"> otrās daļas 9. punktā un </w:t>
            </w:r>
            <w:r w:rsidRPr="00951FFB">
              <w:rPr>
                <w:rFonts w:eastAsia="Times New Roman"/>
                <w:iCs/>
                <w:color w:val="000000"/>
                <w:sz w:val="22"/>
                <w:lang w:eastAsia="lv-LV"/>
              </w:rPr>
              <w:t>13. pantā</w:t>
            </w:r>
            <w:r w:rsidRPr="00E84443">
              <w:rPr>
                <w:rFonts w:eastAsia="Times New Roman"/>
                <w:iCs/>
                <w:color w:val="000000"/>
                <w:sz w:val="22"/>
                <w:lang w:eastAsia="lv-LV"/>
              </w:rPr>
              <w:t xml:space="preserve"> minētās amatpersonas (darbiniekus) un fiziskā darba veicējus) motivēšanu un ņemot vērā konkrētās amatpersonas (darbinieka) ieguldījumu attiecīgās institūcijas mērķu sasniegšanā, var šai amatpersonai (darbiniekam) noteikt piemaksu par personisko darba ieguldījumu un darba kvalitāti. Piemaksas apmērs mēnesī nedrīkst pārsniegt 40 procentus no amatpersonai (darbiniekam) noteiktās mēnešalgas. Korupcijas novēršanas un apkarošanas biroja amatpersonai piemaksas apmērs </w:t>
            </w:r>
            <w:r w:rsidRPr="00E84443">
              <w:rPr>
                <w:rFonts w:eastAsia="Times New Roman"/>
                <w:iCs/>
                <w:color w:val="000000"/>
                <w:sz w:val="22"/>
                <w:lang w:eastAsia="lv-LV"/>
              </w:rPr>
              <w:lastRenderedPageBreak/>
              <w:t>mēnesī nedrīkst pārsniegt 30 procentus no amatpersonai (darbiniekam) noteiktās mēnešalgas. Piemaksu regulāri pārskata, izvērtējot tās nepieciešamību un pamatojumu, bet ne retāk kā reizi gadā.</w:t>
            </w: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br w:type="page"/>
            </w: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(13) Ja amatpersona (darbinieks) saņem vienu vai vairākas šā panta pirmajā daļā minētās piemaksas un vienlaikus arī šā panta divpadsmitajā daļā minēto piemaksu, piemaksu kopsumma nedrīkst pārsniegt 60 procentus no mēnešalgas. Korupcijas novēršanas un apkarošanas biroja amatpersonai (darbiniekam) piemaksu kopsumma nedrīkst pārsniegt 30 procentus no mēnešalgas."</w:t>
            </w:r>
          </w:p>
          <w:p w:rsidR="00CF6AE2" w:rsidRPr="005E54AA"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025312" w:rsidRPr="001B3F41" w:rsidTr="00E84443">
        <w:tc>
          <w:tcPr>
            <w:tcW w:w="3964" w:type="dxa"/>
            <w:shd w:val="clear" w:color="auto" w:fill="auto"/>
          </w:tcPr>
          <w:p w:rsidR="00025312" w:rsidRDefault="00025312" w:rsidP="00165CB3">
            <w:pPr>
              <w:ind w:firstLine="567"/>
              <w:jc w:val="both"/>
              <w:rPr>
                <w:b/>
                <w:bCs/>
                <w:sz w:val="22"/>
              </w:rPr>
            </w:pPr>
            <w:r w:rsidRPr="00025312">
              <w:rPr>
                <w:b/>
                <w:bCs/>
                <w:sz w:val="22"/>
              </w:rPr>
              <w:t>15.pants. Speciālās piemaksas</w:t>
            </w:r>
          </w:p>
          <w:p w:rsidR="00025312" w:rsidRPr="00025312" w:rsidRDefault="00025312" w:rsidP="00165CB3">
            <w:pPr>
              <w:ind w:firstLine="567"/>
              <w:jc w:val="both"/>
              <w:rPr>
                <w:bCs/>
                <w:sz w:val="22"/>
              </w:rPr>
            </w:pPr>
            <w:r w:rsidRPr="00025312">
              <w:rPr>
                <w:bCs/>
                <w:sz w:val="22"/>
              </w:rPr>
              <w:t>(11) Amatpersona (darbinieks), izņemot šā likuma 5., 5.</w:t>
            </w:r>
            <w:r w:rsidRPr="00025312">
              <w:rPr>
                <w:bCs/>
                <w:sz w:val="22"/>
                <w:vertAlign w:val="superscript"/>
              </w:rPr>
              <w:t>1</w:t>
            </w:r>
            <w:r w:rsidRPr="00025312">
              <w:rPr>
                <w:bCs/>
                <w:sz w:val="22"/>
              </w:rPr>
              <w:t>, 6., 6.</w:t>
            </w:r>
            <w:r w:rsidRPr="00025312">
              <w:rPr>
                <w:bCs/>
                <w:sz w:val="22"/>
                <w:vertAlign w:val="superscript"/>
              </w:rPr>
              <w:t>1</w:t>
            </w:r>
            <w:r w:rsidRPr="00025312">
              <w:rPr>
                <w:bCs/>
                <w:sz w:val="22"/>
              </w:rPr>
              <w:t> pantā, 6.</w:t>
            </w:r>
            <w:r w:rsidRPr="00025312">
              <w:rPr>
                <w:bCs/>
                <w:sz w:val="22"/>
                <w:vertAlign w:val="superscript"/>
              </w:rPr>
              <w:t>2</w:t>
            </w:r>
            <w:r w:rsidRPr="00025312">
              <w:rPr>
                <w:bCs/>
                <w:sz w:val="22"/>
              </w:rPr>
              <w:t xml:space="preserve"> panta pirmās daļas 10.punktā un 13.pantā minētās amatpersonas (darbiniekus) un fiziskā darba veicējus, var saņemt speciālo piemaksu par valsts vai pašvaldības institūcijai būtisko funkciju nodrošināšanu vai stratēģiski svarīgu mērķu īstenošanu. Speciālās piemaksas apmērs nepārsniedz 100 procentus no mēnešalgas, un mēnešalgas apmērs kopā ar šo speciālo piemaksu nepārsniedz Ministru prezidentam noteikto mēnešalgu. Šādu amatpersonu (darbinieku) īpatsvars nepārsniedz piecus procentus no attiecīgajā atvasinātajā publiskajā personā, tiešās pārvaldes iestādē vai citā valsts institūcijā nodarbināto amatpersonu (darbinieku) skaita. Speciālo piemaksu </w:t>
            </w:r>
            <w:r w:rsidRPr="00025312">
              <w:rPr>
                <w:bCs/>
                <w:sz w:val="22"/>
              </w:rPr>
              <w:lastRenderedPageBreak/>
              <w:t>regulāri pārskata, izvērtējot tās nepieciešamību un pamatojumu, bet ne retāk kā reizi pusgadā atbilstoši attiecīgajā atvasinātajā publiskajā personā, tiešās pārvaldes iestādē vai citā valsts institūcijā nodarbināto amatpersonu (darbinieku) skaitam.</w:t>
            </w:r>
          </w:p>
        </w:tc>
        <w:tc>
          <w:tcPr>
            <w:tcW w:w="3969" w:type="dxa"/>
            <w:shd w:val="clear" w:color="auto" w:fill="auto"/>
          </w:tcPr>
          <w:p w:rsidR="00025312" w:rsidRPr="00E84443" w:rsidRDefault="00025312" w:rsidP="00025312">
            <w:pPr>
              <w:ind w:firstLine="567"/>
              <w:jc w:val="both"/>
              <w:rPr>
                <w:rFonts w:eastAsia="Times New Roman"/>
                <w:iCs/>
                <w:color w:val="000000"/>
                <w:sz w:val="22"/>
                <w:lang w:eastAsia="lv-LV"/>
              </w:rPr>
            </w:pPr>
            <w:r w:rsidRPr="00E84443">
              <w:rPr>
                <w:rFonts w:eastAsia="Times New Roman"/>
                <w:iCs/>
                <w:color w:val="000000"/>
                <w:sz w:val="22"/>
                <w:lang w:eastAsia="lv-LV"/>
              </w:rPr>
              <w:lastRenderedPageBreak/>
              <w:t>4.  15. pantā:</w:t>
            </w:r>
          </w:p>
          <w:p w:rsidR="00025312" w:rsidRPr="00E84443" w:rsidRDefault="00025312" w:rsidP="00025312">
            <w:pPr>
              <w:ind w:firstLine="567"/>
              <w:jc w:val="both"/>
              <w:rPr>
                <w:rFonts w:eastAsia="Times New Roman"/>
                <w:iCs/>
                <w:color w:val="000000"/>
                <w:sz w:val="22"/>
                <w:lang w:eastAsia="lv-LV"/>
              </w:rPr>
            </w:pPr>
            <w:r w:rsidRPr="00E84443">
              <w:rPr>
                <w:rFonts w:eastAsia="Times New Roman"/>
                <w:iCs/>
                <w:color w:val="000000"/>
                <w:sz w:val="22"/>
                <w:lang w:eastAsia="lv-LV"/>
              </w:rPr>
              <w:t>aizstāt vienpadsmitajā daļā vārdus un skaitli "un 13. pantā" ar vārdiem un skaitļiem "13. un 13.</w:t>
            </w:r>
            <w:r w:rsidRPr="00E84443">
              <w:rPr>
                <w:rFonts w:eastAsia="Times New Roman"/>
                <w:iCs/>
                <w:color w:val="000000"/>
                <w:sz w:val="22"/>
                <w:vertAlign w:val="superscript"/>
                <w:lang w:eastAsia="lv-LV"/>
              </w:rPr>
              <w:t>8 </w:t>
            </w:r>
            <w:r w:rsidRPr="00E84443">
              <w:rPr>
                <w:rFonts w:eastAsia="Times New Roman"/>
                <w:iCs/>
                <w:color w:val="000000"/>
                <w:sz w:val="22"/>
                <w:lang w:eastAsia="lv-LV"/>
              </w:rPr>
              <w:t>pantā";</w:t>
            </w:r>
          </w:p>
          <w:p w:rsidR="00025312" w:rsidRPr="00E84443" w:rsidRDefault="00025312" w:rsidP="00E84443">
            <w:pPr>
              <w:ind w:firstLine="567"/>
              <w:jc w:val="both"/>
              <w:rPr>
                <w:rFonts w:eastAsia="Times New Roman"/>
                <w:iCs/>
                <w:color w:val="000000"/>
                <w:sz w:val="22"/>
                <w:lang w:eastAsia="lv-LV"/>
              </w:rPr>
            </w:pPr>
          </w:p>
        </w:tc>
        <w:tc>
          <w:tcPr>
            <w:tcW w:w="581" w:type="dxa"/>
          </w:tcPr>
          <w:p w:rsidR="00025312" w:rsidRPr="00A43531" w:rsidRDefault="00025312" w:rsidP="00A43531">
            <w:pPr>
              <w:jc w:val="center"/>
              <w:rPr>
                <w:rFonts w:eastAsia="Times New Roman"/>
                <w:b/>
                <w:iCs/>
                <w:color w:val="000000"/>
                <w:sz w:val="22"/>
                <w:lang w:eastAsia="lv-LV"/>
              </w:rPr>
            </w:pPr>
          </w:p>
        </w:tc>
        <w:tc>
          <w:tcPr>
            <w:tcW w:w="3969" w:type="dxa"/>
          </w:tcPr>
          <w:p w:rsidR="00025312" w:rsidRPr="00903609" w:rsidRDefault="00025312" w:rsidP="00903609">
            <w:pPr>
              <w:ind w:firstLine="567"/>
              <w:jc w:val="both"/>
              <w:rPr>
                <w:rFonts w:eastAsia="Times New Roman"/>
                <w:iCs/>
                <w:color w:val="000000"/>
                <w:sz w:val="22"/>
                <w:lang w:eastAsia="lv-LV"/>
              </w:rPr>
            </w:pPr>
          </w:p>
        </w:tc>
        <w:tc>
          <w:tcPr>
            <w:tcW w:w="1417" w:type="dxa"/>
          </w:tcPr>
          <w:p w:rsidR="00025312" w:rsidRPr="00903609" w:rsidRDefault="00025312" w:rsidP="00903609">
            <w:pPr>
              <w:ind w:firstLine="567"/>
              <w:jc w:val="both"/>
              <w:rPr>
                <w:rFonts w:eastAsia="Times New Roman"/>
                <w:iCs/>
                <w:color w:val="000000"/>
                <w:sz w:val="22"/>
                <w:lang w:eastAsia="lv-LV"/>
              </w:rPr>
            </w:pPr>
          </w:p>
        </w:tc>
        <w:tc>
          <w:tcPr>
            <w:tcW w:w="1418" w:type="dxa"/>
          </w:tcPr>
          <w:p w:rsidR="00025312" w:rsidRPr="00903609" w:rsidRDefault="00025312" w:rsidP="00903609">
            <w:pPr>
              <w:ind w:firstLine="567"/>
              <w:jc w:val="both"/>
              <w:rPr>
                <w:rFonts w:eastAsia="Times New Roman"/>
                <w:iCs/>
                <w:color w:val="000000"/>
                <w:sz w:val="22"/>
                <w:lang w:eastAsia="lv-LV"/>
              </w:rPr>
            </w:pPr>
          </w:p>
        </w:tc>
      </w:tr>
      <w:tr w:rsidR="00CF6AE2" w:rsidRPr="001B3F41" w:rsidTr="00E84443">
        <w:tc>
          <w:tcPr>
            <w:tcW w:w="3964" w:type="dxa"/>
            <w:shd w:val="clear" w:color="auto" w:fill="auto"/>
          </w:tcPr>
          <w:p w:rsidR="00025312" w:rsidRPr="00025312" w:rsidRDefault="00025312" w:rsidP="00025312">
            <w:pPr>
              <w:ind w:firstLine="567"/>
              <w:jc w:val="both"/>
              <w:rPr>
                <w:sz w:val="22"/>
              </w:rPr>
            </w:pPr>
            <w:r w:rsidRPr="00025312">
              <w:rPr>
                <w:sz w:val="22"/>
              </w:rPr>
              <w:t>(12) Korupcijas novēršanas un apkarošanas biroja amatpersonai nosaka izdienas piemaksu pie mēnešalgas šādā apmērā:</w:t>
            </w:r>
          </w:p>
          <w:p w:rsidR="00025312" w:rsidRPr="00025312" w:rsidRDefault="00025312" w:rsidP="00025312">
            <w:pPr>
              <w:ind w:firstLine="567"/>
              <w:jc w:val="both"/>
              <w:rPr>
                <w:sz w:val="22"/>
              </w:rPr>
            </w:pPr>
            <w:r w:rsidRPr="00025312">
              <w:rPr>
                <w:sz w:val="22"/>
              </w:rPr>
              <w:t>1) pēc trim Korupcijas novēršanas un apkarošanas birojā nostrādātiem gadiem — 5 procenti no mēnešalgas;</w:t>
            </w:r>
          </w:p>
          <w:p w:rsidR="00025312" w:rsidRPr="00025312" w:rsidRDefault="00025312" w:rsidP="00025312">
            <w:pPr>
              <w:ind w:firstLine="567"/>
              <w:jc w:val="both"/>
              <w:rPr>
                <w:sz w:val="22"/>
              </w:rPr>
            </w:pPr>
            <w:r w:rsidRPr="00025312">
              <w:rPr>
                <w:sz w:val="22"/>
              </w:rPr>
              <w:t>2) pēc sešiem Korupcijas novēršanas un apkarošanas birojā nostrādātiem gadiem — 10 procenti no mēnešalgas;</w:t>
            </w:r>
          </w:p>
          <w:p w:rsidR="00025312" w:rsidRPr="00025312" w:rsidRDefault="00025312" w:rsidP="00025312">
            <w:pPr>
              <w:ind w:firstLine="567"/>
              <w:jc w:val="both"/>
              <w:rPr>
                <w:sz w:val="22"/>
              </w:rPr>
            </w:pPr>
            <w:r w:rsidRPr="00025312">
              <w:rPr>
                <w:sz w:val="22"/>
              </w:rPr>
              <w:t>3) pēc deviņiem Korupcijas novēršanas un apkarošanas birojā nostrādātiem gadiem — 15 procenti no mēnešalgas;</w:t>
            </w:r>
          </w:p>
          <w:p w:rsidR="00025312" w:rsidRPr="00025312" w:rsidRDefault="00025312" w:rsidP="00025312">
            <w:pPr>
              <w:ind w:firstLine="567"/>
              <w:jc w:val="both"/>
              <w:rPr>
                <w:sz w:val="22"/>
              </w:rPr>
            </w:pPr>
            <w:r w:rsidRPr="00025312">
              <w:rPr>
                <w:sz w:val="22"/>
              </w:rPr>
              <w:t>4) pēc 12 Korupcijas novēršanas un apkarošanas birojā nostrādātiem gadiem — 20 procenti no mēnešalgas;</w:t>
            </w:r>
          </w:p>
          <w:p w:rsidR="00025312" w:rsidRPr="00025312" w:rsidRDefault="00025312" w:rsidP="00025312">
            <w:pPr>
              <w:ind w:firstLine="567"/>
              <w:jc w:val="both"/>
              <w:rPr>
                <w:sz w:val="22"/>
              </w:rPr>
            </w:pPr>
            <w:r w:rsidRPr="00025312">
              <w:rPr>
                <w:sz w:val="22"/>
              </w:rPr>
              <w:t>5) pēc 15 Korupcijas novēršanas un apkarošanas birojā nostrādātiem gadiem — 25 procenti no mēnešalgas;</w:t>
            </w:r>
          </w:p>
          <w:p w:rsidR="00025312" w:rsidRPr="00025312" w:rsidRDefault="00025312" w:rsidP="00025312">
            <w:pPr>
              <w:ind w:firstLine="567"/>
              <w:jc w:val="both"/>
              <w:rPr>
                <w:sz w:val="22"/>
              </w:rPr>
            </w:pPr>
            <w:r w:rsidRPr="00025312">
              <w:rPr>
                <w:sz w:val="22"/>
              </w:rPr>
              <w:t>6) pēc 18 Korupcijas novēršanas un apkarošanas birojā nostrādātiem gadiem — 30 procenti no mēnešalgas.</w:t>
            </w:r>
          </w:p>
          <w:p w:rsidR="007251CF" w:rsidRPr="007251CF" w:rsidRDefault="00025312" w:rsidP="006F0AD7">
            <w:pPr>
              <w:ind w:firstLine="567"/>
              <w:jc w:val="both"/>
              <w:rPr>
                <w:sz w:val="22"/>
              </w:rPr>
            </w:pPr>
            <w:r w:rsidRPr="00025312">
              <w:rPr>
                <w:i/>
                <w:iCs/>
                <w:sz w:val="22"/>
              </w:rPr>
              <w:t>(Ar grozījumiem, kas izdarīti ar 15.04.2010., 16.12.2010., 16.06.2011., 15.12.2011., 28.02.2013., 30.10.2014., 15.09.2016., 20.09.2018. un 06.12.2018. likumu, kas stājas spēkā 01.01.2019. Sk. Pārejas noteikumu 44. punktu)</w:t>
            </w: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izteikt divpadsmito daļu šādā redakcijā:</w:t>
            </w:r>
          </w:p>
          <w:p w:rsidR="00E84443" w:rsidRPr="00E84443" w:rsidRDefault="00E84443" w:rsidP="00E84443">
            <w:pPr>
              <w:ind w:firstLine="567"/>
              <w:jc w:val="both"/>
              <w:rPr>
                <w:rFonts w:eastAsia="Times New Roman"/>
                <w:iCs/>
                <w:color w:val="000000"/>
                <w:sz w:val="22"/>
                <w:lang w:eastAsia="lv-LV"/>
              </w:rPr>
            </w:pP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"(12) Ja Korupcijas novēršanas un apkarošanas biroja amatpersona ikgadējā darbības un tās rezultātu novērtēšanā saņēmusi pozitīvu novērtējumu, Korupcijas novēršanas un apkarošanas biroja amatpersonai nosaka izdienas piemaksu pie mēnešalgas šādā apmērā:</w:t>
            </w: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1) pēc sešiem Korupcijas novēršanas un apkarošanas birojā nostrādātiem gadiem – 5 procenti no mēnešalgas;</w:t>
            </w: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2) pēc 10 Korupcijas novēršanas un apkarošanas birojā nostrādātiem gadiem – 10 procenti no mēnešalgas."</w:t>
            </w:r>
          </w:p>
          <w:p w:rsidR="00CF6AE2" w:rsidRPr="004F2938"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E84443">
        <w:tc>
          <w:tcPr>
            <w:tcW w:w="3964" w:type="dxa"/>
            <w:shd w:val="clear" w:color="auto" w:fill="auto"/>
          </w:tcPr>
          <w:p w:rsidR="00CF6AE2" w:rsidRDefault="00025312" w:rsidP="00F10367">
            <w:pPr>
              <w:ind w:firstLine="567"/>
              <w:jc w:val="both"/>
              <w:rPr>
                <w:b/>
                <w:bCs/>
                <w:sz w:val="22"/>
              </w:rPr>
            </w:pPr>
            <w:r w:rsidRPr="00025312">
              <w:rPr>
                <w:b/>
                <w:bCs/>
                <w:sz w:val="22"/>
              </w:rPr>
              <w:lastRenderedPageBreak/>
              <w:t>16.pants. Prēmijas</w:t>
            </w:r>
          </w:p>
          <w:p w:rsidR="00025312" w:rsidRPr="00025312" w:rsidRDefault="00025312" w:rsidP="00025312">
            <w:pPr>
              <w:ind w:firstLine="567"/>
              <w:jc w:val="both"/>
              <w:rPr>
                <w:sz w:val="22"/>
              </w:rPr>
            </w:pPr>
            <w:r w:rsidRPr="00025312">
              <w:rPr>
                <w:sz w:val="22"/>
              </w:rPr>
              <w:t>(3)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vai atklāšanu, kas radījis vai varēja radīt būtisku kaitējumu. Prēmiju kopējais apmērs attiecīgajai amatpersonai (darbiniekam), izņemot Iekšlietu ministrijas sistēmas iestāžu un Ieslodzījuma vietu pārvaldes amatpersonas ar speciālajām dienesta pakāpēm un valsts drošības iestāžu amatpersonas, kalendāra gada laikā nedrīkst pārsniegt 120 procentus no mēnešalgas, bet ikreizējās prēmijas apmērs — 60 procentus no mēnešalgas. Par vienu un to pašu gadījumu nedrīkst izmaksāt vairākas prēmijas.</w:t>
            </w:r>
          </w:p>
          <w:p w:rsidR="00025312" w:rsidRPr="00025312" w:rsidRDefault="00025312" w:rsidP="00025312">
            <w:pPr>
              <w:ind w:firstLine="567"/>
              <w:jc w:val="both"/>
              <w:rPr>
                <w:sz w:val="22"/>
              </w:rPr>
            </w:pPr>
            <w:r w:rsidRPr="00025312">
              <w:rPr>
                <w:sz w:val="22"/>
              </w:rPr>
              <w:t>(4) Iekšlietu ministrijas sistēmas iestāžu un Ieslodzījuma vietu pārvaldes amatpersonai ar speciālo dienesta pakāpi un valsts drošības iestādes amatpersonai šā panta trešajā daļā minēto prēmiju kopējais apmērs kalendāra gada laikā nedrīkst pārsniegt divas mēnešalgas, bet ikreizējās prēmijas apmērs nedrīkst pārsniegt 120 procentus no mēnešalgas.</w:t>
            </w:r>
          </w:p>
          <w:p w:rsidR="00025312" w:rsidRPr="00025312" w:rsidRDefault="00025312" w:rsidP="00F10367">
            <w:pPr>
              <w:ind w:firstLine="567"/>
              <w:jc w:val="both"/>
              <w:rPr>
                <w:sz w:val="22"/>
              </w:rPr>
            </w:pPr>
            <w:r w:rsidRPr="00025312">
              <w:rPr>
                <w:i/>
                <w:iCs/>
                <w:sz w:val="22"/>
              </w:rPr>
              <w:t>(16.06.2011. likuma redakcijā ar grozījumiem, kas izdarīti ar 23.11.2016. un 20.09.2018. likumu, kas stājas spēkā 01.01.2019.)</w:t>
            </w: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5. Izteikt 16. panta trešo un ceturto daļu šādā redakcijā:</w:t>
            </w:r>
          </w:p>
          <w:p w:rsidR="00E84443" w:rsidRPr="00E84443" w:rsidRDefault="00E84443" w:rsidP="00E84443">
            <w:pPr>
              <w:ind w:firstLine="567"/>
              <w:jc w:val="both"/>
              <w:rPr>
                <w:rFonts w:eastAsia="Times New Roman"/>
                <w:iCs/>
                <w:color w:val="000000"/>
                <w:sz w:val="22"/>
                <w:lang w:eastAsia="lv-LV"/>
              </w:rPr>
            </w:pPr>
          </w:p>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 vai atklāšanu, kas radījis vai varēja radīt būtisku kaitējumu. Prēmiju kopējais apmērs attiecīgajai amatpersonai (darbiniekam), izņemot Iekšlietu ministrijas sistēmas iestāžu un Ieslodzījuma vietu pārvaldes amatpersonas ar speciālajām dienesta pakāpēm, valsts drošības iestāžu amatpersonas un Korupcijas novēršanas un apkarošanas biroja amatpersonas, kalendāra gada laikā nedrīkst pārsniegt 120 procentus no mēnešalgas, bet ikreizējās prēmijas apmērs – 60 procentus no mēnešalgas. Par vienu un to pašu gadījumu nedrīkst izmaksāt vairākas prēmijas.</w:t>
            </w:r>
          </w:p>
          <w:p w:rsidR="00CF6AE2" w:rsidRDefault="00E84443" w:rsidP="00E114B3">
            <w:pPr>
              <w:ind w:firstLine="567"/>
              <w:jc w:val="both"/>
              <w:rPr>
                <w:rFonts w:eastAsia="Times New Roman"/>
                <w:iCs/>
                <w:color w:val="000000"/>
                <w:sz w:val="22"/>
                <w:lang w:eastAsia="lv-LV"/>
              </w:rPr>
            </w:pPr>
            <w:r w:rsidRPr="00E84443">
              <w:rPr>
                <w:rFonts w:eastAsia="Times New Roman"/>
                <w:iCs/>
                <w:color w:val="000000"/>
                <w:sz w:val="22"/>
                <w:lang w:eastAsia="lv-LV"/>
              </w:rPr>
              <w:t>(4) Iekšlietu ministrijas sistēmas iestāžu un Ieslodzījuma vietu pārvaldes amatpersonai ar speciālo dienesta pakāpi, valsts drošības iestādes amatpersonai un Korupcijas novēršanas un apkarošanas biroja amatpersonai šā panta trešajā daļā minēto prēmiju kopējais apmērs kalendāra gada laikā nedrīkst pārsniegt divas mēnešalgas, bet ikreizējās prēmijas apmērs nedrīkst pārsniegt 120 procentus no mēnešalgas."</w:t>
            </w:r>
          </w:p>
          <w:p w:rsidR="00E114B3" w:rsidRDefault="00E114B3" w:rsidP="00E114B3">
            <w:pPr>
              <w:ind w:firstLine="567"/>
              <w:jc w:val="both"/>
              <w:rPr>
                <w:rFonts w:eastAsia="Times New Roman"/>
                <w:iCs/>
                <w:color w:val="000000"/>
                <w:sz w:val="22"/>
                <w:lang w:eastAsia="lv-LV"/>
              </w:rPr>
            </w:pPr>
          </w:p>
          <w:p w:rsidR="00E114B3" w:rsidRDefault="00E114B3" w:rsidP="00E114B3">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F10367" w:rsidRPr="001B3F41" w:rsidTr="00E84443">
        <w:tc>
          <w:tcPr>
            <w:tcW w:w="3964" w:type="dxa"/>
            <w:shd w:val="clear" w:color="auto" w:fill="auto"/>
          </w:tcPr>
          <w:p w:rsidR="00025312" w:rsidRPr="00025312" w:rsidRDefault="00025312" w:rsidP="00025312">
            <w:pPr>
              <w:ind w:firstLine="567"/>
              <w:jc w:val="both"/>
              <w:rPr>
                <w:bCs/>
                <w:sz w:val="22"/>
              </w:rPr>
            </w:pPr>
            <w:r w:rsidRPr="00025312">
              <w:rPr>
                <w:b/>
                <w:bCs/>
                <w:sz w:val="22"/>
              </w:rPr>
              <w:lastRenderedPageBreak/>
              <w:t>25.pants. Izdienas pabalsts</w:t>
            </w:r>
          </w:p>
          <w:p w:rsidR="00025312" w:rsidRPr="00025312" w:rsidRDefault="00E114B3" w:rsidP="00025312">
            <w:pPr>
              <w:ind w:firstLine="567"/>
              <w:jc w:val="both"/>
              <w:rPr>
                <w:bCs/>
                <w:sz w:val="22"/>
              </w:rPr>
            </w:pPr>
            <w:r w:rsidRPr="00025312">
              <w:rPr>
                <w:bCs/>
                <w:sz w:val="22"/>
              </w:rPr>
              <w:t xml:space="preserve"> </w:t>
            </w:r>
            <w:r w:rsidR="00025312" w:rsidRPr="00025312">
              <w:rPr>
                <w:bCs/>
                <w:sz w:val="22"/>
              </w:rPr>
              <w:t>(5) Korupcijas novēršanas un apkarošanas biroja amatpersona pēc katriem pieciem nepārtrauktas izdienas gadiem Korupcijas novēršanas un apkarošanas birojā saņem vienreizēju pabalstu triju mēnešalgu apmērā atbilstoši pēdējam amatam.</w:t>
            </w:r>
          </w:p>
          <w:p w:rsidR="00F10367" w:rsidRPr="00025312" w:rsidRDefault="00025312" w:rsidP="00B6215C">
            <w:pPr>
              <w:ind w:firstLine="567"/>
              <w:jc w:val="both"/>
              <w:rPr>
                <w:bCs/>
                <w:sz w:val="22"/>
              </w:rPr>
            </w:pPr>
            <w:r w:rsidRPr="00025312">
              <w:rPr>
                <w:bCs/>
                <w:i/>
                <w:iCs/>
                <w:sz w:val="22"/>
              </w:rPr>
              <w:t>(15.11.2012. likuma redakcijā ar grozījumiem, kas izdarīti ar 06.11.2013. un 20.09.2018. likumu, kas stājas spēkā 01.01.2019.)</w:t>
            </w: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6. Izslēgt 25. panta piekto daļu.</w:t>
            </w:r>
          </w:p>
          <w:p w:rsidR="00F10367" w:rsidRPr="00EA0C03" w:rsidRDefault="00F10367" w:rsidP="002F0BBF">
            <w:pPr>
              <w:ind w:firstLine="567"/>
              <w:jc w:val="both"/>
              <w:rPr>
                <w:rFonts w:eastAsia="Times New Roman"/>
                <w:iCs/>
                <w:color w:val="000000"/>
                <w:sz w:val="22"/>
                <w:lang w:eastAsia="lv-LV"/>
              </w:rPr>
            </w:pP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r w:rsidR="00CF6AE2" w:rsidRPr="001B3F41" w:rsidTr="00E84443">
        <w:tc>
          <w:tcPr>
            <w:tcW w:w="3964" w:type="dxa"/>
            <w:shd w:val="clear" w:color="auto" w:fill="auto"/>
          </w:tcPr>
          <w:p w:rsidR="00A250E0" w:rsidRPr="00A250E0" w:rsidRDefault="00A250E0" w:rsidP="00025312">
            <w:pPr>
              <w:ind w:firstLine="567"/>
              <w:jc w:val="both"/>
              <w:rPr>
                <w:b/>
                <w:sz w:val="22"/>
              </w:rPr>
            </w:pPr>
            <w:r w:rsidRPr="00A250E0">
              <w:rPr>
                <w:b/>
                <w:sz w:val="22"/>
              </w:rPr>
              <w:t>Pārejas noteikumi</w:t>
            </w:r>
          </w:p>
          <w:p w:rsidR="00025312" w:rsidRPr="00025312" w:rsidRDefault="00025312" w:rsidP="00025312">
            <w:pPr>
              <w:ind w:firstLine="567"/>
              <w:jc w:val="both"/>
              <w:rPr>
                <w:sz w:val="22"/>
              </w:rPr>
            </w:pPr>
            <w:r w:rsidRPr="00025312">
              <w:rPr>
                <w:sz w:val="22"/>
              </w:rPr>
              <w:t>41. Izdienu Korupcijas novēršanas un apkarošanas birojā šā likuma 25. panta piektajā daļā minētā pabalsta saņemšanai sāk skaitīt no 2019. gada 1. janvāra un šo pabalstu izmaksā, sākot ar 2024. gada 1. janvāri.</w:t>
            </w:r>
          </w:p>
          <w:p w:rsidR="00CF6AE2" w:rsidRPr="00426123" w:rsidRDefault="00025312" w:rsidP="00165CB3">
            <w:pPr>
              <w:ind w:firstLine="567"/>
              <w:jc w:val="both"/>
              <w:rPr>
                <w:sz w:val="22"/>
              </w:rPr>
            </w:pPr>
            <w:r w:rsidRPr="00025312">
              <w:rPr>
                <w:i/>
                <w:iCs/>
                <w:sz w:val="22"/>
              </w:rPr>
              <w:t>(20.09.2018. likuma redakcijā, kas stājas spēkā 01.01.2019.)</w:t>
            </w:r>
          </w:p>
        </w:tc>
        <w:tc>
          <w:tcPr>
            <w:tcW w:w="3969" w:type="dxa"/>
            <w:shd w:val="clear" w:color="auto" w:fill="auto"/>
          </w:tcPr>
          <w:p w:rsidR="00E84443" w:rsidRPr="00E84443" w:rsidRDefault="00E84443" w:rsidP="00E84443">
            <w:pPr>
              <w:ind w:firstLine="567"/>
              <w:jc w:val="both"/>
              <w:rPr>
                <w:rFonts w:eastAsia="Times New Roman"/>
                <w:iCs/>
                <w:color w:val="000000"/>
                <w:sz w:val="22"/>
                <w:lang w:eastAsia="lv-LV"/>
              </w:rPr>
            </w:pPr>
            <w:r w:rsidRPr="00E84443">
              <w:rPr>
                <w:rFonts w:eastAsia="Times New Roman"/>
                <w:iCs/>
                <w:color w:val="000000"/>
                <w:sz w:val="22"/>
                <w:lang w:eastAsia="lv-LV"/>
              </w:rPr>
              <w:t>7. Izteikt pārejas noteikumu 41. punktu šādā redakcijā:</w:t>
            </w:r>
          </w:p>
          <w:p w:rsidR="00E84443" w:rsidRPr="00E84443" w:rsidRDefault="00E84443" w:rsidP="00E84443">
            <w:pPr>
              <w:ind w:firstLine="567"/>
              <w:jc w:val="both"/>
              <w:rPr>
                <w:rFonts w:eastAsia="Times New Roman"/>
                <w:iCs/>
                <w:color w:val="000000"/>
                <w:sz w:val="22"/>
                <w:lang w:eastAsia="lv-LV"/>
              </w:rPr>
            </w:pPr>
          </w:p>
          <w:p w:rsidR="00A250E0" w:rsidRDefault="00E84443" w:rsidP="00E114B3">
            <w:pPr>
              <w:ind w:firstLine="567"/>
              <w:jc w:val="both"/>
              <w:rPr>
                <w:rFonts w:eastAsia="Times New Roman"/>
                <w:iCs/>
                <w:color w:val="000000"/>
                <w:sz w:val="22"/>
                <w:lang w:eastAsia="lv-LV"/>
              </w:rPr>
            </w:pPr>
            <w:r w:rsidRPr="00E84443">
              <w:rPr>
                <w:rFonts w:eastAsia="Times New Roman"/>
                <w:iCs/>
                <w:color w:val="000000"/>
                <w:sz w:val="22"/>
                <w:lang w:eastAsia="lv-LV"/>
              </w:rPr>
              <w:t>"41</w:t>
            </w:r>
            <w:bookmarkStart w:id="1" w:name="_Hlk52289585"/>
            <w:r w:rsidRPr="00E84443">
              <w:rPr>
                <w:rFonts w:eastAsia="Times New Roman"/>
                <w:iCs/>
                <w:color w:val="000000"/>
                <w:sz w:val="22"/>
                <w:lang w:eastAsia="lv-LV"/>
              </w:rPr>
              <w:t xml:space="preserve">. Korupcijas novēršanas un apkarošanas biroja amatpersonai, kura uzsākusi pildīt dienesta pienākumus Korupcijas novēršanas un apkarošanas birojā laikposmā līdz 2020. gada 31. decembrim, pēc pieciem nepārtrauktas izdienas gadiem, skaitot no 2019. gada 1. janvāra, izmaksā vienreizēju pabalstu triju vidējo mēnešalgu apmērā, kas attiecīgajai amatpersonai aprēķinātas pēdējo piecu gadu laikā. </w:t>
            </w:r>
            <w:bookmarkEnd w:id="1"/>
            <w:r w:rsidRPr="00E84443">
              <w:rPr>
                <w:rFonts w:eastAsia="Times New Roman"/>
                <w:iCs/>
                <w:color w:val="000000"/>
                <w:sz w:val="22"/>
                <w:lang w:eastAsia="lv-LV"/>
              </w:rPr>
              <w:t>Šo pabalstu amatpersonai izmaksā vienu reizi, sākot ar 2024. gada 1. janvāri, līdz 2025. gada 31. decembrim."</w:t>
            </w:r>
            <w:r w:rsidR="00283D66" w:rsidRPr="00283D66">
              <w:rPr>
                <w:rFonts w:eastAsia="Times New Roman"/>
                <w:iCs/>
                <w:color w:val="000000"/>
                <w:sz w:val="22"/>
                <w:lang w:eastAsia="lv-LV"/>
              </w:rPr>
              <w:t xml:space="preserve"> </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A250E0" w:rsidRPr="001B3F41" w:rsidTr="00E84443">
        <w:tc>
          <w:tcPr>
            <w:tcW w:w="3964" w:type="dxa"/>
            <w:shd w:val="clear" w:color="auto" w:fill="auto"/>
          </w:tcPr>
          <w:p w:rsidR="00A250E0" w:rsidRPr="00025312" w:rsidRDefault="00A250E0" w:rsidP="00025312">
            <w:pPr>
              <w:ind w:firstLine="567"/>
              <w:jc w:val="both"/>
              <w:rPr>
                <w:sz w:val="22"/>
              </w:rPr>
            </w:pPr>
          </w:p>
        </w:tc>
        <w:tc>
          <w:tcPr>
            <w:tcW w:w="3969" w:type="dxa"/>
            <w:shd w:val="clear" w:color="auto" w:fill="auto"/>
          </w:tcPr>
          <w:p w:rsidR="00A250E0" w:rsidRPr="00E84443" w:rsidRDefault="00A250E0" w:rsidP="00E84443">
            <w:pPr>
              <w:ind w:firstLine="567"/>
              <w:jc w:val="both"/>
              <w:rPr>
                <w:rFonts w:eastAsia="Times New Roman"/>
                <w:iCs/>
                <w:color w:val="000000"/>
                <w:sz w:val="22"/>
                <w:lang w:eastAsia="lv-LV"/>
              </w:rPr>
            </w:pPr>
          </w:p>
        </w:tc>
        <w:tc>
          <w:tcPr>
            <w:tcW w:w="581" w:type="dxa"/>
          </w:tcPr>
          <w:p w:rsidR="00A250E0" w:rsidRPr="00A43531" w:rsidRDefault="00E114B3"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A250E0" w:rsidRDefault="00A250E0" w:rsidP="00EC158C">
            <w:pPr>
              <w:ind w:firstLine="567"/>
              <w:jc w:val="both"/>
              <w:rPr>
                <w:rFonts w:eastAsia="Times New Roman"/>
                <w:b/>
                <w:iCs/>
                <w:color w:val="000000"/>
                <w:sz w:val="22"/>
                <w:u w:val="single"/>
                <w:lang w:eastAsia="lv-LV"/>
              </w:rPr>
            </w:pPr>
            <w:r w:rsidRPr="00A250E0">
              <w:rPr>
                <w:rFonts w:eastAsia="Times New Roman"/>
                <w:b/>
                <w:iCs/>
                <w:color w:val="000000"/>
                <w:sz w:val="22"/>
                <w:u w:val="single"/>
                <w:lang w:eastAsia="lv-LV"/>
              </w:rPr>
              <w:t>D.Reizniece-Ozola, G.Daudze, R.Bergmanis, J.Dūklavs, V.Valainis, J.Jalinska</w:t>
            </w:r>
          </w:p>
          <w:p w:rsidR="00A250E0" w:rsidRPr="00A250E0" w:rsidRDefault="00A250E0" w:rsidP="00A250E0">
            <w:pPr>
              <w:ind w:firstLine="567"/>
              <w:jc w:val="both"/>
              <w:rPr>
                <w:rFonts w:eastAsia="Times New Roman"/>
                <w:iCs/>
                <w:color w:val="000000"/>
                <w:sz w:val="22"/>
                <w:lang w:eastAsia="lv-LV"/>
              </w:rPr>
            </w:pPr>
            <w:r w:rsidRPr="00A250E0">
              <w:rPr>
                <w:rFonts w:eastAsia="Times New Roman"/>
                <w:iCs/>
                <w:color w:val="000000"/>
                <w:sz w:val="22"/>
                <w:lang w:eastAsia="lv-LV"/>
              </w:rPr>
              <w:t>Papildināt likuma pārejas noteikumus ar jaunu punktu šādā redakcijā:</w:t>
            </w:r>
          </w:p>
          <w:p w:rsidR="00A250E0" w:rsidRPr="00A250E0" w:rsidRDefault="00A250E0" w:rsidP="00A250E0">
            <w:pPr>
              <w:ind w:firstLine="567"/>
              <w:jc w:val="both"/>
              <w:rPr>
                <w:rFonts w:eastAsia="Times New Roman"/>
                <w:iCs/>
                <w:color w:val="000000"/>
                <w:sz w:val="22"/>
                <w:lang w:eastAsia="lv-LV"/>
              </w:rPr>
            </w:pPr>
          </w:p>
          <w:p w:rsidR="00A250E0" w:rsidRPr="00A250E0" w:rsidRDefault="00A250E0" w:rsidP="00A250E0">
            <w:pPr>
              <w:ind w:firstLine="567"/>
              <w:jc w:val="both"/>
              <w:rPr>
                <w:rFonts w:eastAsia="Times New Roman"/>
                <w:iCs/>
                <w:color w:val="000000"/>
                <w:sz w:val="22"/>
                <w:lang w:eastAsia="lv-LV"/>
              </w:rPr>
            </w:pPr>
            <w:r w:rsidRPr="00A250E0">
              <w:rPr>
                <w:rFonts w:eastAsia="Times New Roman"/>
                <w:iCs/>
                <w:color w:val="000000"/>
                <w:sz w:val="22"/>
                <w:lang w:eastAsia="lv-LV"/>
              </w:rPr>
              <w:t xml:space="preserve">47. No 2021. gada 1. janvāra nosakot Valsts prezidenta, Ministru </w:t>
            </w:r>
            <w:r w:rsidRPr="00A250E0">
              <w:rPr>
                <w:rFonts w:eastAsia="Times New Roman"/>
                <w:iCs/>
                <w:color w:val="000000"/>
                <w:sz w:val="22"/>
                <w:lang w:eastAsia="lv-LV"/>
              </w:rPr>
              <w:lastRenderedPageBreak/>
              <w:t>prezidenta un ministru mēnešalgu, bāzes mēnešalgas apmērs ir Centrālās statistikas pārvaldes oficiālajā statistikas paziņojumā publicētais valstī strādājošo 2018. gada mēneša vidējās darba samaksas apmērs (</w:t>
            </w:r>
            <w:r w:rsidRPr="00A250E0">
              <w:rPr>
                <w:rFonts w:eastAsia="Times New Roman"/>
                <w:bCs/>
                <w:iCs/>
                <w:color w:val="000000"/>
                <w:sz w:val="22"/>
                <w:lang w:eastAsia="lv-LV"/>
              </w:rPr>
              <w:t>1004</w:t>
            </w:r>
            <w:r w:rsidRPr="00A250E0">
              <w:rPr>
                <w:rFonts w:eastAsia="Times New Roman"/>
                <w:b/>
                <w:bCs/>
                <w:iCs/>
                <w:color w:val="000000"/>
                <w:sz w:val="22"/>
                <w:lang w:eastAsia="lv-LV"/>
              </w:rPr>
              <w:t> </w:t>
            </w:r>
            <w:r w:rsidRPr="00A250E0">
              <w:rPr>
                <w:rFonts w:eastAsia="Times New Roman"/>
                <w:iCs/>
                <w:color w:val="000000"/>
                <w:sz w:val="22"/>
                <w:lang w:eastAsia="lv-LV"/>
              </w:rPr>
              <w:t xml:space="preserve"> </w:t>
            </w:r>
            <w:r w:rsidRPr="00A250E0">
              <w:rPr>
                <w:rFonts w:eastAsia="Times New Roman"/>
                <w:i/>
                <w:iCs/>
                <w:color w:val="000000"/>
                <w:sz w:val="22"/>
                <w:lang w:eastAsia="lv-LV"/>
              </w:rPr>
              <w:t>euro</w:t>
            </w:r>
            <w:r w:rsidRPr="00A250E0">
              <w:rPr>
                <w:rFonts w:eastAsia="Times New Roman"/>
                <w:iCs/>
                <w:color w:val="000000"/>
                <w:sz w:val="22"/>
                <w:lang w:eastAsia="lv-LV"/>
              </w:rPr>
              <w:t>).</w:t>
            </w:r>
          </w:p>
          <w:p w:rsidR="00A250E0" w:rsidRPr="00A250E0" w:rsidRDefault="00A250E0" w:rsidP="00EC158C">
            <w:pPr>
              <w:ind w:firstLine="567"/>
              <w:jc w:val="both"/>
              <w:rPr>
                <w:rFonts w:eastAsia="Times New Roman"/>
                <w:iCs/>
                <w:color w:val="000000"/>
                <w:sz w:val="22"/>
                <w:lang w:eastAsia="lv-LV"/>
              </w:rPr>
            </w:pPr>
          </w:p>
        </w:tc>
        <w:tc>
          <w:tcPr>
            <w:tcW w:w="1417" w:type="dxa"/>
          </w:tcPr>
          <w:p w:rsidR="00A250E0" w:rsidRPr="00EA0C03" w:rsidRDefault="00A250E0" w:rsidP="00EC158C">
            <w:pPr>
              <w:ind w:firstLine="567"/>
              <w:jc w:val="both"/>
              <w:rPr>
                <w:rFonts w:eastAsia="Times New Roman"/>
                <w:iCs/>
                <w:color w:val="000000"/>
                <w:sz w:val="22"/>
                <w:lang w:eastAsia="lv-LV"/>
              </w:rPr>
            </w:pPr>
          </w:p>
        </w:tc>
        <w:tc>
          <w:tcPr>
            <w:tcW w:w="1418" w:type="dxa"/>
          </w:tcPr>
          <w:p w:rsidR="00A250E0" w:rsidRPr="00EA0C03" w:rsidRDefault="00A250E0" w:rsidP="00EC158C">
            <w:pPr>
              <w:ind w:firstLine="567"/>
              <w:jc w:val="both"/>
              <w:rPr>
                <w:rFonts w:eastAsia="Times New Roman"/>
                <w:iCs/>
                <w:color w:val="000000"/>
                <w:sz w:val="22"/>
                <w:lang w:eastAsia="lv-LV"/>
              </w:rPr>
            </w:pPr>
          </w:p>
        </w:tc>
      </w:tr>
    </w:tbl>
    <w:p w:rsidR="00A400CF" w:rsidRDefault="00A400CF"/>
    <w:p w:rsidR="00025312" w:rsidRDefault="00025312"/>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E84443" w:rsidRPr="001B3F41" w:rsidTr="00817601">
        <w:tc>
          <w:tcPr>
            <w:tcW w:w="3964" w:type="dxa"/>
            <w:shd w:val="clear" w:color="auto" w:fill="auto"/>
          </w:tcPr>
          <w:p w:rsidR="00E84443" w:rsidRPr="001634F0" w:rsidRDefault="00E84443" w:rsidP="00B508AF">
            <w:pPr>
              <w:jc w:val="center"/>
              <w:rPr>
                <w:b/>
                <w:bCs/>
                <w:iCs/>
              </w:rPr>
            </w:pPr>
            <w:r>
              <w:rPr>
                <w:b/>
              </w:rPr>
              <w:t>Spēkā esošā redakcija</w:t>
            </w:r>
          </w:p>
        </w:tc>
        <w:tc>
          <w:tcPr>
            <w:tcW w:w="3969" w:type="dxa"/>
            <w:shd w:val="clear" w:color="auto" w:fill="auto"/>
          </w:tcPr>
          <w:p w:rsidR="00E84443" w:rsidRDefault="00E84443" w:rsidP="00B508AF">
            <w:pPr>
              <w:jc w:val="center"/>
              <w:rPr>
                <w:b/>
              </w:rPr>
            </w:pPr>
            <w:r>
              <w:rPr>
                <w:b/>
              </w:rPr>
              <w:t>Pirmā lasījuma redakcija</w:t>
            </w:r>
          </w:p>
          <w:p w:rsidR="00817601" w:rsidRDefault="00817601" w:rsidP="00B508AF">
            <w:pPr>
              <w:jc w:val="center"/>
              <w:rPr>
                <w:b/>
              </w:rPr>
            </w:pPr>
          </w:p>
          <w:p w:rsidR="00E84443" w:rsidRDefault="00E84443" w:rsidP="00B508AF">
            <w:pPr>
              <w:jc w:val="center"/>
              <w:rPr>
                <w:b/>
              </w:rPr>
            </w:pPr>
          </w:p>
          <w:p w:rsidR="00E84443" w:rsidRPr="00E84443" w:rsidRDefault="00E84443" w:rsidP="00817601">
            <w:pPr>
              <w:ind w:firstLine="567"/>
              <w:jc w:val="both"/>
              <w:rPr>
                <w:b/>
                <w:i/>
              </w:rPr>
            </w:pPr>
          </w:p>
        </w:tc>
        <w:tc>
          <w:tcPr>
            <w:tcW w:w="581" w:type="dxa"/>
          </w:tcPr>
          <w:p w:rsidR="00E84443" w:rsidRPr="00A43531" w:rsidRDefault="00E84443" w:rsidP="00B508AF">
            <w:pPr>
              <w:jc w:val="center"/>
              <w:rPr>
                <w:b/>
              </w:rPr>
            </w:pPr>
            <w:r w:rsidRPr="00A43531">
              <w:rPr>
                <w:b/>
              </w:rPr>
              <w:t>Nr.</w:t>
            </w:r>
          </w:p>
        </w:tc>
        <w:tc>
          <w:tcPr>
            <w:tcW w:w="3969" w:type="dxa"/>
          </w:tcPr>
          <w:p w:rsidR="00E84443" w:rsidRDefault="00E84443" w:rsidP="00B508AF">
            <w:pPr>
              <w:jc w:val="center"/>
              <w:rPr>
                <w:b/>
              </w:rPr>
            </w:pPr>
            <w:r>
              <w:rPr>
                <w:b/>
              </w:rPr>
              <w:t>Priekšlikumi</w:t>
            </w:r>
          </w:p>
          <w:p w:rsidR="00E84443" w:rsidRPr="001B3F41" w:rsidRDefault="00E84443" w:rsidP="00B508AF">
            <w:pPr>
              <w:jc w:val="center"/>
              <w:rPr>
                <w:b/>
              </w:rPr>
            </w:pPr>
            <w:r>
              <w:rPr>
                <w:b/>
              </w:rPr>
              <w:t>(</w:t>
            </w:r>
            <w:r w:rsidR="00E114B3">
              <w:rPr>
                <w:b/>
              </w:rPr>
              <w:t>2</w:t>
            </w:r>
            <w:r>
              <w:rPr>
                <w:b/>
              </w:rPr>
              <w:t>)</w:t>
            </w:r>
          </w:p>
        </w:tc>
        <w:tc>
          <w:tcPr>
            <w:tcW w:w="1417" w:type="dxa"/>
          </w:tcPr>
          <w:p w:rsidR="00E84443" w:rsidRPr="001B3F41" w:rsidRDefault="00E84443" w:rsidP="00B508AF">
            <w:pPr>
              <w:jc w:val="center"/>
              <w:rPr>
                <w:b/>
              </w:rPr>
            </w:pPr>
            <w:r>
              <w:rPr>
                <w:b/>
              </w:rPr>
              <w:t>Ministru kabineta atzinums</w:t>
            </w:r>
          </w:p>
        </w:tc>
        <w:tc>
          <w:tcPr>
            <w:tcW w:w="1418" w:type="dxa"/>
          </w:tcPr>
          <w:p w:rsidR="00E84443" w:rsidRPr="001B3F41" w:rsidRDefault="00E84443" w:rsidP="00B508AF">
            <w:pPr>
              <w:jc w:val="center"/>
              <w:rPr>
                <w:b/>
              </w:rPr>
            </w:pPr>
            <w:r>
              <w:rPr>
                <w:b/>
              </w:rPr>
              <w:t>Komisijas atzinums</w:t>
            </w:r>
          </w:p>
        </w:tc>
      </w:tr>
      <w:tr w:rsidR="00817601" w:rsidRPr="001B3F41" w:rsidTr="00817601">
        <w:tc>
          <w:tcPr>
            <w:tcW w:w="3964" w:type="dxa"/>
            <w:shd w:val="clear" w:color="auto" w:fill="auto"/>
          </w:tcPr>
          <w:p w:rsidR="00817601" w:rsidRDefault="00817601" w:rsidP="00B508AF">
            <w:pPr>
              <w:jc w:val="center"/>
              <w:rPr>
                <w:b/>
              </w:rPr>
            </w:pPr>
          </w:p>
        </w:tc>
        <w:tc>
          <w:tcPr>
            <w:tcW w:w="3969" w:type="dxa"/>
            <w:shd w:val="clear" w:color="auto" w:fill="auto"/>
          </w:tcPr>
          <w:p w:rsidR="00817601" w:rsidRPr="00817601" w:rsidRDefault="00817601" w:rsidP="00817601">
            <w:pPr>
              <w:ind w:firstLine="567"/>
              <w:jc w:val="both"/>
            </w:pPr>
            <w:r w:rsidRPr="00817601">
              <w:t>8. Papildināt likumu ar 5. pielikumu šādā redakcijā:</w:t>
            </w:r>
          </w:p>
          <w:p w:rsidR="00817601" w:rsidRPr="00817601" w:rsidRDefault="00817601" w:rsidP="00817601">
            <w:pPr>
              <w:ind w:firstLine="567"/>
              <w:jc w:val="both"/>
            </w:pPr>
            <w:r w:rsidRPr="00817601">
              <w:t>"Valsts un pašvaldību institūciju amatpersonu un</w:t>
            </w:r>
          </w:p>
          <w:p w:rsidR="00817601" w:rsidRPr="00817601" w:rsidRDefault="00817601" w:rsidP="00817601">
            <w:pPr>
              <w:ind w:firstLine="567"/>
              <w:jc w:val="both"/>
            </w:pPr>
            <w:r w:rsidRPr="00817601">
              <w:t>darbinieku atlīdzības likuma</w:t>
            </w:r>
          </w:p>
          <w:p w:rsidR="00817601" w:rsidRPr="00817601" w:rsidRDefault="00817601" w:rsidP="00817601">
            <w:pPr>
              <w:ind w:firstLine="567"/>
              <w:jc w:val="both"/>
            </w:pPr>
            <w:r w:rsidRPr="00817601">
              <w:t>5. pielikums</w:t>
            </w:r>
          </w:p>
          <w:p w:rsidR="00817601" w:rsidRDefault="00817601" w:rsidP="00817601">
            <w:pPr>
              <w:ind w:firstLine="567"/>
              <w:jc w:val="both"/>
              <w:rPr>
                <w:b/>
                <w:bCs/>
              </w:rPr>
            </w:pPr>
            <w:r w:rsidRPr="00817601">
              <w:rPr>
                <w:b/>
              </w:rPr>
              <w:t>Korupcijas novēršanas un apkarošanas biroja amatpersonu (darbinieku)</w:t>
            </w:r>
            <w:r w:rsidRPr="00817601">
              <w:rPr>
                <w:b/>
                <w:bCs/>
              </w:rPr>
              <w:t xml:space="preserve"> mēnešalgu grupas un to mēnešalgas intervāli</w:t>
            </w:r>
          </w:p>
          <w:p w:rsidR="00817601" w:rsidRPr="00817601" w:rsidRDefault="00817601" w:rsidP="00817601">
            <w:pPr>
              <w:ind w:firstLine="567"/>
              <w:jc w:val="both"/>
            </w:pPr>
            <w:r w:rsidRPr="00E84443">
              <w:rPr>
                <w:b/>
                <w:i/>
              </w:rPr>
              <w:t>ailes turpinājums</w:t>
            </w:r>
            <w:r>
              <w:rPr>
                <w:b/>
                <w:i/>
              </w:rPr>
              <w:t xml:space="preserve"> </w:t>
            </w:r>
            <w:r w:rsidRPr="00A664D2">
              <w:rPr>
                <w:b/>
                <w:bCs/>
                <w:sz w:val="22"/>
              </w:rPr>
              <w:t>↓↓↓</w:t>
            </w:r>
          </w:p>
        </w:tc>
        <w:tc>
          <w:tcPr>
            <w:tcW w:w="581" w:type="dxa"/>
          </w:tcPr>
          <w:p w:rsidR="00817601" w:rsidRPr="00A43531" w:rsidRDefault="00817601" w:rsidP="00B508AF">
            <w:pPr>
              <w:jc w:val="center"/>
              <w:rPr>
                <w:b/>
              </w:rPr>
            </w:pPr>
          </w:p>
        </w:tc>
        <w:tc>
          <w:tcPr>
            <w:tcW w:w="3969" w:type="dxa"/>
          </w:tcPr>
          <w:p w:rsidR="00817601" w:rsidRDefault="00817601" w:rsidP="00B508AF">
            <w:pPr>
              <w:jc w:val="center"/>
              <w:rPr>
                <w:b/>
              </w:rPr>
            </w:pPr>
          </w:p>
        </w:tc>
        <w:tc>
          <w:tcPr>
            <w:tcW w:w="1417" w:type="dxa"/>
          </w:tcPr>
          <w:p w:rsidR="00817601" w:rsidRDefault="00817601" w:rsidP="00B508AF">
            <w:pPr>
              <w:jc w:val="center"/>
              <w:rPr>
                <w:b/>
              </w:rPr>
            </w:pPr>
          </w:p>
        </w:tc>
        <w:tc>
          <w:tcPr>
            <w:tcW w:w="1418" w:type="dxa"/>
          </w:tcPr>
          <w:p w:rsidR="00817601" w:rsidRDefault="00817601" w:rsidP="00B508AF">
            <w:pPr>
              <w:jc w:val="center"/>
              <w:rPr>
                <w:b/>
              </w:rPr>
            </w:pPr>
          </w:p>
        </w:tc>
      </w:tr>
    </w:tbl>
    <w:p w:rsidR="00817601" w:rsidRDefault="00817601" w:rsidP="00817601">
      <w:pPr>
        <w:jc w:val="right"/>
      </w:pPr>
    </w:p>
    <w:p w:rsidR="00817601" w:rsidRPr="00817601" w:rsidRDefault="00817601" w:rsidP="00817601">
      <w:pPr>
        <w:jc w:val="right"/>
      </w:pPr>
      <w:r w:rsidRPr="00817601">
        <w:t>"Valsts un pašvaldību institūciju amatpersonu un</w:t>
      </w:r>
    </w:p>
    <w:p w:rsidR="00817601" w:rsidRPr="00817601" w:rsidRDefault="00817601" w:rsidP="00817601">
      <w:pPr>
        <w:jc w:val="right"/>
      </w:pPr>
      <w:r w:rsidRPr="00817601">
        <w:t>darbinieku atlīdzības likuma</w:t>
      </w:r>
    </w:p>
    <w:p w:rsidR="00817601" w:rsidRPr="00817601" w:rsidRDefault="00817601" w:rsidP="00817601">
      <w:pPr>
        <w:jc w:val="right"/>
      </w:pPr>
      <w:r w:rsidRPr="00817601">
        <w:t>5. pielikums</w:t>
      </w:r>
    </w:p>
    <w:p w:rsidR="00817601" w:rsidRPr="00817601" w:rsidRDefault="00817601" w:rsidP="00817601"/>
    <w:p w:rsidR="00817601" w:rsidRPr="00817601" w:rsidRDefault="00817601" w:rsidP="00817601">
      <w:pPr>
        <w:rPr>
          <w:b/>
          <w:bCs/>
        </w:rPr>
      </w:pPr>
      <w:r w:rsidRPr="00817601">
        <w:rPr>
          <w:b/>
        </w:rPr>
        <w:t>Korupcijas novēršanas un apkarošanas biroja amatpersonu (darbinieku)</w:t>
      </w:r>
      <w:r w:rsidRPr="00817601">
        <w:rPr>
          <w:b/>
          <w:bCs/>
        </w:rPr>
        <w:t xml:space="preserve"> mēnešalgu grupas un to mēnešalgas intervāli</w:t>
      </w:r>
    </w:p>
    <w:p w:rsidR="00817601" w:rsidRPr="00817601" w:rsidRDefault="00817601" w:rsidP="00817601"/>
    <w:tbl>
      <w:tblPr>
        <w:tblW w:w="8079" w:type="dxa"/>
        <w:jc w:val="center"/>
        <w:tblLayout w:type="fixed"/>
        <w:tblLook w:val="04A0" w:firstRow="1" w:lastRow="0" w:firstColumn="1" w:lastColumn="0" w:noHBand="0" w:noVBand="1"/>
      </w:tblPr>
      <w:tblGrid>
        <w:gridCol w:w="704"/>
        <w:gridCol w:w="1280"/>
        <w:gridCol w:w="2268"/>
        <w:gridCol w:w="2126"/>
        <w:gridCol w:w="1701"/>
      </w:tblGrid>
      <w:tr w:rsidR="00817601" w:rsidRPr="00817601" w:rsidTr="00B508AF">
        <w:trPr>
          <w:jc w:val="center"/>
        </w:trPr>
        <w:tc>
          <w:tcPr>
            <w:tcW w:w="704" w:type="dxa"/>
            <w:vMerge w:val="restart"/>
            <w:tcBorders>
              <w:top w:val="single" w:sz="4" w:space="0" w:color="auto"/>
              <w:left w:val="single" w:sz="4" w:space="0" w:color="auto"/>
              <w:right w:val="single" w:sz="4" w:space="0" w:color="auto"/>
            </w:tcBorders>
            <w:shd w:val="clear" w:color="auto" w:fill="FFFFFF"/>
            <w:vAlign w:val="center"/>
          </w:tcPr>
          <w:p w:rsidR="00817601" w:rsidRPr="00817601" w:rsidRDefault="00817601" w:rsidP="00817601">
            <w:pPr>
              <w:rPr>
                <w:bCs/>
              </w:rPr>
            </w:pPr>
            <w:r w:rsidRPr="00817601">
              <w:rPr>
                <w:bCs/>
              </w:rPr>
              <w:t>Nr.</w:t>
            </w:r>
            <w:r w:rsidRPr="00817601">
              <w:rPr>
                <w:bCs/>
              </w:rPr>
              <w:br/>
              <w:t>p. k.</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pPr>
              <w:rPr>
                <w:bCs/>
              </w:rPr>
            </w:pPr>
            <w:r w:rsidRPr="00817601">
              <w:rPr>
                <w:bCs/>
              </w:rPr>
              <w:t>Mēnešalgu grupa</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817601" w:rsidRPr="00817601" w:rsidRDefault="00817601" w:rsidP="00817601">
            <w:pPr>
              <w:rPr>
                <w:bCs/>
              </w:rPr>
            </w:pPr>
            <w:r w:rsidRPr="00817601">
              <w:rPr>
                <w:bCs/>
              </w:rPr>
              <w:t>Mēnešalgu intervāla koeficients pret bāzes algu</w:t>
            </w:r>
          </w:p>
        </w:tc>
      </w:tr>
      <w:tr w:rsidR="00817601" w:rsidRPr="00817601" w:rsidTr="00B508AF">
        <w:trPr>
          <w:jc w:val="center"/>
        </w:trPr>
        <w:tc>
          <w:tcPr>
            <w:tcW w:w="704" w:type="dxa"/>
            <w:vMerge/>
            <w:tcBorders>
              <w:left w:val="single" w:sz="4" w:space="0" w:color="auto"/>
              <w:bottom w:val="single" w:sz="4" w:space="0" w:color="auto"/>
              <w:right w:val="single" w:sz="4" w:space="0" w:color="auto"/>
            </w:tcBorders>
          </w:tcPr>
          <w:p w:rsidR="00817601" w:rsidRPr="00817601" w:rsidRDefault="00817601" w:rsidP="00817601">
            <w:pPr>
              <w:rPr>
                <w:bC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17601" w:rsidRPr="00817601" w:rsidRDefault="00817601" w:rsidP="00817601">
            <w:pPr>
              <w:rPr>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pPr>
              <w:rPr>
                <w:bCs/>
              </w:rPr>
            </w:pPr>
            <w:r w:rsidRPr="00817601">
              <w:rPr>
                <w:bCs/>
              </w:rPr>
              <w:t>minimums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pPr>
              <w:rPr>
                <w:bCs/>
              </w:rPr>
            </w:pPr>
            <w:r w:rsidRPr="00817601">
              <w:rPr>
                <w:bCs/>
              </w:rPr>
              <w:t>viduspunkts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pPr>
              <w:rPr>
                <w:bCs/>
              </w:rPr>
            </w:pPr>
            <w:r w:rsidRPr="00817601">
              <w:rPr>
                <w:bCs/>
              </w:rPr>
              <w:t>maksimums</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1.</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16</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3,035</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4,336</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4,550</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2.</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15</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2,836</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4,050</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4,354</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lastRenderedPageBreak/>
              <w:t>3.</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14</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2,369</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3,385</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4,062</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4.</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13</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1,911</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2,730</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3,276</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5.</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12</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1,535</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2,194</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2,743</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6.</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11</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1,230</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1,757</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2,197</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7.</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10</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1,017</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1,453</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1,817</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8.</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9</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0,850</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1,215</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1,579</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9.</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8</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0,796</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1,137</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1,479</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10.</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7</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0,666</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0,950</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1,236</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11.</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6</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0,623</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0,890</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1,156</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12.</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5</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0,582</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0,832</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1,080</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13.</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4</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0,570</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0,814</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1,059</w:t>
            </w:r>
          </w:p>
        </w:tc>
      </w:tr>
      <w:tr w:rsidR="00817601" w:rsidRPr="00817601" w:rsidTr="00B508AF">
        <w:trPr>
          <w:trHeight w:val="315"/>
          <w:jc w:val="center"/>
        </w:trPr>
        <w:tc>
          <w:tcPr>
            <w:tcW w:w="704" w:type="dxa"/>
            <w:tcBorders>
              <w:top w:val="nil"/>
              <w:left w:val="single" w:sz="4" w:space="0" w:color="auto"/>
              <w:bottom w:val="single" w:sz="4" w:space="0" w:color="auto"/>
              <w:right w:val="single" w:sz="4" w:space="0" w:color="auto"/>
            </w:tcBorders>
            <w:shd w:val="clear" w:color="auto" w:fill="FFFFFF"/>
          </w:tcPr>
          <w:p w:rsidR="00817601" w:rsidRPr="00817601" w:rsidRDefault="00817601" w:rsidP="00817601">
            <w:r w:rsidRPr="00817601">
              <w:t>14.</w:t>
            </w:r>
          </w:p>
        </w:tc>
        <w:tc>
          <w:tcPr>
            <w:tcW w:w="1280" w:type="dxa"/>
            <w:tcBorders>
              <w:top w:val="nil"/>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3</w:t>
            </w:r>
          </w:p>
        </w:tc>
        <w:tc>
          <w:tcPr>
            <w:tcW w:w="2268"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0,441</w:t>
            </w:r>
          </w:p>
        </w:tc>
        <w:tc>
          <w:tcPr>
            <w:tcW w:w="2126"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0,592</w:t>
            </w:r>
          </w:p>
        </w:tc>
        <w:tc>
          <w:tcPr>
            <w:tcW w:w="1701" w:type="dxa"/>
            <w:tcBorders>
              <w:top w:val="nil"/>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0,769</w:t>
            </w:r>
          </w:p>
        </w:tc>
      </w:tr>
      <w:tr w:rsidR="00817601" w:rsidRPr="00817601" w:rsidTr="00B508AF">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817601" w:rsidRPr="00817601" w:rsidRDefault="00817601" w:rsidP="00817601">
            <w:r w:rsidRPr="00817601">
              <w:t>15.</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601" w:rsidRPr="00817601" w:rsidRDefault="00817601" w:rsidP="00817601">
            <w:r w:rsidRPr="00817601">
              <w:t>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0,441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0,581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17601" w:rsidRPr="00817601" w:rsidRDefault="00817601" w:rsidP="00817601">
            <w:r w:rsidRPr="00817601">
              <w:t>0,755</w:t>
            </w:r>
          </w:p>
        </w:tc>
      </w:tr>
      <w:tr w:rsidR="00817601" w:rsidRPr="00817601" w:rsidTr="00B508AF">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817601" w:rsidRPr="00817601" w:rsidRDefault="00817601" w:rsidP="00817601">
            <w:r w:rsidRPr="00817601">
              <w:t>16.</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17601" w:rsidRPr="00817601" w:rsidRDefault="00817601" w:rsidP="00817601">
            <w:r w:rsidRPr="00817601">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17601" w:rsidRPr="00817601" w:rsidRDefault="00817601" w:rsidP="00817601">
            <w:r w:rsidRPr="00817601">
              <w:t>0,441</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601" w:rsidRPr="00817601" w:rsidRDefault="00817601" w:rsidP="00817601">
            <w:r w:rsidRPr="00817601">
              <w:t>0,562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17601" w:rsidRPr="00817601" w:rsidRDefault="00817601" w:rsidP="00817601">
            <w:r w:rsidRPr="00817601">
              <w:t>0,731"</w:t>
            </w:r>
          </w:p>
        </w:tc>
      </w:tr>
    </w:tbl>
    <w:p w:rsidR="00E84443" w:rsidRDefault="00E84443"/>
    <w:p w:rsidR="00025312" w:rsidRDefault="00025312"/>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817601" w:rsidRPr="001B3F41" w:rsidTr="00B508AF">
        <w:tc>
          <w:tcPr>
            <w:tcW w:w="3964" w:type="dxa"/>
            <w:shd w:val="clear" w:color="auto" w:fill="auto"/>
          </w:tcPr>
          <w:p w:rsidR="00817601" w:rsidRPr="001634F0" w:rsidRDefault="00817601" w:rsidP="00B508AF">
            <w:pPr>
              <w:jc w:val="center"/>
              <w:rPr>
                <w:b/>
                <w:bCs/>
                <w:iCs/>
              </w:rPr>
            </w:pPr>
            <w:r>
              <w:rPr>
                <w:b/>
              </w:rPr>
              <w:t>Spēkā esošā redakcija</w:t>
            </w:r>
          </w:p>
        </w:tc>
        <w:tc>
          <w:tcPr>
            <w:tcW w:w="3969" w:type="dxa"/>
            <w:shd w:val="clear" w:color="auto" w:fill="auto"/>
          </w:tcPr>
          <w:p w:rsidR="00817601" w:rsidRDefault="00817601" w:rsidP="00B508AF">
            <w:pPr>
              <w:jc w:val="center"/>
              <w:rPr>
                <w:b/>
              </w:rPr>
            </w:pPr>
            <w:r>
              <w:rPr>
                <w:b/>
              </w:rPr>
              <w:t>Pirmā lasījuma redakcija</w:t>
            </w:r>
          </w:p>
          <w:p w:rsidR="00817601" w:rsidRDefault="00817601" w:rsidP="00B508AF">
            <w:pPr>
              <w:jc w:val="center"/>
              <w:rPr>
                <w:b/>
              </w:rPr>
            </w:pPr>
          </w:p>
          <w:p w:rsidR="00817601" w:rsidRDefault="00817601" w:rsidP="00B508AF">
            <w:pPr>
              <w:jc w:val="center"/>
              <w:rPr>
                <w:b/>
              </w:rPr>
            </w:pPr>
          </w:p>
          <w:p w:rsidR="00817601" w:rsidRPr="00E84443" w:rsidRDefault="00817601" w:rsidP="00B508AF">
            <w:pPr>
              <w:ind w:firstLine="567"/>
              <w:jc w:val="both"/>
              <w:rPr>
                <w:b/>
                <w:i/>
              </w:rPr>
            </w:pPr>
          </w:p>
        </w:tc>
        <w:tc>
          <w:tcPr>
            <w:tcW w:w="581" w:type="dxa"/>
          </w:tcPr>
          <w:p w:rsidR="00817601" w:rsidRPr="00A43531" w:rsidRDefault="00817601" w:rsidP="00B508AF">
            <w:pPr>
              <w:jc w:val="center"/>
              <w:rPr>
                <w:b/>
              </w:rPr>
            </w:pPr>
            <w:r w:rsidRPr="00A43531">
              <w:rPr>
                <w:b/>
              </w:rPr>
              <w:t>Nr.</w:t>
            </w:r>
          </w:p>
        </w:tc>
        <w:tc>
          <w:tcPr>
            <w:tcW w:w="3969" w:type="dxa"/>
          </w:tcPr>
          <w:p w:rsidR="00817601" w:rsidRDefault="00817601" w:rsidP="00B508AF">
            <w:pPr>
              <w:jc w:val="center"/>
              <w:rPr>
                <w:b/>
              </w:rPr>
            </w:pPr>
            <w:r>
              <w:rPr>
                <w:b/>
              </w:rPr>
              <w:t>Priekšlikumi</w:t>
            </w:r>
          </w:p>
          <w:p w:rsidR="00817601" w:rsidRPr="001B3F41" w:rsidRDefault="00817601" w:rsidP="00B508AF">
            <w:pPr>
              <w:jc w:val="center"/>
              <w:rPr>
                <w:b/>
              </w:rPr>
            </w:pPr>
            <w:r>
              <w:rPr>
                <w:b/>
              </w:rPr>
              <w:t>(</w:t>
            </w:r>
            <w:r w:rsidR="00E114B3">
              <w:rPr>
                <w:b/>
              </w:rPr>
              <w:t>2</w:t>
            </w:r>
            <w:r>
              <w:rPr>
                <w:b/>
              </w:rPr>
              <w:t>)</w:t>
            </w:r>
          </w:p>
        </w:tc>
        <w:tc>
          <w:tcPr>
            <w:tcW w:w="1417" w:type="dxa"/>
          </w:tcPr>
          <w:p w:rsidR="00817601" w:rsidRPr="001B3F41" w:rsidRDefault="00817601" w:rsidP="00B508AF">
            <w:pPr>
              <w:jc w:val="center"/>
              <w:rPr>
                <w:b/>
              </w:rPr>
            </w:pPr>
            <w:r>
              <w:rPr>
                <w:b/>
              </w:rPr>
              <w:t>Ministru kabineta atzinums</w:t>
            </w:r>
          </w:p>
        </w:tc>
        <w:tc>
          <w:tcPr>
            <w:tcW w:w="1418" w:type="dxa"/>
          </w:tcPr>
          <w:p w:rsidR="00817601" w:rsidRPr="001B3F41" w:rsidRDefault="00817601" w:rsidP="00B508AF">
            <w:pPr>
              <w:jc w:val="center"/>
              <w:rPr>
                <w:b/>
              </w:rPr>
            </w:pPr>
            <w:r>
              <w:rPr>
                <w:b/>
              </w:rPr>
              <w:t>Komisijas atzinums</w:t>
            </w:r>
          </w:p>
        </w:tc>
      </w:tr>
      <w:tr w:rsidR="00817601" w:rsidRPr="001B3F41" w:rsidTr="00B508AF">
        <w:tc>
          <w:tcPr>
            <w:tcW w:w="3964" w:type="dxa"/>
            <w:shd w:val="clear" w:color="auto" w:fill="auto"/>
          </w:tcPr>
          <w:p w:rsidR="00817601" w:rsidRPr="00E84443" w:rsidRDefault="00817601" w:rsidP="00B508AF">
            <w:pPr>
              <w:ind w:firstLine="567"/>
              <w:jc w:val="both"/>
              <w:rPr>
                <w:b/>
                <w:i/>
              </w:rPr>
            </w:pPr>
          </w:p>
        </w:tc>
        <w:tc>
          <w:tcPr>
            <w:tcW w:w="3969" w:type="dxa"/>
            <w:shd w:val="clear" w:color="auto" w:fill="auto"/>
          </w:tcPr>
          <w:p w:rsidR="00817601" w:rsidRPr="00817601" w:rsidRDefault="00817601" w:rsidP="00817601">
            <w:pPr>
              <w:ind w:firstLine="567"/>
              <w:jc w:val="both"/>
            </w:pPr>
            <w:r w:rsidRPr="00817601">
              <w:t>Likums stājas spēkā 2021. gada 1. janvārī.</w:t>
            </w:r>
          </w:p>
          <w:p w:rsidR="00817601" w:rsidRPr="00817601" w:rsidRDefault="00817601" w:rsidP="00B508AF">
            <w:pPr>
              <w:jc w:val="center"/>
            </w:pPr>
          </w:p>
        </w:tc>
        <w:tc>
          <w:tcPr>
            <w:tcW w:w="581" w:type="dxa"/>
          </w:tcPr>
          <w:p w:rsidR="00817601" w:rsidRPr="00A43531" w:rsidRDefault="00817601" w:rsidP="00B508AF">
            <w:pPr>
              <w:jc w:val="center"/>
              <w:rPr>
                <w:b/>
              </w:rPr>
            </w:pPr>
          </w:p>
        </w:tc>
        <w:tc>
          <w:tcPr>
            <w:tcW w:w="3969" w:type="dxa"/>
          </w:tcPr>
          <w:p w:rsidR="00817601" w:rsidRDefault="00817601" w:rsidP="00B508AF">
            <w:pPr>
              <w:jc w:val="center"/>
              <w:rPr>
                <w:b/>
              </w:rPr>
            </w:pPr>
          </w:p>
        </w:tc>
        <w:tc>
          <w:tcPr>
            <w:tcW w:w="1417" w:type="dxa"/>
          </w:tcPr>
          <w:p w:rsidR="00817601" w:rsidRDefault="00817601" w:rsidP="00B508AF">
            <w:pPr>
              <w:jc w:val="center"/>
              <w:rPr>
                <w:b/>
              </w:rPr>
            </w:pPr>
          </w:p>
        </w:tc>
        <w:tc>
          <w:tcPr>
            <w:tcW w:w="1418" w:type="dxa"/>
          </w:tcPr>
          <w:p w:rsidR="00817601" w:rsidRDefault="00817601" w:rsidP="00B508AF">
            <w:pPr>
              <w:jc w:val="center"/>
              <w:rPr>
                <w:b/>
              </w:rPr>
            </w:pPr>
          </w:p>
        </w:tc>
      </w:tr>
    </w:tbl>
    <w:p w:rsidR="00817601" w:rsidRDefault="00817601"/>
    <w:sectPr w:rsidR="00817601"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4C7EE8"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EE8">
      <w:rPr>
        <w:rStyle w:val="PageNumber"/>
        <w:noProof/>
      </w:rPr>
      <w:t>9</w:t>
    </w:r>
    <w:r>
      <w:rPr>
        <w:rStyle w:val="PageNumber"/>
      </w:rPr>
      <w:fldChar w:fldCharType="end"/>
    </w:r>
  </w:p>
  <w:p w:rsidR="00511D34" w:rsidRDefault="004C7EE8"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25312"/>
    <w:rsid w:val="000426CA"/>
    <w:rsid w:val="00046CB8"/>
    <w:rsid w:val="00052EAB"/>
    <w:rsid w:val="000717D3"/>
    <w:rsid w:val="00074B12"/>
    <w:rsid w:val="000767B2"/>
    <w:rsid w:val="000816DA"/>
    <w:rsid w:val="000959BC"/>
    <w:rsid w:val="000D72BB"/>
    <w:rsid w:val="000E159B"/>
    <w:rsid w:val="000E2107"/>
    <w:rsid w:val="000E4D0C"/>
    <w:rsid w:val="000F155D"/>
    <w:rsid w:val="001161F6"/>
    <w:rsid w:val="001248AC"/>
    <w:rsid w:val="001268F5"/>
    <w:rsid w:val="00132BC5"/>
    <w:rsid w:val="00146A84"/>
    <w:rsid w:val="001502C2"/>
    <w:rsid w:val="00160883"/>
    <w:rsid w:val="0016168C"/>
    <w:rsid w:val="00161D6D"/>
    <w:rsid w:val="001636B2"/>
    <w:rsid w:val="0016468E"/>
    <w:rsid w:val="00165CB3"/>
    <w:rsid w:val="00183B2C"/>
    <w:rsid w:val="001846DF"/>
    <w:rsid w:val="001A1803"/>
    <w:rsid w:val="001A7561"/>
    <w:rsid w:val="001B359D"/>
    <w:rsid w:val="001B4987"/>
    <w:rsid w:val="001C0569"/>
    <w:rsid w:val="001D7290"/>
    <w:rsid w:val="001E7B89"/>
    <w:rsid w:val="001F548E"/>
    <w:rsid w:val="001F5D02"/>
    <w:rsid w:val="0021151F"/>
    <w:rsid w:val="00214FE5"/>
    <w:rsid w:val="0022488C"/>
    <w:rsid w:val="00233759"/>
    <w:rsid w:val="00247E8E"/>
    <w:rsid w:val="00254016"/>
    <w:rsid w:val="00283D66"/>
    <w:rsid w:val="0029588D"/>
    <w:rsid w:val="002B16C4"/>
    <w:rsid w:val="002C5F5C"/>
    <w:rsid w:val="002C76C3"/>
    <w:rsid w:val="002D05FD"/>
    <w:rsid w:val="002D0C5F"/>
    <w:rsid w:val="002E24FD"/>
    <w:rsid w:val="002F0BBF"/>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D4D14"/>
    <w:rsid w:val="003F13E9"/>
    <w:rsid w:val="003F255F"/>
    <w:rsid w:val="003F30F6"/>
    <w:rsid w:val="003F7C00"/>
    <w:rsid w:val="00400CE7"/>
    <w:rsid w:val="00401C7C"/>
    <w:rsid w:val="00405A5F"/>
    <w:rsid w:val="00415A04"/>
    <w:rsid w:val="00426123"/>
    <w:rsid w:val="004433B5"/>
    <w:rsid w:val="00457779"/>
    <w:rsid w:val="00457CB6"/>
    <w:rsid w:val="00465888"/>
    <w:rsid w:val="004659C5"/>
    <w:rsid w:val="004677A4"/>
    <w:rsid w:val="00467954"/>
    <w:rsid w:val="0048560A"/>
    <w:rsid w:val="00486D88"/>
    <w:rsid w:val="004874C3"/>
    <w:rsid w:val="00497098"/>
    <w:rsid w:val="00497A0D"/>
    <w:rsid w:val="004B0D54"/>
    <w:rsid w:val="004C06D8"/>
    <w:rsid w:val="004C733D"/>
    <w:rsid w:val="004C7EE8"/>
    <w:rsid w:val="004E5491"/>
    <w:rsid w:val="004F2938"/>
    <w:rsid w:val="0050497D"/>
    <w:rsid w:val="00504A68"/>
    <w:rsid w:val="00520099"/>
    <w:rsid w:val="00540A8F"/>
    <w:rsid w:val="00546502"/>
    <w:rsid w:val="00552EA4"/>
    <w:rsid w:val="00572523"/>
    <w:rsid w:val="00576E16"/>
    <w:rsid w:val="00581468"/>
    <w:rsid w:val="00591DDB"/>
    <w:rsid w:val="005B18AA"/>
    <w:rsid w:val="005B4453"/>
    <w:rsid w:val="005D37BB"/>
    <w:rsid w:val="005D5F22"/>
    <w:rsid w:val="005E54AA"/>
    <w:rsid w:val="00604032"/>
    <w:rsid w:val="00606DBE"/>
    <w:rsid w:val="0061617B"/>
    <w:rsid w:val="00626465"/>
    <w:rsid w:val="00632DD9"/>
    <w:rsid w:val="00634835"/>
    <w:rsid w:val="00640F9F"/>
    <w:rsid w:val="00653AA9"/>
    <w:rsid w:val="00681536"/>
    <w:rsid w:val="00687F46"/>
    <w:rsid w:val="006D0779"/>
    <w:rsid w:val="006E0266"/>
    <w:rsid w:val="006F0AD7"/>
    <w:rsid w:val="007044D0"/>
    <w:rsid w:val="00711B71"/>
    <w:rsid w:val="00717019"/>
    <w:rsid w:val="00720B41"/>
    <w:rsid w:val="007251CF"/>
    <w:rsid w:val="007452AD"/>
    <w:rsid w:val="00746C61"/>
    <w:rsid w:val="007674E4"/>
    <w:rsid w:val="00770F0C"/>
    <w:rsid w:val="00772DD6"/>
    <w:rsid w:val="00777B71"/>
    <w:rsid w:val="007A3FFC"/>
    <w:rsid w:val="007A59BC"/>
    <w:rsid w:val="007A699D"/>
    <w:rsid w:val="007B5EE8"/>
    <w:rsid w:val="007C27A5"/>
    <w:rsid w:val="007D27B8"/>
    <w:rsid w:val="007E2C08"/>
    <w:rsid w:val="00812283"/>
    <w:rsid w:val="00817601"/>
    <w:rsid w:val="0084288E"/>
    <w:rsid w:val="00846895"/>
    <w:rsid w:val="0087454D"/>
    <w:rsid w:val="00876AD8"/>
    <w:rsid w:val="00882A6C"/>
    <w:rsid w:val="00883733"/>
    <w:rsid w:val="00883897"/>
    <w:rsid w:val="00884683"/>
    <w:rsid w:val="008A2A30"/>
    <w:rsid w:val="008A5221"/>
    <w:rsid w:val="008B6968"/>
    <w:rsid w:val="008D0FC9"/>
    <w:rsid w:val="00903609"/>
    <w:rsid w:val="00903E38"/>
    <w:rsid w:val="00910ABE"/>
    <w:rsid w:val="00927192"/>
    <w:rsid w:val="0094485C"/>
    <w:rsid w:val="00947EED"/>
    <w:rsid w:val="009514F1"/>
    <w:rsid w:val="00951FFB"/>
    <w:rsid w:val="00953442"/>
    <w:rsid w:val="00955C25"/>
    <w:rsid w:val="009636A8"/>
    <w:rsid w:val="0096593E"/>
    <w:rsid w:val="0098171D"/>
    <w:rsid w:val="00993F1B"/>
    <w:rsid w:val="00996C86"/>
    <w:rsid w:val="009A3D9C"/>
    <w:rsid w:val="009A52CF"/>
    <w:rsid w:val="009B08A6"/>
    <w:rsid w:val="009B729D"/>
    <w:rsid w:val="009C281E"/>
    <w:rsid w:val="009D05D2"/>
    <w:rsid w:val="009D7372"/>
    <w:rsid w:val="009F214F"/>
    <w:rsid w:val="00A00B52"/>
    <w:rsid w:val="00A11B18"/>
    <w:rsid w:val="00A169B5"/>
    <w:rsid w:val="00A250E0"/>
    <w:rsid w:val="00A400CF"/>
    <w:rsid w:val="00A43531"/>
    <w:rsid w:val="00AA1600"/>
    <w:rsid w:val="00AA7863"/>
    <w:rsid w:val="00AB03BC"/>
    <w:rsid w:val="00AB1FE4"/>
    <w:rsid w:val="00AB5FE9"/>
    <w:rsid w:val="00AE10D0"/>
    <w:rsid w:val="00B12903"/>
    <w:rsid w:val="00B33F56"/>
    <w:rsid w:val="00B36DAB"/>
    <w:rsid w:val="00B6215C"/>
    <w:rsid w:val="00B6582A"/>
    <w:rsid w:val="00B712D1"/>
    <w:rsid w:val="00B7430C"/>
    <w:rsid w:val="00B74AE3"/>
    <w:rsid w:val="00B800F7"/>
    <w:rsid w:val="00B81B3E"/>
    <w:rsid w:val="00B86BB3"/>
    <w:rsid w:val="00BA7E4A"/>
    <w:rsid w:val="00BC3C78"/>
    <w:rsid w:val="00BC5607"/>
    <w:rsid w:val="00BC6DFF"/>
    <w:rsid w:val="00BE4D1F"/>
    <w:rsid w:val="00BF1E57"/>
    <w:rsid w:val="00C127F1"/>
    <w:rsid w:val="00C17839"/>
    <w:rsid w:val="00C27C48"/>
    <w:rsid w:val="00C316E1"/>
    <w:rsid w:val="00C34CF9"/>
    <w:rsid w:val="00C44ADF"/>
    <w:rsid w:val="00C55326"/>
    <w:rsid w:val="00C757AA"/>
    <w:rsid w:val="00C75A1E"/>
    <w:rsid w:val="00C825DA"/>
    <w:rsid w:val="00CA4D55"/>
    <w:rsid w:val="00CB5CE2"/>
    <w:rsid w:val="00CC37E9"/>
    <w:rsid w:val="00CD157C"/>
    <w:rsid w:val="00CD26C6"/>
    <w:rsid w:val="00CD34B5"/>
    <w:rsid w:val="00CD5E12"/>
    <w:rsid w:val="00CD5FC9"/>
    <w:rsid w:val="00CF2763"/>
    <w:rsid w:val="00CF384E"/>
    <w:rsid w:val="00CF6AE2"/>
    <w:rsid w:val="00D011AD"/>
    <w:rsid w:val="00D141D1"/>
    <w:rsid w:val="00D319E6"/>
    <w:rsid w:val="00D513AD"/>
    <w:rsid w:val="00D664C1"/>
    <w:rsid w:val="00D665E0"/>
    <w:rsid w:val="00D7094B"/>
    <w:rsid w:val="00D74397"/>
    <w:rsid w:val="00D9205B"/>
    <w:rsid w:val="00D92108"/>
    <w:rsid w:val="00DC2434"/>
    <w:rsid w:val="00DD7FEF"/>
    <w:rsid w:val="00DE4D1D"/>
    <w:rsid w:val="00E0312B"/>
    <w:rsid w:val="00E114B3"/>
    <w:rsid w:val="00E12F7F"/>
    <w:rsid w:val="00E30D2D"/>
    <w:rsid w:val="00E31A90"/>
    <w:rsid w:val="00E708DF"/>
    <w:rsid w:val="00E71869"/>
    <w:rsid w:val="00E84443"/>
    <w:rsid w:val="00E86455"/>
    <w:rsid w:val="00E9681F"/>
    <w:rsid w:val="00EA0C03"/>
    <w:rsid w:val="00EA52E1"/>
    <w:rsid w:val="00EA5739"/>
    <w:rsid w:val="00EC158C"/>
    <w:rsid w:val="00EC3FEB"/>
    <w:rsid w:val="00EC4586"/>
    <w:rsid w:val="00EF0958"/>
    <w:rsid w:val="00EF3075"/>
    <w:rsid w:val="00EF55C3"/>
    <w:rsid w:val="00F04F02"/>
    <w:rsid w:val="00F10367"/>
    <w:rsid w:val="00F10578"/>
    <w:rsid w:val="00F36723"/>
    <w:rsid w:val="00F36B31"/>
    <w:rsid w:val="00F37D82"/>
    <w:rsid w:val="00F5084C"/>
    <w:rsid w:val="00F51CF1"/>
    <w:rsid w:val="00F823B4"/>
    <w:rsid w:val="00F97FB5"/>
    <w:rsid w:val="00FA26C0"/>
    <w:rsid w:val="00FA4FDD"/>
    <w:rsid w:val="00FB1354"/>
    <w:rsid w:val="00FB32C2"/>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B257"/>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3939695">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2305339">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42657519">
      <w:bodyDiv w:val="1"/>
      <w:marLeft w:val="0"/>
      <w:marRight w:val="0"/>
      <w:marTop w:val="0"/>
      <w:marBottom w:val="0"/>
      <w:divBdr>
        <w:top w:val="none" w:sz="0" w:space="0" w:color="auto"/>
        <w:left w:val="none" w:sz="0" w:space="0" w:color="auto"/>
        <w:bottom w:val="none" w:sz="0" w:space="0" w:color="auto"/>
        <w:right w:val="none" w:sz="0" w:space="0" w:color="auto"/>
      </w:divBdr>
    </w:div>
    <w:div w:id="685014520">
      <w:bodyDiv w:val="1"/>
      <w:marLeft w:val="0"/>
      <w:marRight w:val="0"/>
      <w:marTop w:val="0"/>
      <w:marBottom w:val="0"/>
      <w:divBdr>
        <w:top w:val="none" w:sz="0" w:space="0" w:color="auto"/>
        <w:left w:val="none" w:sz="0" w:space="0" w:color="auto"/>
        <w:bottom w:val="none" w:sz="0" w:space="0" w:color="auto"/>
        <w:right w:val="none" w:sz="0" w:space="0" w:color="auto"/>
      </w:divBdr>
    </w:div>
    <w:div w:id="74298871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39603995">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0788833">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23452717">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9837</Words>
  <Characters>5608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8</cp:revision>
  <cp:lastPrinted>2018-11-29T07:09:00Z</cp:lastPrinted>
  <dcterms:created xsi:type="dcterms:W3CDTF">2020-10-16T09:57:00Z</dcterms:created>
  <dcterms:modified xsi:type="dcterms:W3CDTF">2020-10-30T16:39:00Z</dcterms:modified>
</cp:coreProperties>
</file>