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4B091A">
        <w:rPr>
          <w:sz w:val="26"/>
          <w:szCs w:val="26"/>
        </w:rPr>
        <w:tab/>
      </w:r>
      <w:r w:rsidR="00777B71">
        <w:rPr>
          <w:sz w:val="26"/>
          <w:szCs w:val="26"/>
        </w:rPr>
        <w:t xml:space="preserve"> </w:t>
      </w:r>
    </w:p>
    <w:p w:rsidR="00F96D2A" w:rsidRPr="00EC440D" w:rsidRDefault="00576E16" w:rsidP="00EC440D">
      <w:pPr>
        <w:jc w:val="right"/>
        <w:rPr>
          <w:sz w:val="26"/>
          <w:szCs w:val="26"/>
        </w:rPr>
      </w:pPr>
      <w:r w:rsidRPr="00C62F8B">
        <w:rPr>
          <w:sz w:val="26"/>
          <w:szCs w:val="26"/>
        </w:rPr>
        <w:t>L</w:t>
      </w:r>
      <w:r>
        <w:rPr>
          <w:sz w:val="26"/>
          <w:szCs w:val="26"/>
        </w:rPr>
        <w:t xml:space="preserve">ikumprojekts </w:t>
      </w:r>
      <w:proofErr w:type="gramStart"/>
      <w:r w:rsidR="00056624">
        <w:rPr>
          <w:sz w:val="26"/>
          <w:szCs w:val="26"/>
        </w:rPr>
        <w:t>(steidzams) otr</w:t>
      </w:r>
      <w:r w:rsidR="00C55326">
        <w:rPr>
          <w:sz w:val="26"/>
          <w:szCs w:val="26"/>
        </w:rPr>
        <w:t>ajam lasījumam</w:t>
      </w:r>
      <w:proofErr w:type="gramEnd"/>
    </w:p>
    <w:p w:rsidR="00520099" w:rsidRPr="00F57A39" w:rsidRDefault="00F57A39" w:rsidP="00576E16">
      <w:pPr>
        <w:jc w:val="center"/>
        <w:rPr>
          <w:rStyle w:val="Emphasis"/>
          <w:b/>
          <w:i w:val="0"/>
          <w:sz w:val="26"/>
          <w:szCs w:val="26"/>
        </w:rPr>
      </w:pPr>
      <w:r w:rsidRPr="00F57A39">
        <w:rPr>
          <w:b/>
          <w:iCs/>
          <w:sz w:val="26"/>
          <w:szCs w:val="26"/>
        </w:rPr>
        <w:t>Grozījumi Dabas resursu nodokļa likumā</w:t>
      </w:r>
    </w:p>
    <w:p w:rsidR="00576E16" w:rsidRDefault="00FC3F53" w:rsidP="001846DF">
      <w:pPr>
        <w:jc w:val="center"/>
        <w:rPr>
          <w:rStyle w:val="Emphasis"/>
          <w:b/>
          <w:sz w:val="26"/>
          <w:szCs w:val="26"/>
        </w:rPr>
      </w:pPr>
      <w:r w:rsidRPr="00FC3F53">
        <w:rPr>
          <w:rStyle w:val="Emphasis"/>
          <w:b/>
          <w:sz w:val="26"/>
          <w:szCs w:val="26"/>
        </w:rPr>
        <w:t xml:space="preserve">(Nr. </w:t>
      </w:r>
      <w:r w:rsidR="00EC440D">
        <w:rPr>
          <w:rStyle w:val="Emphasis"/>
          <w:b/>
          <w:sz w:val="26"/>
          <w:szCs w:val="26"/>
        </w:rPr>
        <w:t>813</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7"/>
        <w:gridCol w:w="3928"/>
        <w:gridCol w:w="567"/>
        <w:gridCol w:w="3926"/>
        <w:gridCol w:w="1411"/>
        <w:gridCol w:w="1414"/>
      </w:tblGrid>
      <w:tr w:rsidR="00056624" w:rsidRPr="001B3F41" w:rsidTr="00EC440D">
        <w:tc>
          <w:tcPr>
            <w:tcW w:w="3917" w:type="dxa"/>
            <w:shd w:val="clear" w:color="auto" w:fill="auto"/>
          </w:tcPr>
          <w:p w:rsidR="00056624" w:rsidRPr="001634F0" w:rsidRDefault="00056624" w:rsidP="0096593E">
            <w:pPr>
              <w:jc w:val="center"/>
              <w:rPr>
                <w:b/>
                <w:bCs/>
                <w:iCs/>
              </w:rPr>
            </w:pPr>
            <w:r>
              <w:rPr>
                <w:b/>
              </w:rPr>
              <w:t>Spēkā esošā redakcija</w:t>
            </w:r>
          </w:p>
        </w:tc>
        <w:tc>
          <w:tcPr>
            <w:tcW w:w="3928" w:type="dxa"/>
            <w:shd w:val="clear" w:color="auto" w:fill="auto"/>
          </w:tcPr>
          <w:p w:rsidR="00056624" w:rsidRPr="001B3F41" w:rsidRDefault="00056624" w:rsidP="00163800">
            <w:pPr>
              <w:jc w:val="center"/>
              <w:rPr>
                <w:b/>
              </w:rPr>
            </w:pPr>
            <w:r>
              <w:rPr>
                <w:b/>
              </w:rPr>
              <w:t>Pirmā lasījuma redakcija</w:t>
            </w:r>
          </w:p>
        </w:tc>
        <w:tc>
          <w:tcPr>
            <w:tcW w:w="567" w:type="dxa"/>
          </w:tcPr>
          <w:p w:rsidR="00056624" w:rsidRPr="00F96D2A" w:rsidRDefault="00056624" w:rsidP="00F96D2A">
            <w:pPr>
              <w:jc w:val="center"/>
              <w:rPr>
                <w:b/>
              </w:rPr>
            </w:pPr>
            <w:r w:rsidRPr="00F96D2A">
              <w:rPr>
                <w:b/>
              </w:rPr>
              <w:t>Nr.</w:t>
            </w:r>
          </w:p>
        </w:tc>
        <w:tc>
          <w:tcPr>
            <w:tcW w:w="3926" w:type="dxa"/>
          </w:tcPr>
          <w:p w:rsidR="00056624" w:rsidRDefault="00056624" w:rsidP="00163800">
            <w:pPr>
              <w:jc w:val="center"/>
              <w:rPr>
                <w:b/>
              </w:rPr>
            </w:pPr>
            <w:r>
              <w:rPr>
                <w:b/>
              </w:rPr>
              <w:t>Priekšlikumi</w:t>
            </w:r>
          </w:p>
          <w:p w:rsidR="00056624" w:rsidRPr="001B3F41" w:rsidRDefault="00056624" w:rsidP="00163800">
            <w:pPr>
              <w:jc w:val="center"/>
              <w:rPr>
                <w:b/>
              </w:rPr>
            </w:pPr>
            <w:r>
              <w:rPr>
                <w:b/>
              </w:rPr>
              <w:t>(</w:t>
            </w:r>
            <w:r w:rsidR="009A387E">
              <w:rPr>
                <w:b/>
              </w:rPr>
              <w:t>8</w:t>
            </w:r>
            <w:bookmarkStart w:id="0" w:name="_GoBack"/>
            <w:bookmarkEnd w:id="0"/>
            <w:r>
              <w:rPr>
                <w:b/>
              </w:rPr>
              <w:t>)</w:t>
            </w:r>
          </w:p>
        </w:tc>
        <w:tc>
          <w:tcPr>
            <w:tcW w:w="1411" w:type="dxa"/>
          </w:tcPr>
          <w:p w:rsidR="00056624" w:rsidRPr="001B3F41" w:rsidRDefault="00056624" w:rsidP="002E34E0">
            <w:pPr>
              <w:jc w:val="center"/>
              <w:rPr>
                <w:b/>
              </w:rPr>
            </w:pPr>
            <w:r>
              <w:rPr>
                <w:b/>
              </w:rPr>
              <w:t>Ministru kabineta atzinums</w:t>
            </w:r>
          </w:p>
        </w:tc>
        <w:tc>
          <w:tcPr>
            <w:tcW w:w="1414" w:type="dxa"/>
          </w:tcPr>
          <w:p w:rsidR="00056624" w:rsidRPr="001B3F41" w:rsidRDefault="00056624" w:rsidP="002E34E0">
            <w:pPr>
              <w:jc w:val="center"/>
              <w:rPr>
                <w:b/>
              </w:rPr>
            </w:pPr>
            <w:r>
              <w:rPr>
                <w:b/>
              </w:rPr>
              <w:t>Komisijas atzinums</w:t>
            </w:r>
          </w:p>
        </w:tc>
      </w:tr>
      <w:tr w:rsidR="00056624" w:rsidRPr="001B3F41" w:rsidTr="00EC440D">
        <w:tc>
          <w:tcPr>
            <w:tcW w:w="3917" w:type="dxa"/>
            <w:shd w:val="clear" w:color="auto" w:fill="auto"/>
          </w:tcPr>
          <w:p w:rsidR="00056624" w:rsidRPr="00B6582A" w:rsidRDefault="00056624" w:rsidP="00B6215C">
            <w:pPr>
              <w:ind w:firstLine="567"/>
              <w:jc w:val="both"/>
              <w:rPr>
                <w:sz w:val="22"/>
              </w:rPr>
            </w:pPr>
          </w:p>
        </w:tc>
        <w:tc>
          <w:tcPr>
            <w:tcW w:w="3928" w:type="dxa"/>
            <w:shd w:val="clear" w:color="auto" w:fill="auto"/>
          </w:tcPr>
          <w:p w:rsidR="00056624" w:rsidRPr="005E54AA" w:rsidRDefault="005D082C" w:rsidP="00B712D1">
            <w:pPr>
              <w:ind w:firstLine="567"/>
              <w:jc w:val="both"/>
              <w:rPr>
                <w:rFonts w:eastAsia="Times New Roman"/>
                <w:iCs/>
                <w:color w:val="000000"/>
                <w:sz w:val="22"/>
                <w:lang w:eastAsia="lv-LV"/>
              </w:rPr>
            </w:pPr>
            <w:r w:rsidRPr="005D082C">
              <w:rPr>
                <w:rFonts w:eastAsia="Times New Roman"/>
                <w:iCs/>
                <w:color w:val="000000"/>
                <w:sz w:val="22"/>
                <w:lang w:eastAsia="lv-LV"/>
              </w:rPr>
              <w:t xml:space="preserve">Izdarīt Dabas resursu nodokļa likumā </w:t>
            </w:r>
            <w:proofErr w:type="gramStart"/>
            <w:r w:rsidRPr="005D082C">
              <w:rPr>
                <w:rFonts w:eastAsia="Times New Roman"/>
                <w:iCs/>
                <w:color w:val="000000"/>
                <w:sz w:val="22"/>
                <w:lang w:eastAsia="lv-LV"/>
              </w:rPr>
              <w:t>(</w:t>
            </w:r>
            <w:proofErr w:type="gramEnd"/>
            <w:r w:rsidRPr="005D082C">
              <w:rPr>
                <w:rFonts w:eastAsia="Times New Roman"/>
                <w:iCs/>
                <w:color w:val="000000"/>
                <w:sz w:val="22"/>
                <w:lang w:eastAsia="lv-LV"/>
              </w:rPr>
              <w:t>Latvijas Republikas Saeimas un Ministru Kabineta Ziņotājs, 2006, 2. nr.; 2007, 3., 24. nr.; 2008, 3., 13. nr.; 2009, 1., 15. nr.; Latvijas Vēstnesis, 2010, 206. nr.; 2013, 194., 232. nr.; 2014, 199. nr.; 2016, 241., 254. nr.; 2018, 90. nr.; 2019, 75., 240. nr.; 2020, 90., 138. nr.) šādus grozījumus:</w:t>
            </w:r>
          </w:p>
        </w:tc>
        <w:tc>
          <w:tcPr>
            <w:tcW w:w="567" w:type="dxa"/>
          </w:tcPr>
          <w:p w:rsidR="00056624" w:rsidRPr="00F96D2A" w:rsidRDefault="00056624" w:rsidP="00F96D2A">
            <w:pPr>
              <w:jc w:val="center"/>
              <w:rPr>
                <w:rFonts w:eastAsia="Times New Roman"/>
                <w:b/>
                <w:iCs/>
                <w:color w:val="000000"/>
                <w:sz w:val="22"/>
                <w:lang w:eastAsia="lv-LV"/>
              </w:rPr>
            </w:pPr>
          </w:p>
        </w:tc>
        <w:tc>
          <w:tcPr>
            <w:tcW w:w="3926" w:type="dxa"/>
          </w:tcPr>
          <w:p w:rsidR="00056624" w:rsidRPr="004B6B4F" w:rsidRDefault="00056624" w:rsidP="00B712D1">
            <w:pPr>
              <w:ind w:firstLine="567"/>
              <w:jc w:val="both"/>
              <w:rPr>
                <w:rFonts w:eastAsia="Times New Roman"/>
                <w:iCs/>
                <w:color w:val="000000"/>
                <w:sz w:val="22"/>
                <w:lang w:eastAsia="lv-LV"/>
              </w:rPr>
            </w:pPr>
          </w:p>
        </w:tc>
        <w:tc>
          <w:tcPr>
            <w:tcW w:w="1411" w:type="dxa"/>
          </w:tcPr>
          <w:p w:rsidR="00056624" w:rsidRPr="004B6B4F" w:rsidRDefault="00056624" w:rsidP="002E34E0">
            <w:pPr>
              <w:jc w:val="center"/>
              <w:rPr>
                <w:rFonts w:eastAsia="Times New Roman"/>
                <w:iCs/>
                <w:color w:val="000000"/>
                <w:sz w:val="22"/>
                <w:lang w:eastAsia="lv-LV"/>
              </w:rPr>
            </w:pPr>
          </w:p>
        </w:tc>
        <w:tc>
          <w:tcPr>
            <w:tcW w:w="1414" w:type="dxa"/>
          </w:tcPr>
          <w:p w:rsidR="00056624" w:rsidRPr="004B6B4F" w:rsidRDefault="00056624" w:rsidP="002E34E0">
            <w:pPr>
              <w:jc w:val="center"/>
              <w:rPr>
                <w:rFonts w:eastAsia="Times New Roman"/>
                <w:iCs/>
                <w:color w:val="000000"/>
                <w:sz w:val="22"/>
                <w:lang w:eastAsia="lv-LV"/>
              </w:rPr>
            </w:pPr>
          </w:p>
        </w:tc>
      </w:tr>
      <w:tr w:rsidR="002409F6" w:rsidRPr="001B3F41" w:rsidTr="00EC440D">
        <w:tc>
          <w:tcPr>
            <w:tcW w:w="3917" w:type="dxa"/>
            <w:shd w:val="clear" w:color="auto" w:fill="auto"/>
          </w:tcPr>
          <w:p w:rsidR="00653A72" w:rsidRPr="00653A72" w:rsidRDefault="00653A72" w:rsidP="00653A72">
            <w:pPr>
              <w:ind w:firstLine="567"/>
              <w:jc w:val="both"/>
              <w:rPr>
                <w:sz w:val="22"/>
              </w:rPr>
            </w:pPr>
            <w:r w:rsidRPr="00653A72">
              <w:rPr>
                <w:b/>
                <w:bCs/>
                <w:sz w:val="22"/>
              </w:rPr>
              <w:t>3.</w:t>
            </w:r>
            <w:r w:rsidR="00812343">
              <w:rPr>
                <w:b/>
                <w:bCs/>
                <w:sz w:val="22"/>
              </w:rPr>
              <w:t xml:space="preserve"> </w:t>
            </w:r>
            <w:r w:rsidRPr="00653A72">
              <w:rPr>
                <w:b/>
                <w:bCs/>
                <w:sz w:val="22"/>
              </w:rPr>
              <w:t xml:space="preserve">pants. Nodokļa maksātāji </w:t>
            </w:r>
          </w:p>
          <w:p w:rsidR="00653A72" w:rsidRPr="00653A72" w:rsidRDefault="00653A72" w:rsidP="00653A72">
            <w:pPr>
              <w:ind w:firstLine="567"/>
              <w:jc w:val="both"/>
              <w:rPr>
                <w:sz w:val="22"/>
              </w:rPr>
            </w:pPr>
            <w:r w:rsidRPr="00653A72">
              <w:rPr>
                <w:sz w:val="22"/>
              </w:rPr>
              <w:t>(1) Nodokļa maksātājs ir persona, kura:</w:t>
            </w:r>
          </w:p>
          <w:p w:rsidR="00653A72" w:rsidRPr="00653A72" w:rsidRDefault="00653A72" w:rsidP="00653A72">
            <w:pPr>
              <w:ind w:firstLine="567"/>
              <w:jc w:val="both"/>
              <w:rPr>
                <w:sz w:val="22"/>
              </w:rPr>
            </w:pPr>
            <w:r w:rsidRPr="00653A72">
              <w:rPr>
                <w:sz w:val="22"/>
              </w:rPr>
              <w:t>1) ir saņēmusi vai tai saskaņā ar vides aizsardzības vai zemes dzīļu izmantošanas normatīvajiem aktiem bija pienākums saņemt vides aizsardzības normatīvajos aktos noteikto atļauju, licenci vai C kategorijas piesārņojošas darbības apliecinājumu un kura Latvijas Republikas teritorijā, kontinentālajā šelfā vai ekskluzīvajā ekonomiskajā zonā:</w:t>
            </w:r>
          </w:p>
          <w:p w:rsidR="00653A72" w:rsidRPr="00653A72" w:rsidRDefault="00653A72" w:rsidP="00653A72">
            <w:pPr>
              <w:ind w:firstLine="567"/>
              <w:jc w:val="both"/>
              <w:rPr>
                <w:sz w:val="22"/>
              </w:rPr>
            </w:pPr>
            <w:r w:rsidRPr="00653A72">
              <w:rPr>
                <w:sz w:val="22"/>
              </w:rPr>
              <w:t>a) iegūst ar nodokli apliekamus dabas resursus,</w:t>
            </w:r>
          </w:p>
          <w:p w:rsidR="00653A72" w:rsidRPr="00653A72" w:rsidRDefault="00653A72" w:rsidP="00653A72">
            <w:pPr>
              <w:ind w:firstLine="567"/>
              <w:jc w:val="both"/>
              <w:rPr>
                <w:sz w:val="22"/>
              </w:rPr>
            </w:pPr>
            <w:r w:rsidRPr="00653A72">
              <w:rPr>
                <w:sz w:val="22"/>
              </w:rPr>
              <w:t>b) realizē ar nodokli apliekamus dabas resursus, kas iegūti tādā saimnieciskajā darbībā, kura neattiecas uz derīgo izrakteņu ieguvi no zemes dzīlēm,</w:t>
            </w:r>
          </w:p>
          <w:p w:rsidR="00653A72" w:rsidRPr="00653A72" w:rsidRDefault="00653A72" w:rsidP="00653A72">
            <w:pPr>
              <w:ind w:firstLine="567"/>
              <w:jc w:val="both"/>
              <w:rPr>
                <w:sz w:val="22"/>
              </w:rPr>
            </w:pPr>
            <w:r w:rsidRPr="00653A72">
              <w:rPr>
                <w:sz w:val="22"/>
              </w:rPr>
              <w:lastRenderedPageBreak/>
              <w:t>c) izmanto zemes dzīļu derīgās īpašības, iesūknējot ģeoloģiskajās struktūrās dabasgāzi,</w:t>
            </w:r>
          </w:p>
          <w:p w:rsidR="00653A72" w:rsidRPr="00653A72" w:rsidRDefault="00653A72" w:rsidP="00653A72">
            <w:pPr>
              <w:ind w:firstLine="567"/>
              <w:jc w:val="both"/>
              <w:rPr>
                <w:sz w:val="22"/>
              </w:rPr>
            </w:pPr>
            <w:r w:rsidRPr="00653A72">
              <w:rPr>
                <w:sz w:val="22"/>
              </w:rPr>
              <w:t>d) emitē vidē ar nodokli apliekamas piesārņojošas vielas</w:t>
            </w:r>
            <w:proofErr w:type="gramStart"/>
            <w:r w:rsidRPr="00653A72">
              <w:rPr>
                <w:sz w:val="22"/>
              </w:rPr>
              <w:t xml:space="preserve"> vai apglabā atkritumus</w:t>
            </w:r>
            <w:proofErr w:type="gramEnd"/>
            <w:r w:rsidRPr="00653A72">
              <w:rPr>
                <w:sz w:val="22"/>
              </w:rPr>
              <w:t>,</w:t>
            </w:r>
          </w:p>
          <w:p w:rsidR="00653A72" w:rsidRPr="00653A72" w:rsidRDefault="00653A72" w:rsidP="00653A72">
            <w:pPr>
              <w:ind w:firstLine="567"/>
              <w:jc w:val="both"/>
              <w:rPr>
                <w:sz w:val="22"/>
              </w:rPr>
            </w:pPr>
            <w:r w:rsidRPr="00653A72">
              <w:rPr>
                <w:sz w:val="22"/>
              </w:rPr>
              <w:t>e) (izslēgts ar 15.12.2016. likumu);</w:t>
            </w:r>
          </w:p>
          <w:p w:rsidR="002409F6" w:rsidRPr="00B6582A" w:rsidRDefault="00653A72" w:rsidP="00653A72">
            <w:pPr>
              <w:ind w:firstLine="567"/>
              <w:jc w:val="both"/>
              <w:rPr>
                <w:sz w:val="22"/>
              </w:rPr>
            </w:pPr>
            <w:r w:rsidRPr="00653A72">
              <w:rPr>
                <w:sz w:val="22"/>
              </w:rPr>
              <w:t>f) lieto ūdens resursus elektroenerģijas ražošanai hidroelektrostacijā;</w:t>
            </w:r>
          </w:p>
        </w:tc>
        <w:tc>
          <w:tcPr>
            <w:tcW w:w="3928" w:type="dxa"/>
            <w:shd w:val="clear" w:color="auto" w:fill="auto"/>
          </w:tcPr>
          <w:p w:rsidR="002409F6" w:rsidRPr="005D082C" w:rsidRDefault="002409F6" w:rsidP="00B712D1">
            <w:pPr>
              <w:ind w:firstLine="567"/>
              <w:jc w:val="both"/>
              <w:rPr>
                <w:rFonts w:eastAsia="Times New Roman"/>
                <w:iCs/>
                <w:color w:val="000000"/>
                <w:sz w:val="22"/>
                <w:lang w:eastAsia="lv-LV"/>
              </w:rPr>
            </w:pPr>
          </w:p>
        </w:tc>
        <w:tc>
          <w:tcPr>
            <w:tcW w:w="567" w:type="dxa"/>
          </w:tcPr>
          <w:p w:rsidR="002409F6"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1</w:t>
            </w:r>
          </w:p>
        </w:tc>
        <w:tc>
          <w:tcPr>
            <w:tcW w:w="3926" w:type="dxa"/>
          </w:tcPr>
          <w:p w:rsidR="002409F6" w:rsidRDefault="002409F6" w:rsidP="002409F6">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653A72" w:rsidRPr="00653A72" w:rsidRDefault="00653A72" w:rsidP="00653A72">
            <w:pPr>
              <w:ind w:firstLine="567"/>
              <w:jc w:val="both"/>
              <w:rPr>
                <w:rFonts w:eastAsia="Times New Roman"/>
                <w:iCs/>
                <w:color w:val="000000"/>
                <w:sz w:val="22"/>
                <w:lang w:eastAsia="lv-LV"/>
              </w:rPr>
            </w:pPr>
            <w:r w:rsidRPr="00653A72">
              <w:rPr>
                <w:rFonts w:eastAsia="Times New Roman"/>
                <w:iCs/>
                <w:color w:val="000000"/>
                <w:sz w:val="22"/>
                <w:lang w:eastAsia="lv-LV"/>
              </w:rPr>
              <w:t>Papildināt likumprojektu ar jaunu pantu, kas paredz izteikt likuma 3. panta pirmās daļas 1. punktu šādā redakcijā:</w:t>
            </w:r>
          </w:p>
          <w:p w:rsidR="002409F6" w:rsidRPr="004B6B4F" w:rsidRDefault="00653A72" w:rsidP="00653A72">
            <w:pPr>
              <w:ind w:firstLine="567"/>
              <w:jc w:val="both"/>
              <w:rPr>
                <w:rFonts w:eastAsia="Times New Roman"/>
                <w:iCs/>
                <w:color w:val="000000"/>
                <w:sz w:val="22"/>
                <w:lang w:eastAsia="lv-LV"/>
              </w:rPr>
            </w:pPr>
            <w:r w:rsidRPr="00653A72">
              <w:rPr>
                <w:rFonts w:eastAsia="Times New Roman"/>
                <w:iCs/>
                <w:color w:val="000000"/>
                <w:sz w:val="22"/>
                <w:lang w:eastAsia="lv-LV"/>
              </w:rPr>
              <w:t>“1) ir saņēmusi vai tai saskaņā ar vides aizsardzības vai zemes dzīļu izmantošanas normatīvajiem aktiem bija pienākums saņemt vides aizsardzības normatīvajos aktos noteikto atļauju, licenci vai reģistrēt C kategorijas piesārņojošo darbību un kura Latvijas Republikas teritorijā, kontinentālajā šelfā vai ekskluzīvajā ekonomiskajā zonā:”.</w:t>
            </w:r>
          </w:p>
        </w:tc>
        <w:tc>
          <w:tcPr>
            <w:tcW w:w="1411" w:type="dxa"/>
          </w:tcPr>
          <w:p w:rsidR="002409F6" w:rsidRPr="004B6B4F" w:rsidRDefault="002409F6" w:rsidP="002E34E0">
            <w:pPr>
              <w:jc w:val="center"/>
              <w:rPr>
                <w:rFonts w:eastAsia="Times New Roman"/>
                <w:iCs/>
                <w:color w:val="000000"/>
                <w:sz w:val="22"/>
                <w:lang w:eastAsia="lv-LV"/>
              </w:rPr>
            </w:pPr>
          </w:p>
        </w:tc>
        <w:tc>
          <w:tcPr>
            <w:tcW w:w="1414" w:type="dxa"/>
          </w:tcPr>
          <w:p w:rsidR="002409F6" w:rsidRPr="004B6B4F" w:rsidRDefault="002409F6" w:rsidP="002E34E0">
            <w:pPr>
              <w:jc w:val="center"/>
              <w:rPr>
                <w:rFonts w:eastAsia="Times New Roman"/>
                <w:iCs/>
                <w:color w:val="000000"/>
                <w:sz w:val="22"/>
                <w:lang w:eastAsia="lv-LV"/>
              </w:rPr>
            </w:pPr>
          </w:p>
        </w:tc>
      </w:tr>
      <w:tr w:rsidR="00C00DC2" w:rsidRPr="001B3F41" w:rsidTr="00EC440D">
        <w:tc>
          <w:tcPr>
            <w:tcW w:w="3917" w:type="dxa"/>
            <w:shd w:val="clear" w:color="auto" w:fill="auto"/>
          </w:tcPr>
          <w:p w:rsidR="00C00DC2" w:rsidRDefault="000246C2" w:rsidP="00653A72">
            <w:pPr>
              <w:ind w:firstLine="567"/>
              <w:jc w:val="both"/>
              <w:rPr>
                <w:b/>
                <w:bCs/>
                <w:sz w:val="22"/>
              </w:rPr>
            </w:pPr>
            <w:r w:rsidRPr="000246C2">
              <w:rPr>
                <w:b/>
                <w:bCs/>
                <w:sz w:val="22"/>
              </w:rPr>
              <w:t>4.</w:t>
            </w:r>
            <w:r>
              <w:rPr>
                <w:b/>
                <w:bCs/>
                <w:sz w:val="22"/>
              </w:rPr>
              <w:t xml:space="preserve"> </w:t>
            </w:r>
            <w:r w:rsidRPr="000246C2">
              <w:rPr>
                <w:b/>
                <w:bCs/>
                <w:sz w:val="22"/>
              </w:rPr>
              <w:t>pants. Ar nodokli apliekamie objekti un nodokļa likmes</w:t>
            </w:r>
          </w:p>
          <w:p w:rsidR="000246C2" w:rsidRPr="000246C2" w:rsidRDefault="002C6E33" w:rsidP="00653A72">
            <w:pPr>
              <w:ind w:firstLine="567"/>
              <w:jc w:val="both"/>
              <w:rPr>
                <w:bCs/>
                <w:sz w:val="22"/>
              </w:rPr>
            </w:pPr>
            <w:r w:rsidRPr="002C6E33">
              <w:rPr>
                <w:bCs/>
                <w:sz w:val="22"/>
              </w:rPr>
              <w:t>(2) Nodokļa likmes par zemes dzīļu derīgo īpašību izmantošanu, iesūknējot ģeoloģiskajās struktūrās dabasgāzi; par C kategorijas piesārņojošu darbību nozarēs, attiecībā</w:t>
            </w:r>
            <w:proofErr w:type="gramStart"/>
            <w:r w:rsidRPr="002C6E33">
              <w:rPr>
                <w:bCs/>
                <w:sz w:val="22"/>
              </w:rPr>
              <w:t xml:space="preserve"> uz kurām normatīvajos aktos nav noteiktu nosacījumu un nav</w:t>
            </w:r>
            <w:proofErr w:type="gramEnd"/>
            <w:r w:rsidRPr="002C6E33">
              <w:rPr>
                <w:bCs/>
                <w:sz w:val="22"/>
              </w:rPr>
              <w:t xml:space="preserve"> arī iespējams aprēķināt piesārņojošo vielu apjomu; par parka vīngliemežu (</w:t>
            </w:r>
            <w:r w:rsidRPr="002C6E33">
              <w:rPr>
                <w:bCs/>
                <w:i/>
                <w:iCs/>
                <w:sz w:val="22"/>
              </w:rPr>
              <w:t>Helix pomatia L.</w:t>
            </w:r>
            <w:r w:rsidRPr="002C6E33">
              <w:rPr>
                <w:bCs/>
                <w:sz w:val="22"/>
              </w:rPr>
              <w:t>) vākšanu tālākai saimnieciskai izmantošanai; par iepakojumu gadījumos, kad tā materiāla veidu un svaru nav iespējams pamatot ar uzskaites dokumentiem; par transportlīdzekļiem un uguņošanas ierīcēm ir noteiktas šā likuma 14., 15., 20., 24., 24.</w:t>
            </w:r>
            <w:r w:rsidRPr="002C6E33">
              <w:rPr>
                <w:bCs/>
                <w:sz w:val="22"/>
                <w:vertAlign w:val="superscript"/>
              </w:rPr>
              <w:t>1</w:t>
            </w:r>
            <w:r w:rsidRPr="002C6E33">
              <w:rPr>
                <w:bCs/>
                <w:sz w:val="22"/>
              </w:rPr>
              <w:t xml:space="preserve"> un 26.pantā. Pārējos gadījumos nodokļa likmes, kā arī to spēkā esības periodi ir noteikti šā likuma pielikumos.</w:t>
            </w:r>
          </w:p>
        </w:tc>
        <w:tc>
          <w:tcPr>
            <w:tcW w:w="3928" w:type="dxa"/>
            <w:shd w:val="clear" w:color="auto" w:fill="auto"/>
          </w:tcPr>
          <w:p w:rsidR="00C00DC2" w:rsidRPr="005D082C" w:rsidRDefault="00C00DC2" w:rsidP="00B712D1">
            <w:pPr>
              <w:ind w:firstLine="567"/>
              <w:jc w:val="both"/>
              <w:rPr>
                <w:rFonts w:eastAsia="Times New Roman"/>
                <w:iCs/>
                <w:color w:val="000000"/>
                <w:sz w:val="22"/>
                <w:lang w:eastAsia="lv-LV"/>
              </w:rPr>
            </w:pPr>
          </w:p>
        </w:tc>
        <w:tc>
          <w:tcPr>
            <w:tcW w:w="567" w:type="dxa"/>
          </w:tcPr>
          <w:p w:rsidR="00C00DC2"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2</w:t>
            </w:r>
          </w:p>
        </w:tc>
        <w:tc>
          <w:tcPr>
            <w:tcW w:w="3926" w:type="dxa"/>
          </w:tcPr>
          <w:p w:rsidR="00C00DC2" w:rsidRDefault="00C00DC2" w:rsidP="00C00DC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0246C2" w:rsidRPr="000246C2" w:rsidRDefault="000246C2" w:rsidP="000246C2">
            <w:pPr>
              <w:ind w:firstLine="567"/>
              <w:jc w:val="both"/>
              <w:rPr>
                <w:rFonts w:eastAsia="Times New Roman"/>
                <w:iCs/>
                <w:color w:val="000000"/>
                <w:sz w:val="22"/>
                <w:lang w:eastAsia="lv-LV"/>
              </w:rPr>
            </w:pPr>
            <w:r w:rsidRPr="000246C2">
              <w:rPr>
                <w:rFonts w:eastAsia="Times New Roman"/>
                <w:iCs/>
                <w:color w:val="000000"/>
                <w:sz w:val="22"/>
                <w:lang w:eastAsia="lv-LV"/>
              </w:rPr>
              <w:t>Papildināt likumprojektu ar jaunu pantu šādā redakcijā:</w:t>
            </w:r>
          </w:p>
          <w:p w:rsidR="00C00DC2" w:rsidRPr="00C00DC2" w:rsidRDefault="000246C2" w:rsidP="000246C2">
            <w:pPr>
              <w:ind w:firstLine="567"/>
              <w:jc w:val="both"/>
              <w:rPr>
                <w:rFonts w:eastAsia="Times New Roman"/>
                <w:iCs/>
                <w:color w:val="000000"/>
                <w:sz w:val="22"/>
                <w:lang w:eastAsia="lv-LV"/>
              </w:rPr>
            </w:pPr>
            <w:r w:rsidRPr="000246C2">
              <w:rPr>
                <w:rFonts w:eastAsia="Times New Roman"/>
                <w:iCs/>
                <w:color w:val="000000"/>
                <w:sz w:val="22"/>
                <w:lang w:eastAsia="lv-LV"/>
              </w:rPr>
              <w:t>“Papildināt likuma ceturtā panta otro daļu ar šādiem vārdiem: “Nodokļa likme par transportlīdzekli neietver nodokli par riepām””.</w:t>
            </w:r>
          </w:p>
        </w:tc>
        <w:tc>
          <w:tcPr>
            <w:tcW w:w="1411" w:type="dxa"/>
          </w:tcPr>
          <w:p w:rsidR="00C00DC2" w:rsidRPr="004B6B4F" w:rsidRDefault="00C00DC2" w:rsidP="002E34E0">
            <w:pPr>
              <w:jc w:val="center"/>
              <w:rPr>
                <w:rFonts w:eastAsia="Times New Roman"/>
                <w:iCs/>
                <w:color w:val="000000"/>
                <w:sz w:val="22"/>
                <w:lang w:eastAsia="lv-LV"/>
              </w:rPr>
            </w:pPr>
          </w:p>
        </w:tc>
        <w:tc>
          <w:tcPr>
            <w:tcW w:w="1414" w:type="dxa"/>
          </w:tcPr>
          <w:p w:rsidR="00C00DC2" w:rsidRPr="004B6B4F" w:rsidRDefault="00C00DC2" w:rsidP="002E34E0">
            <w:pPr>
              <w:jc w:val="center"/>
              <w:rPr>
                <w:rFonts w:eastAsia="Times New Roman"/>
                <w:iCs/>
                <w:color w:val="000000"/>
                <w:sz w:val="22"/>
                <w:lang w:eastAsia="lv-LV"/>
              </w:rPr>
            </w:pPr>
          </w:p>
        </w:tc>
      </w:tr>
      <w:tr w:rsidR="006A2924" w:rsidRPr="001B3F41" w:rsidTr="00EC440D">
        <w:tc>
          <w:tcPr>
            <w:tcW w:w="3917" w:type="dxa"/>
            <w:shd w:val="clear" w:color="auto" w:fill="auto"/>
          </w:tcPr>
          <w:p w:rsidR="006A2924" w:rsidRDefault="0092686B" w:rsidP="00B6215C">
            <w:pPr>
              <w:ind w:firstLine="567"/>
              <w:jc w:val="both"/>
              <w:rPr>
                <w:b/>
                <w:bCs/>
                <w:sz w:val="22"/>
              </w:rPr>
            </w:pPr>
            <w:r w:rsidRPr="0092686B">
              <w:rPr>
                <w:b/>
                <w:bCs/>
                <w:sz w:val="22"/>
              </w:rPr>
              <w:t>10.</w:t>
            </w:r>
            <w:r>
              <w:rPr>
                <w:b/>
                <w:bCs/>
                <w:sz w:val="22"/>
              </w:rPr>
              <w:t xml:space="preserve"> </w:t>
            </w:r>
            <w:r w:rsidRPr="0092686B">
              <w:rPr>
                <w:b/>
                <w:bCs/>
                <w:sz w:val="22"/>
              </w:rPr>
              <w:t>pants. Atbrīvojums no nodokļa samaksas par oglekļa dioksīda emisiju</w:t>
            </w:r>
          </w:p>
          <w:p w:rsidR="0092686B" w:rsidRPr="00B6582A" w:rsidRDefault="00C4665A" w:rsidP="00B6215C">
            <w:pPr>
              <w:ind w:firstLine="567"/>
              <w:jc w:val="both"/>
              <w:rPr>
                <w:sz w:val="22"/>
              </w:rPr>
            </w:pPr>
            <w:r w:rsidRPr="00C4665A">
              <w:rPr>
                <w:sz w:val="22"/>
              </w:rPr>
              <w:t>(2) Nodokli nemaksā par oglekļa dioksīda (CO</w:t>
            </w:r>
            <w:r w:rsidRPr="00C4665A">
              <w:rPr>
                <w:sz w:val="22"/>
                <w:vertAlign w:val="subscript"/>
              </w:rPr>
              <w:t>2</w:t>
            </w:r>
            <w:r w:rsidRPr="00C4665A">
              <w:rPr>
                <w:sz w:val="22"/>
              </w:rPr>
              <w:t xml:space="preserve">) emisiju, kas rodas, izmantojot atjaunojamos energoresursus un kūdru likuma "Par piesārņojumu" 2.pielikumā minētajās stacionārajās </w:t>
            </w:r>
            <w:r w:rsidRPr="00C4665A">
              <w:rPr>
                <w:sz w:val="22"/>
              </w:rPr>
              <w:lastRenderedPageBreak/>
              <w:t>tehnoloģiskajās iekārtās (arī tādās, kurās ražošanas jauda vai saražotās produkcijas apjoms nepārsniedz likuma "Par piesārņojumu" 2.pielikumā minētos rādītājus).</w:t>
            </w:r>
          </w:p>
        </w:tc>
        <w:tc>
          <w:tcPr>
            <w:tcW w:w="3928" w:type="dxa"/>
            <w:shd w:val="clear" w:color="auto" w:fill="auto"/>
          </w:tcPr>
          <w:p w:rsidR="006A2924" w:rsidRPr="004B6B4F" w:rsidRDefault="005D082C" w:rsidP="00B712D1">
            <w:pPr>
              <w:ind w:firstLine="567"/>
              <w:jc w:val="both"/>
              <w:rPr>
                <w:rFonts w:eastAsia="Times New Roman"/>
                <w:iCs/>
                <w:color w:val="000000"/>
                <w:sz w:val="22"/>
                <w:lang w:eastAsia="lv-LV"/>
              </w:rPr>
            </w:pPr>
            <w:r w:rsidRPr="005D082C">
              <w:rPr>
                <w:rFonts w:eastAsia="Times New Roman"/>
                <w:iCs/>
                <w:color w:val="000000"/>
                <w:sz w:val="22"/>
                <w:lang w:eastAsia="lv-LV"/>
              </w:rPr>
              <w:lastRenderedPageBreak/>
              <w:t>1. Izslēgt 10. panta otrajā daļā vārdus "un kūdru".</w:t>
            </w:r>
          </w:p>
        </w:tc>
        <w:tc>
          <w:tcPr>
            <w:tcW w:w="567" w:type="dxa"/>
          </w:tcPr>
          <w:p w:rsidR="006A2924" w:rsidRPr="00F96D2A" w:rsidRDefault="006A2924" w:rsidP="00F96D2A">
            <w:pPr>
              <w:jc w:val="center"/>
              <w:rPr>
                <w:rFonts w:eastAsia="Times New Roman"/>
                <w:b/>
                <w:iCs/>
                <w:color w:val="000000"/>
                <w:sz w:val="22"/>
                <w:lang w:eastAsia="lv-LV"/>
              </w:rPr>
            </w:pPr>
          </w:p>
        </w:tc>
        <w:tc>
          <w:tcPr>
            <w:tcW w:w="3926" w:type="dxa"/>
          </w:tcPr>
          <w:p w:rsidR="00D92676" w:rsidRPr="0092686B" w:rsidRDefault="00D92676" w:rsidP="00B7236A">
            <w:pPr>
              <w:ind w:firstLine="567"/>
              <w:jc w:val="both"/>
              <w:rPr>
                <w:rFonts w:eastAsia="Times New Roman"/>
                <w:iCs/>
                <w:color w:val="000000"/>
                <w:sz w:val="22"/>
                <w:lang w:eastAsia="lv-LV"/>
              </w:rPr>
            </w:pPr>
          </w:p>
        </w:tc>
        <w:tc>
          <w:tcPr>
            <w:tcW w:w="1411" w:type="dxa"/>
          </w:tcPr>
          <w:p w:rsidR="006A2924" w:rsidRPr="004B6B4F" w:rsidRDefault="006A2924" w:rsidP="002E34E0">
            <w:pPr>
              <w:jc w:val="center"/>
              <w:rPr>
                <w:rFonts w:eastAsia="Times New Roman"/>
                <w:iCs/>
                <w:color w:val="000000"/>
                <w:sz w:val="22"/>
                <w:lang w:eastAsia="lv-LV"/>
              </w:rPr>
            </w:pPr>
          </w:p>
        </w:tc>
        <w:tc>
          <w:tcPr>
            <w:tcW w:w="1414" w:type="dxa"/>
          </w:tcPr>
          <w:p w:rsidR="006A2924" w:rsidRPr="004B6B4F" w:rsidRDefault="006A2924" w:rsidP="002E34E0">
            <w:pPr>
              <w:jc w:val="center"/>
              <w:rPr>
                <w:rFonts w:eastAsia="Times New Roman"/>
                <w:iCs/>
                <w:color w:val="000000"/>
                <w:sz w:val="22"/>
                <w:lang w:eastAsia="lv-LV"/>
              </w:rPr>
            </w:pPr>
          </w:p>
        </w:tc>
      </w:tr>
      <w:tr w:rsidR="00812343" w:rsidRPr="001B3F41" w:rsidTr="00EC440D">
        <w:tc>
          <w:tcPr>
            <w:tcW w:w="3917" w:type="dxa"/>
            <w:shd w:val="clear" w:color="auto" w:fill="auto"/>
          </w:tcPr>
          <w:p w:rsidR="007F570C" w:rsidRPr="007F570C" w:rsidRDefault="007F570C" w:rsidP="007F570C">
            <w:pPr>
              <w:ind w:firstLine="567"/>
              <w:jc w:val="both"/>
              <w:rPr>
                <w:bCs/>
                <w:sz w:val="22"/>
              </w:rPr>
            </w:pPr>
            <w:r w:rsidRPr="007F570C">
              <w:rPr>
                <w:b/>
                <w:bCs/>
                <w:sz w:val="22"/>
              </w:rPr>
              <w:t>12.</w:t>
            </w:r>
            <w:r>
              <w:rPr>
                <w:b/>
                <w:bCs/>
                <w:sz w:val="22"/>
              </w:rPr>
              <w:t xml:space="preserve"> </w:t>
            </w:r>
            <w:r w:rsidRPr="007F570C">
              <w:rPr>
                <w:b/>
                <w:bCs/>
                <w:sz w:val="22"/>
              </w:rPr>
              <w:t>pants. Dabas resursu ieguves un lietošanas limitēšana</w:t>
            </w:r>
          </w:p>
          <w:p w:rsidR="007F570C" w:rsidRPr="007F570C" w:rsidRDefault="007F570C" w:rsidP="007F570C">
            <w:pPr>
              <w:ind w:firstLine="567"/>
              <w:jc w:val="both"/>
              <w:rPr>
                <w:bCs/>
                <w:sz w:val="22"/>
              </w:rPr>
            </w:pPr>
            <w:r w:rsidRPr="007F570C">
              <w:rPr>
                <w:bCs/>
                <w:sz w:val="22"/>
              </w:rPr>
              <w:t>(1) Lai iegūtu vai lietotu dabas resursus, nodokļa maksātājam jāsaņem vides aizsardzības un zemes dzīļu izmantošanas normatīvajos aktos noteiktā atļauja, licence vai C kategorijas piesārņojošas darbības apliecinājums.</w:t>
            </w:r>
          </w:p>
          <w:p w:rsidR="00812343" w:rsidRPr="007F570C" w:rsidRDefault="00812343" w:rsidP="00B6215C">
            <w:pPr>
              <w:ind w:firstLine="567"/>
              <w:jc w:val="both"/>
              <w:rPr>
                <w:bCs/>
                <w:sz w:val="22"/>
              </w:rPr>
            </w:pPr>
          </w:p>
        </w:tc>
        <w:tc>
          <w:tcPr>
            <w:tcW w:w="3928" w:type="dxa"/>
            <w:shd w:val="clear" w:color="auto" w:fill="auto"/>
          </w:tcPr>
          <w:p w:rsidR="00812343" w:rsidRPr="005D082C" w:rsidRDefault="00812343" w:rsidP="00B712D1">
            <w:pPr>
              <w:ind w:firstLine="567"/>
              <w:jc w:val="both"/>
              <w:rPr>
                <w:rFonts w:eastAsia="Times New Roman"/>
                <w:iCs/>
                <w:color w:val="000000"/>
                <w:sz w:val="22"/>
                <w:lang w:eastAsia="lv-LV"/>
              </w:rPr>
            </w:pPr>
          </w:p>
        </w:tc>
        <w:tc>
          <w:tcPr>
            <w:tcW w:w="567" w:type="dxa"/>
          </w:tcPr>
          <w:p w:rsidR="00812343"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3</w:t>
            </w:r>
          </w:p>
        </w:tc>
        <w:tc>
          <w:tcPr>
            <w:tcW w:w="3926" w:type="dxa"/>
          </w:tcPr>
          <w:p w:rsidR="00812343" w:rsidRDefault="00812343" w:rsidP="00812343">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CF68AE" w:rsidRPr="00CF68AE" w:rsidRDefault="00CF68AE" w:rsidP="00CF68AE">
            <w:pPr>
              <w:ind w:firstLine="567"/>
              <w:jc w:val="both"/>
              <w:rPr>
                <w:rFonts w:eastAsia="Times New Roman"/>
                <w:iCs/>
                <w:color w:val="000000"/>
                <w:sz w:val="22"/>
                <w:lang w:eastAsia="lv-LV"/>
              </w:rPr>
            </w:pPr>
            <w:r w:rsidRPr="00CF68AE">
              <w:rPr>
                <w:rFonts w:eastAsia="Times New Roman"/>
                <w:iCs/>
                <w:color w:val="000000"/>
                <w:sz w:val="22"/>
                <w:lang w:eastAsia="lv-LV"/>
              </w:rPr>
              <w:t>Papildināt likumprojektu ar jaunu pantu, kas paredz izteikt likuma 12. panta pirmo daļu šādā redakcijā:</w:t>
            </w:r>
          </w:p>
          <w:p w:rsidR="00812343" w:rsidRPr="0092686B" w:rsidRDefault="00CF68AE" w:rsidP="00CF68AE">
            <w:pPr>
              <w:ind w:firstLine="567"/>
              <w:jc w:val="both"/>
              <w:rPr>
                <w:rFonts w:eastAsia="Times New Roman"/>
                <w:iCs/>
                <w:color w:val="000000"/>
                <w:sz w:val="22"/>
                <w:lang w:eastAsia="lv-LV"/>
              </w:rPr>
            </w:pPr>
            <w:r w:rsidRPr="00CF68AE">
              <w:rPr>
                <w:rFonts w:eastAsia="Times New Roman"/>
                <w:iCs/>
                <w:color w:val="000000"/>
                <w:sz w:val="22"/>
                <w:lang w:eastAsia="lv-LV"/>
              </w:rPr>
              <w:t>“(1) Lai iegūtu vai lietotu dabas resursus, nodokļa maksātājam jāsaņem vides aizsardzības un zemes dzīļu izmantošanas normatīvajos aktos noteiktā atļauja, licence vai jāreģistrē C kategorijas piesārņojošā darbība.”.</w:t>
            </w:r>
          </w:p>
        </w:tc>
        <w:tc>
          <w:tcPr>
            <w:tcW w:w="1411" w:type="dxa"/>
          </w:tcPr>
          <w:p w:rsidR="00812343" w:rsidRPr="004B6B4F" w:rsidRDefault="00812343" w:rsidP="002E34E0">
            <w:pPr>
              <w:jc w:val="center"/>
              <w:rPr>
                <w:rFonts w:eastAsia="Times New Roman"/>
                <w:iCs/>
                <w:color w:val="000000"/>
                <w:sz w:val="22"/>
                <w:lang w:eastAsia="lv-LV"/>
              </w:rPr>
            </w:pPr>
          </w:p>
        </w:tc>
        <w:tc>
          <w:tcPr>
            <w:tcW w:w="1414" w:type="dxa"/>
          </w:tcPr>
          <w:p w:rsidR="00812343" w:rsidRPr="004B6B4F" w:rsidRDefault="00812343" w:rsidP="002E34E0">
            <w:pPr>
              <w:jc w:val="center"/>
              <w:rPr>
                <w:rFonts w:eastAsia="Times New Roman"/>
                <w:iCs/>
                <w:color w:val="000000"/>
                <w:sz w:val="22"/>
                <w:lang w:eastAsia="lv-LV"/>
              </w:rPr>
            </w:pPr>
          </w:p>
        </w:tc>
      </w:tr>
      <w:tr w:rsidR="006A2924" w:rsidRPr="001B3F41" w:rsidTr="00EC440D">
        <w:tc>
          <w:tcPr>
            <w:tcW w:w="3917" w:type="dxa"/>
            <w:shd w:val="clear" w:color="auto" w:fill="auto"/>
          </w:tcPr>
          <w:p w:rsidR="006A2924" w:rsidRDefault="00940CA8" w:rsidP="00B6215C">
            <w:pPr>
              <w:ind w:firstLine="567"/>
              <w:jc w:val="both"/>
              <w:rPr>
                <w:b/>
                <w:bCs/>
                <w:sz w:val="22"/>
              </w:rPr>
            </w:pPr>
            <w:r w:rsidRPr="00940CA8">
              <w:rPr>
                <w:b/>
                <w:bCs/>
                <w:sz w:val="22"/>
              </w:rPr>
              <w:t>15.</w:t>
            </w:r>
            <w:r>
              <w:rPr>
                <w:b/>
                <w:bCs/>
                <w:sz w:val="22"/>
              </w:rPr>
              <w:t xml:space="preserve"> </w:t>
            </w:r>
            <w:r w:rsidRPr="00940CA8">
              <w:rPr>
                <w:b/>
                <w:bCs/>
                <w:sz w:val="22"/>
              </w:rPr>
              <w:t>pants. Nodokļa aprēķināšana par vides piesārņošanu, veicot C kategorijas piesārņojošas darbības</w:t>
            </w:r>
          </w:p>
          <w:p w:rsidR="00C4665A" w:rsidRPr="00C4665A" w:rsidRDefault="00C4665A" w:rsidP="00C4665A">
            <w:pPr>
              <w:ind w:firstLine="567"/>
              <w:jc w:val="both"/>
              <w:rPr>
                <w:sz w:val="22"/>
              </w:rPr>
            </w:pPr>
            <w:r w:rsidRPr="00C4665A">
              <w:rPr>
                <w:sz w:val="22"/>
              </w:rPr>
              <w:t>(3) Ja iekārtu operatori veic C kategorijas piesārņojošas darbības nozarēs, attiecībā</w:t>
            </w:r>
            <w:proofErr w:type="gramStart"/>
            <w:r w:rsidRPr="00C4665A">
              <w:rPr>
                <w:sz w:val="22"/>
              </w:rPr>
              <w:t xml:space="preserve"> uz kurām normatīvajos aktos nav noteiktu nosacījumu un nav arī iespējams aprēķināt piesārņojošo vielu apjomu, nodokļa apmērs ir</w:t>
            </w:r>
            <w:proofErr w:type="gramEnd"/>
            <w:r w:rsidRPr="00C4665A">
              <w:rPr>
                <w:sz w:val="22"/>
              </w:rPr>
              <w:t xml:space="preserve"> 71,14 </w:t>
            </w:r>
            <w:r w:rsidRPr="00C4665A">
              <w:rPr>
                <w:i/>
                <w:iCs/>
                <w:sz w:val="22"/>
              </w:rPr>
              <w:t>euro</w:t>
            </w:r>
            <w:r w:rsidRPr="00C4665A">
              <w:rPr>
                <w:sz w:val="22"/>
              </w:rPr>
              <w:t xml:space="preserve"> gadā. Ja nodokļa maksātājs iekārtā veic vairākas C kategorijas piesārņojošas darbības, bet ir saņēmis vienu C kategorijas piesārņojošas darbības apliecināju</w:t>
            </w:r>
            <w:r w:rsidRPr="00C4665A">
              <w:rPr>
                <w:sz w:val="22"/>
              </w:rPr>
              <w:softHyphen/>
              <w:t xml:space="preserve">mu, tad nodokli 71,14 </w:t>
            </w:r>
            <w:r w:rsidRPr="00C4665A">
              <w:rPr>
                <w:i/>
                <w:iCs/>
                <w:sz w:val="22"/>
              </w:rPr>
              <w:t>euro</w:t>
            </w:r>
            <w:r w:rsidRPr="00C4665A">
              <w:rPr>
                <w:sz w:val="22"/>
              </w:rPr>
              <w:t xml:space="preserve"> apmērā maksā par visām iekārtā veiktajām C kategorijas piesārņojošām darbībām. Ja nodokļa maksātājs ir saņēmis vairākus C kategorijas piesārņojošu darbību apliecinājumus, tad par katru darbību, kurai izsniegts apliecinājums, maksā 71,14 </w:t>
            </w:r>
            <w:r w:rsidRPr="00C4665A">
              <w:rPr>
                <w:i/>
                <w:iCs/>
                <w:sz w:val="22"/>
              </w:rPr>
              <w:t>euro</w:t>
            </w:r>
            <w:r w:rsidRPr="00C4665A">
              <w:rPr>
                <w:sz w:val="22"/>
              </w:rPr>
              <w:t xml:space="preserve">. Ja persona C kategorijas piesārņojošās darbības apliecinājumu </w:t>
            </w:r>
            <w:r w:rsidRPr="00C4665A">
              <w:rPr>
                <w:sz w:val="22"/>
              </w:rPr>
              <w:lastRenderedPageBreak/>
              <w:t xml:space="preserve">saņēmusi un saimniecisko darbību uzsākusi laikā, kas nesakrīt ar nodokļa taksācijas perioda pirmo mēnesi, nodokli aprēķina kā vienu divpadsmito daļu no gada nodokļa likmes (71,14 </w:t>
            </w:r>
            <w:r w:rsidRPr="00C4665A">
              <w:rPr>
                <w:i/>
                <w:iCs/>
                <w:sz w:val="22"/>
              </w:rPr>
              <w:t>euro</w:t>
            </w:r>
            <w:r w:rsidRPr="00C4665A">
              <w:rPr>
                <w:sz w:val="22"/>
              </w:rPr>
              <w:t>) par katru taksācijas perioda mēnesi pēc apliecinājuma saņemšanas.</w:t>
            </w:r>
          </w:p>
          <w:p w:rsidR="00C4665A" w:rsidRPr="00C4665A" w:rsidRDefault="00C4665A" w:rsidP="00C4665A">
            <w:pPr>
              <w:ind w:firstLine="567"/>
              <w:jc w:val="both"/>
              <w:rPr>
                <w:sz w:val="22"/>
              </w:rPr>
            </w:pPr>
            <w:r w:rsidRPr="00C4665A">
              <w:rPr>
                <w:sz w:val="22"/>
              </w:rPr>
              <w:t>(4) Ja persona, kas saņēmusi C kategorijas piesārņojošas darbības apliecinājumu un maksā nodokli šā panta trešajā daļā noteiktajā apmērā, piesārņojošo darbību</w:t>
            </w:r>
            <w:proofErr w:type="gramStart"/>
            <w:r w:rsidRPr="00C4665A">
              <w:rPr>
                <w:sz w:val="22"/>
              </w:rPr>
              <w:t xml:space="preserve"> vai saimniecisko darbību izbeigusi pirms taksācijas perioda beigām, nodokli aprēķina kā vienu divpadsmito daļu no gada nodokļa likmes</w:t>
            </w:r>
            <w:proofErr w:type="gramEnd"/>
            <w:r w:rsidRPr="00C4665A">
              <w:rPr>
                <w:sz w:val="22"/>
              </w:rPr>
              <w:t xml:space="preserve"> (71,14 </w:t>
            </w:r>
            <w:r w:rsidRPr="00C4665A">
              <w:rPr>
                <w:i/>
                <w:iCs/>
                <w:sz w:val="22"/>
              </w:rPr>
              <w:t>euro</w:t>
            </w:r>
            <w:r w:rsidRPr="00C4665A">
              <w:rPr>
                <w:sz w:val="22"/>
              </w:rPr>
              <w:t>) par katru taksācijas perioda mēnesi līdz darbības izbeigšanai.</w:t>
            </w:r>
          </w:p>
          <w:p w:rsidR="00940CA8" w:rsidRPr="00940CA8" w:rsidRDefault="00940CA8" w:rsidP="00C4665A">
            <w:pPr>
              <w:ind w:firstLine="567"/>
              <w:jc w:val="both"/>
              <w:rPr>
                <w:sz w:val="22"/>
              </w:rPr>
            </w:pPr>
          </w:p>
        </w:tc>
        <w:tc>
          <w:tcPr>
            <w:tcW w:w="3928" w:type="dxa"/>
            <w:shd w:val="clear" w:color="auto" w:fill="auto"/>
          </w:tcPr>
          <w:p w:rsidR="005D082C" w:rsidRPr="005D082C" w:rsidRDefault="005D082C" w:rsidP="005D082C">
            <w:pPr>
              <w:ind w:firstLine="567"/>
              <w:jc w:val="both"/>
              <w:rPr>
                <w:rFonts w:eastAsia="Times New Roman"/>
                <w:iCs/>
                <w:color w:val="000000"/>
                <w:sz w:val="22"/>
                <w:lang w:eastAsia="lv-LV"/>
              </w:rPr>
            </w:pPr>
            <w:r w:rsidRPr="005D082C">
              <w:rPr>
                <w:rFonts w:eastAsia="Times New Roman"/>
                <w:iCs/>
                <w:color w:val="000000"/>
                <w:sz w:val="22"/>
                <w:lang w:eastAsia="lv-LV"/>
              </w:rPr>
              <w:lastRenderedPageBreak/>
              <w:t>2.  15. pantā:</w:t>
            </w:r>
          </w:p>
          <w:p w:rsidR="005D082C" w:rsidRPr="005D082C" w:rsidRDefault="005D082C" w:rsidP="005D082C">
            <w:pPr>
              <w:ind w:firstLine="567"/>
              <w:jc w:val="both"/>
              <w:rPr>
                <w:rFonts w:eastAsia="Times New Roman"/>
                <w:iCs/>
                <w:color w:val="000000"/>
                <w:sz w:val="22"/>
                <w:lang w:eastAsia="lv-LV"/>
              </w:rPr>
            </w:pPr>
            <w:r w:rsidRPr="005D082C">
              <w:rPr>
                <w:rFonts w:eastAsia="Times New Roman"/>
                <w:iCs/>
                <w:color w:val="000000"/>
                <w:sz w:val="22"/>
                <w:lang w:eastAsia="lv-LV"/>
              </w:rPr>
              <w:t>izteikt trešo un ceturto daļu šādā redakcijā:</w:t>
            </w:r>
          </w:p>
          <w:p w:rsidR="005D082C" w:rsidRPr="005D082C" w:rsidRDefault="005D082C" w:rsidP="005D082C">
            <w:pPr>
              <w:ind w:firstLine="567"/>
              <w:jc w:val="both"/>
              <w:rPr>
                <w:rFonts w:eastAsia="Times New Roman"/>
                <w:iCs/>
                <w:color w:val="000000"/>
                <w:sz w:val="22"/>
                <w:lang w:eastAsia="lv-LV"/>
              </w:rPr>
            </w:pPr>
            <w:r w:rsidRPr="005D082C">
              <w:rPr>
                <w:rFonts w:eastAsia="Times New Roman"/>
                <w:iCs/>
                <w:color w:val="000000"/>
                <w:sz w:val="22"/>
                <w:lang w:eastAsia="lv-LV"/>
              </w:rPr>
              <w:t>"(3) </w:t>
            </w:r>
            <w:proofErr w:type="gramStart"/>
            <w:r w:rsidRPr="005D082C">
              <w:rPr>
                <w:rFonts w:eastAsia="Times New Roman"/>
                <w:iCs/>
                <w:color w:val="000000"/>
                <w:sz w:val="22"/>
                <w:lang w:eastAsia="lv-LV"/>
              </w:rPr>
              <w:t>Ja iekārtu operatori veic C kategorijas piesārņojošas darbības nozarēs, attiecībā</w:t>
            </w:r>
            <w:proofErr w:type="gramEnd"/>
            <w:r w:rsidRPr="005D082C">
              <w:rPr>
                <w:rFonts w:eastAsia="Times New Roman"/>
                <w:iCs/>
                <w:color w:val="000000"/>
                <w:sz w:val="22"/>
                <w:lang w:eastAsia="lv-LV"/>
              </w:rPr>
              <w:t xml:space="preserve"> uz kurām normatīvajos aktos nav noteiktu nosacījumu un nav arī iespējams aprēķināt piesārņojošo vielu apjomu, nodokļa apmērs ir noteikts šā panta piektajā daļā. Ja nodokļa maksātājs iekārtā veic vairākas C kategorijas piesārņojošas darbības, bet ir saņēmis vienu C kategorijas piesārņojošas darbības apliecinājumu, tad nodokli, kas noteikts šā panta piektajā daļā, maksā par visām iekārtā veiktajām C kategorijas piesārņojošām darbībām. Ja nodokļa maksātājs ir saņēmis vairākus C kategorijas piesārņojošu darbību apliecinājumus, tad par katru darbību, kurai izsniegts apliecinājums, maksā atbilstoši šā panta piektajā daļā </w:t>
            </w:r>
            <w:r w:rsidRPr="005D082C">
              <w:rPr>
                <w:rFonts w:eastAsia="Times New Roman"/>
                <w:iCs/>
                <w:color w:val="000000"/>
                <w:sz w:val="22"/>
                <w:lang w:eastAsia="lv-LV"/>
              </w:rPr>
              <w:lastRenderedPageBreak/>
              <w:t>noteiktajam. Ja persona C kategorijas piesārņojošās darbības apliecinājumu saņēmusi un saimniecisko darbību uzsākusi laikā, kas nesakrīt ar nodokļa taksācijas perioda pirmo mēnesi, nodokli aprēķina kā vienu divpadsmito daļu no gada nodokļa likmes par katru taksācijas perioda mēnesi pēc apliecinājuma saņemšanas.</w:t>
            </w:r>
          </w:p>
          <w:p w:rsidR="008B3571" w:rsidRPr="004B6B4F" w:rsidRDefault="005D082C" w:rsidP="00EF106B">
            <w:pPr>
              <w:ind w:firstLine="567"/>
              <w:jc w:val="both"/>
              <w:rPr>
                <w:rFonts w:eastAsia="Times New Roman"/>
                <w:iCs/>
                <w:color w:val="000000"/>
                <w:sz w:val="22"/>
                <w:lang w:eastAsia="lv-LV"/>
              </w:rPr>
            </w:pPr>
            <w:r w:rsidRPr="005D082C">
              <w:rPr>
                <w:rFonts w:eastAsia="Times New Roman"/>
                <w:iCs/>
                <w:color w:val="000000"/>
                <w:sz w:val="22"/>
                <w:lang w:eastAsia="lv-LV"/>
              </w:rPr>
              <w:t>(4) Ja persona, kas saņēmusi C kategorijas piesārņojošas darbības apliecinājumu un maksā nodokli šā panta piektajā daļā noteiktajā apmērā, piesārņojošo darbību</w:t>
            </w:r>
            <w:proofErr w:type="gramStart"/>
            <w:r w:rsidRPr="005D082C">
              <w:rPr>
                <w:rFonts w:eastAsia="Times New Roman"/>
                <w:iCs/>
                <w:color w:val="000000"/>
                <w:sz w:val="22"/>
                <w:lang w:eastAsia="lv-LV"/>
              </w:rPr>
              <w:t xml:space="preserve"> vai saimniecisko darbību izbeigusi pirms taksācijas perioda beigām, nodokli aprēķina kā vienu divpadsmito daļu no gada nodokļa likmes par katru taksācijas perioda mēnesi līdz darbības izbeigšanai</w:t>
            </w:r>
            <w:proofErr w:type="gramEnd"/>
            <w:r w:rsidRPr="005D082C">
              <w:rPr>
                <w:rFonts w:eastAsia="Times New Roman"/>
                <w:iCs/>
                <w:color w:val="000000"/>
                <w:sz w:val="22"/>
                <w:lang w:eastAsia="lv-LV"/>
              </w:rPr>
              <w:t xml:space="preserve"> (ieskaitot mēnesi, kurā darbību izbeidz).";</w:t>
            </w:r>
          </w:p>
        </w:tc>
        <w:tc>
          <w:tcPr>
            <w:tcW w:w="567" w:type="dxa"/>
          </w:tcPr>
          <w:p w:rsidR="006A2924"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lastRenderedPageBreak/>
              <w:t>4</w:t>
            </w:r>
          </w:p>
        </w:tc>
        <w:tc>
          <w:tcPr>
            <w:tcW w:w="3926" w:type="dxa"/>
          </w:tcPr>
          <w:p w:rsidR="008F6928" w:rsidRDefault="00BA51BD" w:rsidP="00B7236A">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B90146" w:rsidRPr="00B90146" w:rsidRDefault="00B90146" w:rsidP="00B90146">
            <w:pPr>
              <w:ind w:firstLine="567"/>
              <w:jc w:val="both"/>
              <w:rPr>
                <w:rFonts w:eastAsia="Times New Roman"/>
                <w:iCs/>
                <w:color w:val="000000"/>
                <w:sz w:val="22"/>
                <w:lang w:eastAsia="lv-LV"/>
              </w:rPr>
            </w:pPr>
            <w:r w:rsidRPr="00B90146">
              <w:rPr>
                <w:rFonts w:eastAsia="Times New Roman"/>
                <w:iCs/>
                <w:color w:val="000000"/>
                <w:sz w:val="22"/>
                <w:lang w:eastAsia="lv-LV"/>
              </w:rPr>
              <w:t xml:space="preserve">Izteikt likumprojekta 2. pantā iekļauto grozījumu Dabas resursu nodokļa likuma (turpmāk – likums) 15. panta trešajai un ceturtajai daļai jaunā redakcijā: </w:t>
            </w:r>
          </w:p>
          <w:p w:rsidR="00B90146" w:rsidRPr="00B90146" w:rsidRDefault="00B90146" w:rsidP="00B90146">
            <w:pPr>
              <w:ind w:firstLine="567"/>
              <w:jc w:val="both"/>
              <w:rPr>
                <w:rFonts w:eastAsia="Times New Roman"/>
                <w:iCs/>
                <w:color w:val="000000"/>
                <w:sz w:val="22"/>
                <w:lang w:eastAsia="lv-LV"/>
              </w:rPr>
            </w:pPr>
            <w:r w:rsidRPr="00B90146">
              <w:rPr>
                <w:rFonts w:eastAsia="Times New Roman"/>
                <w:iCs/>
                <w:color w:val="000000"/>
                <w:sz w:val="22"/>
                <w:lang w:eastAsia="lv-LV"/>
              </w:rPr>
              <w:t>“(3) </w:t>
            </w:r>
            <w:proofErr w:type="gramStart"/>
            <w:r w:rsidRPr="00B90146">
              <w:rPr>
                <w:rFonts w:eastAsia="Times New Roman"/>
                <w:iCs/>
                <w:color w:val="000000"/>
                <w:sz w:val="22"/>
                <w:lang w:eastAsia="lv-LV"/>
              </w:rPr>
              <w:t>Ja iekārtu operatori veic C kategorijas piesārņojošas darbības nozarēs, attiecībā</w:t>
            </w:r>
            <w:proofErr w:type="gramEnd"/>
            <w:r w:rsidRPr="00B90146">
              <w:rPr>
                <w:rFonts w:eastAsia="Times New Roman"/>
                <w:iCs/>
                <w:color w:val="000000"/>
                <w:sz w:val="22"/>
                <w:lang w:eastAsia="lv-LV"/>
              </w:rPr>
              <w:t xml:space="preserve"> uz kurām normatīvajos aktos nav noteiktu nosacījumu un nav arī iespējams aprēķināt piesārņojošo vielu apjomu, nodokļa apmērs ir noteikts šā panta piektajā daļā. Nodokļa maksātājs veic nodokļa samaksu par katru veikto C kategorijas piesārņojošas darbības reģistrāciju. Ja persona C kategorijas piesārņojošo darbību reģistrējusi un saimniecisko darbību uzsākusi laikā, kas nesakrīt ar nodokļa taksācijas perioda pirmo mēnesi, nodokli aprēķina kā vienu divpadsmito daļu no gada nodokļa likmes </w:t>
            </w:r>
            <w:r w:rsidRPr="00B90146">
              <w:rPr>
                <w:rFonts w:eastAsia="Times New Roman"/>
                <w:iCs/>
                <w:color w:val="000000"/>
                <w:sz w:val="22"/>
                <w:lang w:eastAsia="lv-LV"/>
              </w:rPr>
              <w:lastRenderedPageBreak/>
              <w:t>par katru taksācijas perioda mēnesi pēc reģistrēšanas.</w:t>
            </w:r>
          </w:p>
          <w:p w:rsidR="00BA51BD" w:rsidRPr="00B90146" w:rsidRDefault="00B90146" w:rsidP="00B90146">
            <w:pPr>
              <w:ind w:firstLine="567"/>
              <w:jc w:val="both"/>
              <w:rPr>
                <w:rFonts w:eastAsia="Times New Roman"/>
                <w:iCs/>
                <w:color w:val="000000"/>
                <w:sz w:val="22"/>
                <w:lang w:eastAsia="lv-LV"/>
              </w:rPr>
            </w:pPr>
            <w:r w:rsidRPr="00B90146">
              <w:rPr>
                <w:rFonts w:eastAsia="Times New Roman"/>
                <w:iCs/>
                <w:color w:val="000000"/>
                <w:sz w:val="22"/>
                <w:lang w:eastAsia="lv-LV"/>
              </w:rPr>
              <w:t>(4) Ja persona, kas reģistrējusi C kategorijas piesārņojošo darbību un maksā nodokli šā panta piektajā daļā noteiktajā apmērā, piesārņojošo darbību</w:t>
            </w:r>
            <w:proofErr w:type="gramStart"/>
            <w:r w:rsidRPr="00B90146">
              <w:rPr>
                <w:rFonts w:eastAsia="Times New Roman"/>
                <w:iCs/>
                <w:color w:val="000000"/>
                <w:sz w:val="22"/>
                <w:lang w:eastAsia="lv-LV"/>
              </w:rPr>
              <w:t xml:space="preserve"> vai saimniecisko darbību izbeigusi pirms taksācijas perioda beigām, nodokli aprēķina kā vienu divpadsmito daļu no gada nodokļa likmes par katru taksācijas perioda mēnesi līdz darbības izbeigšanai</w:t>
            </w:r>
            <w:proofErr w:type="gramEnd"/>
            <w:r w:rsidRPr="00B90146">
              <w:rPr>
                <w:rFonts w:eastAsia="Times New Roman"/>
                <w:iCs/>
                <w:color w:val="000000"/>
                <w:sz w:val="22"/>
                <w:lang w:eastAsia="lv-LV"/>
              </w:rPr>
              <w:t xml:space="preserve"> (ieskaitot mēnesi, kurā darbību izbeidz).”.</w:t>
            </w:r>
          </w:p>
        </w:tc>
        <w:tc>
          <w:tcPr>
            <w:tcW w:w="1411" w:type="dxa"/>
          </w:tcPr>
          <w:p w:rsidR="006A2924" w:rsidRPr="004B6B4F" w:rsidRDefault="006A2924" w:rsidP="002E34E0">
            <w:pPr>
              <w:jc w:val="center"/>
              <w:rPr>
                <w:rFonts w:eastAsia="Times New Roman"/>
                <w:iCs/>
                <w:color w:val="000000"/>
                <w:sz w:val="22"/>
                <w:lang w:eastAsia="lv-LV"/>
              </w:rPr>
            </w:pPr>
          </w:p>
        </w:tc>
        <w:tc>
          <w:tcPr>
            <w:tcW w:w="1414" w:type="dxa"/>
          </w:tcPr>
          <w:p w:rsidR="006A2924" w:rsidRPr="004B6B4F" w:rsidRDefault="006A2924" w:rsidP="002E34E0">
            <w:pPr>
              <w:jc w:val="center"/>
              <w:rPr>
                <w:rFonts w:eastAsia="Times New Roman"/>
                <w:iCs/>
                <w:color w:val="000000"/>
                <w:sz w:val="22"/>
                <w:lang w:eastAsia="lv-LV"/>
              </w:rPr>
            </w:pPr>
          </w:p>
        </w:tc>
      </w:tr>
      <w:tr w:rsidR="00056624" w:rsidRPr="001B3F41" w:rsidTr="00EC440D">
        <w:tc>
          <w:tcPr>
            <w:tcW w:w="3917" w:type="dxa"/>
            <w:shd w:val="clear" w:color="auto" w:fill="auto"/>
          </w:tcPr>
          <w:p w:rsidR="00056624" w:rsidRPr="006E0266" w:rsidRDefault="00056624" w:rsidP="00F57A39">
            <w:pPr>
              <w:ind w:firstLine="567"/>
              <w:jc w:val="both"/>
              <w:rPr>
                <w:sz w:val="22"/>
              </w:rPr>
            </w:pPr>
          </w:p>
        </w:tc>
        <w:tc>
          <w:tcPr>
            <w:tcW w:w="3928" w:type="dxa"/>
            <w:shd w:val="clear" w:color="auto" w:fill="auto"/>
          </w:tcPr>
          <w:p w:rsidR="006959FA" w:rsidRPr="006959FA" w:rsidRDefault="006959FA" w:rsidP="006959FA">
            <w:pPr>
              <w:ind w:firstLine="567"/>
              <w:jc w:val="both"/>
              <w:rPr>
                <w:rFonts w:eastAsia="Times New Roman"/>
                <w:iCs/>
                <w:color w:val="000000"/>
                <w:sz w:val="22"/>
                <w:lang w:eastAsia="lv-LV"/>
              </w:rPr>
            </w:pPr>
            <w:r w:rsidRPr="006959FA">
              <w:rPr>
                <w:rFonts w:eastAsia="Times New Roman"/>
                <w:iCs/>
                <w:color w:val="000000"/>
                <w:sz w:val="22"/>
                <w:lang w:eastAsia="lv-LV"/>
              </w:rPr>
              <w:t>papildināt pantu ar piekto daļu šādā redakcijā:</w:t>
            </w:r>
          </w:p>
          <w:p w:rsidR="006959FA" w:rsidRPr="006959FA" w:rsidRDefault="006959FA" w:rsidP="006959FA">
            <w:pPr>
              <w:ind w:firstLine="567"/>
              <w:jc w:val="both"/>
              <w:rPr>
                <w:rFonts w:eastAsia="Times New Roman"/>
                <w:iCs/>
                <w:color w:val="000000"/>
                <w:sz w:val="22"/>
                <w:lang w:eastAsia="lv-LV"/>
              </w:rPr>
            </w:pPr>
            <w:r w:rsidRPr="006959FA">
              <w:rPr>
                <w:rFonts w:eastAsia="Times New Roman"/>
                <w:iCs/>
                <w:color w:val="000000"/>
                <w:sz w:val="22"/>
                <w:lang w:eastAsia="lv-LV"/>
              </w:rPr>
              <w:t>"(5) Nodokļa likmes par vides piesārņošanu, veicot C kategorijas piesārņojošas darbības, ir šādas:</w:t>
            </w:r>
          </w:p>
          <w:p w:rsidR="006959FA" w:rsidRPr="006959FA" w:rsidRDefault="006959FA" w:rsidP="006959FA">
            <w:pPr>
              <w:ind w:firstLine="567"/>
              <w:jc w:val="both"/>
              <w:rPr>
                <w:rFonts w:eastAsia="Times New Roman"/>
                <w:iCs/>
                <w:color w:val="000000"/>
                <w:sz w:val="22"/>
                <w:lang w:eastAsia="lv-LV"/>
              </w:rPr>
            </w:pPr>
            <w:r w:rsidRPr="006959FA">
              <w:rPr>
                <w:rFonts w:eastAsia="Times New Roman"/>
                <w:iCs/>
                <w:color w:val="000000"/>
                <w:sz w:val="22"/>
                <w:lang w:eastAsia="lv-LV"/>
              </w:rPr>
              <w:t xml:space="preserve">1) 2021. gadā – 178,00 </w:t>
            </w:r>
            <w:r w:rsidRPr="006959FA">
              <w:rPr>
                <w:rFonts w:eastAsia="Times New Roman"/>
                <w:i/>
                <w:iCs/>
                <w:color w:val="000000"/>
                <w:sz w:val="22"/>
                <w:lang w:eastAsia="lv-LV"/>
              </w:rPr>
              <w:t>euro</w:t>
            </w:r>
            <w:r w:rsidRPr="006959FA">
              <w:rPr>
                <w:rFonts w:eastAsia="Times New Roman"/>
                <w:iCs/>
                <w:color w:val="000000"/>
                <w:sz w:val="22"/>
                <w:lang w:eastAsia="lv-LV"/>
              </w:rPr>
              <w:t xml:space="preserve"> gadā;</w:t>
            </w:r>
          </w:p>
          <w:p w:rsidR="006959FA" w:rsidRPr="006959FA" w:rsidRDefault="006959FA" w:rsidP="006959FA">
            <w:pPr>
              <w:ind w:firstLine="567"/>
              <w:jc w:val="both"/>
              <w:rPr>
                <w:rFonts w:eastAsia="Times New Roman"/>
                <w:iCs/>
                <w:color w:val="000000"/>
                <w:sz w:val="22"/>
                <w:lang w:eastAsia="lv-LV"/>
              </w:rPr>
            </w:pPr>
            <w:r w:rsidRPr="006959FA">
              <w:rPr>
                <w:rFonts w:eastAsia="Times New Roman"/>
                <w:iCs/>
                <w:color w:val="000000"/>
                <w:sz w:val="22"/>
                <w:lang w:eastAsia="lv-LV"/>
              </w:rPr>
              <w:t xml:space="preserve">2) 2022. gadā – 200,00 </w:t>
            </w:r>
            <w:r w:rsidRPr="006959FA">
              <w:rPr>
                <w:rFonts w:eastAsia="Times New Roman"/>
                <w:i/>
                <w:iCs/>
                <w:color w:val="000000"/>
                <w:sz w:val="22"/>
                <w:lang w:eastAsia="lv-LV"/>
              </w:rPr>
              <w:t>euro</w:t>
            </w:r>
            <w:r w:rsidRPr="006959FA">
              <w:rPr>
                <w:rFonts w:eastAsia="Times New Roman"/>
                <w:iCs/>
                <w:color w:val="000000"/>
                <w:sz w:val="22"/>
                <w:lang w:eastAsia="lv-LV"/>
              </w:rPr>
              <w:t xml:space="preserve"> gadā;</w:t>
            </w:r>
          </w:p>
          <w:p w:rsidR="00827D05" w:rsidRPr="005E54AA" w:rsidRDefault="006959FA" w:rsidP="00EF106B">
            <w:pPr>
              <w:ind w:firstLine="567"/>
              <w:jc w:val="both"/>
              <w:rPr>
                <w:rFonts w:eastAsia="Times New Roman"/>
                <w:iCs/>
                <w:color w:val="000000"/>
                <w:sz w:val="22"/>
                <w:lang w:eastAsia="lv-LV"/>
              </w:rPr>
            </w:pPr>
            <w:r w:rsidRPr="006959FA">
              <w:rPr>
                <w:rFonts w:eastAsia="Times New Roman"/>
                <w:iCs/>
                <w:color w:val="000000"/>
                <w:sz w:val="22"/>
                <w:lang w:eastAsia="lv-LV"/>
              </w:rPr>
              <w:t xml:space="preserve">3) no 2023. gada – 250,00 </w:t>
            </w:r>
            <w:r w:rsidRPr="006959FA">
              <w:rPr>
                <w:rFonts w:eastAsia="Times New Roman"/>
                <w:i/>
                <w:iCs/>
                <w:color w:val="000000"/>
                <w:sz w:val="22"/>
                <w:lang w:eastAsia="lv-LV"/>
              </w:rPr>
              <w:t>euro</w:t>
            </w:r>
            <w:r w:rsidRPr="006959FA">
              <w:rPr>
                <w:rFonts w:eastAsia="Times New Roman"/>
                <w:iCs/>
                <w:color w:val="000000"/>
                <w:sz w:val="22"/>
                <w:lang w:eastAsia="lv-LV"/>
              </w:rPr>
              <w:t xml:space="preserve"> gadā."</w:t>
            </w:r>
          </w:p>
        </w:tc>
        <w:tc>
          <w:tcPr>
            <w:tcW w:w="567" w:type="dxa"/>
          </w:tcPr>
          <w:p w:rsidR="00056624" w:rsidRPr="00F96D2A" w:rsidRDefault="00056624" w:rsidP="00F96D2A">
            <w:pPr>
              <w:jc w:val="center"/>
              <w:rPr>
                <w:rFonts w:eastAsia="Times New Roman"/>
                <w:b/>
                <w:iCs/>
                <w:color w:val="000000"/>
                <w:sz w:val="22"/>
                <w:lang w:eastAsia="lv-LV"/>
              </w:rPr>
            </w:pPr>
          </w:p>
        </w:tc>
        <w:tc>
          <w:tcPr>
            <w:tcW w:w="3926" w:type="dxa"/>
          </w:tcPr>
          <w:p w:rsidR="008F6928" w:rsidRPr="0033581C" w:rsidRDefault="008F6928" w:rsidP="000629CE">
            <w:pPr>
              <w:ind w:firstLine="567"/>
              <w:jc w:val="both"/>
              <w:rPr>
                <w:rFonts w:eastAsia="Times New Roman"/>
                <w:iCs/>
                <w:color w:val="000000"/>
                <w:sz w:val="22"/>
                <w:lang w:eastAsia="lv-LV"/>
              </w:rPr>
            </w:pPr>
          </w:p>
        </w:tc>
        <w:tc>
          <w:tcPr>
            <w:tcW w:w="1411" w:type="dxa"/>
          </w:tcPr>
          <w:p w:rsidR="00056624" w:rsidRPr="004B6B4F" w:rsidRDefault="00056624" w:rsidP="002E34E0">
            <w:pPr>
              <w:jc w:val="center"/>
              <w:rPr>
                <w:rFonts w:eastAsia="Times New Roman"/>
                <w:iCs/>
                <w:color w:val="000000"/>
                <w:sz w:val="22"/>
                <w:lang w:eastAsia="lv-LV"/>
              </w:rPr>
            </w:pPr>
          </w:p>
        </w:tc>
        <w:tc>
          <w:tcPr>
            <w:tcW w:w="1414" w:type="dxa"/>
          </w:tcPr>
          <w:p w:rsidR="00056624" w:rsidRPr="004B6B4F" w:rsidRDefault="00056624" w:rsidP="002E34E0">
            <w:pPr>
              <w:jc w:val="center"/>
              <w:rPr>
                <w:rFonts w:eastAsia="Times New Roman"/>
                <w:iCs/>
                <w:color w:val="000000"/>
                <w:sz w:val="22"/>
                <w:lang w:eastAsia="lv-LV"/>
              </w:rPr>
            </w:pPr>
          </w:p>
        </w:tc>
      </w:tr>
      <w:tr w:rsidR="00EF106B" w:rsidRPr="001B3F41" w:rsidTr="00EC440D">
        <w:tc>
          <w:tcPr>
            <w:tcW w:w="3917" w:type="dxa"/>
            <w:shd w:val="clear" w:color="auto" w:fill="auto"/>
          </w:tcPr>
          <w:p w:rsidR="00371D32" w:rsidRPr="00371D32" w:rsidRDefault="00371D32" w:rsidP="00371D32">
            <w:pPr>
              <w:ind w:firstLine="567"/>
              <w:jc w:val="both"/>
              <w:rPr>
                <w:sz w:val="22"/>
              </w:rPr>
            </w:pPr>
            <w:r w:rsidRPr="00371D32">
              <w:rPr>
                <w:b/>
                <w:bCs/>
                <w:sz w:val="22"/>
              </w:rPr>
              <w:t>21.</w:t>
            </w:r>
            <w:r>
              <w:rPr>
                <w:b/>
                <w:bCs/>
                <w:sz w:val="22"/>
              </w:rPr>
              <w:t xml:space="preserve"> </w:t>
            </w:r>
            <w:r w:rsidRPr="00371D32">
              <w:rPr>
                <w:b/>
                <w:bCs/>
                <w:sz w:val="22"/>
              </w:rPr>
              <w:t xml:space="preserve">pants. Nodokļa aprēķināšana par prettiesisku dabas resursu ieguvi vai lietošanu </w:t>
            </w:r>
          </w:p>
          <w:p w:rsidR="00371D32" w:rsidRPr="00371D32" w:rsidRDefault="00371D32" w:rsidP="00371D32">
            <w:pPr>
              <w:ind w:firstLine="567"/>
              <w:jc w:val="both"/>
              <w:rPr>
                <w:sz w:val="22"/>
              </w:rPr>
            </w:pPr>
            <w:r w:rsidRPr="00371D32">
              <w:rPr>
                <w:sz w:val="22"/>
              </w:rPr>
              <w:t xml:space="preserve"> (2) Ja persona, kura iegūst</w:t>
            </w:r>
            <w:proofErr w:type="gramStart"/>
            <w:r w:rsidRPr="00371D32">
              <w:rPr>
                <w:sz w:val="22"/>
              </w:rPr>
              <w:t xml:space="preserve"> vai izmanto dabas resursus vai veic piesārņojošas darbības, nav saņēmusi nepieciešamo atļauju, licenci vai C kategorijas piesārņojošas darbības apliecinājumu, nodokli aprēķina</w:t>
            </w:r>
            <w:proofErr w:type="gramEnd"/>
            <w:r w:rsidRPr="00371D32">
              <w:rPr>
                <w:sz w:val="22"/>
              </w:rPr>
              <w:t>, piemērojot nodokļa likmi desmitkāršā apmērā.</w:t>
            </w:r>
          </w:p>
          <w:p w:rsidR="00EF106B" w:rsidRPr="006E0266" w:rsidRDefault="00371D32" w:rsidP="00371D32">
            <w:pPr>
              <w:ind w:firstLine="567"/>
              <w:jc w:val="both"/>
              <w:rPr>
                <w:sz w:val="22"/>
              </w:rPr>
            </w:pPr>
            <w:r w:rsidRPr="00371D32">
              <w:rPr>
                <w:sz w:val="22"/>
              </w:rPr>
              <w:t>(3) Ja vide piesārņota vai dabas resursi iegūti bez nepieciešamās atļaujas vai C kategorijas piesārņojošas darbības apliecinājuma saņemšanas, pieņem, ka faktiski emitētais vai iegūtais daudzums ir tāds, kādu aprēķinātajā iekārtas izmantošanas laikposmā emitē vai iegūst līdzvērtīgas jaudas un darbības profila iekārtā, ja vien nodokļa maksātājs nevar pierādīt faktisko apjomu.</w:t>
            </w:r>
          </w:p>
        </w:tc>
        <w:tc>
          <w:tcPr>
            <w:tcW w:w="3928" w:type="dxa"/>
            <w:shd w:val="clear" w:color="auto" w:fill="auto"/>
          </w:tcPr>
          <w:p w:rsidR="00EF106B" w:rsidRPr="006959FA" w:rsidRDefault="00EF106B" w:rsidP="006959FA">
            <w:pPr>
              <w:ind w:firstLine="567"/>
              <w:jc w:val="both"/>
              <w:rPr>
                <w:rFonts w:eastAsia="Times New Roman"/>
                <w:iCs/>
                <w:color w:val="000000"/>
                <w:sz w:val="22"/>
                <w:lang w:eastAsia="lv-LV"/>
              </w:rPr>
            </w:pPr>
          </w:p>
        </w:tc>
        <w:tc>
          <w:tcPr>
            <w:tcW w:w="567" w:type="dxa"/>
          </w:tcPr>
          <w:p w:rsidR="00EF106B"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5</w:t>
            </w:r>
          </w:p>
        </w:tc>
        <w:tc>
          <w:tcPr>
            <w:tcW w:w="3926" w:type="dxa"/>
          </w:tcPr>
          <w:p w:rsidR="00EF106B" w:rsidRDefault="00EF106B" w:rsidP="00EF106B">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EA7457" w:rsidRPr="00EA7457" w:rsidRDefault="00EA7457" w:rsidP="00EA7457">
            <w:pPr>
              <w:ind w:firstLine="567"/>
              <w:jc w:val="both"/>
              <w:rPr>
                <w:rFonts w:eastAsia="Times New Roman"/>
                <w:iCs/>
                <w:color w:val="000000"/>
                <w:sz w:val="22"/>
                <w:lang w:eastAsia="lv-LV"/>
              </w:rPr>
            </w:pPr>
            <w:r w:rsidRPr="00EA7457">
              <w:rPr>
                <w:rFonts w:eastAsia="Times New Roman"/>
                <w:iCs/>
                <w:color w:val="000000"/>
                <w:sz w:val="22"/>
                <w:lang w:eastAsia="lv-LV"/>
              </w:rPr>
              <w:t>Papildināt likumprojektu ar jaunu pantu, kas paredz izteikt likuma 21. panta otro un trešo daļu šādā redakcijā:</w:t>
            </w:r>
          </w:p>
          <w:p w:rsidR="00EA7457" w:rsidRPr="00EA7457" w:rsidRDefault="00EA7457" w:rsidP="00EA7457">
            <w:pPr>
              <w:ind w:firstLine="567"/>
              <w:jc w:val="both"/>
              <w:rPr>
                <w:rFonts w:eastAsia="Times New Roman"/>
                <w:iCs/>
                <w:color w:val="000000"/>
                <w:sz w:val="22"/>
                <w:lang w:eastAsia="lv-LV"/>
              </w:rPr>
            </w:pPr>
            <w:r w:rsidRPr="00EA7457">
              <w:rPr>
                <w:rFonts w:eastAsia="Times New Roman"/>
                <w:iCs/>
                <w:color w:val="000000"/>
                <w:sz w:val="22"/>
                <w:lang w:eastAsia="lv-LV"/>
              </w:rPr>
              <w:t xml:space="preserve">“(2) Ja persona, kura iegūst </w:t>
            </w:r>
            <w:proofErr w:type="gramStart"/>
            <w:r w:rsidRPr="00EA7457">
              <w:rPr>
                <w:rFonts w:eastAsia="Times New Roman"/>
                <w:iCs/>
                <w:color w:val="000000"/>
                <w:sz w:val="22"/>
                <w:lang w:eastAsia="lv-LV"/>
              </w:rPr>
              <w:t>vai izmanto dabas resursus vai veic piesārņojošas darbības, nav saņēmusi nepieciešamo atļauju, licenci</w:t>
            </w:r>
            <w:proofErr w:type="gramEnd"/>
            <w:r w:rsidRPr="00EA7457">
              <w:rPr>
                <w:rFonts w:eastAsia="Times New Roman"/>
                <w:iCs/>
                <w:color w:val="000000"/>
                <w:sz w:val="22"/>
                <w:lang w:eastAsia="lv-LV"/>
              </w:rPr>
              <w:t xml:space="preserve"> vai reģistrējusi C kategorijas piesārņojošo darbību, nodokli aprēķina, piemērojot nodokļa likmi desmitkāršā apmērā.</w:t>
            </w:r>
          </w:p>
          <w:p w:rsidR="00EF106B" w:rsidRPr="0033581C" w:rsidRDefault="00EA7457" w:rsidP="00EA7457">
            <w:pPr>
              <w:ind w:firstLine="567"/>
              <w:jc w:val="both"/>
              <w:rPr>
                <w:rFonts w:eastAsia="Times New Roman"/>
                <w:iCs/>
                <w:color w:val="000000"/>
                <w:sz w:val="22"/>
                <w:lang w:eastAsia="lv-LV"/>
              </w:rPr>
            </w:pPr>
            <w:r w:rsidRPr="00EA7457">
              <w:rPr>
                <w:rFonts w:eastAsia="Times New Roman"/>
                <w:iCs/>
                <w:color w:val="000000"/>
                <w:sz w:val="22"/>
                <w:lang w:eastAsia="lv-LV"/>
              </w:rPr>
              <w:t>(3) Ja vide piesārņota vai dabas resursi iegūti bez nepieciešamās atļaujas vai C kategorijas piesārņojošas darbības reģistrācijas, pieņem, ka faktiski emitētais vai iegūtais daudzums ir tāds, kādu aprēķinātajā iekārtas izmantošanas laikposmā emitē vai iegūst līdzvērtīgas jaudas un darbības profila iekārtā, ja vien nodokļa maksātājs nevar pierādīt faktisko apjomu.”.</w:t>
            </w:r>
          </w:p>
        </w:tc>
        <w:tc>
          <w:tcPr>
            <w:tcW w:w="1411" w:type="dxa"/>
          </w:tcPr>
          <w:p w:rsidR="00EF106B" w:rsidRPr="004B6B4F" w:rsidRDefault="00EF106B" w:rsidP="002E34E0">
            <w:pPr>
              <w:jc w:val="center"/>
              <w:rPr>
                <w:rFonts w:eastAsia="Times New Roman"/>
                <w:iCs/>
                <w:color w:val="000000"/>
                <w:sz w:val="22"/>
                <w:lang w:eastAsia="lv-LV"/>
              </w:rPr>
            </w:pPr>
          </w:p>
        </w:tc>
        <w:tc>
          <w:tcPr>
            <w:tcW w:w="1414" w:type="dxa"/>
          </w:tcPr>
          <w:p w:rsidR="00EF106B" w:rsidRPr="004B6B4F" w:rsidRDefault="00EF106B" w:rsidP="002E34E0">
            <w:pPr>
              <w:jc w:val="center"/>
              <w:rPr>
                <w:rFonts w:eastAsia="Times New Roman"/>
                <w:iCs/>
                <w:color w:val="000000"/>
                <w:sz w:val="22"/>
                <w:lang w:eastAsia="lv-LV"/>
              </w:rPr>
            </w:pPr>
          </w:p>
        </w:tc>
      </w:tr>
      <w:tr w:rsidR="008B78D5" w:rsidRPr="001B3F41" w:rsidTr="00EC440D">
        <w:tc>
          <w:tcPr>
            <w:tcW w:w="3917" w:type="dxa"/>
            <w:shd w:val="clear" w:color="auto" w:fill="auto"/>
          </w:tcPr>
          <w:p w:rsidR="008B78D5" w:rsidRDefault="008D57B1" w:rsidP="00371D32">
            <w:pPr>
              <w:ind w:firstLine="567"/>
              <w:jc w:val="both"/>
              <w:rPr>
                <w:b/>
                <w:bCs/>
                <w:sz w:val="22"/>
              </w:rPr>
            </w:pPr>
            <w:r w:rsidRPr="008D57B1">
              <w:rPr>
                <w:b/>
                <w:bCs/>
                <w:sz w:val="22"/>
              </w:rPr>
              <w:t>27.</w:t>
            </w:r>
            <w:r>
              <w:rPr>
                <w:b/>
                <w:bCs/>
                <w:sz w:val="22"/>
              </w:rPr>
              <w:t xml:space="preserve"> </w:t>
            </w:r>
            <w:r w:rsidRPr="008D57B1">
              <w:rPr>
                <w:b/>
                <w:bCs/>
                <w:sz w:val="22"/>
              </w:rPr>
              <w:t>pants. Kārtība, kādā tiek maksāts nodoklis un iesniegti pārskati par aprēķināto dabas resursu nodokli</w:t>
            </w:r>
          </w:p>
          <w:p w:rsidR="008D57B1" w:rsidRDefault="006D7690" w:rsidP="00371D32">
            <w:pPr>
              <w:ind w:firstLine="567"/>
              <w:jc w:val="both"/>
              <w:rPr>
                <w:bCs/>
                <w:sz w:val="22"/>
              </w:rPr>
            </w:pPr>
            <w:r w:rsidRPr="006D7690">
              <w:rPr>
                <w:bCs/>
                <w:sz w:val="22"/>
              </w:rPr>
              <w:t xml:space="preserve">(5) Nodokli par transportlīdzekli nodokļu maksātājs </w:t>
            </w:r>
            <w:r w:rsidRPr="006D7690">
              <w:rPr>
                <w:bCs/>
                <w:sz w:val="22"/>
                <w:u w:val="single"/>
              </w:rPr>
              <w:t>iemaksā Valsts ieņēmumu dienesta noteiktajā budžeta kontā</w:t>
            </w:r>
            <w:r w:rsidRPr="006D7690">
              <w:rPr>
                <w:bCs/>
                <w:sz w:val="22"/>
              </w:rPr>
              <w:t xml:space="preserve"> pirms transportlīdzekļa pirmās pastāvīgās reģistrācijas Latvijā. Ja transportlīdzekli sešu mēnešu laikā pēc reģistrācijas noņem no uzskaites izvešanai no Latvijas, samaksāto nodokli atmaksā 30 dienu laikā pēc tam, kad saņemts nodokļa maksātāja attiecīgs iesniegums. Ministru kabinets nosaka kārtību, kādā maksājams nodoklis un atmaksājams samaksātais nodoklis par transportlīdzekli.</w:t>
            </w:r>
          </w:p>
          <w:p w:rsidR="002E34E0" w:rsidRPr="006D7690" w:rsidRDefault="002E34E0" w:rsidP="00371D32">
            <w:pPr>
              <w:ind w:firstLine="567"/>
              <w:jc w:val="both"/>
              <w:rPr>
                <w:bCs/>
                <w:sz w:val="22"/>
              </w:rPr>
            </w:pPr>
          </w:p>
        </w:tc>
        <w:tc>
          <w:tcPr>
            <w:tcW w:w="3928" w:type="dxa"/>
            <w:shd w:val="clear" w:color="auto" w:fill="auto"/>
          </w:tcPr>
          <w:p w:rsidR="008B78D5" w:rsidRPr="006959FA" w:rsidRDefault="008B78D5" w:rsidP="006959FA">
            <w:pPr>
              <w:ind w:firstLine="567"/>
              <w:jc w:val="both"/>
              <w:rPr>
                <w:rFonts w:eastAsia="Times New Roman"/>
                <w:iCs/>
                <w:color w:val="000000"/>
                <w:sz w:val="22"/>
                <w:lang w:eastAsia="lv-LV"/>
              </w:rPr>
            </w:pPr>
          </w:p>
        </w:tc>
        <w:tc>
          <w:tcPr>
            <w:tcW w:w="567" w:type="dxa"/>
          </w:tcPr>
          <w:p w:rsidR="008B78D5"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6</w:t>
            </w:r>
          </w:p>
        </w:tc>
        <w:tc>
          <w:tcPr>
            <w:tcW w:w="3926" w:type="dxa"/>
          </w:tcPr>
          <w:p w:rsidR="008B78D5" w:rsidRDefault="008B78D5" w:rsidP="008B78D5">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8B78D5" w:rsidRPr="00DD261F" w:rsidRDefault="005D17DF" w:rsidP="00EF106B">
            <w:pPr>
              <w:ind w:firstLine="567"/>
              <w:jc w:val="both"/>
              <w:rPr>
                <w:rFonts w:eastAsia="Times New Roman"/>
                <w:iCs/>
                <w:color w:val="000000"/>
                <w:sz w:val="22"/>
                <w:lang w:eastAsia="lv-LV"/>
              </w:rPr>
            </w:pPr>
            <w:r w:rsidRPr="005D17DF">
              <w:rPr>
                <w:rFonts w:eastAsia="Times New Roman"/>
                <w:iCs/>
                <w:color w:val="000000"/>
                <w:sz w:val="22"/>
                <w:lang w:eastAsia="lv-LV"/>
              </w:rPr>
              <w:t>Papildināt likumprojektu ar jaunu pantu, kas paredz aizstāt likuma 27. panta piektajā daļā vārdus “iemaksā Valsts ieņēmumu dienesta noteiktajā budžeta kontā” ar vārdu “maksā”.</w:t>
            </w:r>
          </w:p>
        </w:tc>
        <w:tc>
          <w:tcPr>
            <w:tcW w:w="1411" w:type="dxa"/>
          </w:tcPr>
          <w:p w:rsidR="008B78D5" w:rsidRPr="004B6B4F" w:rsidRDefault="008B78D5" w:rsidP="002E34E0">
            <w:pPr>
              <w:jc w:val="center"/>
              <w:rPr>
                <w:rFonts w:eastAsia="Times New Roman"/>
                <w:iCs/>
                <w:color w:val="000000"/>
                <w:sz w:val="22"/>
                <w:lang w:eastAsia="lv-LV"/>
              </w:rPr>
            </w:pPr>
          </w:p>
        </w:tc>
        <w:tc>
          <w:tcPr>
            <w:tcW w:w="1414" w:type="dxa"/>
          </w:tcPr>
          <w:p w:rsidR="008B78D5" w:rsidRPr="004B6B4F" w:rsidRDefault="008B78D5" w:rsidP="002E34E0">
            <w:pPr>
              <w:jc w:val="center"/>
              <w:rPr>
                <w:rFonts w:eastAsia="Times New Roman"/>
                <w:iCs/>
                <w:color w:val="000000"/>
                <w:sz w:val="22"/>
                <w:lang w:eastAsia="lv-LV"/>
              </w:rPr>
            </w:pPr>
          </w:p>
        </w:tc>
      </w:tr>
      <w:tr w:rsidR="00056624" w:rsidRPr="001B3F41" w:rsidTr="00EC440D">
        <w:tc>
          <w:tcPr>
            <w:tcW w:w="3917" w:type="dxa"/>
            <w:shd w:val="clear" w:color="auto" w:fill="auto"/>
          </w:tcPr>
          <w:p w:rsidR="00056624" w:rsidRDefault="00805FA6" w:rsidP="003A5EFA">
            <w:pPr>
              <w:ind w:firstLine="567"/>
              <w:jc w:val="both"/>
              <w:rPr>
                <w:b/>
                <w:bCs/>
                <w:sz w:val="22"/>
              </w:rPr>
            </w:pPr>
            <w:r w:rsidRPr="00805FA6">
              <w:rPr>
                <w:b/>
                <w:bCs/>
                <w:sz w:val="22"/>
              </w:rPr>
              <w:t>28.</w:t>
            </w:r>
            <w:r>
              <w:rPr>
                <w:b/>
                <w:bCs/>
                <w:sz w:val="22"/>
              </w:rPr>
              <w:t xml:space="preserve"> </w:t>
            </w:r>
            <w:r w:rsidRPr="00805FA6">
              <w:rPr>
                <w:b/>
                <w:bCs/>
                <w:sz w:val="22"/>
              </w:rPr>
              <w:t>pants. Nodokļa maksājumu ieskaitīšana budžetā</w:t>
            </w:r>
          </w:p>
          <w:p w:rsidR="00C4665A" w:rsidRPr="00C4665A" w:rsidRDefault="00C4665A" w:rsidP="00C4665A">
            <w:pPr>
              <w:ind w:firstLine="567"/>
              <w:jc w:val="both"/>
              <w:rPr>
                <w:sz w:val="22"/>
              </w:rPr>
            </w:pPr>
            <w:r w:rsidRPr="00C4665A">
              <w:rPr>
                <w:sz w:val="22"/>
              </w:rPr>
              <w:t>(4) Valsts pamatbudžetā ieskaita nodokļa maksājumus par:</w:t>
            </w:r>
          </w:p>
          <w:p w:rsidR="00805FA6" w:rsidRPr="00805FA6" w:rsidRDefault="00C4665A" w:rsidP="00C4665A">
            <w:pPr>
              <w:ind w:firstLine="567"/>
              <w:jc w:val="both"/>
              <w:rPr>
                <w:sz w:val="22"/>
              </w:rPr>
            </w:pPr>
            <w:r w:rsidRPr="00C4665A">
              <w:rPr>
                <w:sz w:val="22"/>
              </w:rPr>
              <w:t>1) atkritumu apglabāšanu vai sadedzināšanu;</w:t>
            </w:r>
          </w:p>
        </w:tc>
        <w:tc>
          <w:tcPr>
            <w:tcW w:w="3928" w:type="dxa"/>
            <w:shd w:val="clear" w:color="auto" w:fill="auto"/>
          </w:tcPr>
          <w:p w:rsidR="002B7104" w:rsidRPr="002B7104" w:rsidRDefault="002B7104" w:rsidP="002B7104">
            <w:pPr>
              <w:ind w:firstLine="567"/>
              <w:jc w:val="both"/>
              <w:rPr>
                <w:rFonts w:eastAsia="Times New Roman"/>
                <w:iCs/>
                <w:color w:val="000000"/>
                <w:sz w:val="22"/>
                <w:lang w:eastAsia="lv-LV"/>
              </w:rPr>
            </w:pPr>
            <w:r w:rsidRPr="002B7104">
              <w:rPr>
                <w:rFonts w:eastAsia="Times New Roman"/>
                <w:iCs/>
                <w:color w:val="000000"/>
                <w:sz w:val="22"/>
                <w:lang w:eastAsia="lv-LV"/>
              </w:rPr>
              <w:t>3.  28. pantā:</w:t>
            </w:r>
          </w:p>
          <w:p w:rsidR="00056624" w:rsidRPr="005E54AA" w:rsidRDefault="002B7104" w:rsidP="002B7104">
            <w:pPr>
              <w:ind w:firstLine="567"/>
              <w:jc w:val="both"/>
              <w:rPr>
                <w:rFonts w:eastAsia="Times New Roman"/>
                <w:iCs/>
                <w:color w:val="000000"/>
                <w:sz w:val="22"/>
                <w:lang w:eastAsia="lv-LV"/>
              </w:rPr>
            </w:pPr>
            <w:r w:rsidRPr="002B7104">
              <w:rPr>
                <w:rFonts w:eastAsia="Times New Roman"/>
                <w:iCs/>
                <w:color w:val="000000"/>
                <w:sz w:val="22"/>
                <w:lang w:eastAsia="lv-LV"/>
              </w:rPr>
              <w:t>izslēgt ceturtās daļas 1. punktā vārdus "apglabāšanu vai";</w:t>
            </w:r>
          </w:p>
        </w:tc>
        <w:tc>
          <w:tcPr>
            <w:tcW w:w="567" w:type="dxa"/>
          </w:tcPr>
          <w:p w:rsidR="00056624" w:rsidRPr="00F96D2A" w:rsidRDefault="00056624" w:rsidP="00F96D2A">
            <w:pPr>
              <w:jc w:val="center"/>
              <w:rPr>
                <w:rFonts w:eastAsia="Times New Roman"/>
                <w:b/>
                <w:iCs/>
                <w:color w:val="000000"/>
                <w:sz w:val="22"/>
                <w:lang w:eastAsia="lv-LV"/>
              </w:rPr>
            </w:pPr>
          </w:p>
        </w:tc>
        <w:tc>
          <w:tcPr>
            <w:tcW w:w="3926" w:type="dxa"/>
          </w:tcPr>
          <w:p w:rsidR="00056624" w:rsidRPr="004B6B4F" w:rsidRDefault="00056624" w:rsidP="002E5ECB">
            <w:pPr>
              <w:ind w:firstLine="567"/>
              <w:jc w:val="both"/>
              <w:rPr>
                <w:rFonts w:eastAsia="Times New Roman"/>
                <w:iCs/>
                <w:color w:val="000000"/>
                <w:sz w:val="22"/>
                <w:lang w:eastAsia="lv-LV"/>
              </w:rPr>
            </w:pPr>
          </w:p>
        </w:tc>
        <w:tc>
          <w:tcPr>
            <w:tcW w:w="1411" w:type="dxa"/>
          </w:tcPr>
          <w:p w:rsidR="00056624" w:rsidRPr="004B6B4F" w:rsidRDefault="00056624" w:rsidP="002E34E0">
            <w:pPr>
              <w:jc w:val="center"/>
              <w:rPr>
                <w:rFonts w:eastAsia="Times New Roman"/>
                <w:iCs/>
                <w:color w:val="000000"/>
                <w:sz w:val="22"/>
                <w:lang w:eastAsia="lv-LV"/>
              </w:rPr>
            </w:pPr>
          </w:p>
        </w:tc>
        <w:tc>
          <w:tcPr>
            <w:tcW w:w="1414" w:type="dxa"/>
          </w:tcPr>
          <w:p w:rsidR="00056624" w:rsidRPr="004B6B4F" w:rsidRDefault="00056624" w:rsidP="002E34E0">
            <w:pPr>
              <w:jc w:val="center"/>
              <w:rPr>
                <w:rFonts w:eastAsia="Times New Roman"/>
                <w:iCs/>
                <w:color w:val="000000"/>
                <w:sz w:val="22"/>
                <w:lang w:eastAsia="lv-LV"/>
              </w:rPr>
            </w:pPr>
          </w:p>
        </w:tc>
      </w:tr>
      <w:tr w:rsidR="00056624" w:rsidRPr="001B3F41" w:rsidTr="00EC440D">
        <w:tc>
          <w:tcPr>
            <w:tcW w:w="3917" w:type="dxa"/>
            <w:shd w:val="clear" w:color="auto" w:fill="auto"/>
          </w:tcPr>
          <w:p w:rsidR="00056624" w:rsidRPr="001846DF" w:rsidRDefault="00056624" w:rsidP="006F0AD7">
            <w:pPr>
              <w:ind w:firstLine="567"/>
              <w:jc w:val="both"/>
              <w:rPr>
                <w:sz w:val="22"/>
              </w:rPr>
            </w:pPr>
          </w:p>
        </w:tc>
        <w:tc>
          <w:tcPr>
            <w:tcW w:w="3928" w:type="dxa"/>
            <w:shd w:val="clear" w:color="auto" w:fill="auto"/>
          </w:tcPr>
          <w:p w:rsidR="005B32D4" w:rsidRPr="005B32D4" w:rsidRDefault="005B32D4" w:rsidP="00827D05">
            <w:pPr>
              <w:ind w:firstLine="567"/>
              <w:jc w:val="both"/>
              <w:rPr>
                <w:rFonts w:eastAsia="Times New Roman"/>
                <w:iCs/>
                <w:color w:val="000000"/>
                <w:sz w:val="22"/>
                <w:lang w:eastAsia="lv-LV"/>
              </w:rPr>
            </w:pPr>
            <w:r w:rsidRPr="005B32D4">
              <w:rPr>
                <w:rFonts w:eastAsia="Times New Roman"/>
                <w:iCs/>
                <w:color w:val="000000"/>
                <w:sz w:val="22"/>
                <w:lang w:eastAsia="lv-LV"/>
              </w:rPr>
              <w:t>papildināt pantu ar 4.</w:t>
            </w:r>
            <w:r w:rsidRPr="005B32D4">
              <w:rPr>
                <w:rFonts w:eastAsia="Times New Roman"/>
                <w:iCs/>
                <w:color w:val="000000"/>
                <w:sz w:val="22"/>
                <w:vertAlign w:val="superscript"/>
                <w:lang w:eastAsia="lv-LV"/>
              </w:rPr>
              <w:t>1</w:t>
            </w:r>
            <w:r w:rsidRPr="005B32D4">
              <w:rPr>
                <w:rFonts w:eastAsia="Times New Roman"/>
                <w:iCs/>
                <w:color w:val="000000"/>
                <w:sz w:val="22"/>
                <w:lang w:eastAsia="lv-LV"/>
              </w:rPr>
              <w:t xml:space="preserve"> un 4.</w:t>
            </w:r>
            <w:r w:rsidRPr="005B32D4">
              <w:rPr>
                <w:rFonts w:eastAsia="Times New Roman"/>
                <w:iCs/>
                <w:color w:val="000000"/>
                <w:sz w:val="22"/>
                <w:vertAlign w:val="superscript"/>
                <w:lang w:eastAsia="lv-LV"/>
              </w:rPr>
              <w:t>2 </w:t>
            </w:r>
            <w:r w:rsidRPr="005B32D4">
              <w:rPr>
                <w:rFonts w:eastAsia="Times New Roman"/>
                <w:iCs/>
                <w:color w:val="000000"/>
                <w:sz w:val="22"/>
                <w:lang w:eastAsia="lv-LV"/>
              </w:rPr>
              <w:t>daļu šādā redakcijā:</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"(4</w:t>
            </w:r>
            <w:r w:rsidRPr="005B32D4">
              <w:rPr>
                <w:rFonts w:eastAsia="Times New Roman"/>
                <w:iCs/>
                <w:color w:val="000000"/>
                <w:sz w:val="22"/>
                <w:vertAlign w:val="superscript"/>
                <w:lang w:eastAsia="lv-LV"/>
              </w:rPr>
              <w:t>1</w:t>
            </w:r>
            <w:r w:rsidRPr="005B32D4">
              <w:rPr>
                <w:rFonts w:eastAsia="Times New Roman"/>
                <w:iCs/>
                <w:color w:val="000000"/>
                <w:sz w:val="22"/>
                <w:lang w:eastAsia="lv-LV"/>
              </w:rPr>
              <w:t>) Nodokļa maksājumus par sadzīves atkritumu apglabāšanu ieskaita:</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1) 2021. gadā 100 procentus – valsts pamatbudžetā;</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2) 2022. gadā 90 procentus – valsts pamatbudžetā un 10 procentus – tās vietējās pašvaldības pamatbudžetā, kuras teritorijā atkritumus apglabā;</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3) no 2023. gada 85 procentus – valsts pamatbudžetā un 15 procentus – tās vietējās pašvaldības pamatbudžetā, kuras teritorijā atkritumus apglabā.</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(4</w:t>
            </w:r>
            <w:r w:rsidRPr="005B32D4">
              <w:rPr>
                <w:rFonts w:eastAsia="Times New Roman"/>
                <w:iCs/>
                <w:color w:val="000000"/>
                <w:sz w:val="22"/>
                <w:vertAlign w:val="superscript"/>
                <w:lang w:eastAsia="lv-LV"/>
              </w:rPr>
              <w:t>2</w:t>
            </w:r>
            <w:r w:rsidRPr="005B32D4">
              <w:rPr>
                <w:rFonts w:eastAsia="Times New Roman"/>
                <w:iCs/>
                <w:color w:val="000000"/>
                <w:sz w:val="22"/>
                <w:lang w:eastAsia="lv-LV"/>
              </w:rPr>
              <w:t>) Nodokļa maksājumus par bīstamo atkritumu apglabāšanu ieskaita:</w:t>
            </w:r>
          </w:p>
          <w:p w:rsidR="005B32D4" w:rsidRPr="005B32D4"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1) 80 procentus – valsts pamatbudžetā;</w:t>
            </w:r>
          </w:p>
          <w:p w:rsidR="00056624" w:rsidRPr="004F2938" w:rsidRDefault="005B32D4" w:rsidP="005B32D4">
            <w:pPr>
              <w:ind w:firstLine="567"/>
              <w:jc w:val="both"/>
              <w:rPr>
                <w:rFonts w:eastAsia="Times New Roman"/>
                <w:iCs/>
                <w:color w:val="000000"/>
                <w:sz w:val="22"/>
                <w:lang w:eastAsia="lv-LV"/>
              </w:rPr>
            </w:pPr>
            <w:r w:rsidRPr="005B32D4">
              <w:rPr>
                <w:rFonts w:eastAsia="Times New Roman"/>
                <w:iCs/>
                <w:color w:val="000000"/>
                <w:sz w:val="22"/>
                <w:lang w:eastAsia="lv-LV"/>
              </w:rPr>
              <w:t>2) 20 procentus – tās vietējās pašvaldības pamatbudžetā, kuras teritorijā atkritumus apglabā."</w:t>
            </w:r>
          </w:p>
        </w:tc>
        <w:tc>
          <w:tcPr>
            <w:tcW w:w="567" w:type="dxa"/>
          </w:tcPr>
          <w:p w:rsidR="00056624"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7</w:t>
            </w:r>
          </w:p>
        </w:tc>
        <w:tc>
          <w:tcPr>
            <w:tcW w:w="3926" w:type="dxa"/>
          </w:tcPr>
          <w:p w:rsidR="002B6C56" w:rsidRDefault="002B6C56" w:rsidP="002B6C56">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AD2BA6" w:rsidRPr="00AD2BA6" w:rsidRDefault="00AD2BA6" w:rsidP="00C06D42">
            <w:pPr>
              <w:ind w:firstLine="567"/>
              <w:jc w:val="both"/>
              <w:rPr>
                <w:rFonts w:eastAsia="Times New Roman"/>
                <w:iCs/>
                <w:color w:val="000000"/>
                <w:sz w:val="22"/>
                <w:lang w:eastAsia="lv-LV"/>
              </w:rPr>
            </w:pPr>
            <w:r w:rsidRPr="00AD2BA6">
              <w:rPr>
                <w:rFonts w:eastAsia="Times New Roman"/>
                <w:iCs/>
                <w:color w:val="000000"/>
                <w:sz w:val="22"/>
                <w:lang w:eastAsia="lv-LV"/>
              </w:rPr>
              <w:t> Izteikt likumprojekta 3. pantā iekļauto grozījumu, kas paredz likuma 28. pantu papildināt ar 4.</w:t>
            </w:r>
            <w:r w:rsidRPr="00AD2BA6">
              <w:rPr>
                <w:rFonts w:eastAsia="Times New Roman"/>
                <w:iCs/>
                <w:color w:val="000000"/>
                <w:sz w:val="22"/>
                <w:vertAlign w:val="superscript"/>
                <w:lang w:eastAsia="lv-LV"/>
              </w:rPr>
              <w:t>1</w:t>
            </w:r>
            <w:r w:rsidRPr="00AD2BA6">
              <w:rPr>
                <w:rFonts w:eastAsia="Times New Roman"/>
                <w:iCs/>
                <w:color w:val="000000"/>
                <w:sz w:val="22"/>
                <w:lang w:eastAsia="lv-LV"/>
              </w:rPr>
              <w:t xml:space="preserve"> un 4.</w:t>
            </w:r>
            <w:r w:rsidRPr="00AD2BA6">
              <w:rPr>
                <w:rFonts w:eastAsia="Times New Roman"/>
                <w:iCs/>
                <w:color w:val="000000"/>
                <w:sz w:val="22"/>
                <w:vertAlign w:val="superscript"/>
                <w:lang w:eastAsia="lv-LV"/>
              </w:rPr>
              <w:t>2</w:t>
            </w:r>
            <w:r w:rsidRPr="00AD2BA6">
              <w:rPr>
                <w:rFonts w:eastAsia="Times New Roman"/>
                <w:iCs/>
                <w:color w:val="000000"/>
                <w:sz w:val="22"/>
                <w:lang w:eastAsia="lv-LV"/>
              </w:rPr>
              <w:t xml:space="preserve"> daļu, šādā redakcijā:</w:t>
            </w:r>
          </w:p>
          <w:p w:rsidR="00AD2BA6" w:rsidRPr="00AD2BA6" w:rsidRDefault="00AD2BA6" w:rsidP="00C06D42">
            <w:pPr>
              <w:ind w:firstLine="567"/>
              <w:jc w:val="both"/>
              <w:rPr>
                <w:rFonts w:eastAsia="Times New Roman"/>
                <w:iCs/>
                <w:color w:val="000000"/>
                <w:sz w:val="22"/>
                <w:lang w:eastAsia="lv-LV"/>
              </w:rPr>
            </w:pPr>
            <w:r w:rsidRPr="00AD2BA6">
              <w:rPr>
                <w:rFonts w:eastAsia="Times New Roman"/>
                <w:iCs/>
                <w:color w:val="000000"/>
                <w:sz w:val="22"/>
                <w:lang w:eastAsia="lv-LV"/>
              </w:rPr>
              <w:t>“(4</w:t>
            </w:r>
            <w:r w:rsidRPr="00AD2BA6">
              <w:rPr>
                <w:rFonts w:eastAsia="Times New Roman"/>
                <w:iCs/>
                <w:color w:val="000000"/>
                <w:sz w:val="22"/>
                <w:vertAlign w:val="superscript"/>
                <w:lang w:eastAsia="lv-LV"/>
              </w:rPr>
              <w:t>1</w:t>
            </w:r>
            <w:r w:rsidRPr="00AD2BA6">
              <w:rPr>
                <w:rFonts w:eastAsia="Times New Roman"/>
                <w:iCs/>
                <w:color w:val="000000"/>
                <w:sz w:val="22"/>
                <w:lang w:eastAsia="lv-LV"/>
              </w:rPr>
              <w:t>) Nodokļa maksājumus par atkritumu apglabāšanu atbilstoši šā likuma 3. pielikuma 1. punktam ieskaita:</w:t>
            </w:r>
          </w:p>
          <w:p w:rsidR="00AD2BA6" w:rsidRPr="00AD2BA6" w:rsidRDefault="00AD2BA6" w:rsidP="00C06D42">
            <w:pPr>
              <w:ind w:firstLine="567"/>
              <w:jc w:val="both"/>
              <w:rPr>
                <w:rFonts w:eastAsia="Times New Roman"/>
                <w:iCs/>
                <w:color w:val="000000"/>
                <w:sz w:val="22"/>
                <w:lang w:eastAsia="lv-LV"/>
              </w:rPr>
            </w:pPr>
            <w:r w:rsidRPr="00AD2BA6">
              <w:rPr>
                <w:rFonts w:eastAsia="Times New Roman"/>
                <w:iCs/>
                <w:color w:val="000000"/>
                <w:sz w:val="22"/>
                <w:lang w:eastAsia="lv-LV"/>
              </w:rPr>
              <w:t>1) 2021. gadā 100 procentus – valsts pamatbudžetā;</w:t>
            </w:r>
          </w:p>
          <w:p w:rsidR="00AD2BA6" w:rsidRPr="00AD2BA6" w:rsidRDefault="00AD2BA6" w:rsidP="00AD2BA6">
            <w:pPr>
              <w:ind w:firstLine="567"/>
              <w:jc w:val="both"/>
              <w:rPr>
                <w:rFonts w:eastAsia="Times New Roman"/>
                <w:iCs/>
                <w:color w:val="000000"/>
                <w:sz w:val="22"/>
                <w:lang w:eastAsia="lv-LV"/>
              </w:rPr>
            </w:pPr>
            <w:r w:rsidRPr="00AD2BA6">
              <w:rPr>
                <w:rFonts w:eastAsia="Times New Roman"/>
                <w:iCs/>
                <w:color w:val="000000"/>
                <w:sz w:val="22"/>
                <w:lang w:eastAsia="lv-LV"/>
              </w:rPr>
              <w:t>2) 2022. gadā 90 procentus – valsts pamatbudžetā un 10 procentus – tās vietējās pašvaldības pamatbudžetā, kuras teritorijā tiek veikta atkritumu apglabāšana;</w:t>
            </w:r>
          </w:p>
          <w:p w:rsidR="00AD2BA6" w:rsidRPr="00AD2BA6" w:rsidRDefault="00AD2BA6" w:rsidP="00AD2BA6">
            <w:pPr>
              <w:ind w:firstLine="567"/>
              <w:jc w:val="both"/>
              <w:rPr>
                <w:rFonts w:eastAsia="Times New Roman"/>
                <w:iCs/>
                <w:color w:val="000000"/>
                <w:sz w:val="22"/>
                <w:lang w:eastAsia="lv-LV"/>
              </w:rPr>
            </w:pPr>
            <w:r w:rsidRPr="00AD2BA6">
              <w:rPr>
                <w:rFonts w:eastAsia="Times New Roman"/>
                <w:iCs/>
                <w:color w:val="000000"/>
                <w:sz w:val="22"/>
                <w:lang w:eastAsia="lv-LV"/>
              </w:rPr>
              <w:t>3) no 2023. gada 85 procentus – valsts pamatbudžetā un 15 procentus – tās vietējās pašvaldības pamatbudžetā, kuras teritorijā tiek veikta atkritumu apglabāšana.</w:t>
            </w:r>
          </w:p>
          <w:p w:rsidR="00AD2BA6" w:rsidRPr="00AD2BA6" w:rsidRDefault="00AD2BA6" w:rsidP="00AD2BA6">
            <w:pPr>
              <w:ind w:firstLine="567"/>
              <w:jc w:val="both"/>
              <w:rPr>
                <w:rFonts w:eastAsia="Times New Roman"/>
                <w:iCs/>
                <w:color w:val="000000"/>
                <w:sz w:val="22"/>
                <w:lang w:eastAsia="lv-LV"/>
              </w:rPr>
            </w:pPr>
            <w:r w:rsidRPr="00AD2BA6">
              <w:rPr>
                <w:rFonts w:eastAsia="Times New Roman"/>
                <w:iCs/>
                <w:color w:val="000000"/>
                <w:sz w:val="22"/>
                <w:lang w:eastAsia="lv-LV"/>
              </w:rPr>
              <w:t>(4</w:t>
            </w:r>
            <w:r w:rsidRPr="00AD2BA6">
              <w:rPr>
                <w:rFonts w:eastAsia="Times New Roman"/>
                <w:iCs/>
                <w:color w:val="000000"/>
                <w:sz w:val="22"/>
                <w:vertAlign w:val="superscript"/>
                <w:lang w:eastAsia="lv-LV"/>
              </w:rPr>
              <w:t>2</w:t>
            </w:r>
            <w:r w:rsidRPr="00AD2BA6">
              <w:rPr>
                <w:rFonts w:eastAsia="Times New Roman"/>
                <w:iCs/>
                <w:color w:val="000000"/>
                <w:sz w:val="22"/>
                <w:lang w:eastAsia="lv-LV"/>
              </w:rPr>
              <w:t>) Nodokļa maksājumus par atkritumu apglabāšanu atbilstoši šā likuma 3. pielikuma 2. punktam ieskaita:</w:t>
            </w:r>
          </w:p>
          <w:p w:rsidR="00AD2BA6" w:rsidRPr="00AD2BA6" w:rsidRDefault="00AD2BA6" w:rsidP="00AD2BA6">
            <w:pPr>
              <w:ind w:firstLine="567"/>
              <w:jc w:val="both"/>
              <w:rPr>
                <w:rFonts w:eastAsia="Times New Roman"/>
                <w:iCs/>
                <w:color w:val="000000"/>
                <w:sz w:val="22"/>
                <w:lang w:eastAsia="lv-LV"/>
              </w:rPr>
            </w:pPr>
            <w:r w:rsidRPr="00AD2BA6">
              <w:rPr>
                <w:rFonts w:eastAsia="Times New Roman"/>
                <w:iCs/>
                <w:color w:val="000000"/>
                <w:sz w:val="22"/>
                <w:lang w:eastAsia="lv-LV"/>
              </w:rPr>
              <w:t>1) 80 procentus – valsts pamatbudžetā;</w:t>
            </w:r>
          </w:p>
          <w:p w:rsidR="00056624" w:rsidRPr="004B6B4F" w:rsidRDefault="00AD2BA6" w:rsidP="00AD2BA6">
            <w:pPr>
              <w:ind w:firstLine="567"/>
              <w:jc w:val="both"/>
              <w:rPr>
                <w:rFonts w:eastAsia="Times New Roman"/>
                <w:iCs/>
                <w:color w:val="000000"/>
                <w:sz w:val="22"/>
                <w:lang w:eastAsia="lv-LV"/>
              </w:rPr>
            </w:pPr>
            <w:r w:rsidRPr="00AD2BA6">
              <w:rPr>
                <w:rFonts w:eastAsia="Times New Roman"/>
                <w:iCs/>
                <w:color w:val="000000"/>
                <w:sz w:val="22"/>
                <w:lang w:eastAsia="lv-LV"/>
              </w:rPr>
              <w:t>2) 20 procentus – tās vietējās pašvaldības pamatbudžetā, kuras teritorijā tiek veikta atkritumu apglabāšana.”.</w:t>
            </w:r>
          </w:p>
        </w:tc>
        <w:tc>
          <w:tcPr>
            <w:tcW w:w="1411" w:type="dxa"/>
          </w:tcPr>
          <w:p w:rsidR="00056624" w:rsidRPr="004B6B4F" w:rsidRDefault="00056624" w:rsidP="002E34E0">
            <w:pPr>
              <w:jc w:val="center"/>
              <w:rPr>
                <w:rFonts w:eastAsia="Times New Roman"/>
                <w:iCs/>
                <w:color w:val="000000"/>
                <w:sz w:val="22"/>
                <w:lang w:eastAsia="lv-LV"/>
              </w:rPr>
            </w:pPr>
          </w:p>
        </w:tc>
        <w:tc>
          <w:tcPr>
            <w:tcW w:w="1414" w:type="dxa"/>
          </w:tcPr>
          <w:p w:rsidR="00056624" w:rsidRPr="004B6B4F" w:rsidRDefault="00056624" w:rsidP="002E34E0">
            <w:pPr>
              <w:jc w:val="center"/>
              <w:rPr>
                <w:rFonts w:eastAsia="Times New Roman"/>
                <w:iCs/>
                <w:color w:val="000000"/>
                <w:sz w:val="22"/>
                <w:lang w:eastAsia="lv-LV"/>
              </w:rPr>
            </w:pPr>
          </w:p>
        </w:tc>
      </w:tr>
      <w:tr w:rsidR="00060A07" w:rsidRPr="001B3F41" w:rsidTr="00EC440D">
        <w:tc>
          <w:tcPr>
            <w:tcW w:w="3917" w:type="dxa"/>
            <w:shd w:val="clear" w:color="auto" w:fill="auto"/>
          </w:tcPr>
          <w:p w:rsidR="00060A07" w:rsidRPr="001846DF" w:rsidRDefault="00D94C82" w:rsidP="006F0AD7">
            <w:pPr>
              <w:ind w:firstLine="567"/>
              <w:jc w:val="both"/>
              <w:rPr>
                <w:sz w:val="22"/>
              </w:rPr>
            </w:pPr>
            <w:r w:rsidRPr="00D94C82">
              <w:rPr>
                <w:sz w:val="22"/>
              </w:rPr>
              <w:t>(6) Nokavējuma naudu par nodokļa maksājumiem ieskaita valsts pamatbudžetā un vietējo pašvaldību vides aizsardzības speciālajos budžetos atbilstoši šā panta otrajā, trešajā un ceturtajā daļā noteiktajam sadalījumam.</w:t>
            </w:r>
          </w:p>
        </w:tc>
        <w:tc>
          <w:tcPr>
            <w:tcW w:w="3928" w:type="dxa"/>
            <w:shd w:val="clear" w:color="auto" w:fill="auto"/>
          </w:tcPr>
          <w:p w:rsidR="00060A07" w:rsidRPr="005B32D4" w:rsidRDefault="00060A07" w:rsidP="00827D05">
            <w:pPr>
              <w:ind w:firstLine="567"/>
              <w:jc w:val="both"/>
              <w:rPr>
                <w:rFonts w:eastAsia="Times New Roman"/>
                <w:iCs/>
                <w:color w:val="000000"/>
                <w:sz w:val="22"/>
                <w:lang w:eastAsia="lv-LV"/>
              </w:rPr>
            </w:pPr>
          </w:p>
        </w:tc>
        <w:tc>
          <w:tcPr>
            <w:tcW w:w="567" w:type="dxa"/>
          </w:tcPr>
          <w:p w:rsidR="00060A07" w:rsidRPr="00F96D2A" w:rsidRDefault="002E34E0" w:rsidP="00F96D2A">
            <w:pPr>
              <w:jc w:val="center"/>
              <w:rPr>
                <w:rFonts w:eastAsia="Times New Roman"/>
                <w:b/>
                <w:iCs/>
                <w:color w:val="000000"/>
                <w:sz w:val="22"/>
                <w:lang w:eastAsia="lv-LV"/>
              </w:rPr>
            </w:pPr>
            <w:r>
              <w:rPr>
                <w:rFonts w:eastAsia="Times New Roman"/>
                <w:b/>
                <w:iCs/>
                <w:color w:val="000000"/>
                <w:sz w:val="22"/>
                <w:lang w:eastAsia="lv-LV"/>
              </w:rPr>
              <w:t>8</w:t>
            </w:r>
          </w:p>
        </w:tc>
        <w:tc>
          <w:tcPr>
            <w:tcW w:w="3926" w:type="dxa"/>
          </w:tcPr>
          <w:p w:rsidR="00060A07" w:rsidRDefault="00060A07" w:rsidP="00060A07">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E17A08" w:rsidRPr="00E17A08" w:rsidRDefault="00E17A08" w:rsidP="00E17A08">
            <w:pPr>
              <w:ind w:firstLine="567"/>
              <w:jc w:val="both"/>
              <w:rPr>
                <w:rFonts w:eastAsia="Times New Roman"/>
                <w:iCs/>
                <w:color w:val="000000"/>
                <w:sz w:val="22"/>
                <w:lang w:eastAsia="lv-LV"/>
              </w:rPr>
            </w:pPr>
            <w:r w:rsidRPr="00E17A08">
              <w:rPr>
                <w:rFonts w:eastAsia="Times New Roman"/>
                <w:iCs/>
                <w:color w:val="000000"/>
                <w:sz w:val="22"/>
                <w:lang w:eastAsia="lv-LV"/>
              </w:rPr>
              <w:t>Papildināt likumprojektu ar jaunu pantu, kas paredz izteikt likuma 28. panta sesto daļu šādā redakcijā:</w:t>
            </w:r>
          </w:p>
          <w:p w:rsidR="00060A07" w:rsidRPr="00E17A08" w:rsidRDefault="00E17A08" w:rsidP="00E17A08">
            <w:pPr>
              <w:ind w:firstLine="567"/>
              <w:jc w:val="both"/>
              <w:rPr>
                <w:rFonts w:eastAsia="Times New Roman"/>
                <w:iCs/>
                <w:color w:val="000000"/>
                <w:sz w:val="22"/>
                <w:lang w:eastAsia="lv-LV"/>
              </w:rPr>
            </w:pPr>
            <w:r w:rsidRPr="00E17A08">
              <w:rPr>
                <w:rFonts w:eastAsia="Times New Roman"/>
                <w:iCs/>
                <w:color w:val="000000"/>
                <w:sz w:val="22"/>
                <w:lang w:eastAsia="lv-LV"/>
              </w:rPr>
              <w:t>“(6) Nokavējuma naudu par nodokļa maksājumiem ieskaita valsts pamatbudžetā un vietējās pašvaldības pamatbudžetā atbilstoši šā panta otrajā, trešajā, ceturtajā, 4.</w:t>
            </w:r>
            <w:r w:rsidRPr="00E17A08">
              <w:rPr>
                <w:rFonts w:eastAsia="Times New Roman"/>
                <w:iCs/>
                <w:color w:val="000000"/>
                <w:sz w:val="22"/>
                <w:vertAlign w:val="superscript"/>
                <w:lang w:eastAsia="lv-LV"/>
              </w:rPr>
              <w:t>1</w:t>
            </w:r>
            <w:r w:rsidRPr="00E17A08">
              <w:rPr>
                <w:rFonts w:eastAsia="Times New Roman"/>
                <w:iCs/>
                <w:color w:val="000000"/>
                <w:sz w:val="22"/>
                <w:lang w:eastAsia="lv-LV"/>
              </w:rPr>
              <w:t xml:space="preserve"> un 4.</w:t>
            </w:r>
            <w:r w:rsidRPr="00E17A08">
              <w:rPr>
                <w:rFonts w:eastAsia="Times New Roman"/>
                <w:iCs/>
                <w:color w:val="000000"/>
                <w:sz w:val="22"/>
                <w:vertAlign w:val="superscript"/>
                <w:lang w:eastAsia="lv-LV"/>
              </w:rPr>
              <w:t>2</w:t>
            </w:r>
            <w:r w:rsidRPr="00E17A08">
              <w:rPr>
                <w:rFonts w:eastAsia="Times New Roman"/>
                <w:iCs/>
                <w:color w:val="000000"/>
                <w:sz w:val="22"/>
                <w:lang w:eastAsia="lv-LV"/>
              </w:rPr>
              <w:t> daļā noteiktajam sadalījumam.”.</w:t>
            </w:r>
          </w:p>
        </w:tc>
        <w:tc>
          <w:tcPr>
            <w:tcW w:w="1411" w:type="dxa"/>
          </w:tcPr>
          <w:p w:rsidR="00060A07" w:rsidRPr="004B6B4F" w:rsidRDefault="00060A07" w:rsidP="002E34E0">
            <w:pPr>
              <w:jc w:val="center"/>
              <w:rPr>
                <w:rFonts w:eastAsia="Times New Roman"/>
                <w:iCs/>
                <w:color w:val="000000"/>
                <w:sz w:val="22"/>
                <w:lang w:eastAsia="lv-LV"/>
              </w:rPr>
            </w:pPr>
          </w:p>
        </w:tc>
        <w:tc>
          <w:tcPr>
            <w:tcW w:w="1414" w:type="dxa"/>
          </w:tcPr>
          <w:p w:rsidR="00060A07" w:rsidRPr="004B6B4F" w:rsidRDefault="00060A07" w:rsidP="002E34E0">
            <w:pPr>
              <w:jc w:val="center"/>
              <w:rPr>
                <w:rFonts w:eastAsia="Times New Roman"/>
                <w:iCs/>
                <w:color w:val="000000"/>
                <w:sz w:val="22"/>
                <w:lang w:eastAsia="lv-LV"/>
              </w:rPr>
            </w:pPr>
          </w:p>
        </w:tc>
      </w:tr>
      <w:tr w:rsidR="00056624" w:rsidRPr="001B3F41" w:rsidTr="00EC440D">
        <w:tc>
          <w:tcPr>
            <w:tcW w:w="3917" w:type="dxa"/>
            <w:shd w:val="clear" w:color="auto" w:fill="auto"/>
          </w:tcPr>
          <w:p w:rsidR="00056624" w:rsidRDefault="00056624" w:rsidP="00B6215C">
            <w:pPr>
              <w:ind w:firstLine="567"/>
              <w:jc w:val="both"/>
              <w:rPr>
                <w:b/>
                <w:sz w:val="22"/>
              </w:rPr>
            </w:pPr>
          </w:p>
        </w:tc>
        <w:tc>
          <w:tcPr>
            <w:tcW w:w="3928" w:type="dxa"/>
            <w:shd w:val="clear" w:color="auto" w:fill="auto"/>
          </w:tcPr>
          <w:p w:rsidR="0092686B" w:rsidRPr="0092686B" w:rsidRDefault="0092686B" w:rsidP="0092686B">
            <w:pPr>
              <w:ind w:firstLine="567"/>
              <w:jc w:val="both"/>
              <w:rPr>
                <w:rFonts w:eastAsia="Times New Roman"/>
                <w:iCs/>
                <w:color w:val="000000"/>
                <w:sz w:val="22"/>
                <w:lang w:eastAsia="lv-LV"/>
              </w:rPr>
            </w:pPr>
            <w:r w:rsidRPr="0092686B">
              <w:rPr>
                <w:rFonts w:eastAsia="Times New Roman"/>
                <w:iCs/>
                <w:color w:val="000000"/>
                <w:sz w:val="22"/>
                <w:lang w:eastAsia="lv-LV"/>
              </w:rPr>
              <w:t>4. Izteikt 3. un 4. pielikumu šādā redakcijā:</w:t>
            </w:r>
          </w:p>
          <w:p w:rsidR="00A32E5D" w:rsidRDefault="00A32E5D" w:rsidP="0092686B">
            <w:pPr>
              <w:jc w:val="both"/>
              <w:rPr>
                <w:rFonts w:eastAsia="Times New Roman"/>
                <w:b/>
                <w:bCs/>
                <w:i/>
                <w:color w:val="000000"/>
                <w:sz w:val="22"/>
                <w:lang w:eastAsia="lv-LV"/>
              </w:rPr>
            </w:pPr>
          </w:p>
          <w:p w:rsidR="00056624" w:rsidRDefault="00056624" w:rsidP="00BC34D1">
            <w:pPr>
              <w:ind w:firstLine="567"/>
              <w:jc w:val="both"/>
              <w:rPr>
                <w:rFonts w:eastAsia="Times New Roman"/>
                <w:b/>
                <w:bCs/>
                <w:color w:val="000000"/>
                <w:sz w:val="22"/>
                <w:lang w:eastAsia="lv-LV"/>
              </w:rPr>
            </w:pPr>
            <w:r w:rsidRPr="00A664D2">
              <w:rPr>
                <w:rFonts w:eastAsia="Times New Roman"/>
                <w:b/>
                <w:bCs/>
                <w:i/>
                <w:color w:val="000000"/>
                <w:sz w:val="22"/>
                <w:lang w:eastAsia="lv-LV"/>
              </w:rPr>
              <w:t xml:space="preserve">ailes turpinājums </w:t>
            </w:r>
            <w:r w:rsidRPr="00A664D2">
              <w:rPr>
                <w:rFonts w:eastAsia="Times New Roman"/>
                <w:b/>
                <w:bCs/>
                <w:color w:val="000000"/>
                <w:sz w:val="22"/>
                <w:lang w:eastAsia="lv-LV"/>
              </w:rPr>
              <w:t>↓↓↓</w:t>
            </w:r>
          </w:p>
          <w:p w:rsidR="00056624" w:rsidRPr="00BC34D1" w:rsidRDefault="00056624" w:rsidP="003606D9">
            <w:pPr>
              <w:jc w:val="both"/>
              <w:rPr>
                <w:rFonts w:eastAsia="Times New Roman"/>
                <w:iCs/>
                <w:color w:val="000000"/>
                <w:sz w:val="22"/>
                <w:lang w:eastAsia="lv-LV"/>
              </w:rPr>
            </w:pPr>
          </w:p>
        </w:tc>
        <w:tc>
          <w:tcPr>
            <w:tcW w:w="567" w:type="dxa"/>
          </w:tcPr>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3606D9">
            <w:pPr>
              <w:rPr>
                <w:rFonts w:eastAsia="Times New Roman"/>
                <w:b/>
                <w:iCs/>
                <w:color w:val="000000"/>
                <w:sz w:val="22"/>
                <w:lang w:eastAsia="lv-LV"/>
              </w:rPr>
            </w:pPr>
          </w:p>
          <w:p w:rsidR="00A32E5D" w:rsidRPr="00F96D2A" w:rsidRDefault="00A32E5D" w:rsidP="00F96D2A">
            <w:pPr>
              <w:jc w:val="center"/>
              <w:rPr>
                <w:rFonts w:eastAsia="Times New Roman"/>
                <w:b/>
                <w:iCs/>
                <w:color w:val="000000"/>
                <w:sz w:val="22"/>
                <w:lang w:eastAsia="lv-LV"/>
              </w:rPr>
            </w:pPr>
          </w:p>
        </w:tc>
        <w:tc>
          <w:tcPr>
            <w:tcW w:w="3926" w:type="dxa"/>
          </w:tcPr>
          <w:p w:rsidR="0040682C" w:rsidRPr="0040682C" w:rsidRDefault="0040682C" w:rsidP="00261CD0">
            <w:pPr>
              <w:ind w:firstLine="567"/>
              <w:jc w:val="both"/>
              <w:rPr>
                <w:rFonts w:eastAsia="Times New Roman"/>
                <w:iCs/>
                <w:color w:val="000000"/>
                <w:sz w:val="22"/>
                <w:lang w:eastAsia="lv-LV"/>
              </w:rPr>
            </w:pPr>
          </w:p>
        </w:tc>
        <w:tc>
          <w:tcPr>
            <w:tcW w:w="1411" w:type="dxa"/>
          </w:tcPr>
          <w:p w:rsidR="00056624" w:rsidRPr="00BC34D1" w:rsidRDefault="00056624" w:rsidP="002E34E0">
            <w:pPr>
              <w:jc w:val="center"/>
              <w:rPr>
                <w:rFonts w:eastAsia="Times New Roman"/>
                <w:iCs/>
                <w:color w:val="000000"/>
                <w:sz w:val="22"/>
                <w:lang w:eastAsia="lv-LV"/>
              </w:rPr>
            </w:pPr>
          </w:p>
        </w:tc>
        <w:tc>
          <w:tcPr>
            <w:tcW w:w="1414" w:type="dxa"/>
          </w:tcPr>
          <w:p w:rsidR="00056624" w:rsidRPr="00BC34D1" w:rsidRDefault="00056624" w:rsidP="002E34E0">
            <w:pPr>
              <w:jc w:val="center"/>
              <w:rPr>
                <w:rFonts w:eastAsia="Times New Roman"/>
                <w:iCs/>
                <w:color w:val="000000"/>
                <w:sz w:val="22"/>
                <w:lang w:eastAsia="lv-LV"/>
              </w:rPr>
            </w:pPr>
          </w:p>
        </w:tc>
      </w:tr>
    </w:tbl>
    <w:p w:rsidR="00A400CF" w:rsidRDefault="00A400CF"/>
    <w:p w:rsidR="003606D9" w:rsidRDefault="003606D9" w:rsidP="003606D9">
      <w:pPr>
        <w:ind w:firstLine="567"/>
        <w:jc w:val="right"/>
        <w:rPr>
          <w:rFonts w:eastAsia="Times New Roman"/>
          <w:iCs/>
          <w:color w:val="000000"/>
          <w:sz w:val="22"/>
          <w:lang w:eastAsia="lv-LV"/>
        </w:rPr>
      </w:pPr>
    </w:p>
    <w:p w:rsidR="003606D9" w:rsidRPr="0092686B" w:rsidRDefault="003606D9" w:rsidP="003606D9">
      <w:pPr>
        <w:ind w:firstLine="567"/>
        <w:jc w:val="right"/>
        <w:rPr>
          <w:rFonts w:eastAsia="Times New Roman"/>
          <w:iCs/>
          <w:color w:val="000000"/>
          <w:sz w:val="22"/>
          <w:lang w:eastAsia="lv-LV"/>
        </w:rPr>
      </w:pPr>
      <w:r w:rsidRPr="0092686B">
        <w:rPr>
          <w:rFonts w:eastAsia="Times New Roman"/>
          <w:iCs/>
          <w:color w:val="000000"/>
          <w:sz w:val="22"/>
          <w:lang w:eastAsia="lv-LV"/>
        </w:rPr>
        <w:t xml:space="preserve">"Dabas resursu nodokļa likuma </w:t>
      </w:r>
    </w:p>
    <w:p w:rsidR="003606D9" w:rsidRPr="0092686B" w:rsidRDefault="003606D9" w:rsidP="003606D9">
      <w:pPr>
        <w:ind w:firstLine="567"/>
        <w:jc w:val="right"/>
        <w:rPr>
          <w:rFonts w:eastAsia="Times New Roman"/>
          <w:iCs/>
          <w:color w:val="000000"/>
          <w:sz w:val="22"/>
          <w:lang w:eastAsia="lv-LV"/>
        </w:rPr>
      </w:pPr>
      <w:r w:rsidRPr="0092686B">
        <w:rPr>
          <w:rFonts w:eastAsia="Times New Roman"/>
          <w:iCs/>
          <w:color w:val="000000"/>
          <w:sz w:val="22"/>
          <w:lang w:eastAsia="lv-LV"/>
        </w:rPr>
        <w:t>3. pielikums</w:t>
      </w:r>
    </w:p>
    <w:p w:rsidR="003606D9" w:rsidRPr="0092686B" w:rsidRDefault="003606D9" w:rsidP="003606D9">
      <w:pPr>
        <w:ind w:firstLine="567"/>
        <w:jc w:val="both"/>
        <w:rPr>
          <w:rFonts w:eastAsia="Times New Roman"/>
          <w:bCs/>
          <w:iCs/>
          <w:color w:val="000000"/>
          <w:sz w:val="22"/>
          <w:lang w:eastAsia="lv-LV"/>
        </w:rPr>
      </w:pPr>
    </w:p>
    <w:p w:rsidR="003606D9" w:rsidRDefault="003606D9" w:rsidP="003606D9">
      <w:pPr>
        <w:ind w:firstLine="567"/>
        <w:jc w:val="center"/>
        <w:rPr>
          <w:rFonts w:eastAsia="Times New Roman"/>
          <w:b/>
          <w:bCs/>
          <w:iCs/>
          <w:color w:val="000000"/>
          <w:sz w:val="22"/>
          <w:lang w:eastAsia="lv-LV"/>
        </w:rPr>
      </w:pPr>
      <w:r w:rsidRPr="0092686B">
        <w:rPr>
          <w:rFonts w:eastAsia="Times New Roman"/>
          <w:b/>
          <w:bCs/>
          <w:iCs/>
          <w:color w:val="000000"/>
          <w:sz w:val="22"/>
          <w:lang w:eastAsia="lv-LV"/>
        </w:rPr>
        <w:t>Nodokļa likmes par atkritumu apglabāšanu</w:t>
      </w:r>
    </w:p>
    <w:p w:rsidR="003606D9" w:rsidRDefault="003606D9" w:rsidP="003606D9">
      <w:pPr>
        <w:ind w:firstLine="567"/>
        <w:jc w:val="center"/>
        <w:rPr>
          <w:rFonts w:eastAsia="Times New Roman"/>
          <w:b/>
          <w:bCs/>
          <w:iCs/>
          <w:color w:val="000000"/>
          <w:sz w:val="22"/>
          <w:lang w:eastAsia="lv-LV"/>
        </w:rPr>
      </w:pPr>
    </w:p>
    <w:tbl>
      <w:tblPr>
        <w:tblW w:w="5061" w:type="pct"/>
        <w:tblInd w:w="-112"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878"/>
        <w:gridCol w:w="4290"/>
        <w:gridCol w:w="1173"/>
        <w:gridCol w:w="2349"/>
        <w:gridCol w:w="2349"/>
        <w:gridCol w:w="2346"/>
        <w:gridCol w:w="1926"/>
      </w:tblGrid>
      <w:tr w:rsidR="003606D9" w:rsidRPr="003606D9" w:rsidTr="004B644C">
        <w:tc>
          <w:tcPr>
            <w:tcW w:w="287" w:type="pct"/>
            <w:vAlign w:val="center"/>
            <w:hideMark/>
          </w:tcPr>
          <w:p w:rsidR="003606D9" w:rsidRPr="003606D9" w:rsidRDefault="003606D9" w:rsidP="00F75133">
            <w:pPr>
              <w:rPr>
                <w:rFonts w:eastAsia="Times New Roman"/>
                <w:bCs/>
                <w:iCs/>
                <w:color w:val="000000"/>
                <w:sz w:val="22"/>
                <w:lang w:eastAsia="lv-LV"/>
              </w:rPr>
            </w:pPr>
            <w:r w:rsidRPr="003606D9">
              <w:rPr>
                <w:rFonts w:eastAsia="Times New Roman"/>
                <w:bCs/>
                <w:iCs/>
                <w:color w:val="000000"/>
                <w:sz w:val="22"/>
                <w:lang w:eastAsia="lv-LV"/>
              </w:rPr>
              <w:t>Nr. </w:t>
            </w:r>
            <w:r w:rsidRPr="003606D9">
              <w:rPr>
                <w:rFonts w:eastAsia="Times New Roman"/>
                <w:bCs/>
                <w:iCs/>
                <w:color w:val="000000"/>
                <w:sz w:val="22"/>
                <w:lang w:eastAsia="lv-LV"/>
              </w:rPr>
              <w:br/>
              <w:t>p. k.</w:t>
            </w:r>
          </w:p>
        </w:tc>
        <w:tc>
          <w:tcPr>
            <w:tcW w:w="1401" w:type="pct"/>
            <w:vAlign w:val="center"/>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Atkritumu veids</w:t>
            </w:r>
          </w:p>
        </w:tc>
        <w:tc>
          <w:tcPr>
            <w:tcW w:w="383" w:type="pct"/>
            <w:vAlign w:val="center"/>
            <w:hideMark/>
          </w:tcPr>
          <w:p w:rsidR="003606D9" w:rsidRPr="003606D9" w:rsidRDefault="003606D9" w:rsidP="00C6390F">
            <w:pPr>
              <w:rPr>
                <w:rFonts w:eastAsia="Times New Roman"/>
                <w:bCs/>
                <w:iCs/>
                <w:color w:val="000000"/>
                <w:sz w:val="22"/>
                <w:lang w:eastAsia="lv-LV"/>
              </w:rPr>
            </w:pPr>
            <w:r w:rsidRPr="003606D9">
              <w:rPr>
                <w:rFonts w:eastAsia="Times New Roman"/>
                <w:bCs/>
                <w:iCs/>
                <w:color w:val="000000"/>
                <w:sz w:val="22"/>
                <w:lang w:eastAsia="lv-LV"/>
              </w:rPr>
              <w:t>Mēr</w:t>
            </w:r>
            <w:r w:rsidRPr="003606D9">
              <w:rPr>
                <w:rFonts w:eastAsia="Times New Roman"/>
                <w:bCs/>
                <w:iCs/>
                <w:color w:val="000000"/>
                <w:sz w:val="22"/>
                <w:lang w:eastAsia="lv-LV"/>
              </w:rPr>
              <w:softHyphen/>
              <w:t>vienība</w:t>
            </w:r>
          </w:p>
        </w:tc>
        <w:tc>
          <w:tcPr>
            <w:tcW w:w="767" w:type="pct"/>
            <w:vAlign w:val="center"/>
            <w:hideMark/>
          </w:tcPr>
          <w:p w:rsidR="003606D9" w:rsidRPr="003606D9" w:rsidRDefault="003606D9" w:rsidP="00CE2DC2">
            <w:pPr>
              <w:ind w:firstLine="567"/>
              <w:jc w:val="center"/>
              <w:rPr>
                <w:rFonts w:eastAsia="Times New Roman"/>
                <w:bCs/>
                <w:iCs/>
                <w:color w:val="000000"/>
                <w:sz w:val="22"/>
                <w:lang w:eastAsia="lv-LV"/>
              </w:rPr>
            </w:pPr>
            <w:r w:rsidRPr="003606D9">
              <w:rPr>
                <w:rFonts w:eastAsia="Times New Roman"/>
                <w:bCs/>
                <w:iCs/>
                <w:color w:val="000000"/>
                <w:sz w:val="22"/>
                <w:lang w:eastAsia="lv-LV"/>
              </w:rPr>
              <w:t>Likme laikposmā no 2020. gada 1. janvāra līdz 2020.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767" w:type="pct"/>
            <w:vAlign w:val="center"/>
          </w:tcPr>
          <w:p w:rsidR="003606D9" w:rsidRPr="003606D9" w:rsidRDefault="003606D9" w:rsidP="00CE2DC2">
            <w:pPr>
              <w:ind w:firstLine="567"/>
              <w:jc w:val="center"/>
              <w:rPr>
                <w:rFonts w:eastAsia="Times New Roman"/>
                <w:bCs/>
                <w:iCs/>
                <w:color w:val="000000"/>
                <w:sz w:val="22"/>
                <w:lang w:eastAsia="lv-LV"/>
              </w:rPr>
            </w:pPr>
            <w:r w:rsidRPr="003606D9">
              <w:rPr>
                <w:rFonts w:eastAsia="Times New Roman"/>
                <w:bCs/>
                <w:iCs/>
                <w:color w:val="000000"/>
                <w:sz w:val="22"/>
                <w:lang w:eastAsia="lv-LV"/>
              </w:rPr>
              <w:t>Likme laikposmā no 2021. gada 1. janvāra līdz 202</w:t>
            </w:r>
            <w:r w:rsidRPr="003606D9">
              <w:rPr>
                <w:rFonts w:eastAsia="Times New Roman"/>
                <w:bCs/>
                <w:iCs/>
                <w:color w:val="000000"/>
                <w:sz w:val="22"/>
                <w:lang w:val="en-US" w:eastAsia="lv-LV"/>
              </w:rPr>
              <w:t>1</w:t>
            </w:r>
            <w:r w:rsidRPr="003606D9">
              <w:rPr>
                <w:rFonts w:eastAsia="Times New Roman"/>
                <w:bCs/>
                <w:iCs/>
                <w:color w:val="000000"/>
                <w:sz w:val="22"/>
                <w:lang w:eastAsia="lv-LV"/>
              </w:rPr>
              <w:t>.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766" w:type="pct"/>
            <w:vAlign w:val="center"/>
          </w:tcPr>
          <w:p w:rsidR="003606D9" w:rsidRPr="003606D9" w:rsidRDefault="003606D9" w:rsidP="00CE2DC2">
            <w:pPr>
              <w:ind w:firstLine="567"/>
              <w:jc w:val="center"/>
              <w:rPr>
                <w:rFonts w:eastAsia="Times New Roman"/>
                <w:bCs/>
                <w:iCs/>
                <w:color w:val="000000"/>
                <w:sz w:val="22"/>
                <w:lang w:eastAsia="lv-LV"/>
              </w:rPr>
            </w:pPr>
            <w:r w:rsidRPr="003606D9">
              <w:rPr>
                <w:rFonts w:eastAsia="Times New Roman"/>
                <w:bCs/>
                <w:iCs/>
                <w:color w:val="000000"/>
                <w:sz w:val="22"/>
                <w:lang w:eastAsia="lv-LV"/>
              </w:rPr>
              <w:t>Likme laikposmā no 2022. gada 1. janvāra līdz 2022.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629" w:type="pct"/>
            <w:vAlign w:val="center"/>
          </w:tcPr>
          <w:p w:rsidR="003606D9" w:rsidRPr="003606D9" w:rsidRDefault="003606D9" w:rsidP="00CE2DC2">
            <w:pPr>
              <w:ind w:firstLine="567"/>
              <w:jc w:val="center"/>
              <w:rPr>
                <w:rFonts w:eastAsia="Times New Roman"/>
                <w:bCs/>
                <w:iCs/>
                <w:color w:val="000000"/>
                <w:sz w:val="22"/>
                <w:lang w:eastAsia="lv-LV"/>
              </w:rPr>
            </w:pPr>
            <w:r w:rsidRPr="003606D9">
              <w:rPr>
                <w:rFonts w:eastAsia="Times New Roman"/>
                <w:bCs/>
                <w:iCs/>
                <w:color w:val="000000"/>
                <w:sz w:val="22"/>
                <w:lang w:eastAsia="lv-LV"/>
              </w:rPr>
              <w:t>Likme no 2023. gada 1. janvāra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r>
      <w:tr w:rsidR="003606D9" w:rsidRPr="003606D9" w:rsidTr="004B644C">
        <w:tc>
          <w:tcPr>
            <w:tcW w:w="287"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w:t>
            </w:r>
          </w:p>
        </w:tc>
        <w:tc>
          <w:tcPr>
            <w:tcW w:w="1401" w:type="pct"/>
            <w:hideMark/>
          </w:tcPr>
          <w:p w:rsidR="003606D9" w:rsidRPr="003606D9" w:rsidRDefault="003606D9" w:rsidP="00F75133">
            <w:pPr>
              <w:ind w:firstLine="567"/>
              <w:jc w:val="both"/>
              <w:rPr>
                <w:rFonts w:eastAsia="Times New Roman"/>
                <w:bCs/>
                <w:iCs/>
                <w:color w:val="000000"/>
                <w:sz w:val="22"/>
                <w:lang w:eastAsia="lv-LV"/>
              </w:rPr>
            </w:pPr>
            <w:r w:rsidRPr="003606D9">
              <w:rPr>
                <w:rFonts w:eastAsia="Times New Roman"/>
                <w:bCs/>
                <w:iCs/>
                <w:color w:val="000000"/>
                <w:sz w:val="22"/>
                <w:lang w:eastAsia="lv-LV"/>
              </w:rPr>
              <w:t>Sadzīves atkritumi un ražošanas atkritumi, kas nav uzskatāmi par bīstamiem atkritumiem atbilstoši normatīvajiem aktiem par atkritumu klasifikatoru un īpašībām, kuras padara atkritumus bīstamus</w:t>
            </w:r>
          </w:p>
        </w:tc>
        <w:tc>
          <w:tcPr>
            <w:tcW w:w="383"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7"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50,00</w:t>
            </w:r>
          </w:p>
        </w:tc>
        <w:tc>
          <w:tcPr>
            <w:tcW w:w="767"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65,00</w:t>
            </w:r>
          </w:p>
        </w:tc>
        <w:tc>
          <w:tcPr>
            <w:tcW w:w="766"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80,00</w:t>
            </w:r>
          </w:p>
        </w:tc>
        <w:tc>
          <w:tcPr>
            <w:tcW w:w="629"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95,00</w:t>
            </w:r>
          </w:p>
        </w:tc>
      </w:tr>
      <w:tr w:rsidR="003606D9" w:rsidRPr="003606D9" w:rsidTr="004B644C">
        <w:tc>
          <w:tcPr>
            <w:tcW w:w="287"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2.</w:t>
            </w:r>
          </w:p>
        </w:tc>
        <w:tc>
          <w:tcPr>
            <w:tcW w:w="1401" w:type="pct"/>
            <w:hideMark/>
          </w:tcPr>
          <w:p w:rsidR="003606D9" w:rsidRPr="003606D9" w:rsidRDefault="003606D9" w:rsidP="00F75133">
            <w:pPr>
              <w:ind w:firstLine="567"/>
              <w:jc w:val="both"/>
              <w:rPr>
                <w:rFonts w:eastAsia="Times New Roman"/>
                <w:bCs/>
                <w:iCs/>
                <w:color w:val="000000"/>
                <w:sz w:val="22"/>
                <w:lang w:eastAsia="lv-LV"/>
              </w:rPr>
            </w:pPr>
            <w:r w:rsidRPr="003606D9">
              <w:rPr>
                <w:rFonts w:eastAsia="Times New Roman"/>
                <w:bCs/>
                <w:iCs/>
                <w:color w:val="000000"/>
                <w:sz w:val="22"/>
                <w:lang w:eastAsia="lv-LV"/>
              </w:rPr>
              <w:t>Bīstamie atkritumi un ražošanas atkritumi, kas ir uzskatāmi par bīstamiem atkritumiem atbilstoši normatīvajiem aktiem par atkritumu klasifikatoru un īpašībām, kuras padara atkritumus bīstamus</w:t>
            </w:r>
          </w:p>
        </w:tc>
        <w:tc>
          <w:tcPr>
            <w:tcW w:w="383"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7"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60,00</w:t>
            </w:r>
          </w:p>
        </w:tc>
        <w:tc>
          <w:tcPr>
            <w:tcW w:w="767"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70,00</w:t>
            </w:r>
          </w:p>
        </w:tc>
        <w:tc>
          <w:tcPr>
            <w:tcW w:w="766"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85,00</w:t>
            </w:r>
          </w:p>
        </w:tc>
        <w:tc>
          <w:tcPr>
            <w:tcW w:w="629" w:type="pct"/>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100,00</w:t>
            </w:r>
          </w:p>
        </w:tc>
      </w:tr>
    </w:tbl>
    <w:p w:rsidR="003606D9" w:rsidRPr="003606D9" w:rsidRDefault="003606D9" w:rsidP="003606D9">
      <w:pPr>
        <w:ind w:firstLine="567"/>
        <w:jc w:val="center"/>
        <w:rPr>
          <w:rFonts w:eastAsia="Times New Roman"/>
          <w:bCs/>
          <w:iCs/>
          <w:color w:val="000000"/>
          <w:sz w:val="22"/>
          <w:lang w:eastAsia="lv-LV"/>
        </w:rPr>
      </w:pPr>
    </w:p>
    <w:p w:rsidR="003606D9" w:rsidRPr="003606D9" w:rsidRDefault="003606D9" w:rsidP="003606D9">
      <w:pPr>
        <w:ind w:firstLine="567"/>
        <w:jc w:val="right"/>
        <w:rPr>
          <w:rFonts w:eastAsia="Times New Roman"/>
          <w:bCs/>
          <w:iCs/>
          <w:color w:val="000000"/>
          <w:sz w:val="22"/>
          <w:lang w:eastAsia="lv-LV"/>
        </w:rPr>
      </w:pPr>
      <w:r w:rsidRPr="003606D9">
        <w:rPr>
          <w:rFonts w:eastAsia="Times New Roman"/>
          <w:bCs/>
          <w:iCs/>
          <w:color w:val="000000"/>
          <w:sz w:val="22"/>
          <w:lang w:eastAsia="lv-LV"/>
        </w:rPr>
        <w:br w:type="page"/>
        <w:t>Dabas resursu nodokļa likuma</w:t>
      </w:r>
    </w:p>
    <w:p w:rsidR="003606D9" w:rsidRPr="003606D9" w:rsidRDefault="003606D9" w:rsidP="003606D9">
      <w:pPr>
        <w:ind w:firstLine="567"/>
        <w:jc w:val="right"/>
        <w:rPr>
          <w:rFonts w:eastAsia="Times New Roman"/>
          <w:bCs/>
          <w:iCs/>
          <w:color w:val="000000"/>
          <w:sz w:val="22"/>
          <w:lang w:eastAsia="lv-LV"/>
        </w:rPr>
      </w:pPr>
      <w:r w:rsidRPr="003606D9">
        <w:rPr>
          <w:rFonts w:eastAsia="Times New Roman"/>
          <w:bCs/>
          <w:iCs/>
          <w:color w:val="000000"/>
          <w:sz w:val="22"/>
          <w:lang w:eastAsia="lv-LV"/>
        </w:rPr>
        <w:t>4. pielikums</w:t>
      </w:r>
      <w:bookmarkStart w:id="1" w:name="piel-710988"/>
      <w:bookmarkEnd w:id="1"/>
    </w:p>
    <w:p w:rsidR="003606D9" w:rsidRPr="003606D9" w:rsidRDefault="003606D9" w:rsidP="003606D9">
      <w:pPr>
        <w:ind w:firstLine="567"/>
        <w:jc w:val="center"/>
        <w:rPr>
          <w:rFonts w:eastAsia="Times New Roman"/>
          <w:b/>
          <w:bCs/>
          <w:iCs/>
          <w:color w:val="000000"/>
          <w:sz w:val="22"/>
          <w:lang w:eastAsia="lv-LV"/>
        </w:rPr>
      </w:pPr>
      <w:bookmarkStart w:id="2" w:name="710989"/>
      <w:bookmarkStart w:id="3" w:name="n-710989"/>
      <w:bookmarkEnd w:id="2"/>
      <w:bookmarkEnd w:id="3"/>
      <w:r w:rsidRPr="003606D9">
        <w:rPr>
          <w:rFonts w:eastAsia="Times New Roman"/>
          <w:b/>
          <w:bCs/>
          <w:iCs/>
          <w:color w:val="000000"/>
          <w:sz w:val="22"/>
          <w:lang w:eastAsia="lv-LV"/>
        </w:rPr>
        <w:t>Nodokļa likmes par gaisa piesārņošanu</w:t>
      </w:r>
    </w:p>
    <w:p w:rsidR="003606D9" w:rsidRPr="003606D9" w:rsidRDefault="003606D9" w:rsidP="003606D9">
      <w:pPr>
        <w:ind w:firstLine="567"/>
        <w:jc w:val="center"/>
        <w:rPr>
          <w:rFonts w:eastAsia="Times New Roman"/>
          <w:bCs/>
          <w:iCs/>
          <w:color w:val="000000"/>
          <w:sz w:val="22"/>
          <w:lang w:eastAsia="lv-LV"/>
        </w:rPr>
      </w:pPr>
    </w:p>
    <w:tbl>
      <w:tblPr>
        <w:tblW w:w="5045" w:type="pct"/>
        <w:tblInd w:w="-112"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947"/>
        <w:gridCol w:w="4229"/>
        <w:gridCol w:w="1176"/>
        <w:gridCol w:w="2345"/>
        <w:gridCol w:w="2347"/>
        <w:gridCol w:w="2344"/>
        <w:gridCol w:w="1874"/>
      </w:tblGrid>
      <w:tr w:rsidR="003606D9" w:rsidRPr="003606D9" w:rsidTr="004B644C">
        <w:tc>
          <w:tcPr>
            <w:tcW w:w="310" w:type="pct"/>
            <w:vAlign w:val="center"/>
            <w:hideMark/>
          </w:tcPr>
          <w:p w:rsidR="003606D9" w:rsidRPr="003606D9" w:rsidRDefault="003606D9" w:rsidP="00E20244">
            <w:pPr>
              <w:rPr>
                <w:rFonts w:eastAsia="Times New Roman"/>
                <w:bCs/>
                <w:iCs/>
                <w:color w:val="000000"/>
                <w:sz w:val="22"/>
                <w:lang w:eastAsia="lv-LV"/>
              </w:rPr>
            </w:pPr>
            <w:r w:rsidRPr="003606D9">
              <w:rPr>
                <w:rFonts w:eastAsia="Times New Roman"/>
                <w:bCs/>
                <w:iCs/>
                <w:color w:val="000000"/>
                <w:sz w:val="22"/>
                <w:lang w:eastAsia="lv-LV"/>
              </w:rPr>
              <w:t>Nr. </w:t>
            </w:r>
            <w:r w:rsidRPr="003606D9">
              <w:rPr>
                <w:rFonts w:eastAsia="Times New Roman"/>
                <w:bCs/>
                <w:iCs/>
                <w:color w:val="000000"/>
                <w:sz w:val="22"/>
                <w:lang w:eastAsia="lv-LV"/>
              </w:rPr>
              <w:br/>
              <w:t>p. k.</w:t>
            </w:r>
          </w:p>
        </w:tc>
        <w:tc>
          <w:tcPr>
            <w:tcW w:w="1384" w:type="pct"/>
            <w:vAlign w:val="center"/>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Emisijas klasifikācija</w:t>
            </w:r>
          </w:p>
        </w:tc>
        <w:tc>
          <w:tcPr>
            <w:tcW w:w="385" w:type="pct"/>
            <w:vAlign w:val="center"/>
            <w:hideMark/>
          </w:tcPr>
          <w:p w:rsidR="003606D9" w:rsidRPr="003606D9" w:rsidRDefault="003606D9" w:rsidP="00C6390F">
            <w:pPr>
              <w:rPr>
                <w:rFonts w:eastAsia="Times New Roman"/>
                <w:bCs/>
                <w:iCs/>
                <w:color w:val="000000"/>
                <w:sz w:val="22"/>
                <w:lang w:eastAsia="lv-LV"/>
              </w:rPr>
            </w:pPr>
            <w:r w:rsidRPr="003606D9">
              <w:rPr>
                <w:rFonts w:eastAsia="Times New Roman"/>
                <w:bCs/>
                <w:iCs/>
                <w:color w:val="000000"/>
                <w:sz w:val="22"/>
                <w:lang w:eastAsia="lv-LV"/>
              </w:rPr>
              <w:t>Mēr</w:t>
            </w:r>
            <w:r w:rsidRPr="003606D9">
              <w:rPr>
                <w:rFonts w:eastAsia="Times New Roman"/>
                <w:bCs/>
                <w:iCs/>
                <w:color w:val="000000"/>
                <w:sz w:val="22"/>
                <w:lang w:eastAsia="lv-LV"/>
              </w:rPr>
              <w:softHyphen/>
              <w:t>vienība</w:t>
            </w:r>
          </w:p>
        </w:tc>
        <w:tc>
          <w:tcPr>
            <w:tcW w:w="768" w:type="pct"/>
            <w:vAlign w:val="center"/>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Likme laikposmā no 2020. gada 1. janvāra līdz 2020.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769" w:type="pct"/>
            <w:vAlign w:val="center"/>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Likme laikposmā no 2021. gada 1. janvāra līdz 2021.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768" w:type="pct"/>
            <w:vAlign w:val="center"/>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Likme no 2022. gada 1. janvāra līdz 2022. gada 31. decembrim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c>
          <w:tcPr>
            <w:tcW w:w="614" w:type="pct"/>
            <w:vAlign w:val="center"/>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Likme no 2023. gada 1. janvāra (</w:t>
            </w:r>
            <w:r w:rsidRPr="003606D9">
              <w:rPr>
                <w:rFonts w:eastAsia="Times New Roman"/>
                <w:bCs/>
                <w:i/>
                <w:iCs/>
                <w:color w:val="000000"/>
                <w:sz w:val="22"/>
                <w:lang w:eastAsia="lv-LV"/>
              </w:rPr>
              <w:t>euro</w:t>
            </w:r>
            <w:r w:rsidRPr="003606D9">
              <w:rPr>
                <w:rFonts w:eastAsia="Times New Roman"/>
                <w:bCs/>
                <w:iCs/>
                <w:color w:val="000000"/>
                <w:sz w:val="22"/>
                <w:lang w:eastAsia="lv-LV"/>
              </w:rPr>
              <w:t>)</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Oglekļa dioksīda (CO</w:t>
            </w:r>
            <w:r w:rsidRPr="003606D9">
              <w:rPr>
                <w:rFonts w:eastAsia="Times New Roman"/>
                <w:bCs/>
                <w:iCs/>
                <w:color w:val="000000"/>
                <w:sz w:val="22"/>
                <w:vertAlign w:val="subscript"/>
                <w:lang w:eastAsia="lv-LV"/>
              </w:rPr>
              <w:t>2</w:t>
            </w:r>
            <w:r w:rsidRPr="003606D9">
              <w:rPr>
                <w:rFonts w:eastAsia="Times New Roman"/>
                <w:bCs/>
                <w:iCs/>
                <w:color w:val="000000"/>
                <w:sz w:val="22"/>
                <w:lang w:eastAsia="lv-LV"/>
              </w:rPr>
              <w:t>) emisija no likuma "</w:t>
            </w:r>
            <w:r w:rsidRPr="00CF2241">
              <w:rPr>
                <w:rFonts w:eastAsia="Times New Roman"/>
                <w:bCs/>
                <w:iCs/>
                <w:color w:val="000000"/>
                <w:sz w:val="22"/>
                <w:lang w:eastAsia="lv-LV"/>
              </w:rPr>
              <w:t>Par piesārņojumu</w:t>
            </w:r>
            <w:r w:rsidRPr="003606D9">
              <w:rPr>
                <w:rFonts w:eastAsia="Times New Roman"/>
                <w:bCs/>
                <w:iCs/>
                <w:color w:val="000000"/>
                <w:sz w:val="22"/>
                <w:lang w:eastAsia="lv-LV"/>
              </w:rPr>
              <w:t xml:space="preserve">" </w:t>
            </w:r>
            <w:r w:rsidRPr="00CF2241">
              <w:rPr>
                <w:rFonts w:eastAsia="Times New Roman"/>
                <w:bCs/>
                <w:iCs/>
                <w:color w:val="000000"/>
                <w:sz w:val="22"/>
                <w:lang w:eastAsia="lv-LV"/>
              </w:rPr>
              <w:t>2.</w:t>
            </w:r>
            <w:r w:rsidRPr="003606D9">
              <w:rPr>
                <w:rFonts w:eastAsia="Times New Roman"/>
                <w:bCs/>
                <w:iCs/>
                <w:color w:val="000000"/>
                <w:sz w:val="22"/>
                <w:lang w:eastAsia="lv-LV"/>
              </w:rPr>
              <w:t xml:space="preserve"> pielikuma I nodaļas </w:t>
            </w:r>
            <w:r w:rsidRPr="00CF2241">
              <w:rPr>
                <w:rFonts w:eastAsia="Times New Roman"/>
                <w:bCs/>
                <w:iCs/>
                <w:color w:val="000000"/>
                <w:sz w:val="22"/>
                <w:lang w:eastAsia="lv-LV"/>
              </w:rPr>
              <w:t>1.</w:t>
            </w:r>
            <w:r w:rsidRPr="003606D9">
              <w:rPr>
                <w:rFonts w:eastAsia="Times New Roman"/>
                <w:bCs/>
                <w:iCs/>
                <w:color w:val="000000"/>
                <w:sz w:val="22"/>
                <w:lang w:eastAsia="lv-LV"/>
              </w:rPr>
              <w:t> punktā minētās piesārņojošās darbības, ja ražošanas jauda nepārsniedz likuma "</w:t>
            </w:r>
            <w:r w:rsidRPr="00CF2241">
              <w:rPr>
                <w:rFonts w:eastAsia="Times New Roman"/>
                <w:bCs/>
                <w:iCs/>
                <w:color w:val="000000"/>
                <w:sz w:val="22"/>
                <w:lang w:eastAsia="lv-LV"/>
              </w:rPr>
              <w:t>Par piesārņojumu</w:t>
            </w:r>
            <w:r w:rsidRPr="003606D9">
              <w:rPr>
                <w:rFonts w:eastAsia="Times New Roman"/>
                <w:bCs/>
                <w:iCs/>
                <w:color w:val="000000"/>
                <w:sz w:val="22"/>
                <w:lang w:eastAsia="lv-LV"/>
              </w:rPr>
              <w:t xml:space="preserve">" </w:t>
            </w:r>
            <w:r w:rsidRPr="00CF2241">
              <w:rPr>
                <w:rFonts w:eastAsia="Times New Roman"/>
                <w:bCs/>
                <w:iCs/>
                <w:color w:val="000000"/>
                <w:sz w:val="22"/>
                <w:lang w:eastAsia="lv-LV"/>
              </w:rPr>
              <w:t>2.</w:t>
            </w:r>
            <w:r w:rsidRPr="003606D9">
              <w:rPr>
                <w:rFonts w:eastAsia="Times New Roman"/>
                <w:bCs/>
                <w:iCs/>
                <w:color w:val="000000"/>
                <w:sz w:val="22"/>
                <w:lang w:eastAsia="lv-LV"/>
              </w:rPr>
              <w:t> pielikumā minēto rādītāju</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9,00</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12,00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15,00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15,00</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2.</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Oglekļa dioksīda (CO</w:t>
            </w:r>
            <w:r w:rsidRPr="003606D9">
              <w:rPr>
                <w:rFonts w:eastAsia="Times New Roman"/>
                <w:bCs/>
                <w:iCs/>
                <w:color w:val="000000"/>
                <w:sz w:val="22"/>
                <w:vertAlign w:val="subscript"/>
                <w:lang w:eastAsia="lv-LV"/>
              </w:rPr>
              <w:t>2</w:t>
            </w:r>
            <w:r w:rsidRPr="003606D9">
              <w:rPr>
                <w:rFonts w:eastAsia="Times New Roman"/>
                <w:bCs/>
                <w:iCs/>
                <w:color w:val="000000"/>
                <w:sz w:val="22"/>
                <w:lang w:eastAsia="lv-LV"/>
              </w:rPr>
              <w:t>) emisija no likuma "</w:t>
            </w:r>
            <w:r w:rsidRPr="00CF2241">
              <w:rPr>
                <w:rFonts w:eastAsia="Times New Roman"/>
                <w:bCs/>
                <w:iCs/>
                <w:color w:val="000000"/>
                <w:sz w:val="22"/>
                <w:lang w:eastAsia="lv-LV"/>
              </w:rPr>
              <w:t>Par piesārņojumu</w:t>
            </w:r>
            <w:r w:rsidRPr="003606D9">
              <w:rPr>
                <w:rFonts w:eastAsia="Times New Roman"/>
                <w:bCs/>
                <w:iCs/>
                <w:color w:val="000000"/>
                <w:sz w:val="22"/>
                <w:lang w:eastAsia="lv-LV"/>
              </w:rPr>
              <w:t xml:space="preserve">" </w:t>
            </w:r>
            <w:r w:rsidRPr="00CF2241">
              <w:rPr>
                <w:rFonts w:eastAsia="Times New Roman"/>
                <w:bCs/>
                <w:iCs/>
                <w:color w:val="000000"/>
                <w:sz w:val="22"/>
                <w:lang w:eastAsia="lv-LV"/>
              </w:rPr>
              <w:t>2.</w:t>
            </w:r>
            <w:r w:rsidRPr="003606D9">
              <w:rPr>
                <w:rFonts w:eastAsia="Times New Roman"/>
                <w:bCs/>
                <w:iCs/>
                <w:color w:val="000000"/>
                <w:sz w:val="22"/>
                <w:lang w:eastAsia="lv-LV"/>
              </w:rPr>
              <w:t xml:space="preserve"> pielikuma I nodaļas </w:t>
            </w:r>
            <w:r w:rsidRPr="00CF2241">
              <w:rPr>
                <w:rFonts w:eastAsia="Times New Roman"/>
                <w:bCs/>
                <w:iCs/>
                <w:color w:val="000000"/>
                <w:sz w:val="22"/>
                <w:lang w:eastAsia="lv-LV"/>
              </w:rPr>
              <w:t>5.</w:t>
            </w:r>
            <w:r w:rsidRPr="003606D9">
              <w:rPr>
                <w:rFonts w:eastAsia="Times New Roman"/>
                <w:bCs/>
                <w:iCs/>
                <w:color w:val="000000"/>
                <w:sz w:val="22"/>
                <w:lang w:eastAsia="lv-LV"/>
              </w:rPr>
              <w:t xml:space="preserve">, </w:t>
            </w:r>
            <w:r w:rsidRPr="00CF2241">
              <w:rPr>
                <w:rFonts w:eastAsia="Times New Roman"/>
                <w:bCs/>
                <w:iCs/>
                <w:color w:val="000000"/>
                <w:sz w:val="22"/>
                <w:lang w:eastAsia="lv-LV"/>
              </w:rPr>
              <w:t>6.</w:t>
            </w:r>
            <w:r w:rsidRPr="003606D9">
              <w:rPr>
                <w:rFonts w:eastAsia="Times New Roman"/>
                <w:bCs/>
                <w:iCs/>
                <w:color w:val="000000"/>
                <w:sz w:val="22"/>
                <w:lang w:eastAsia="lv-LV"/>
              </w:rPr>
              <w:t xml:space="preserve">, </w:t>
            </w:r>
            <w:r w:rsidRPr="00CF2241">
              <w:rPr>
                <w:rFonts w:eastAsia="Times New Roman"/>
                <w:bCs/>
                <w:iCs/>
                <w:color w:val="000000"/>
                <w:sz w:val="22"/>
                <w:lang w:eastAsia="lv-LV"/>
              </w:rPr>
              <w:t>8.</w:t>
            </w:r>
            <w:r w:rsidRPr="003606D9">
              <w:rPr>
                <w:rFonts w:eastAsia="Times New Roman"/>
                <w:bCs/>
                <w:iCs/>
                <w:color w:val="000000"/>
                <w:sz w:val="22"/>
                <w:lang w:eastAsia="lv-LV"/>
              </w:rPr>
              <w:t xml:space="preserve">, </w:t>
            </w:r>
            <w:r w:rsidRPr="00CF2241">
              <w:rPr>
                <w:rFonts w:eastAsia="Times New Roman"/>
                <w:bCs/>
                <w:iCs/>
                <w:color w:val="000000"/>
                <w:sz w:val="22"/>
                <w:lang w:eastAsia="lv-LV"/>
              </w:rPr>
              <w:t>9.</w:t>
            </w:r>
            <w:r w:rsidRPr="003606D9">
              <w:rPr>
                <w:rFonts w:eastAsia="Times New Roman"/>
                <w:bCs/>
                <w:iCs/>
                <w:color w:val="000000"/>
                <w:sz w:val="22"/>
                <w:lang w:eastAsia="lv-LV"/>
              </w:rPr>
              <w:t xml:space="preserve">, </w:t>
            </w:r>
            <w:r w:rsidRPr="00CF2241">
              <w:rPr>
                <w:rFonts w:eastAsia="Times New Roman"/>
                <w:bCs/>
                <w:iCs/>
                <w:color w:val="000000"/>
                <w:sz w:val="22"/>
                <w:lang w:eastAsia="lv-LV"/>
              </w:rPr>
              <w:t>10.</w:t>
            </w:r>
            <w:r w:rsidRPr="003606D9">
              <w:rPr>
                <w:rFonts w:eastAsia="Times New Roman"/>
                <w:bCs/>
                <w:iCs/>
                <w:color w:val="000000"/>
                <w:sz w:val="22"/>
                <w:lang w:eastAsia="lv-LV"/>
              </w:rPr>
              <w:t xml:space="preserve">, </w:t>
            </w:r>
            <w:r w:rsidRPr="00CF2241">
              <w:rPr>
                <w:rFonts w:eastAsia="Times New Roman"/>
                <w:bCs/>
                <w:iCs/>
                <w:color w:val="000000"/>
                <w:sz w:val="22"/>
                <w:lang w:eastAsia="lv-LV"/>
              </w:rPr>
              <w:t>11.</w:t>
            </w:r>
            <w:r w:rsidRPr="003606D9">
              <w:rPr>
                <w:rFonts w:eastAsia="Times New Roman"/>
                <w:bCs/>
                <w:iCs/>
                <w:color w:val="000000"/>
                <w:sz w:val="22"/>
                <w:lang w:eastAsia="lv-LV"/>
              </w:rPr>
              <w:t xml:space="preserve">, </w:t>
            </w:r>
            <w:r w:rsidRPr="00CF2241">
              <w:rPr>
                <w:rFonts w:eastAsia="Times New Roman"/>
                <w:bCs/>
                <w:iCs/>
                <w:color w:val="000000"/>
                <w:sz w:val="22"/>
                <w:lang w:eastAsia="lv-LV"/>
              </w:rPr>
              <w:t>12.</w:t>
            </w:r>
            <w:r w:rsidRPr="003606D9">
              <w:rPr>
                <w:rFonts w:eastAsia="Times New Roman"/>
                <w:bCs/>
                <w:iCs/>
                <w:color w:val="000000"/>
                <w:sz w:val="22"/>
                <w:lang w:eastAsia="lv-LV"/>
              </w:rPr>
              <w:t xml:space="preserve">, </w:t>
            </w:r>
            <w:r w:rsidRPr="00CF2241">
              <w:rPr>
                <w:rFonts w:eastAsia="Times New Roman"/>
                <w:bCs/>
                <w:iCs/>
                <w:color w:val="000000"/>
                <w:sz w:val="22"/>
                <w:lang w:eastAsia="lv-LV"/>
              </w:rPr>
              <w:t>13.</w:t>
            </w:r>
            <w:r w:rsidRPr="003606D9">
              <w:rPr>
                <w:rFonts w:eastAsia="Times New Roman"/>
                <w:bCs/>
                <w:iCs/>
                <w:color w:val="000000"/>
                <w:sz w:val="22"/>
                <w:lang w:eastAsia="lv-LV"/>
              </w:rPr>
              <w:t xml:space="preserve">, </w:t>
            </w:r>
            <w:r w:rsidRPr="00CF2241">
              <w:rPr>
                <w:rFonts w:eastAsia="Times New Roman"/>
                <w:bCs/>
                <w:iCs/>
                <w:color w:val="000000"/>
                <w:sz w:val="22"/>
                <w:lang w:eastAsia="lv-LV"/>
              </w:rPr>
              <w:t>14.</w:t>
            </w:r>
            <w:r w:rsidRPr="003606D9">
              <w:rPr>
                <w:rFonts w:eastAsia="Times New Roman"/>
                <w:bCs/>
                <w:iCs/>
                <w:color w:val="000000"/>
                <w:sz w:val="22"/>
                <w:lang w:eastAsia="lv-LV"/>
              </w:rPr>
              <w:t xml:space="preserve">, </w:t>
            </w:r>
            <w:r w:rsidRPr="00CF2241">
              <w:rPr>
                <w:rFonts w:eastAsia="Times New Roman"/>
                <w:bCs/>
                <w:iCs/>
                <w:color w:val="000000"/>
                <w:sz w:val="22"/>
                <w:lang w:eastAsia="lv-LV"/>
              </w:rPr>
              <w:t>15.</w:t>
            </w:r>
            <w:r w:rsidRPr="003606D9">
              <w:rPr>
                <w:rFonts w:eastAsia="Times New Roman"/>
                <w:bCs/>
                <w:iCs/>
                <w:color w:val="000000"/>
                <w:sz w:val="22"/>
                <w:lang w:eastAsia="lv-LV"/>
              </w:rPr>
              <w:t xml:space="preserve">, </w:t>
            </w:r>
            <w:r w:rsidRPr="00CF2241">
              <w:rPr>
                <w:rFonts w:eastAsia="Times New Roman"/>
                <w:bCs/>
                <w:iCs/>
                <w:color w:val="000000"/>
                <w:sz w:val="22"/>
                <w:lang w:eastAsia="lv-LV"/>
              </w:rPr>
              <w:t>17.</w:t>
            </w:r>
            <w:r w:rsidRPr="003606D9">
              <w:rPr>
                <w:rFonts w:eastAsia="Times New Roman"/>
                <w:bCs/>
                <w:iCs/>
                <w:color w:val="000000"/>
                <w:sz w:val="22"/>
                <w:lang w:eastAsia="lv-LV"/>
              </w:rPr>
              <w:t xml:space="preserve">, </w:t>
            </w:r>
            <w:r w:rsidRPr="00CF2241">
              <w:rPr>
                <w:rFonts w:eastAsia="Times New Roman"/>
                <w:bCs/>
                <w:iCs/>
                <w:color w:val="000000"/>
                <w:sz w:val="22"/>
                <w:lang w:eastAsia="lv-LV"/>
              </w:rPr>
              <w:t>18.</w:t>
            </w:r>
            <w:r w:rsidRPr="003606D9">
              <w:rPr>
                <w:rFonts w:eastAsia="Times New Roman"/>
                <w:bCs/>
                <w:iCs/>
                <w:color w:val="000000"/>
                <w:sz w:val="22"/>
                <w:lang w:eastAsia="lv-LV"/>
              </w:rPr>
              <w:t xml:space="preserve">, </w:t>
            </w:r>
            <w:r w:rsidRPr="00CF2241">
              <w:rPr>
                <w:rFonts w:eastAsia="Times New Roman"/>
                <w:bCs/>
                <w:iCs/>
                <w:color w:val="000000"/>
                <w:sz w:val="22"/>
                <w:lang w:eastAsia="lv-LV"/>
              </w:rPr>
              <w:t>23.</w:t>
            </w:r>
            <w:r w:rsidRPr="003606D9">
              <w:rPr>
                <w:rFonts w:eastAsia="Times New Roman"/>
                <w:bCs/>
                <w:iCs/>
                <w:color w:val="000000"/>
                <w:sz w:val="22"/>
                <w:lang w:eastAsia="lv-LV"/>
              </w:rPr>
              <w:t xml:space="preserve"> un </w:t>
            </w:r>
            <w:r w:rsidRPr="00CF2241">
              <w:rPr>
                <w:rFonts w:eastAsia="Times New Roman"/>
                <w:bCs/>
                <w:iCs/>
                <w:color w:val="000000"/>
                <w:sz w:val="22"/>
                <w:lang w:eastAsia="lv-LV"/>
              </w:rPr>
              <w:t>24.</w:t>
            </w:r>
            <w:r w:rsidRPr="003606D9">
              <w:rPr>
                <w:rFonts w:eastAsia="Times New Roman"/>
                <w:bCs/>
                <w:iCs/>
                <w:color w:val="000000"/>
                <w:sz w:val="22"/>
                <w:lang w:eastAsia="lv-LV"/>
              </w:rPr>
              <w:t> punktā minētās piesārņojošās darbības, ja ražošanas jauda vai saražotās produkcijas apjoms nepārsniedz likuma "</w:t>
            </w:r>
            <w:r w:rsidRPr="00CF2241">
              <w:rPr>
                <w:rFonts w:eastAsia="Times New Roman"/>
                <w:bCs/>
                <w:iCs/>
                <w:color w:val="000000"/>
                <w:sz w:val="22"/>
                <w:lang w:eastAsia="lv-LV"/>
              </w:rPr>
              <w:t>Par piesārņojumu</w:t>
            </w:r>
            <w:r w:rsidRPr="003606D9">
              <w:rPr>
                <w:rFonts w:eastAsia="Times New Roman"/>
                <w:bCs/>
                <w:iCs/>
                <w:color w:val="000000"/>
                <w:sz w:val="22"/>
                <w:lang w:eastAsia="lv-LV"/>
              </w:rPr>
              <w:t xml:space="preserve">" </w:t>
            </w:r>
            <w:r w:rsidRPr="00CF2241">
              <w:rPr>
                <w:rFonts w:eastAsia="Times New Roman"/>
                <w:bCs/>
                <w:iCs/>
                <w:color w:val="000000"/>
                <w:sz w:val="22"/>
                <w:lang w:eastAsia="lv-LV"/>
              </w:rPr>
              <w:t>2.</w:t>
            </w:r>
            <w:r w:rsidRPr="003606D9">
              <w:rPr>
                <w:rFonts w:eastAsia="Times New Roman"/>
                <w:bCs/>
                <w:iCs/>
                <w:color w:val="000000"/>
                <w:sz w:val="22"/>
                <w:lang w:eastAsia="lv-LV"/>
              </w:rPr>
              <w:t> pielikuma I nodaļā minēto rādītāju un tai nav izsniegta siltumnīcefekta gāzu emisijas atļauja</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9,00</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12,00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15,00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15,00</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3.</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bookmarkStart w:id="4" w:name="_Hlk52190320"/>
            <w:r w:rsidRPr="003606D9">
              <w:rPr>
                <w:rFonts w:eastAsia="Times New Roman"/>
                <w:bCs/>
                <w:iCs/>
                <w:color w:val="000000"/>
                <w:sz w:val="22"/>
                <w:lang w:eastAsia="lv-LV"/>
              </w:rPr>
              <w:t>Daļiņas PM</w:t>
            </w:r>
            <w:r w:rsidRPr="003606D9">
              <w:rPr>
                <w:rFonts w:eastAsia="Times New Roman"/>
                <w:bCs/>
                <w:iCs/>
                <w:color w:val="000000"/>
                <w:sz w:val="22"/>
                <w:vertAlign w:val="subscript"/>
                <w:lang w:eastAsia="lv-LV"/>
              </w:rPr>
              <w:t>10</w:t>
            </w:r>
            <w:bookmarkEnd w:id="4"/>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75,00</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105,00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120,00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135,00</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4.</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Oglekļa monoksīds (CO)</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7,83</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7,83</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7,83</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7,83</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5.</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Amonjaks (NH</w:t>
            </w:r>
            <w:r w:rsidRPr="003606D9">
              <w:rPr>
                <w:rFonts w:eastAsia="Times New Roman"/>
                <w:bCs/>
                <w:iCs/>
                <w:color w:val="000000"/>
                <w:sz w:val="22"/>
                <w:vertAlign w:val="subscript"/>
                <w:lang w:eastAsia="lv-LV"/>
              </w:rPr>
              <w:t>3</w:t>
            </w:r>
            <w:r w:rsidRPr="003606D9">
              <w:rPr>
                <w:rFonts w:eastAsia="Times New Roman"/>
                <w:bCs/>
                <w:iCs/>
                <w:color w:val="000000"/>
                <w:sz w:val="22"/>
                <w:lang w:eastAsia="lv-LV"/>
              </w:rPr>
              <w:t>), sērūdeņradis (H</w:t>
            </w:r>
            <w:r w:rsidRPr="003606D9">
              <w:rPr>
                <w:rFonts w:eastAsia="Times New Roman"/>
                <w:bCs/>
                <w:iCs/>
                <w:color w:val="000000"/>
                <w:sz w:val="22"/>
                <w:vertAlign w:val="subscript"/>
                <w:lang w:eastAsia="lv-LV"/>
              </w:rPr>
              <w:t>2</w:t>
            </w:r>
            <w:r w:rsidRPr="003606D9">
              <w:rPr>
                <w:rFonts w:eastAsia="Times New Roman"/>
                <w:bCs/>
                <w:iCs/>
                <w:color w:val="000000"/>
                <w:sz w:val="22"/>
                <w:lang w:eastAsia="lv-LV"/>
              </w:rPr>
              <w:t>S) un pārējie neorganiskie savienojumi</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18,50</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50,00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70,00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90,00</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6.</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bookmarkStart w:id="5" w:name="_Hlk52190349"/>
            <w:r w:rsidRPr="003606D9">
              <w:rPr>
                <w:rFonts w:eastAsia="Times New Roman"/>
                <w:bCs/>
                <w:iCs/>
                <w:color w:val="000000"/>
                <w:sz w:val="22"/>
                <w:lang w:eastAsia="lv-LV"/>
              </w:rPr>
              <w:t>Sēra dioksīds (SO</w:t>
            </w:r>
            <w:r w:rsidRPr="003606D9">
              <w:rPr>
                <w:rFonts w:eastAsia="Times New Roman"/>
                <w:bCs/>
                <w:iCs/>
                <w:color w:val="000000"/>
                <w:sz w:val="22"/>
                <w:vertAlign w:val="subscript"/>
                <w:lang w:eastAsia="lv-LV"/>
              </w:rPr>
              <w:t>2</w:t>
            </w:r>
            <w:r w:rsidRPr="003606D9">
              <w:rPr>
                <w:rFonts w:eastAsia="Times New Roman"/>
                <w:bCs/>
                <w:iCs/>
                <w:color w:val="000000"/>
                <w:sz w:val="22"/>
                <w:lang w:eastAsia="lv-LV"/>
              </w:rPr>
              <w:t>), slāpekļa oksīdi (</w:t>
            </w:r>
            <w:proofErr w:type="spellStart"/>
            <w:r w:rsidRPr="003606D9">
              <w:rPr>
                <w:rFonts w:eastAsia="Times New Roman"/>
                <w:bCs/>
                <w:iCs/>
                <w:color w:val="000000"/>
                <w:sz w:val="22"/>
                <w:lang w:eastAsia="lv-LV"/>
              </w:rPr>
              <w:t>NO</w:t>
            </w:r>
            <w:r w:rsidRPr="003606D9">
              <w:rPr>
                <w:rFonts w:eastAsia="Times New Roman"/>
                <w:bCs/>
                <w:iCs/>
                <w:color w:val="000000"/>
                <w:sz w:val="22"/>
                <w:vertAlign w:val="subscript"/>
                <w:lang w:eastAsia="lv-LV"/>
              </w:rPr>
              <w:t>x</w:t>
            </w:r>
            <w:proofErr w:type="spellEnd"/>
            <w:r w:rsidRPr="003606D9">
              <w:rPr>
                <w:rFonts w:eastAsia="Times New Roman"/>
                <w:bCs/>
                <w:iCs/>
                <w:color w:val="000000"/>
                <w:sz w:val="22"/>
                <w:lang w:eastAsia="lv-LV"/>
              </w:rPr>
              <w:t xml:space="preserve"> – slāpekļa oksīdu summa, pārrēķināta uz NO</w:t>
            </w:r>
            <w:r w:rsidRPr="003606D9">
              <w:rPr>
                <w:rFonts w:eastAsia="Times New Roman"/>
                <w:bCs/>
                <w:iCs/>
                <w:color w:val="000000"/>
                <w:sz w:val="22"/>
                <w:vertAlign w:val="subscript"/>
                <w:lang w:eastAsia="lv-LV"/>
              </w:rPr>
              <w:t>2</w:t>
            </w:r>
            <w:r w:rsidRPr="003606D9">
              <w:rPr>
                <w:rFonts w:eastAsia="Times New Roman"/>
                <w:bCs/>
                <w:iCs/>
                <w:color w:val="000000"/>
                <w:sz w:val="22"/>
                <w:lang w:eastAsia="lv-LV"/>
              </w:rPr>
              <w:t>)</w:t>
            </w:r>
            <w:bookmarkEnd w:id="5"/>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85,37</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125,00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140,00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160,00</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7.</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Gaistošie organiskie savienojumi un citi ogļūdeņraži (</w:t>
            </w:r>
            <w:proofErr w:type="spellStart"/>
            <w:r w:rsidRPr="003606D9">
              <w:rPr>
                <w:rFonts w:eastAsia="Times New Roman"/>
                <w:bCs/>
                <w:iCs/>
                <w:color w:val="000000"/>
                <w:sz w:val="22"/>
                <w:lang w:eastAsia="lv-LV"/>
              </w:rPr>
              <w:t>C</w:t>
            </w:r>
            <w:r w:rsidRPr="003606D9">
              <w:rPr>
                <w:rFonts w:eastAsia="Times New Roman"/>
                <w:bCs/>
                <w:iCs/>
                <w:color w:val="000000"/>
                <w:sz w:val="22"/>
                <w:vertAlign w:val="subscript"/>
                <w:lang w:eastAsia="lv-LV"/>
              </w:rPr>
              <w:t>n</w:t>
            </w:r>
            <w:r w:rsidRPr="003606D9">
              <w:rPr>
                <w:rFonts w:eastAsia="Times New Roman"/>
                <w:bCs/>
                <w:iCs/>
                <w:color w:val="000000"/>
                <w:sz w:val="22"/>
                <w:lang w:eastAsia="lv-LV"/>
              </w:rPr>
              <w:t>H</w:t>
            </w:r>
            <w:r w:rsidRPr="003606D9">
              <w:rPr>
                <w:rFonts w:eastAsia="Times New Roman"/>
                <w:bCs/>
                <w:iCs/>
                <w:color w:val="000000"/>
                <w:sz w:val="22"/>
                <w:vertAlign w:val="subscript"/>
                <w:lang w:eastAsia="lv-LV"/>
              </w:rPr>
              <w:t>m</w:t>
            </w:r>
            <w:proofErr w:type="spellEnd"/>
            <w:r w:rsidRPr="003606D9">
              <w:rPr>
                <w:rFonts w:eastAsia="Times New Roman"/>
                <w:bCs/>
                <w:iCs/>
                <w:color w:val="000000"/>
                <w:sz w:val="22"/>
                <w:lang w:eastAsia="lv-LV"/>
              </w:rPr>
              <w:t>)</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85,37</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85,37</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85,37</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85,37</w:t>
            </w:r>
          </w:p>
        </w:tc>
      </w:tr>
      <w:tr w:rsidR="003606D9" w:rsidRPr="003606D9" w:rsidTr="004B644C">
        <w:tc>
          <w:tcPr>
            <w:tcW w:w="310"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8.</w:t>
            </w:r>
          </w:p>
        </w:tc>
        <w:tc>
          <w:tcPr>
            <w:tcW w:w="1384" w:type="pct"/>
            <w:vAlign w:val="center"/>
            <w:hideMark/>
          </w:tcPr>
          <w:p w:rsidR="003606D9" w:rsidRPr="003606D9" w:rsidRDefault="003606D9" w:rsidP="002F23C0">
            <w:pPr>
              <w:ind w:firstLine="567"/>
              <w:jc w:val="both"/>
              <w:rPr>
                <w:rFonts w:eastAsia="Times New Roman"/>
                <w:bCs/>
                <w:iCs/>
                <w:color w:val="000000"/>
                <w:sz w:val="22"/>
                <w:lang w:eastAsia="lv-LV"/>
              </w:rPr>
            </w:pPr>
            <w:r w:rsidRPr="003606D9">
              <w:rPr>
                <w:rFonts w:eastAsia="Times New Roman"/>
                <w:bCs/>
                <w:iCs/>
                <w:color w:val="000000"/>
                <w:sz w:val="22"/>
                <w:lang w:eastAsia="lv-LV"/>
              </w:rPr>
              <w:t>Smagie metāli (</w:t>
            </w:r>
            <w:proofErr w:type="spellStart"/>
            <w:r w:rsidRPr="003606D9">
              <w:rPr>
                <w:rFonts w:eastAsia="Times New Roman"/>
                <w:bCs/>
                <w:iCs/>
                <w:color w:val="000000"/>
                <w:sz w:val="22"/>
                <w:lang w:eastAsia="lv-LV"/>
              </w:rPr>
              <w:t>Cd</w:t>
            </w:r>
            <w:proofErr w:type="spellEnd"/>
            <w:r w:rsidRPr="003606D9">
              <w:rPr>
                <w:rFonts w:eastAsia="Times New Roman"/>
                <w:bCs/>
                <w:iCs/>
                <w:color w:val="000000"/>
                <w:sz w:val="22"/>
                <w:lang w:eastAsia="lv-LV"/>
              </w:rPr>
              <w:t xml:space="preserve">, </w:t>
            </w:r>
            <w:proofErr w:type="spellStart"/>
            <w:r w:rsidRPr="003606D9">
              <w:rPr>
                <w:rFonts w:eastAsia="Times New Roman"/>
                <w:bCs/>
                <w:iCs/>
                <w:color w:val="000000"/>
                <w:sz w:val="22"/>
                <w:lang w:eastAsia="lv-LV"/>
              </w:rPr>
              <w:t>Ni</w:t>
            </w:r>
            <w:proofErr w:type="spellEnd"/>
            <w:r w:rsidRPr="003606D9">
              <w:rPr>
                <w:rFonts w:eastAsia="Times New Roman"/>
                <w:bCs/>
                <w:iCs/>
                <w:color w:val="000000"/>
                <w:sz w:val="22"/>
                <w:lang w:eastAsia="lv-LV"/>
              </w:rPr>
              <w:t xml:space="preserve">, </w:t>
            </w:r>
            <w:proofErr w:type="spellStart"/>
            <w:r w:rsidRPr="003606D9">
              <w:rPr>
                <w:rFonts w:eastAsia="Times New Roman"/>
                <w:bCs/>
                <w:iCs/>
                <w:color w:val="000000"/>
                <w:sz w:val="22"/>
                <w:lang w:eastAsia="lv-LV"/>
              </w:rPr>
              <w:t>Sn</w:t>
            </w:r>
            <w:proofErr w:type="spellEnd"/>
            <w:r w:rsidRPr="003606D9">
              <w:rPr>
                <w:rFonts w:eastAsia="Times New Roman"/>
                <w:bCs/>
                <w:iCs/>
                <w:color w:val="000000"/>
                <w:sz w:val="22"/>
                <w:lang w:eastAsia="lv-LV"/>
              </w:rPr>
              <w:t xml:space="preserve">, Hg, </w:t>
            </w:r>
            <w:proofErr w:type="spellStart"/>
            <w:r w:rsidRPr="003606D9">
              <w:rPr>
                <w:rFonts w:eastAsia="Times New Roman"/>
                <w:bCs/>
                <w:iCs/>
                <w:color w:val="000000"/>
                <w:sz w:val="22"/>
                <w:lang w:eastAsia="lv-LV"/>
              </w:rPr>
              <w:t>Pb</w:t>
            </w:r>
            <w:proofErr w:type="spellEnd"/>
            <w:r w:rsidRPr="003606D9">
              <w:rPr>
                <w:rFonts w:eastAsia="Times New Roman"/>
                <w:bCs/>
                <w:iCs/>
                <w:color w:val="000000"/>
                <w:sz w:val="22"/>
                <w:lang w:eastAsia="lv-LV"/>
              </w:rPr>
              <w:t xml:space="preserve">, </w:t>
            </w:r>
            <w:proofErr w:type="spellStart"/>
            <w:r w:rsidRPr="003606D9">
              <w:rPr>
                <w:rFonts w:eastAsia="Times New Roman"/>
                <w:bCs/>
                <w:iCs/>
                <w:color w:val="000000"/>
                <w:sz w:val="22"/>
                <w:lang w:eastAsia="lv-LV"/>
              </w:rPr>
              <w:t>Zn</w:t>
            </w:r>
            <w:proofErr w:type="spellEnd"/>
            <w:r w:rsidRPr="003606D9">
              <w:rPr>
                <w:rFonts w:eastAsia="Times New Roman"/>
                <w:bCs/>
                <w:iCs/>
                <w:color w:val="000000"/>
                <w:sz w:val="22"/>
                <w:lang w:eastAsia="lv-LV"/>
              </w:rPr>
              <w:t xml:space="preserve">, Cr, As, </w:t>
            </w:r>
            <w:proofErr w:type="spellStart"/>
            <w:r w:rsidRPr="003606D9">
              <w:rPr>
                <w:rFonts w:eastAsia="Times New Roman"/>
                <w:bCs/>
                <w:iCs/>
                <w:color w:val="000000"/>
                <w:sz w:val="22"/>
                <w:lang w:eastAsia="lv-LV"/>
              </w:rPr>
              <w:t>Se</w:t>
            </w:r>
            <w:proofErr w:type="spellEnd"/>
            <w:r w:rsidRPr="003606D9">
              <w:rPr>
                <w:rFonts w:eastAsia="Times New Roman"/>
                <w:bCs/>
                <w:iCs/>
                <w:color w:val="000000"/>
                <w:sz w:val="22"/>
                <w:lang w:eastAsia="lv-LV"/>
              </w:rPr>
              <w:t>, Cu) un to savienojumi, pārrēķināti uz attiecīgo metālu, un vanādija pentoksīds, pārrēķināts uz vanādiju</w:t>
            </w:r>
          </w:p>
        </w:tc>
        <w:tc>
          <w:tcPr>
            <w:tcW w:w="385" w:type="pct"/>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tonna</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1138,30</w:t>
            </w:r>
          </w:p>
        </w:tc>
        <w:tc>
          <w:tcPr>
            <w:tcW w:w="769"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1138,30</w:t>
            </w:r>
          </w:p>
        </w:tc>
        <w:tc>
          <w:tcPr>
            <w:tcW w:w="768" w:type="pct"/>
            <w:shd w:val="clear" w:color="auto" w:fill="FFFFFF"/>
            <w:hideMark/>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1138,30</w:t>
            </w:r>
          </w:p>
        </w:tc>
        <w:tc>
          <w:tcPr>
            <w:tcW w:w="614" w:type="pct"/>
            <w:shd w:val="clear" w:color="auto" w:fill="FFFFFF"/>
          </w:tcPr>
          <w:p w:rsidR="003606D9" w:rsidRPr="003606D9" w:rsidRDefault="003606D9" w:rsidP="003606D9">
            <w:pPr>
              <w:ind w:firstLine="567"/>
              <w:jc w:val="center"/>
              <w:rPr>
                <w:rFonts w:eastAsia="Times New Roman"/>
                <w:bCs/>
                <w:iCs/>
                <w:color w:val="000000"/>
                <w:sz w:val="22"/>
                <w:lang w:eastAsia="lv-LV"/>
              </w:rPr>
            </w:pPr>
            <w:r w:rsidRPr="003606D9">
              <w:rPr>
                <w:rFonts w:eastAsia="Times New Roman"/>
                <w:bCs/>
                <w:iCs/>
                <w:color w:val="000000"/>
                <w:sz w:val="22"/>
                <w:lang w:eastAsia="lv-LV"/>
              </w:rPr>
              <w:t>1138,30"</w:t>
            </w:r>
          </w:p>
        </w:tc>
      </w:tr>
    </w:tbl>
    <w:p w:rsidR="003606D9" w:rsidRDefault="003606D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5"/>
        <w:gridCol w:w="3931"/>
        <w:gridCol w:w="564"/>
        <w:gridCol w:w="3931"/>
        <w:gridCol w:w="1406"/>
        <w:gridCol w:w="1406"/>
      </w:tblGrid>
      <w:tr w:rsidR="0092686B" w:rsidRPr="00A664D2" w:rsidTr="004B644C">
        <w:tc>
          <w:tcPr>
            <w:tcW w:w="3925" w:type="dxa"/>
            <w:shd w:val="clear" w:color="auto" w:fill="auto"/>
          </w:tcPr>
          <w:p w:rsidR="0092686B" w:rsidRPr="00A664D2" w:rsidRDefault="0092686B" w:rsidP="004B644C">
            <w:pPr>
              <w:jc w:val="center"/>
              <w:rPr>
                <w:b/>
                <w:bCs/>
                <w:iCs/>
              </w:rPr>
            </w:pPr>
            <w:r w:rsidRPr="00A664D2">
              <w:rPr>
                <w:b/>
                <w:bCs/>
                <w:iCs/>
              </w:rPr>
              <w:t>Spēkā esošā redakcija</w:t>
            </w:r>
          </w:p>
        </w:tc>
        <w:tc>
          <w:tcPr>
            <w:tcW w:w="3931" w:type="dxa"/>
          </w:tcPr>
          <w:p w:rsidR="0092686B" w:rsidRPr="00A664D2" w:rsidRDefault="0092686B" w:rsidP="004B644C">
            <w:pPr>
              <w:jc w:val="center"/>
              <w:rPr>
                <w:b/>
              </w:rPr>
            </w:pPr>
            <w:r>
              <w:rPr>
                <w:b/>
              </w:rPr>
              <w:t>Pirmā lasījuma redakcija</w:t>
            </w:r>
          </w:p>
        </w:tc>
        <w:tc>
          <w:tcPr>
            <w:tcW w:w="564" w:type="dxa"/>
          </w:tcPr>
          <w:p w:rsidR="0092686B" w:rsidRPr="001B3F41" w:rsidRDefault="0092686B" w:rsidP="004B644C">
            <w:pPr>
              <w:jc w:val="center"/>
              <w:rPr>
                <w:b/>
              </w:rPr>
            </w:pPr>
            <w:r>
              <w:rPr>
                <w:b/>
              </w:rPr>
              <w:t>Nr.</w:t>
            </w:r>
          </w:p>
        </w:tc>
        <w:tc>
          <w:tcPr>
            <w:tcW w:w="3931" w:type="dxa"/>
          </w:tcPr>
          <w:p w:rsidR="0092686B" w:rsidRDefault="0092686B" w:rsidP="004B644C">
            <w:pPr>
              <w:jc w:val="center"/>
              <w:rPr>
                <w:b/>
              </w:rPr>
            </w:pPr>
            <w:r>
              <w:rPr>
                <w:b/>
              </w:rPr>
              <w:t>Priekšlikumi</w:t>
            </w:r>
          </w:p>
          <w:p w:rsidR="0092686B" w:rsidRPr="001B3F41" w:rsidRDefault="0092686B" w:rsidP="004B644C">
            <w:pPr>
              <w:jc w:val="center"/>
              <w:rPr>
                <w:b/>
              </w:rPr>
            </w:pPr>
            <w:r>
              <w:rPr>
                <w:b/>
              </w:rPr>
              <w:t>()</w:t>
            </w:r>
          </w:p>
        </w:tc>
        <w:tc>
          <w:tcPr>
            <w:tcW w:w="1406" w:type="dxa"/>
          </w:tcPr>
          <w:p w:rsidR="0092686B" w:rsidRPr="001B3F41" w:rsidRDefault="0092686B" w:rsidP="004B644C">
            <w:pPr>
              <w:jc w:val="center"/>
              <w:rPr>
                <w:b/>
              </w:rPr>
            </w:pPr>
            <w:r>
              <w:rPr>
                <w:b/>
              </w:rPr>
              <w:t>Ministru kabineta atzinums</w:t>
            </w:r>
          </w:p>
        </w:tc>
        <w:tc>
          <w:tcPr>
            <w:tcW w:w="1406" w:type="dxa"/>
          </w:tcPr>
          <w:p w:rsidR="0092686B" w:rsidRPr="001B3F41" w:rsidRDefault="0092686B" w:rsidP="004B644C">
            <w:pPr>
              <w:jc w:val="center"/>
              <w:rPr>
                <w:b/>
              </w:rPr>
            </w:pPr>
            <w:r>
              <w:rPr>
                <w:b/>
              </w:rPr>
              <w:t>Komisijas atzinums</w:t>
            </w:r>
          </w:p>
        </w:tc>
      </w:tr>
      <w:tr w:rsidR="0092686B" w:rsidRPr="00A664D2" w:rsidTr="004B644C">
        <w:tc>
          <w:tcPr>
            <w:tcW w:w="3925" w:type="dxa"/>
            <w:shd w:val="clear" w:color="auto" w:fill="auto"/>
          </w:tcPr>
          <w:p w:rsidR="0092686B" w:rsidRPr="00A664D2" w:rsidRDefault="0092686B" w:rsidP="004B644C">
            <w:pPr>
              <w:ind w:firstLine="567"/>
              <w:jc w:val="both"/>
              <w:rPr>
                <w:bCs/>
                <w:iCs/>
              </w:rPr>
            </w:pPr>
            <w:bookmarkStart w:id="6" w:name="487320"/>
            <w:bookmarkEnd w:id="6"/>
          </w:p>
          <w:p w:rsidR="0092686B" w:rsidRDefault="0092686B" w:rsidP="004B644C">
            <w:pPr>
              <w:ind w:firstLine="567"/>
              <w:jc w:val="both"/>
              <w:rPr>
                <w:b/>
                <w:bCs/>
                <w:sz w:val="22"/>
              </w:rPr>
            </w:pPr>
            <w:r w:rsidRPr="00A664D2">
              <w:rPr>
                <w:b/>
                <w:bCs/>
                <w:i/>
                <w:sz w:val="22"/>
              </w:rPr>
              <w:t xml:space="preserve">ailes turpinājums </w:t>
            </w:r>
            <w:r w:rsidRPr="00A664D2">
              <w:rPr>
                <w:b/>
                <w:bCs/>
                <w:sz w:val="22"/>
              </w:rPr>
              <w:t>↓↓↓</w:t>
            </w:r>
          </w:p>
          <w:p w:rsidR="003606D9" w:rsidRPr="00A664D2" w:rsidRDefault="003606D9" w:rsidP="004B644C">
            <w:pPr>
              <w:ind w:firstLine="567"/>
              <w:jc w:val="both"/>
              <w:rPr>
                <w:bCs/>
                <w:iCs/>
                <w:sz w:val="22"/>
              </w:rPr>
            </w:pPr>
          </w:p>
        </w:tc>
        <w:tc>
          <w:tcPr>
            <w:tcW w:w="3931" w:type="dxa"/>
          </w:tcPr>
          <w:p w:rsidR="0092686B" w:rsidRPr="00A664D2" w:rsidRDefault="0092686B" w:rsidP="004B644C">
            <w:pPr>
              <w:rPr>
                <w:b/>
              </w:rPr>
            </w:pPr>
          </w:p>
        </w:tc>
        <w:tc>
          <w:tcPr>
            <w:tcW w:w="564" w:type="dxa"/>
          </w:tcPr>
          <w:p w:rsidR="0092686B" w:rsidRPr="00A664D2" w:rsidRDefault="0092686B" w:rsidP="004B644C">
            <w:pPr>
              <w:rPr>
                <w:b/>
              </w:rPr>
            </w:pPr>
          </w:p>
        </w:tc>
        <w:tc>
          <w:tcPr>
            <w:tcW w:w="3931" w:type="dxa"/>
          </w:tcPr>
          <w:p w:rsidR="0092686B" w:rsidRPr="00A664D2" w:rsidRDefault="0092686B" w:rsidP="004B644C">
            <w:pPr>
              <w:rPr>
                <w:b/>
              </w:rPr>
            </w:pPr>
          </w:p>
        </w:tc>
        <w:tc>
          <w:tcPr>
            <w:tcW w:w="1406" w:type="dxa"/>
          </w:tcPr>
          <w:p w:rsidR="0092686B" w:rsidRPr="00A664D2" w:rsidRDefault="0092686B" w:rsidP="004B644C">
            <w:pPr>
              <w:rPr>
                <w:b/>
              </w:rPr>
            </w:pPr>
          </w:p>
        </w:tc>
        <w:tc>
          <w:tcPr>
            <w:tcW w:w="1406" w:type="dxa"/>
          </w:tcPr>
          <w:p w:rsidR="0092686B" w:rsidRPr="00A664D2" w:rsidRDefault="0092686B" w:rsidP="004B644C">
            <w:pPr>
              <w:rPr>
                <w:b/>
              </w:rPr>
            </w:pPr>
          </w:p>
        </w:tc>
      </w:tr>
    </w:tbl>
    <w:p w:rsidR="0092686B" w:rsidRDefault="0092686B" w:rsidP="0092686B"/>
    <w:p w:rsidR="00A1431E" w:rsidRPr="00A1431E" w:rsidRDefault="00A1431E" w:rsidP="00A1431E">
      <w:pPr>
        <w:jc w:val="right"/>
        <w:rPr>
          <w:sz w:val="22"/>
        </w:rPr>
      </w:pPr>
      <w:r w:rsidRPr="00A1431E">
        <w:rPr>
          <w:sz w:val="22"/>
        </w:rPr>
        <w:t>Dabas resursu nodokļa likuma</w:t>
      </w:r>
      <w:r w:rsidRPr="00A1431E">
        <w:rPr>
          <w:sz w:val="22"/>
        </w:rPr>
        <w:br/>
        <w:t>3.pielikums</w:t>
      </w:r>
      <w:bookmarkStart w:id="7" w:name="piel-608970"/>
      <w:bookmarkEnd w:id="7"/>
    </w:p>
    <w:p w:rsidR="00A1431E" w:rsidRPr="00A1431E" w:rsidRDefault="00A1431E" w:rsidP="00A1431E">
      <w:pPr>
        <w:jc w:val="center"/>
        <w:rPr>
          <w:b/>
          <w:bCs/>
          <w:sz w:val="22"/>
        </w:rPr>
      </w:pPr>
      <w:r w:rsidRPr="00A1431E">
        <w:rPr>
          <w:b/>
          <w:bCs/>
          <w:sz w:val="22"/>
        </w:rPr>
        <w:t xml:space="preserve">Nodokļa likmes par atkritumu apglabāšanu līdz </w:t>
      </w:r>
      <w:proofErr w:type="gramStart"/>
      <w:r w:rsidRPr="00A1431E">
        <w:rPr>
          <w:b/>
          <w:bCs/>
          <w:sz w:val="22"/>
        </w:rPr>
        <w:t>2016.gada</w:t>
      </w:r>
      <w:proofErr w:type="gramEnd"/>
      <w:r w:rsidRPr="00A1431E">
        <w:rPr>
          <w:b/>
          <w:bCs/>
          <w:sz w:val="22"/>
        </w:rPr>
        <w:t xml:space="preserve"> 31.decembrim</w:t>
      </w:r>
    </w:p>
    <w:p w:rsidR="00A1431E" w:rsidRPr="00A1431E" w:rsidRDefault="00A1431E" w:rsidP="00A1431E">
      <w:pPr>
        <w:jc w:val="center"/>
        <w:rPr>
          <w:b/>
          <w:bCs/>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2"/>
        <w:gridCol w:w="7665"/>
        <w:gridCol w:w="3323"/>
        <w:gridCol w:w="2590"/>
      </w:tblGrid>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Nr.p.k.</w:t>
            </w:r>
          </w:p>
        </w:tc>
        <w:tc>
          <w:tcPr>
            <w:tcW w:w="2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Atkritumu veids</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Mērvienība</w:t>
            </w:r>
          </w:p>
        </w:tc>
        <w:tc>
          <w:tcPr>
            <w:tcW w:w="8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Likme</w:t>
            </w:r>
            <w:r w:rsidRPr="00A1431E">
              <w:rPr>
                <w:sz w:val="22"/>
              </w:rPr>
              <w:br/>
              <w:t>(</w:t>
            </w:r>
            <w:r w:rsidRPr="00A1431E">
              <w:rPr>
                <w:i/>
                <w:iCs/>
                <w:sz w:val="22"/>
              </w:rPr>
              <w:t>euro</w:t>
            </w:r>
            <w:r w:rsidRPr="00A1431E">
              <w:rPr>
                <w:sz w:val="22"/>
              </w:rPr>
              <w:t>)</w:t>
            </w:r>
          </w:p>
        </w:tc>
      </w:tr>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1.</w:t>
            </w:r>
          </w:p>
        </w:tc>
        <w:tc>
          <w:tcPr>
            <w:tcW w:w="25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Sadzīves atkritumi</w:t>
            </w:r>
          </w:p>
        </w:tc>
        <w:tc>
          <w:tcPr>
            <w:tcW w:w="11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8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12,00</w:t>
            </w:r>
          </w:p>
        </w:tc>
      </w:tr>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2.</w:t>
            </w:r>
          </w:p>
        </w:tc>
        <w:tc>
          <w:tcPr>
            <w:tcW w:w="25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Būvniecības un būvju nojaukšanas atkritumi (tai skaitā no piesārņotām vietām izrakta augsne neapstrādātā veidā)</w:t>
            </w:r>
          </w:p>
        </w:tc>
        <w:tc>
          <w:tcPr>
            <w:tcW w:w="1100" w:type="pct"/>
            <w:tcBorders>
              <w:top w:val="outset" w:sz="6" w:space="0" w:color="auto"/>
              <w:left w:val="outset" w:sz="6" w:space="0" w:color="auto"/>
              <w:bottom w:val="outset" w:sz="6" w:space="0" w:color="auto"/>
              <w:right w:val="outset" w:sz="6" w:space="0" w:color="auto"/>
            </w:tcBorders>
            <w:vAlign w:val="bottom"/>
            <w:hideMark/>
          </w:tcPr>
          <w:p w:rsidR="00A1431E" w:rsidRPr="00A1431E" w:rsidRDefault="00A1431E" w:rsidP="00A1431E">
            <w:pPr>
              <w:jc w:val="both"/>
              <w:rPr>
                <w:sz w:val="22"/>
              </w:rPr>
            </w:pPr>
            <w:r w:rsidRPr="00A1431E">
              <w:rPr>
                <w:sz w:val="22"/>
              </w:rPr>
              <w:t>tonna</w:t>
            </w:r>
          </w:p>
        </w:tc>
        <w:tc>
          <w:tcPr>
            <w:tcW w:w="850" w:type="pct"/>
            <w:tcBorders>
              <w:top w:val="outset" w:sz="6" w:space="0" w:color="auto"/>
              <w:left w:val="outset" w:sz="6" w:space="0" w:color="auto"/>
              <w:bottom w:val="outset" w:sz="6" w:space="0" w:color="auto"/>
              <w:right w:val="outset" w:sz="6" w:space="0" w:color="auto"/>
            </w:tcBorders>
            <w:vAlign w:val="bottom"/>
            <w:hideMark/>
          </w:tcPr>
          <w:p w:rsidR="00A1431E" w:rsidRPr="00A1431E" w:rsidRDefault="00A1431E" w:rsidP="00A1431E">
            <w:pPr>
              <w:jc w:val="both"/>
              <w:rPr>
                <w:sz w:val="22"/>
              </w:rPr>
            </w:pPr>
            <w:r w:rsidRPr="00A1431E">
              <w:rPr>
                <w:sz w:val="22"/>
              </w:rPr>
              <w:t>21,34</w:t>
            </w:r>
          </w:p>
        </w:tc>
      </w:tr>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3.</w:t>
            </w:r>
          </w:p>
        </w:tc>
        <w:tc>
          <w:tcPr>
            <w:tcW w:w="25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Azbests šķiedru un putekļu veidā</w:t>
            </w:r>
          </w:p>
        </w:tc>
        <w:tc>
          <w:tcPr>
            <w:tcW w:w="11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8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35,57</w:t>
            </w:r>
          </w:p>
        </w:tc>
      </w:tr>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4.</w:t>
            </w:r>
          </w:p>
        </w:tc>
        <w:tc>
          <w:tcPr>
            <w:tcW w:w="25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Bīstamie atkritumi</w:t>
            </w:r>
          </w:p>
        </w:tc>
        <w:tc>
          <w:tcPr>
            <w:tcW w:w="11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8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35,57</w:t>
            </w:r>
          </w:p>
        </w:tc>
      </w:tr>
      <w:tr w:rsidR="00A1431E" w:rsidRPr="00A1431E" w:rsidTr="00A1431E">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5.</w:t>
            </w:r>
          </w:p>
        </w:tc>
        <w:tc>
          <w:tcPr>
            <w:tcW w:w="25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Ražošanas atkritumi</w:t>
            </w:r>
          </w:p>
        </w:tc>
        <w:tc>
          <w:tcPr>
            <w:tcW w:w="11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8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21,34</w:t>
            </w:r>
          </w:p>
        </w:tc>
      </w:tr>
    </w:tbl>
    <w:p w:rsidR="00A1431E" w:rsidRPr="00A1431E" w:rsidRDefault="00A1431E" w:rsidP="00A1431E">
      <w:pPr>
        <w:jc w:val="center"/>
        <w:rPr>
          <w:b/>
          <w:bCs/>
          <w:sz w:val="22"/>
        </w:rPr>
      </w:pPr>
      <w:r w:rsidRPr="00A1431E">
        <w:rPr>
          <w:b/>
          <w:bCs/>
          <w:sz w:val="22"/>
        </w:rPr>
        <w:t xml:space="preserve">Nodokļa likmes par atkritumu apglabāšanu no </w:t>
      </w:r>
      <w:proofErr w:type="gramStart"/>
      <w:r w:rsidRPr="00A1431E">
        <w:rPr>
          <w:b/>
          <w:bCs/>
          <w:sz w:val="22"/>
        </w:rPr>
        <w:t>2017.gada</w:t>
      </w:r>
      <w:proofErr w:type="gramEnd"/>
      <w:r w:rsidRPr="00A1431E">
        <w:rPr>
          <w:b/>
          <w:bCs/>
          <w:sz w:val="22"/>
        </w:rPr>
        <w:t xml:space="preserve"> 1.janvāra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8"/>
        <w:gridCol w:w="3601"/>
        <w:gridCol w:w="1518"/>
        <w:gridCol w:w="2262"/>
        <w:gridCol w:w="2262"/>
        <w:gridCol w:w="2262"/>
        <w:gridCol w:w="2277"/>
      </w:tblGrid>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Nr. p. k.</w:t>
            </w:r>
          </w:p>
        </w:tc>
        <w:tc>
          <w:tcPr>
            <w:tcW w:w="12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Atkritumu veids</w:t>
            </w:r>
          </w:p>
        </w:tc>
        <w:tc>
          <w:tcPr>
            <w:tcW w:w="5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Mērvienība</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 xml:space="preserve">Likme laikposmā no </w:t>
            </w:r>
            <w:proofErr w:type="gramStart"/>
            <w:r w:rsidRPr="00A1431E">
              <w:rPr>
                <w:sz w:val="22"/>
              </w:rPr>
              <w:t>2017.gada</w:t>
            </w:r>
            <w:proofErr w:type="gramEnd"/>
            <w:r w:rsidRPr="00A1431E">
              <w:rPr>
                <w:sz w:val="22"/>
              </w:rPr>
              <w:t xml:space="preserve"> 1.janvāra līdz 2017.gada 31.decembrim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 xml:space="preserve">Likme laikposmā no </w:t>
            </w:r>
            <w:proofErr w:type="gramStart"/>
            <w:r w:rsidRPr="00A1431E">
              <w:rPr>
                <w:sz w:val="22"/>
              </w:rPr>
              <w:t>2018.gada</w:t>
            </w:r>
            <w:proofErr w:type="gramEnd"/>
            <w:r w:rsidRPr="00A1431E">
              <w:rPr>
                <w:sz w:val="22"/>
              </w:rPr>
              <w:t xml:space="preserve"> 1.janvāra līdz 2018.gada 31.decembrim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 xml:space="preserve">Likme laikposmā no </w:t>
            </w:r>
            <w:proofErr w:type="gramStart"/>
            <w:r w:rsidRPr="00A1431E">
              <w:rPr>
                <w:sz w:val="22"/>
              </w:rPr>
              <w:t>2019.gada</w:t>
            </w:r>
            <w:proofErr w:type="gramEnd"/>
            <w:r w:rsidRPr="00A1431E">
              <w:rPr>
                <w:sz w:val="22"/>
              </w:rPr>
              <w:t xml:space="preserve"> 1.janvāra līdz 2019.gada 31.decembrim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 xml:space="preserve">Likme no </w:t>
            </w:r>
            <w:proofErr w:type="gramStart"/>
            <w:r w:rsidRPr="00A1431E">
              <w:rPr>
                <w:sz w:val="22"/>
              </w:rPr>
              <w:t>2020.gada</w:t>
            </w:r>
            <w:proofErr w:type="gramEnd"/>
            <w:r w:rsidRPr="00A1431E">
              <w:rPr>
                <w:sz w:val="22"/>
              </w:rPr>
              <w:t xml:space="preserve"> 1.janvāra</w:t>
            </w:r>
            <w:r w:rsidRPr="00A1431E">
              <w:rPr>
                <w:sz w:val="22"/>
              </w:rPr>
              <w:br/>
              <w:t>(</w:t>
            </w:r>
            <w:r w:rsidRPr="00A1431E">
              <w:rPr>
                <w:i/>
                <w:iCs/>
                <w:sz w:val="22"/>
              </w:rPr>
              <w:t>euro</w:t>
            </w:r>
            <w:r w:rsidRPr="00A1431E">
              <w:rPr>
                <w:sz w:val="22"/>
              </w:rPr>
              <w:t>)</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1.</w:t>
            </w:r>
          </w:p>
        </w:tc>
        <w:tc>
          <w:tcPr>
            <w:tcW w:w="12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Sadzīves atkritumi un ražošanas atkritumi, kas nav uzskatāmi par bīstamiem atkritumiem atbilstoši normatīvajiem aktiem par atkritumu klasifikatoru un īpašībām, kuras padara atkritumus bīstamus</w:t>
            </w:r>
          </w:p>
        </w:tc>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25,00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35,00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43,00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50,00</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2.</w:t>
            </w:r>
          </w:p>
        </w:tc>
        <w:tc>
          <w:tcPr>
            <w:tcW w:w="12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Bīstamie atkritumi un ražošanas atkritumi, kas ir uzskatāmi par bīstamiem atkritumiem atbilstoši normatīvajiem aktiem par atkritumu klasifikatoru un īpašībām, kuras padara atkritumus bīstamus</w:t>
            </w:r>
          </w:p>
        </w:tc>
        <w:tc>
          <w:tcPr>
            <w:tcW w:w="5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45,00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50,00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55,00</w:t>
            </w:r>
          </w:p>
        </w:tc>
        <w:tc>
          <w:tcPr>
            <w:tcW w:w="75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60,00</w:t>
            </w:r>
          </w:p>
        </w:tc>
      </w:tr>
    </w:tbl>
    <w:p w:rsidR="00A1431E" w:rsidRPr="00A1431E" w:rsidRDefault="00A1431E" w:rsidP="00A1431E">
      <w:pPr>
        <w:jc w:val="right"/>
        <w:rPr>
          <w:sz w:val="22"/>
        </w:rPr>
      </w:pPr>
      <w:bookmarkStart w:id="8" w:name="piel4"/>
      <w:bookmarkEnd w:id="8"/>
      <w:r w:rsidRPr="00A1431E">
        <w:rPr>
          <w:sz w:val="22"/>
        </w:rPr>
        <w:t>Dabas resursu nodokļa likuma</w:t>
      </w:r>
      <w:r w:rsidRPr="00A1431E">
        <w:rPr>
          <w:sz w:val="22"/>
        </w:rPr>
        <w:br/>
        <w:t>4.pielikums</w:t>
      </w:r>
    </w:p>
    <w:p w:rsidR="00A1431E" w:rsidRPr="00A1431E" w:rsidRDefault="00A1431E" w:rsidP="00A1431E">
      <w:pPr>
        <w:jc w:val="right"/>
        <w:rPr>
          <w:i/>
          <w:sz w:val="20"/>
          <w:szCs w:val="20"/>
        </w:rPr>
      </w:pPr>
      <w:r w:rsidRPr="00A1431E">
        <w:rPr>
          <w:i/>
          <w:sz w:val="20"/>
          <w:szCs w:val="20"/>
        </w:rPr>
        <w:t>(Pielikums 14.11.2019. likuma redakcijā, kas stājas spēkā 01.01.2020.)</w:t>
      </w:r>
    </w:p>
    <w:p w:rsidR="00A1431E" w:rsidRDefault="00A1431E" w:rsidP="00A1431E">
      <w:pPr>
        <w:jc w:val="center"/>
        <w:rPr>
          <w:b/>
          <w:sz w:val="22"/>
        </w:rPr>
      </w:pPr>
    </w:p>
    <w:p w:rsidR="00A1431E" w:rsidRDefault="00A1431E" w:rsidP="00A1431E">
      <w:pPr>
        <w:jc w:val="center"/>
        <w:rPr>
          <w:b/>
          <w:sz w:val="22"/>
        </w:rPr>
      </w:pPr>
      <w:r w:rsidRPr="00A1431E">
        <w:rPr>
          <w:b/>
          <w:sz w:val="22"/>
        </w:rPr>
        <w:t>Nodokļa likmes par gaisa piesārņošanu</w:t>
      </w:r>
    </w:p>
    <w:p w:rsidR="00A1431E" w:rsidRPr="00A1431E" w:rsidRDefault="00A1431E" w:rsidP="00A1431E">
      <w:pPr>
        <w:jc w:val="center"/>
        <w:rPr>
          <w:b/>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
        <w:gridCol w:w="3335"/>
        <w:gridCol w:w="1684"/>
        <w:gridCol w:w="2285"/>
        <w:gridCol w:w="2285"/>
        <w:gridCol w:w="2285"/>
        <w:gridCol w:w="2300"/>
      </w:tblGrid>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Nr. p. k.</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Emisijas klasifikācija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Mērvienība</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Likme laikposmā no 2019. gada 1. janvāra līdz 2019. gada 31. 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Likme laikposmā no 2020. gada 1. janvāra</w:t>
            </w:r>
            <w:r w:rsidRPr="00A1431E">
              <w:rPr>
                <w:sz w:val="22"/>
              </w:rPr>
              <w:br/>
              <w:t>līdz 2020. gada 31. 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Likme laikposmā no 2021. gada 1. janvāra līdz 2021. gada 31. decembrim</w:t>
            </w:r>
            <w:r w:rsidRPr="00A1431E">
              <w:rPr>
                <w:sz w:val="22"/>
              </w:rPr>
              <w:br/>
              <w:t>(</w:t>
            </w:r>
            <w:r w:rsidRPr="00A1431E">
              <w:rPr>
                <w:i/>
                <w:iCs/>
                <w:sz w:val="22"/>
              </w:rPr>
              <w:t>euro</w:t>
            </w:r>
            <w:r w:rsidRPr="00A1431E">
              <w:rPr>
                <w:sz w:val="22"/>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Likme no 2022. gada 1. janvāra</w:t>
            </w:r>
            <w:r w:rsidRPr="00A1431E">
              <w:rPr>
                <w:sz w:val="22"/>
              </w:rPr>
              <w:br/>
              <w:t>(</w:t>
            </w:r>
            <w:r w:rsidRPr="00A1431E">
              <w:rPr>
                <w:i/>
                <w:iCs/>
                <w:sz w:val="22"/>
              </w:rPr>
              <w:t>euro</w:t>
            </w:r>
            <w:r w:rsidRPr="00A1431E">
              <w:rPr>
                <w:sz w:val="22"/>
              </w:rPr>
              <w:t>)</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Oglekļa dioksīda (CO</w:t>
            </w:r>
            <w:r w:rsidRPr="00A1431E">
              <w:rPr>
                <w:sz w:val="22"/>
                <w:vertAlign w:val="subscript"/>
              </w:rPr>
              <w:t>2</w:t>
            </w:r>
            <w:r w:rsidRPr="00A1431E">
              <w:rPr>
                <w:sz w:val="22"/>
              </w:rPr>
              <w:t>) emisija no likuma "</w:t>
            </w:r>
            <w:r w:rsidRPr="00630489">
              <w:rPr>
                <w:sz w:val="22"/>
              </w:rPr>
              <w:t>Par piesārņojumu</w:t>
            </w:r>
            <w:r w:rsidRPr="00A1431E">
              <w:rPr>
                <w:sz w:val="22"/>
              </w:rPr>
              <w:t xml:space="preserve">" </w:t>
            </w:r>
            <w:r w:rsidRPr="00630489">
              <w:rPr>
                <w:sz w:val="22"/>
              </w:rPr>
              <w:t>2.</w:t>
            </w:r>
            <w:r w:rsidRPr="00A1431E">
              <w:rPr>
                <w:sz w:val="22"/>
              </w:rPr>
              <w:t xml:space="preserve"> pielikuma I nodaļas </w:t>
            </w:r>
            <w:r w:rsidRPr="00630489">
              <w:rPr>
                <w:sz w:val="22"/>
              </w:rPr>
              <w:t>1.</w:t>
            </w:r>
            <w:r w:rsidRPr="00A1431E">
              <w:rPr>
                <w:sz w:val="22"/>
              </w:rPr>
              <w:t> punktā minētās piesārņojošās darbības, ja ražošanas jauda nepārsniedz likuma "</w:t>
            </w:r>
            <w:r w:rsidRPr="00630489">
              <w:rPr>
                <w:sz w:val="22"/>
              </w:rPr>
              <w:t>Par piesārņojumu</w:t>
            </w:r>
            <w:r w:rsidRPr="00A1431E">
              <w:rPr>
                <w:sz w:val="22"/>
              </w:rPr>
              <w:t xml:space="preserve">" </w:t>
            </w:r>
            <w:r w:rsidRPr="00630489">
              <w:rPr>
                <w:sz w:val="22"/>
              </w:rPr>
              <w:t>2.</w:t>
            </w:r>
            <w:r w:rsidRPr="00A1431E">
              <w:rPr>
                <w:sz w:val="22"/>
              </w:rPr>
              <w:t> pielikumā minēto rādītāju</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4,50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9,00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12,00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15,00</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Oglekļa dioksīda (CO</w:t>
            </w:r>
            <w:r w:rsidRPr="00A1431E">
              <w:rPr>
                <w:sz w:val="22"/>
                <w:vertAlign w:val="subscript"/>
              </w:rPr>
              <w:t>2</w:t>
            </w:r>
            <w:r w:rsidRPr="00A1431E">
              <w:rPr>
                <w:sz w:val="22"/>
              </w:rPr>
              <w:t>) emisija no likuma "</w:t>
            </w:r>
            <w:r w:rsidRPr="00630489">
              <w:rPr>
                <w:sz w:val="22"/>
              </w:rPr>
              <w:t>Par piesārņojumu</w:t>
            </w:r>
            <w:r w:rsidRPr="00A1431E">
              <w:rPr>
                <w:sz w:val="22"/>
              </w:rPr>
              <w:t xml:space="preserve">" </w:t>
            </w:r>
            <w:r w:rsidRPr="00630489">
              <w:rPr>
                <w:sz w:val="22"/>
              </w:rPr>
              <w:t>2.</w:t>
            </w:r>
            <w:r w:rsidRPr="00A1431E">
              <w:rPr>
                <w:sz w:val="22"/>
              </w:rPr>
              <w:t xml:space="preserve"> pielikuma I nodaļas </w:t>
            </w:r>
            <w:r w:rsidRPr="00630489">
              <w:rPr>
                <w:sz w:val="22"/>
              </w:rPr>
              <w:t>5.</w:t>
            </w:r>
            <w:r w:rsidRPr="00A1431E">
              <w:rPr>
                <w:sz w:val="22"/>
              </w:rPr>
              <w:t xml:space="preserve">, </w:t>
            </w:r>
            <w:r w:rsidRPr="00630489">
              <w:rPr>
                <w:sz w:val="22"/>
              </w:rPr>
              <w:t>6.</w:t>
            </w:r>
            <w:r w:rsidRPr="00A1431E">
              <w:rPr>
                <w:sz w:val="22"/>
              </w:rPr>
              <w:t xml:space="preserve">, </w:t>
            </w:r>
            <w:r w:rsidRPr="00630489">
              <w:rPr>
                <w:sz w:val="22"/>
              </w:rPr>
              <w:t>8.</w:t>
            </w:r>
            <w:r w:rsidRPr="00A1431E">
              <w:rPr>
                <w:sz w:val="22"/>
              </w:rPr>
              <w:t xml:space="preserve">, </w:t>
            </w:r>
            <w:r w:rsidRPr="00630489">
              <w:rPr>
                <w:sz w:val="22"/>
              </w:rPr>
              <w:t>9.</w:t>
            </w:r>
            <w:r w:rsidRPr="00A1431E">
              <w:rPr>
                <w:sz w:val="22"/>
              </w:rPr>
              <w:t xml:space="preserve">, </w:t>
            </w:r>
            <w:r w:rsidRPr="00630489">
              <w:rPr>
                <w:sz w:val="22"/>
              </w:rPr>
              <w:t>10.</w:t>
            </w:r>
            <w:r w:rsidRPr="00A1431E">
              <w:rPr>
                <w:sz w:val="22"/>
              </w:rPr>
              <w:t xml:space="preserve">, </w:t>
            </w:r>
            <w:r w:rsidRPr="00630489">
              <w:rPr>
                <w:sz w:val="22"/>
              </w:rPr>
              <w:t>11.</w:t>
            </w:r>
            <w:r w:rsidRPr="00A1431E">
              <w:rPr>
                <w:sz w:val="22"/>
              </w:rPr>
              <w:t xml:space="preserve">, </w:t>
            </w:r>
            <w:r w:rsidRPr="00630489">
              <w:rPr>
                <w:sz w:val="22"/>
              </w:rPr>
              <w:t>12.</w:t>
            </w:r>
            <w:r w:rsidRPr="00A1431E">
              <w:rPr>
                <w:sz w:val="22"/>
              </w:rPr>
              <w:t xml:space="preserve">, </w:t>
            </w:r>
            <w:r w:rsidRPr="00630489">
              <w:rPr>
                <w:sz w:val="22"/>
              </w:rPr>
              <w:t>13.</w:t>
            </w:r>
            <w:r w:rsidRPr="00A1431E">
              <w:rPr>
                <w:sz w:val="22"/>
              </w:rPr>
              <w:t xml:space="preserve">, </w:t>
            </w:r>
            <w:r w:rsidRPr="00630489">
              <w:rPr>
                <w:sz w:val="22"/>
              </w:rPr>
              <w:t>14.</w:t>
            </w:r>
            <w:r w:rsidRPr="00A1431E">
              <w:rPr>
                <w:sz w:val="22"/>
              </w:rPr>
              <w:t xml:space="preserve">, </w:t>
            </w:r>
            <w:r w:rsidRPr="00630489">
              <w:rPr>
                <w:sz w:val="22"/>
              </w:rPr>
              <w:t>15.</w:t>
            </w:r>
            <w:r w:rsidRPr="00A1431E">
              <w:rPr>
                <w:sz w:val="22"/>
              </w:rPr>
              <w:t xml:space="preserve">, </w:t>
            </w:r>
            <w:r w:rsidRPr="00630489">
              <w:rPr>
                <w:sz w:val="22"/>
              </w:rPr>
              <w:t>17.</w:t>
            </w:r>
            <w:r w:rsidRPr="00A1431E">
              <w:rPr>
                <w:sz w:val="22"/>
              </w:rPr>
              <w:t xml:space="preserve">, </w:t>
            </w:r>
            <w:r w:rsidRPr="00630489">
              <w:rPr>
                <w:sz w:val="22"/>
              </w:rPr>
              <w:t>18.</w:t>
            </w:r>
            <w:r w:rsidRPr="00A1431E">
              <w:rPr>
                <w:sz w:val="22"/>
              </w:rPr>
              <w:t xml:space="preserve">, </w:t>
            </w:r>
            <w:r w:rsidRPr="00630489">
              <w:rPr>
                <w:sz w:val="22"/>
              </w:rPr>
              <w:t>23.</w:t>
            </w:r>
            <w:r w:rsidRPr="00A1431E">
              <w:rPr>
                <w:sz w:val="22"/>
              </w:rPr>
              <w:t xml:space="preserve"> un </w:t>
            </w:r>
            <w:r w:rsidRPr="00630489">
              <w:rPr>
                <w:sz w:val="22"/>
              </w:rPr>
              <w:t>24.</w:t>
            </w:r>
            <w:r w:rsidRPr="00A1431E">
              <w:rPr>
                <w:sz w:val="22"/>
              </w:rPr>
              <w:t> punktā minētās piesārņojošās darbības, ja ražošanas jauda vai saražotās produkcijas apjoms nepārsniedz likuma "</w:t>
            </w:r>
            <w:r w:rsidRPr="00630489">
              <w:rPr>
                <w:sz w:val="22"/>
              </w:rPr>
              <w:t>Par piesārņojumu</w:t>
            </w:r>
            <w:r w:rsidRPr="00A1431E">
              <w:rPr>
                <w:sz w:val="22"/>
              </w:rPr>
              <w:t xml:space="preserve">" </w:t>
            </w:r>
            <w:r w:rsidRPr="00630489">
              <w:rPr>
                <w:sz w:val="22"/>
              </w:rPr>
              <w:t>2.</w:t>
            </w:r>
            <w:r w:rsidRPr="00A1431E">
              <w:rPr>
                <w:sz w:val="22"/>
              </w:rPr>
              <w:t> pielikuma I nodaļā minēto rādītāju un tai nav izsniegta siltumnīcefekta gāzu emisijas atļauja</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4,50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9,00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12,00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15,00</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3.</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Daļiņas PM</w:t>
            </w:r>
            <w:r w:rsidRPr="00A1431E">
              <w:rPr>
                <w:sz w:val="22"/>
                <w:vertAlign w:val="subscript"/>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75,00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75,00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75,00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75,00</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4.</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Oglekļa monoksīds (CO)</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7,83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7,83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7,83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7,83</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5.</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Amonjaks (NH</w:t>
            </w:r>
            <w:r w:rsidRPr="00A1431E">
              <w:rPr>
                <w:sz w:val="22"/>
                <w:vertAlign w:val="subscript"/>
              </w:rPr>
              <w:t>3</w:t>
            </w:r>
            <w:r w:rsidRPr="00A1431E">
              <w:rPr>
                <w:sz w:val="22"/>
              </w:rPr>
              <w:t>), sērūdeņradis (H</w:t>
            </w:r>
            <w:r w:rsidRPr="00A1431E">
              <w:rPr>
                <w:sz w:val="22"/>
                <w:vertAlign w:val="subscript"/>
              </w:rPr>
              <w:t>2</w:t>
            </w:r>
            <w:r w:rsidRPr="00A1431E">
              <w:rPr>
                <w:sz w:val="22"/>
              </w:rPr>
              <w:t>S) un pārējie neorganiskie savienojumi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18,50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18,50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18,50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18,50</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6.</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Sēra dioksīds (SO</w:t>
            </w:r>
            <w:r w:rsidRPr="00A1431E">
              <w:rPr>
                <w:sz w:val="22"/>
                <w:vertAlign w:val="subscript"/>
              </w:rPr>
              <w:t>2</w:t>
            </w:r>
            <w:r w:rsidRPr="00A1431E">
              <w:rPr>
                <w:sz w:val="22"/>
              </w:rPr>
              <w:t>), slāpekļa oksīdi (</w:t>
            </w:r>
            <w:proofErr w:type="spellStart"/>
            <w:r w:rsidRPr="00A1431E">
              <w:rPr>
                <w:sz w:val="22"/>
              </w:rPr>
              <w:t>NO</w:t>
            </w:r>
            <w:r w:rsidRPr="00A1431E">
              <w:rPr>
                <w:sz w:val="22"/>
                <w:vertAlign w:val="subscript"/>
              </w:rPr>
              <w:t>x</w:t>
            </w:r>
            <w:proofErr w:type="spellEnd"/>
            <w:r w:rsidRPr="00A1431E">
              <w:rPr>
                <w:sz w:val="22"/>
              </w:rPr>
              <w:t> — slāpekļa oksīdu summa, pārrēķināta uz NO</w:t>
            </w:r>
            <w:r w:rsidRPr="00A1431E">
              <w:rPr>
                <w:sz w:val="22"/>
                <w:vertAlign w:val="subscript"/>
              </w:rPr>
              <w:t>2</w:t>
            </w:r>
            <w:r w:rsidRPr="00A1431E">
              <w:rPr>
                <w:sz w:val="22"/>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7.</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Gaistošie organiskie savienojumi un citi ogļūdeņraži (</w:t>
            </w:r>
            <w:proofErr w:type="spellStart"/>
            <w:r w:rsidRPr="00A1431E">
              <w:rPr>
                <w:sz w:val="22"/>
              </w:rPr>
              <w:t>C</w:t>
            </w:r>
            <w:r w:rsidRPr="00A1431E">
              <w:rPr>
                <w:sz w:val="22"/>
                <w:vertAlign w:val="subscript"/>
              </w:rPr>
              <w:t>n</w:t>
            </w:r>
            <w:r w:rsidRPr="00A1431E">
              <w:rPr>
                <w:sz w:val="22"/>
              </w:rPr>
              <w:t>H</w:t>
            </w:r>
            <w:r w:rsidRPr="00A1431E">
              <w:rPr>
                <w:sz w:val="22"/>
                <w:vertAlign w:val="subscript"/>
              </w:rPr>
              <w:t>m</w:t>
            </w:r>
            <w:proofErr w:type="spellEnd"/>
            <w:r w:rsidRPr="00A1431E">
              <w:rPr>
                <w:sz w:val="22"/>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85,37</w:t>
            </w:r>
          </w:p>
        </w:tc>
      </w:tr>
      <w:tr w:rsidR="00A1431E" w:rsidRPr="00A1431E" w:rsidTr="00A143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1431E" w:rsidRPr="00A1431E" w:rsidRDefault="00A1431E" w:rsidP="00A1431E">
            <w:pPr>
              <w:jc w:val="both"/>
              <w:rPr>
                <w:sz w:val="22"/>
              </w:rPr>
            </w:pPr>
            <w:r w:rsidRPr="00A1431E">
              <w:rPr>
                <w:sz w:val="22"/>
              </w:rPr>
              <w:t>8.</w:t>
            </w:r>
          </w:p>
        </w:tc>
        <w:tc>
          <w:tcPr>
            <w:tcW w:w="110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Smagie metāli (</w:t>
            </w:r>
            <w:proofErr w:type="spellStart"/>
            <w:r w:rsidRPr="00A1431E">
              <w:rPr>
                <w:sz w:val="22"/>
              </w:rPr>
              <w:t>Cd</w:t>
            </w:r>
            <w:proofErr w:type="spellEnd"/>
            <w:r w:rsidRPr="00A1431E">
              <w:rPr>
                <w:sz w:val="22"/>
              </w:rPr>
              <w:t xml:space="preserve">, </w:t>
            </w:r>
            <w:proofErr w:type="spellStart"/>
            <w:r w:rsidRPr="00A1431E">
              <w:rPr>
                <w:sz w:val="22"/>
              </w:rPr>
              <w:t>Ni</w:t>
            </w:r>
            <w:proofErr w:type="spellEnd"/>
            <w:r w:rsidRPr="00A1431E">
              <w:rPr>
                <w:sz w:val="22"/>
              </w:rPr>
              <w:t xml:space="preserve">, </w:t>
            </w:r>
            <w:proofErr w:type="spellStart"/>
            <w:r w:rsidRPr="00A1431E">
              <w:rPr>
                <w:sz w:val="22"/>
              </w:rPr>
              <w:t>Sn</w:t>
            </w:r>
            <w:proofErr w:type="spellEnd"/>
            <w:r w:rsidRPr="00A1431E">
              <w:rPr>
                <w:sz w:val="22"/>
              </w:rPr>
              <w:t xml:space="preserve">, Hg, </w:t>
            </w:r>
            <w:proofErr w:type="spellStart"/>
            <w:r w:rsidRPr="00A1431E">
              <w:rPr>
                <w:sz w:val="22"/>
              </w:rPr>
              <w:t>Pb</w:t>
            </w:r>
            <w:proofErr w:type="spellEnd"/>
            <w:r w:rsidRPr="00A1431E">
              <w:rPr>
                <w:sz w:val="22"/>
              </w:rPr>
              <w:t xml:space="preserve">, </w:t>
            </w:r>
            <w:proofErr w:type="spellStart"/>
            <w:r w:rsidRPr="00A1431E">
              <w:rPr>
                <w:sz w:val="22"/>
              </w:rPr>
              <w:t>Zn</w:t>
            </w:r>
            <w:proofErr w:type="spellEnd"/>
            <w:r w:rsidRPr="00A1431E">
              <w:rPr>
                <w:sz w:val="22"/>
              </w:rPr>
              <w:t xml:space="preserve">, Cr, As, </w:t>
            </w:r>
            <w:proofErr w:type="spellStart"/>
            <w:r w:rsidRPr="00A1431E">
              <w:rPr>
                <w:sz w:val="22"/>
              </w:rPr>
              <w:t>Se</w:t>
            </w:r>
            <w:proofErr w:type="spellEnd"/>
            <w:r w:rsidRPr="00A1431E">
              <w:rPr>
                <w:sz w:val="22"/>
              </w:rPr>
              <w:t>, Cu) un to savienojumi, pārrēķināti uz attiecīgo metālu, un vanādija pentoksīds, pārrēķināts uz vanādiju</w:t>
            </w:r>
          </w:p>
        </w:tc>
        <w:tc>
          <w:tcPr>
            <w:tcW w:w="550" w:type="pct"/>
            <w:tcBorders>
              <w:top w:val="outset" w:sz="6" w:space="0" w:color="auto"/>
              <w:left w:val="outset" w:sz="6" w:space="0" w:color="auto"/>
              <w:bottom w:val="outset" w:sz="6" w:space="0" w:color="auto"/>
              <w:right w:val="outset" w:sz="6" w:space="0" w:color="auto"/>
            </w:tcBorders>
            <w:vAlign w:val="center"/>
            <w:hideMark/>
          </w:tcPr>
          <w:p w:rsidR="00A1431E" w:rsidRPr="00A1431E" w:rsidRDefault="00A1431E" w:rsidP="00A1431E">
            <w:pPr>
              <w:jc w:val="both"/>
              <w:rPr>
                <w:sz w:val="22"/>
              </w:rPr>
            </w:pPr>
            <w:r w:rsidRPr="00A1431E">
              <w:rPr>
                <w:sz w:val="22"/>
              </w:rPr>
              <w:t>tonna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1138,30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1138,30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1138,30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1431E" w:rsidRPr="00A1431E" w:rsidRDefault="00A1431E" w:rsidP="00A1431E">
            <w:pPr>
              <w:jc w:val="both"/>
              <w:rPr>
                <w:sz w:val="22"/>
              </w:rPr>
            </w:pPr>
            <w:r w:rsidRPr="00A1431E">
              <w:rPr>
                <w:sz w:val="22"/>
              </w:rPr>
              <w:t>1138,30</w:t>
            </w:r>
          </w:p>
        </w:tc>
      </w:tr>
    </w:tbl>
    <w:p w:rsidR="0092686B" w:rsidRDefault="0092686B"/>
    <w:p w:rsidR="00C942C7" w:rsidRDefault="00C942C7">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5"/>
        <w:gridCol w:w="3931"/>
        <w:gridCol w:w="564"/>
        <w:gridCol w:w="3931"/>
        <w:gridCol w:w="1406"/>
        <w:gridCol w:w="1406"/>
      </w:tblGrid>
      <w:tr w:rsidR="001D6A4D" w:rsidRPr="00A664D2" w:rsidTr="001D6A4D">
        <w:tc>
          <w:tcPr>
            <w:tcW w:w="3964" w:type="dxa"/>
            <w:shd w:val="clear" w:color="auto" w:fill="auto"/>
          </w:tcPr>
          <w:p w:rsidR="001D6A4D" w:rsidRPr="00A664D2" w:rsidRDefault="001D6A4D" w:rsidP="00163800">
            <w:pPr>
              <w:jc w:val="center"/>
              <w:rPr>
                <w:b/>
                <w:bCs/>
                <w:iCs/>
              </w:rPr>
            </w:pPr>
            <w:r w:rsidRPr="00A664D2">
              <w:rPr>
                <w:b/>
                <w:bCs/>
                <w:iCs/>
              </w:rPr>
              <w:t>Spēkā esošā redakcija</w:t>
            </w:r>
          </w:p>
        </w:tc>
        <w:tc>
          <w:tcPr>
            <w:tcW w:w="3969" w:type="dxa"/>
          </w:tcPr>
          <w:p w:rsidR="001D6A4D" w:rsidRPr="00A664D2" w:rsidRDefault="001D6A4D" w:rsidP="00163800">
            <w:pPr>
              <w:jc w:val="center"/>
              <w:rPr>
                <w:b/>
              </w:rPr>
            </w:pPr>
            <w:r>
              <w:rPr>
                <w:b/>
              </w:rPr>
              <w:t>Pirmā lasījuma redakcija</w:t>
            </w:r>
          </w:p>
        </w:tc>
        <w:tc>
          <w:tcPr>
            <w:tcW w:w="567" w:type="dxa"/>
          </w:tcPr>
          <w:p w:rsidR="001D6A4D" w:rsidRPr="001B3F41" w:rsidRDefault="001D6A4D" w:rsidP="00163800">
            <w:pPr>
              <w:jc w:val="center"/>
              <w:rPr>
                <w:b/>
              </w:rPr>
            </w:pPr>
            <w:r>
              <w:rPr>
                <w:b/>
              </w:rPr>
              <w:t>Nr.</w:t>
            </w:r>
          </w:p>
        </w:tc>
        <w:tc>
          <w:tcPr>
            <w:tcW w:w="3969" w:type="dxa"/>
          </w:tcPr>
          <w:p w:rsidR="001D6A4D" w:rsidRDefault="001D6A4D" w:rsidP="001D6A4D">
            <w:pPr>
              <w:jc w:val="center"/>
              <w:rPr>
                <w:b/>
              </w:rPr>
            </w:pPr>
            <w:r>
              <w:rPr>
                <w:b/>
              </w:rPr>
              <w:t>Priekšlikumi</w:t>
            </w:r>
          </w:p>
          <w:p w:rsidR="001D6A4D" w:rsidRPr="001B3F41" w:rsidRDefault="001D6A4D" w:rsidP="001D6A4D">
            <w:pPr>
              <w:jc w:val="center"/>
              <w:rPr>
                <w:b/>
              </w:rPr>
            </w:pPr>
            <w:r>
              <w:rPr>
                <w:b/>
              </w:rPr>
              <w:t>()</w:t>
            </w:r>
          </w:p>
        </w:tc>
        <w:tc>
          <w:tcPr>
            <w:tcW w:w="1418" w:type="dxa"/>
          </w:tcPr>
          <w:p w:rsidR="001D6A4D" w:rsidRPr="001B3F41" w:rsidRDefault="001D6A4D" w:rsidP="00163800">
            <w:pPr>
              <w:jc w:val="center"/>
              <w:rPr>
                <w:b/>
              </w:rPr>
            </w:pPr>
            <w:r>
              <w:rPr>
                <w:b/>
              </w:rPr>
              <w:t>Ministru kabineta atzinums</w:t>
            </w:r>
          </w:p>
        </w:tc>
        <w:tc>
          <w:tcPr>
            <w:tcW w:w="1418" w:type="dxa"/>
          </w:tcPr>
          <w:p w:rsidR="001D6A4D" w:rsidRPr="001B3F41" w:rsidRDefault="001D6A4D" w:rsidP="00163800">
            <w:pPr>
              <w:jc w:val="center"/>
              <w:rPr>
                <w:b/>
              </w:rPr>
            </w:pPr>
            <w:r>
              <w:rPr>
                <w:b/>
              </w:rPr>
              <w:t>Komisijas atzinums</w:t>
            </w:r>
          </w:p>
        </w:tc>
      </w:tr>
      <w:tr w:rsidR="001D6A4D" w:rsidRPr="00261CD0" w:rsidTr="001D6A4D">
        <w:tc>
          <w:tcPr>
            <w:tcW w:w="3964" w:type="dxa"/>
            <w:shd w:val="clear" w:color="auto" w:fill="auto"/>
          </w:tcPr>
          <w:p w:rsidR="001D6A4D" w:rsidRPr="00A664D2" w:rsidRDefault="001D6A4D" w:rsidP="00163800">
            <w:pPr>
              <w:ind w:firstLine="567"/>
              <w:jc w:val="both"/>
              <w:rPr>
                <w:bCs/>
                <w:iCs/>
                <w:sz w:val="22"/>
              </w:rPr>
            </w:pPr>
          </w:p>
        </w:tc>
        <w:tc>
          <w:tcPr>
            <w:tcW w:w="3969" w:type="dxa"/>
          </w:tcPr>
          <w:p w:rsidR="001D6A4D" w:rsidRDefault="001D6A4D" w:rsidP="00B63C96">
            <w:pPr>
              <w:jc w:val="both"/>
              <w:rPr>
                <w:rFonts w:eastAsia="Times New Roman"/>
                <w:bCs/>
                <w:color w:val="000000"/>
                <w:sz w:val="22"/>
                <w:lang w:eastAsia="lv-LV"/>
              </w:rPr>
            </w:pPr>
          </w:p>
          <w:p w:rsidR="001D6A4D" w:rsidRPr="00B63C96" w:rsidRDefault="001D6A4D" w:rsidP="00B63C96">
            <w:pPr>
              <w:ind w:firstLine="567"/>
              <w:jc w:val="both"/>
              <w:rPr>
                <w:rFonts w:eastAsia="Times New Roman"/>
                <w:bCs/>
                <w:color w:val="000000"/>
                <w:sz w:val="22"/>
                <w:lang w:eastAsia="lv-LV"/>
              </w:rPr>
            </w:pPr>
            <w:r w:rsidRPr="00D86770">
              <w:rPr>
                <w:rFonts w:eastAsia="Times New Roman"/>
                <w:bCs/>
                <w:color w:val="000000"/>
                <w:sz w:val="22"/>
                <w:lang w:eastAsia="lv-LV"/>
              </w:rPr>
              <w:t>Likums stāj</w:t>
            </w:r>
            <w:r w:rsidR="00A926F1">
              <w:rPr>
                <w:rFonts w:eastAsia="Times New Roman"/>
                <w:bCs/>
                <w:color w:val="000000"/>
                <w:sz w:val="22"/>
                <w:lang w:eastAsia="lv-LV"/>
              </w:rPr>
              <w:t>as spēkā 2021</w:t>
            </w:r>
            <w:r w:rsidR="00B63C96">
              <w:rPr>
                <w:rFonts w:eastAsia="Times New Roman"/>
                <w:bCs/>
                <w:color w:val="000000"/>
                <w:sz w:val="22"/>
                <w:lang w:eastAsia="lv-LV"/>
              </w:rPr>
              <w:t>. gada 1. janvārī.</w:t>
            </w:r>
          </w:p>
        </w:tc>
        <w:tc>
          <w:tcPr>
            <w:tcW w:w="567" w:type="dxa"/>
          </w:tcPr>
          <w:p w:rsidR="001D6A4D" w:rsidRDefault="001D6A4D" w:rsidP="00D86770">
            <w:pPr>
              <w:ind w:firstLine="567"/>
              <w:jc w:val="both"/>
              <w:rPr>
                <w:rFonts w:eastAsia="Times New Roman"/>
                <w:bCs/>
                <w:color w:val="000000"/>
                <w:sz w:val="22"/>
                <w:lang w:eastAsia="lv-LV"/>
              </w:rPr>
            </w:pPr>
          </w:p>
        </w:tc>
        <w:tc>
          <w:tcPr>
            <w:tcW w:w="3969" w:type="dxa"/>
          </w:tcPr>
          <w:p w:rsidR="001D6A4D" w:rsidRDefault="001D6A4D" w:rsidP="00D86770">
            <w:pPr>
              <w:ind w:firstLine="567"/>
              <w:jc w:val="both"/>
              <w:rPr>
                <w:rFonts w:eastAsia="Times New Roman"/>
                <w:bCs/>
                <w:color w:val="000000"/>
                <w:sz w:val="22"/>
                <w:lang w:eastAsia="lv-LV"/>
              </w:rPr>
            </w:pPr>
          </w:p>
        </w:tc>
        <w:tc>
          <w:tcPr>
            <w:tcW w:w="1418" w:type="dxa"/>
          </w:tcPr>
          <w:p w:rsidR="001D6A4D" w:rsidRDefault="001D6A4D" w:rsidP="00D86770">
            <w:pPr>
              <w:ind w:firstLine="567"/>
              <w:jc w:val="both"/>
              <w:rPr>
                <w:rFonts w:eastAsia="Times New Roman"/>
                <w:bCs/>
                <w:color w:val="000000"/>
                <w:sz w:val="22"/>
                <w:lang w:eastAsia="lv-LV"/>
              </w:rPr>
            </w:pPr>
          </w:p>
        </w:tc>
        <w:tc>
          <w:tcPr>
            <w:tcW w:w="1418" w:type="dxa"/>
          </w:tcPr>
          <w:p w:rsidR="001D6A4D" w:rsidRDefault="001D6A4D" w:rsidP="00D86770">
            <w:pPr>
              <w:ind w:firstLine="567"/>
              <w:jc w:val="both"/>
              <w:rPr>
                <w:rFonts w:eastAsia="Times New Roman"/>
                <w:bCs/>
                <w:color w:val="000000"/>
                <w:sz w:val="22"/>
                <w:lang w:eastAsia="lv-LV"/>
              </w:rPr>
            </w:pPr>
          </w:p>
        </w:tc>
      </w:tr>
    </w:tbl>
    <w:p w:rsidR="00D86770" w:rsidRPr="00145D0D" w:rsidRDefault="00D86770">
      <w:pPr>
        <w:rPr>
          <w:sz w:val="22"/>
        </w:rPr>
      </w:pPr>
    </w:p>
    <w:sectPr w:rsidR="00D86770" w:rsidRPr="00145D0D" w:rsidSect="00163800">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91" w:rsidRDefault="00B21F91">
      <w:r>
        <w:separator/>
      </w:r>
    </w:p>
  </w:endnote>
  <w:endnote w:type="continuationSeparator" w:id="0">
    <w:p w:rsidR="00B21F91" w:rsidRDefault="00B2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91" w:rsidRDefault="00B21F91"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F91" w:rsidRDefault="00B21F91" w:rsidP="00163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91" w:rsidRDefault="00B21F91"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87E">
      <w:rPr>
        <w:rStyle w:val="PageNumber"/>
        <w:noProof/>
      </w:rPr>
      <w:t>11</w:t>
    </w:r>
    <w:r>
      <w:rPr>
        <w:rStyle w:val="PageNumber"/>
      </w:rPr>
      <w:fldChar w:fldCharType="end"/>
    </w:r>
  </w:p>
  <w:p w:rsidR="00B21F91" w:rsidRDefault="00B21F91" w:rsidP="00163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91" w:rsidRDefault="00B21F91">
      <w:r>
        <w:separator/>
      </w:r>
    </w:p>
  </w:footnote>
  <w:footnote w:type="continuationSeparator" w:id="0">
    <w:p w:rsidR="00B21F91" w:rsidRDefault="00B2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A02"/>
    <w:multiLevelType w:val="hybridMultilevel"/>
    <w:tmpl w:val="0E902B3C"/>
    <w:lvl w:ilvl="0" w:tplc="86CCE3F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0BD"/>
    <w:multiLevelType w:val="hybridMultilevel"/>
    <w:tmpl w:val="EC8C5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6C2"/>
    <w:rsid w:val="00024868"/>
    <w:rsid w:val="000426CA"/>
    <w:rsid w:val="00042921"/>
    <w:rsid w:val="00046CB8"/>
    <w:rsid w:val="00052EAB"/>
    <w:rsid w:val="00056624"/>
    <w:rsid w:val="00060A07"/>
    <w:rsid w:val="000629CE"/>
    <w:rsid w:val="000717D3"/>
    <w:rsid w:val="00074B12"/>
    <w:rsid w:val="000767B2"/>
    <w:rsid w:val="000816DA"/>
    <w:rsid w:val="000A3950"/>
    <w:rsid w:val="000D35E2"/>
    <w:rsid w:val="000E159B"/>
    <w:rsid w:val="000E2107"/>
    <w:rsid w:val="000E4D0C"/>
    <w:rsid w:val="000F155D"/>
    <w:rsid w:val="00105F56"/>
    <w:rsid w:val="001161F6"/>
    <w:rsid w:val="001248AC"/>
    <w:rsid w:val="001268F5"/>
    <w:rsid w:val="0013244D"/>
    <w:rsid w:val="00132BC5"/>
    <w:rsid w:val="00145D0D"/>
    <w:rsid w:val="00146A84"/>
    <w:rsid w:val="00157E52"/>
    <w:rsid w:val="00160883"/>
    <w:rsid w:val="0016168C"/>
    <w:rsid w:val="00161D6D"/>
    <w:rsid w:val="001636B2"/>
    <w:rsid w:val="00163800"/>
    <w:rsid w:val="0016468E"/>
    <w:rsid w:val="001846DF"/>
    <w:rsid w:val="001A1803"/>
    <w:rsid w:val="001A7561"/>
    <w:rsid w:val="001B359D"/>
    <w:rsid w:val="001B4987"/>
    <w:rsid w:val="001C0569"/>
    <w:rsid w:val="001C0907"/>
    <w:rsid w:val="001C50F7"/>
    <w:rsid w:val="001D6A4D"/>
    <w:rsid w:val="001D7290"/>
    <w:rsid w:val="001E7B89"/>
    <w:rsid w:val="001F548E"/>
    <w:rsid w:val="001F5D02"/>
    <w:rsid w:val="0021151F"/>
    <w:rsid w:val="00211AE3"/>
    <w:rsid w:val="00214FE5"/>
    <w:rsid w:val="0022488C"/>
    <w:rsid w:val="00233759"/>
    <w:rsid w:val="002409F6"/>
    <w:rsid w:val="00242F70"/>
    <w:rsid w:val="00254016"/>
    <w:rsid w:val="00261CD0"/>
    <w:rsid w:val="00264DB8"/>
    <w:rsid w:val="00281D1C"/>
    <w:rsid w:val="0029588D"/>
    <w:rsid w:val="002B16C4"/>
    <w:rsid w:val="002B6C56"/>
    <w:rsid w:val="002B7104"/>
    <w:rsid w:val="002C2D35"/>
    <w:rsid w:val="002C5F5C"/>
    <w:rsid w:val="002C6E33"/>
    <w:rsid w:val="002C76C3"/>
    <w:rsid w:val="002D05FD"/>
    <w:rsid w:val="002D0C5F"/>
    <w:rsid w:val="002D78C8"/>
    <w:rsid w:val="002E24FD"/>
    <w:rsid w:val="002E34E0"/>
    <w:rsid w:val="002E5ECB"/>
    <w:rsid w:val="002F23C0"/>
    <w:rsid w:val="00303D58"/>
    <w:rsid w:val="00323DED"/>
    <w:rsid w:val="0033023E"/>
    <w:rsid w:val="0033581C"/>
    <w:rsid w:val="003446BF"/>
    <w:rsid w:val="00351037"/>
    <w:rsid w:val="00356D43"/>
    <w:rsid w:val="003606D9"/>
    <w:rsid w:val="0036461C"/>
    <w:rsid w:val="00370A4E"/>
    <w:rsid w:val="00371D32"/>
    <w:rsid w:val="00375203"/>
    <w:rsid w:val="00376964"/>
    <w:rsid w:val="00382399"/>
    <w:rsid w:val="00386D2A"/>
    <w:rsid w:val="003A0935"/>
    <w:rsid w:val="003A34B5"/>
    <w:rsid w:val="003A4D67"/>
    <w:rsid w:val="003A5EFA"/>
    <w:rsid w:val="003A6466"/>
    <w:rsid w:val="003B4F80"/>
    <w:rsid w:val="003B66BF"/>
    <w:rsid w:val="003D4D14"/>
    <w:rsid w:val="003D50AE"/>
    <w:rsid w:val="003E53DB"/>
    <w:rsid w:val="003F048C"/>
    <w:rsid w:val="003F13E9"/>
    <w:rsid w:val="003F255F"/>
    <w:rsid w:val="003F30F6"/>
    <w:rsid w:val="00400CE7"/>
    <w:rsid w:val="00401C7C"/>
    <w:rsid w:val="00405A5F"/>
    <w:rsid w:val="0040682C"/>
    <w:rsid w:val="00415A04"/>
    <w:rsid w:val="00440F07"/>
    <w:rsid w:val="004433B5"/>
    <w:rsid w:val="00457779"/>
    <w:rsid w:val="00457CB6"/>
    <w:rsid w:val="00465888"/>
    <w:rsid w:val="004659C5"/>
    <w:rsid w:val="00466ED2"/>
    <w:rsid w:val="004677A4"/>
    <w:rsid w:val="00467954"/>
    <w:rsid w:val="0048560A"/>
    <w:rsid w:val="00486D88"/>
    <w:rsid w:val="00497098"/>
    <w:rsid w:val="00497A0D"/>
    <w:rsid w:val="004A2FCF"/>
    <w:rsid w:val="004B091A"/>
    <w:rsid w:val="004B6B4F"/>
    <w:rsid w:val="004B7FF4"/>
    <w:rsid w:val="004C06D8"/>
    <w:rsid w:val="004C733D"/>
    <w:rsid w:val="004E5491"/>
    <w:rsid w:val="004F2938"/>
    <w:rsid w:val="0050497D"/>
    <w:rsid w:val="00504A68"/>
    <w:rsid w:val="00520099"/>
    <w:rsid w:val="0054488F"/>
    <w:rsid w:val="00546502"/>
    <w:rsid w:val="00572523"/>
    <w:rsid w:val="00576E16"/>
    <w:rsid w:val="00580B15"/>
    <w:rsid w:val="00581468"/>
    <w:rsid w:val="005879FD"/>
    <w:rsid w:val="00591DDB"/>
    <w:rsid w:val="005B0231"/>
    <w:rsid w:val="005B1C38"/>
    <w:rsid w:val="005B32D4"/>
    <w:rsid w:val="005B4453"/>
    <w:rsid w:val="005B4883"/>
    <w:rsid w:val="005B53F4"/>
    <w:rsid w:val="005B64C6"/>
    <w:rsid w:val="005B6C94"/>
    <w:rsid w:val="005D082C"/>
    <w:rsid w:val="005D17DF"/>
    <w:rsid w:val="005D37BB"/>
    <w:rsid w:val="005D5F22"/>
    <w:rsid w:val="005E54AA"/>
    <w:rsid w:val="00602AB8"/>
    <w:rsid w:val="00604032"/>
    <w:rsid w:val="00605E59"/>
    <w:rsid w:val="00606DBE"/>
    <w:rsid w:val="0061617B"/>
    <w:rsid w:val="00626465"/>
    <w:rsid w:val="00630489"/>
    <w:rsid w:val="00632DD9"/>
    <w:rsid w:val="00634835"/>
    <w:rsid w:val="00640F9F"/>
    <w:rsid w:val="00653A72"/>
    <w:rsid w:val="00653AA9"/>
    <w:rsid w:val="00655A02"/>
    <w:rsid w:val="00681536"/>
    <w:rsid w:val="00687F46"/>
    <w:rsid w:val="006959FA"/>
    <w:rsid w:val="006A2924"/>
    <w:rsid w:val="006B28C8"/>
    <w:rsid w:val="006B4C3F"/>
    <w:rsid w:val="006C4F1C"/>
    <w:rsid w:val="006D0779"/>
    <w:rsid w:val="006D7690"/>
    <w:rsid w:val="006E0266"/>
    <w:rsid w:val="006F0AD7"/>
    <w:rsid w:val="007044D0"/>
    <w:rsid w:val="00717019"/>
    <w:rsid w:val="00720B41"/>
    <w:rsid w:val="00731A02"/>
    <w:rsid w:val="00746C61"/>
    <w:rsid w:val="00751F5B"/>
    <w:rsid w:val="007674E4"/>
    <w:rsid w:val="00770F0C"/>
    <w:rsid w:val="00772DD6"/>
    <w:rsid w:val="00777B71"/>
    <w:rsid w:val="0079495B"/>
    <w:rsid w:val="007A3BC4"/>
    <w:rsid w:val="007A3FFC"/>
    <w:rsid w:val="007A59BC"/>
    <w:rsid w:val="007A699D"/>
    <w:rsid w:val="007B5EE8"/>
    <w:rsid w:val="007E2C08"/>
    <w:rsid w:val="007F570C"/>
    <w:rsid w:val="00805FA6"/>
    <w:rsid w:val="00812343"/>
    <w:rsid w:val="00827D05"/>
    <w:rsid w:val="00830FB0"/>
    <w:rsid w:val="00833AA5"/>
    <w:rsid w:val="0084288E"/>
    <w:rsid w:val="00846895"/>
    <w:rsid w:val="008564D5"/>
    <w:rsid w:val="0086732E"/>
    <w:rsid w:val="0087454D"/>
    <w:rsid w:val="00876AD8"/>
    <w:rsid w:val="00883733"/>
    <w:rsid w:val="00883897"/>
    <w:rsid w:val="00884683"/>
    <w:rsid w:val="008A2A30"/>
    <w:rsid w:val="008A5221"/>
    <w:rsid w:val="008B3571"/>
    <w:rsid w:val="008B5441"/>
    <w:rsid w:val="008B6968"/>
    <w:rsid w:val="008B78D5"/>
    <w:rsid w:val="008D0FC9"/>
    <w:rsid w:val="008D57B1"/>
    <w:rsid w:val="008F6928"/>
    <w:rsid w:val="00903609"/>
    <w:rsid w:val="00903630"/>
    <w:rsid w:val="00903E38"/>
    <w:rsid w:val="00910ABE"/>
    <w:rsid w:val="00910BB2"/>
    <w:rsid w:val="0092031B"/>
    <w:rsid w:val="00924E9D"/>
    <w:rsid w:val="009265F5"/>
    <w:rsid w:val="0092686B"/>
    <w:rsid w:val="00927192"/>
    <w:rsid w:val="00940CA8"/>
    <w:rsid w:val="00942767"/>
    <w:rsid w:val="0094485C"/>
    <w:rsid w:val="00947CB3"/>
    <w:rsid w:val="00947EED"/>
    <w:rsid w:val="009514F1"/>
    <w:rsid w:val="00953442"/>
    <w:rsid w:val="00955C25"/>
    <w:rsid w:val="009636A8"/>
    <w:rsid w:val="0096593E"/>
    <w:rsid w:val="0098171D"/>
    <w:rsid w:val="00991071"/>
    <w:rsid w:val="00993F1B"/>
    <w:rsid w:val="00996C86"/>
    <w:rsid w:val="009A330D"/>
    <w:rsid w:val="009A387E"/>
    <w:rsid w:val="009A3D9C"/>
    <w:rsid w:val="009A495C"/>
    <w:rsid w:val="009A52CF"/>
    <w:rsid w:val="009B08A6"/>
    <w:rsid w:val="009B729D"/>
    <w:rsid w:val="009C0B94"/>
    <w:rsid w:val="009C281E"/>
    <w:rsid w:val="009D05D2"/>
    <w:rsid w:val="009D7372"/>
    <w:rsid w:val="009E63A5"/>
    <w:rsid w:val="00A00B52"/>
    <w:rsid w:val="00A11592"/>
    <w:rsid w:val="00A11B18"/>
    <w:rsid w:val="00A1431E"/>
    <w:rsid w:val="00A169B5"/>
    <w:rsid w:val="00A32E5D"/>
    <w:rsid w:val="00A400CF"/>
    <w:rsid w:val="00A44007"/>
    <w:rsid w:val="00A926F1"/>
    <w:rsid w:val="00AA1600"/>
    <w:rsid w:val="00AA7863"/>
    <w:rsid w:val="00AB03BC"/>
    <w:rsid w:val="00AB1FE4"/>
    <w:rsid w:val="00AB52C9"/>
    <w:rsid w:val="00AB5FE9"/>
    <w:rsid w:val="00AD2BA6"/>
    <w:rsid w:val="00AE10D0"/>
    <w:rsid w:val="00AF49E4"/>
    <w:rsid w:val="00B12903"/>
    <w:rsid w:val="00B21F91"/>
    <w:rsid w:val="00B33F56"/>
    <w:rsid w:val="00B36DAB"/>
    <w:rsid w:val="00B6215C"/>
    <w:rsid w:val="00B63C96"/>
    <w:rsid w:val="00B6582A"/>
    <w:rsid w:val="00B712D1"/>
    <w:rsid w:val="00B7236A"/>
    <w:rsid w:val="00B7430C"/>
    <w:rsid w:val="00B74AE3"/>
    <w:rsid w:val="00B800F7"/>
    <w:rsid w:val="00B80668"/>
    <w:rsid w:val="00B81B3E"/>
    <w:rsid w:val="00B86BB3"/>
    <w:rsid w:val="00B90146"/>
    <w:rsid w:val="00BA51BD"/>
    <w:rsid w:val="00BC1843"/>
    <w:rsid w:val="00BC34D1"/>
    <w:rsid w:val="00BC3C78"/>
    <w:rsid w:val="00BC5607"/>
    <w:rsid w:val="00BC6DFF"/>
    <w:rsid w:val="00BE4D1F"/>
    <w:rsid w:val="00BF1E57"/>
    <w:rsid w:val="00C00DC2"/>
    <w:rsid w:val="00C06D42"/>
    <w:rsid w:val="00C127F1"/>
    <w:rsid w:val="00C17839"/>
    <w:rsid w:val="00C24714"/>
    <w:rsid w:val="00C316E1"/>
    <w:rsid w:val="00C34CF9"/>
    <w:rsid w:val="00C44ADF"/>
    <w:rsid w:val="00C4665A"/>
    <w:rsid w:val="00C55326"/>
    <w:rsid w:val="00C6390F"/>
    <w:rsid w:val="00C67D8F"/>
    <w:rsid w:val="00C757AA"/>
    <w:rsid w:val="00C75A1E"/>
    <w:rsid w:val="00C825DA"/>
    <w:rsid w:val="00C942C7"/>
    <w:rsid w:val="00C946FA"/>
    <w:rsid w:val="00CA4D55"/>
    <w:rsid w:val="00CA6BC4"/>
    <w:rsid w:val="00CA79EA"/>
    <w:rsid w:val="00CB5CE2"/>
    <w:rsid w:val="00CC2218"/>
    <w:rsid w:val="00CC37E9"/>
    <w:rsid w:val="00CC3AB1"/>
    <w:rsid w:val="00CD26C6"/>
    <w:rsid w:val="00CD34B5"/>
    <w:rsid w:val="00CD5E12"/>
    <w:rsid w:val="00CD5FC9"/>
    <w:rsid w:val="00CE2DC2"/>
    <w:rsid w:val="00CF2241"/>
    <w:rsid w:val="00CF2763"/>
    <w:rsid w:val="00CF68AE"/>
    <w:rsid w:val="00D011AD"/>
    <w:rsid w:val="00D141D1"/>
    <w:rsid w:val="00D319E6"/>
    <w:rsid w:val="00D513AD"/>
    <w:rsid w:val="00D51481"/>
    <w:rsid w:val="00D664C1"/>
    <w:rsid w:val="00D665E0"/>
    <w:rsid w:val="00D66838"/>
    <w:rsid w:val="00D7094B"/>
    <w:rsid w:val="00D74397"/>
    <w:rsid w:val="00D86770"/>
    <w:rsid w:val="00D9205B"/>
    <w:rsid w:val="00D92108"/>
    <w:rsid w:val="00D92676"/>
    <w:rsid w:val="00D94C82"/>
    <w:rsid w:val="00DC2434"/>
    <w:rsid w:val="00DD261F"/>
    <w:rsid w:val="00DD7FEF"/>
    <w:rsid w:val="00DE4D1D"/>
    <w:rsid w:val="00E0312B"/>
    <w:rsid w:val="00E12F7F"/>
    <w:rsid w:val="00E17A08"/>
    <w:rsid w:val="00E20244"/>
    <w:rsid w:val="00E30D2D"/>
    <w:rsid w:val="00E31A90"/>
    <w:rsid w:val="00E35322"/>
    <w:rsid w:val="00E373BB"/>
    <w:rsid w:val="00E61203"/>
    <w:rsid w:val="00E708DF"/>
    <w:rsid w:val="00E71869"/>
    <w:rsid w:val="00E86455"/>
    <w:rsid w:val="00E9681F"/>
    <w:rsid w:val="00EA0C03"/>
    <w:rsid w:val="00EA12F4"/>
    <w:rsid w:val="00EA52E1"/>
    <w:rsid w:val="00EA5739"/>
    <w:rsid w:val="00EA7457"/>
    <w:rsid w:val="00EB3CE5"/>
    <w:rsid w:val="00EC158C"/>
    <w:rsid w:val="00EC3FEB"/>
    <w:rsid w:val="00EC440D"/>
    <w:rsid w:val="00EC4586"/>
    <w:rsid w:val="00ED173A"/>
    <w:rsid w:val="00EF0958"/>
    <w:rsid w:val="00EF106B"/>
    <w:rsid w:val="00EF3075"/>
    <w:rsid w:val="00EF55C3"/>
    <w:rsid w:val="00F02D66"/>
    <w:rsid w:val="00F04F02"/>
    <w:rsid w:val="00F10578"/>
    <w:rsid w:val="00F36723"/>
    <w:rsid w:val="00F36B31"/>
    <w:rsid w:val="00F37D82"/>
    <w:rsid w:val="00F5084C"/>
    <w:rsid w:val="00F51CF1"/>
    <w:rsid w:val="00F57A39"/>
    <w:rsid w:val="00F742D5"/>
    <w:rsid w:val="00F75133"/>
    <w:rsid w:val="00F823B4"/>
    <w:rsid w:val="00F84E91"/>
    <w:rsid w:val="00F87911"/>
    <w:rsid w:val="00F96D2A"/>
    <w:rsid w:val="00F97FB5"/>
    <w:rsid w:val="00FA26C0"/>
    <w:rsid w:val="00FA4D77"/>
    <w:rsid w:val="00FA4FDD"/>
    <w:rsid w:val="00FB561D"/>
    <w:rsid w:val="00FC3F53"/>
    <w:rsid w:val="00FE50B9"/>
    <w:rsid w:val="00FE6AC7"/>
    <w:rsid w:val="00FE7B1A"/>
    <w:rsid w:val="00FF2A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076A"/>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customStyle="1" w:styleId="tvhtml">
    <w:name w:val="tv_html"/>
    <w:basedOn w:val="Normal"/>
    <w:rsid w:val="009E63A5"/>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100029980">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05759870">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490801517">
      <w:bodyDiv w:val="1"/>
      <w:marLeft w:val="0"/>
      <w:marRight w:val="0"/>
      <w:marTop w:val="0"/>
      <w:marBottom w:val="0"/>
      <w:divBdr>
        <w:top w:val="none" w:sz="0" w:space="0" w:color="auto"/>
        <w:left w:val="none" w:sz="0" w:space="0" w:color="auto"/>
        <w:bottom w:val="none" w:sz="0" w:space="0" w:color="auto"/>
        <w:right w:val="none" w:sz="0" w:space="0" w:color="auto"/>
      </w:divBdr>
    </w:div>
    <w:div w:id="51072517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82300409">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4811632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050298449">
      <w:bodyDiv w:val="1"/>
      <w:marLeft w:val="0"/>
      <w:marRight w:val="0"/>
      <w:marTop w:val="0"/>
      <w:marBottom w:val="0"/>
      <w:divBdr>
        <w:top w:val="none" w:sz="0" w:space="0" w:color="auto"/>
        <w:left w:val="none" w:sz="0" w:space="0" w:color="auto"/>
        <w:bottom w:val="none" w:sz="0" w:space="0" w:color="auto"/>
        <w:right w:val="none" w:sz="0" w:space="0" w:color="auto"/>
      </w:divBdr>
    </w:div>
    <w:div w:id="1138643410">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365786701">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12658325">
      <w:bodyDiv w:val="1"/>
      <w:marLeft w:val="0"/>
      <w:marRight w:val="0"/>
      <w:marTop w:val="0"/>
      <w:marBottom w:val="0"/>
      <w:divBdr>
        <w:top w:val="none" w:sz="0" w:space="0" w:color="auto"/>
        <w:left w:val="none" w:sz="0" w:space="0" w:color="auto"/>
        <w:bottom w:val="none" w:sz="0" w:space="0" w:color="auto"/>
        <w:right w:val="none" w:sz="0" w:space="0" w:color="auto"/>
      </w:divBdr>
    </w:div>
    <w:div w:id="1420710024">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3976416">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9617729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21283313">
      <w:bodyDiv w:val="1"/>
      <w:marLeft w:val="0"/>
      <w:marRight w:val="0"/>
      <w:marTop w:val="0"/>
      <w:marBottom w:val="0"/>
      <w:divBdr>
        <w:top w:val="none" w:sz="0" w:space="0" w:color="auto"/>
        <w:left w:val="none" w:sz="0" w:space="0" w:color="auto"/>
        <w:bottom w:val="none" w:sz="0" w:space="0" w:color="auto"/>
        <w:right w:val="none" w:sz="0" w:space="0" w:color="auto"/>
      </w:divBdr>
    </w:div>
    <w:div w:id="1984433349">
      <w:bodyDiv w:val="1"/>
      <w:marLeft w:val="0"/>
      <w:marRight w:val="0"/>
      <w:marTop w:val="0"/>
      <w:marBottom w:val="0"/>
      <w:divBdr>
        <w:top w:val="none" w:sz="0" w:space="0" w:color="auto"/>
        <w:left w:val="none" w:sz="0" w:space="0" w:color="auto"/>
        <w:bottom w:val="none" w:sz="0" w:space="0" w:color="auto"/>
        <w:right w:val="none" w:sz="0" w:space="0" w:color="auto"/>
      </w:divBdr>
    </w:div>
    <w:div w:id="2005817757">
      <w:bodyDiv w:val="1"/>
      <w:marLeft w:val="0"/>
      <w:marRight w:val="0"/>
      <w:marTop w:val="0"/>
      <w:marBottom w:val="0"/>
      <w:divBdr>
        <w:top w:val="none" w:sz="0" w:space="0" w:color="auto"/>
        <w:left w:val="none" w:sz="0" w:space="0" w:color="auto"/>
        <w:bottom w:val="none" w:sz="0" w:space="0" w:color="auto"/>
        <w:right w:val="none" w:sz="0" w:space="0" w:color="auto"/>
      </w:divBdr>
      <w:divsChild>
        <w:div w:id="111366408">
          <w:marLeft w:val="0"/>
          <w:marRight w:val="0"/>
          <w:marTop w:val="0"/>
          <w:marBottom w:val="0"/>
          <w:divBdr>
            <w:top w:val="none" w:sz="0" w:space="0" w:color="auto"/>
            <w:left w:val="none" w:sz="0" w:space="0" w:color="auto"/>
            <w:bottom w:val="none" w:sz="0" w:space="0" w:color="auto"/>
            <w:right w:val="none" w:sz="0" w:space="0" w:color="auto"/>
          </w:divBdr>
        </w:div>
        <w:div w:id="2585970">
          <w:marLeft w:val="0"/>
          <w:marRight w:val="0"/>
          <w:marTop w:val="0"/>
          <w:marBottom w:val="0"/>
          <w:divBdr>
            <w:top w:val="none" w:sz="0" w:space="0" w:color="auto"/>
            <w:left w:val="none" w:sz="0" w:space="0" w:color="auto"/>
            <w:bottom w:val="none" w:sz="0" w:space="0" w:color="auto"/>
            <w:right w:val="none" w:sz="0" w:space="0" w:color="auto"/>
          </w:divBdr>
        </w:div>
        <w:div w:id="1170873555">
          <w:marLeft w:val="0"/>
          <w:marRight w:val="0"/>
          <w:marTop w:val="0"/>
          <w:marBottom w:val="0"/>
          <w:divBdr>
            <w:top w:val="none" w:sz="0" w:space="0" w:color="auto"/>
            <w:left w:val="none" w:sz="0" w:space="0" w:color="auto"/>
            <w:bottom w:val="none" w:sz="0" w:space="0" w:color="auto"/>
            <w:right w:val="none" w:sz="0" w:space="0" w:color="auto"/>
          </w:divBdr>
        </w:div>
        <w:div w:id="1216114180">
          <w:marLeft w:val="0"/>
          <w:marRight w:val="0"/>
          <w:marTop w:val="0"/>
          <w:marBottom w:val="0"/>
          <w:divBdr>
            <w:top w:val="none" w:sz="0" w:space="0" w:color="auto"/>
            <w:left w:val="none" w:sz="0" w:space="0" w:color="auto"/>
            <w:bottom w:val="none" w:sz="0" w:space="0" w:color="auto"/>
            <w:right w:val="none" w:sz="0" w:space="0" w:color="auto"/>
          </w:divBdr>
        </w:div>
        <w:div w:id="1798060703">
          <w:marLeft w:val="0"/>
          <w:marRight w:val="0"/>
          <w:marTop w:val="0"/>
          <w:marBottom w:val="0"/>
          <w:divBdr>
            <w:top w:val="none" w:sz="0" w:space="0" w:color="auto"/>
            <w:left w:val="none" w:sz="0" w:space="0" w:color="auto"/>
            <w:bottom w:val="none" w:sz="0" w:space="0" w:color="auto"/>
            <w:right w:val="none" w:sz="0" w:space="0" w:color="auto"/>
          </w:divBdr>
        </w:div>
      </w:divsChild>
    </w:div>
    <w:div w:id="2013333441">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12255</Words>
  <Characters>6986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67</cp:revision>
  <cp:lastPrinted>2018-11-29T07:09:00Z</cp:lastPrinted>
  <dcterms:created xsi:type="dcterms:W3CDTF">2020-10-15T12:05:00Z</dcterms:created>
  <dcterms:modified xsi:type="dcterms:W3CDTF">2020-10-30T18:57:00Z</dcterms:modified>
</cp:coreProperties>
</file>