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38" w:rsidRPr="007E212E" w:rsidRDefault="00364D38" w:rsidP="00364D38">
      <w:pPr>
        <w:rPr>
          <w:b/>
          <w:i/>
          <w:sz w:val="22"/>
        </w:rPr>
      </w:pPr>
      <w:r w:rsidRPr="007E212E">
        <w:rPr>
          <w:sz w:val="26"/>
          <w:szCs w:val="26"/>
        </w:rPr>
        <w:t xml:space="preserve">Budžeta un finanšu (nodokļu) komisija </w:t>
      </w:r>
    </w:p>
    <w:p w:rsidR="00364D38" w:rsidRPr="007E212E" w:rsidRDefault="00364D38" w:rsidP="00364D38">
      <w:pPr>
        <w:jc w:val="right"/>
        <w:rPr>
          <w:sz w:val="26"/>
          <w:szCs w:val="26"/>
        </w:rPr>
      </w:pPr>
      <w:r w:rsidRPr="007E212E">
        <w:rPr>
          <w:sz w:val="26"/>
          <w:szCs w:val="26"/>
        </w:rPr>
        <w:t xml:space="preserve">Likumprojekts </w:t>
      </w:r>
      <w:proofErr w:type="gramStart"/>
      <w:r w:rsidRPr="007E212E">
        <w:rPr>
          <w:sz w:val="26"/>
          <w:szCs w:val="26"/>
        </w:rPr>
        <w:t>(steidzams) otrajam lasījumam</w:t>
      </w:r>
      <w:proofErr w:type="gramEnd"/>
    </w:p>
    <w:p w:rsidR="00364D38" w:rsidRPr="007E212E" w:rsidRDefault="00364D38" w:rsidP="00364D38">
      <w:pPr>
        <w:jc w:val="right"/>
        <w:rPr>
          <w:sz w:val="26"/>
          <w:szCs w:val="26"/>
        </w:rPr>
      </w:pPr>
    </w:p>
    <w:p w:rsidR="00023598" w:rsidRDefault="00023598" w:rsidP="00364D38">
      <w:pPr>
        <w:jc w:val="center"/>
        <w:rPr>
          <w:rStyle w:val="Hyperlink"/>
          <w:b/>
          <w:sz w:val="28"/>
          <w:szCs w:val="28"/>
        </w:rPr>
      </w:pPr>
      <w:r>
        <w:rPr>
          <w:b/>
          <w:sz w:val="28"/>
          <w:szCs w:val="28"/>
          <w:lang w:eastAsia="zh-CN"/>
        </w:rPr>
        <w:t>Grozījumi liku</w:t>
      </w:r>
      <w:bookmarkStart w:id="0" w:name="_GoBack"/>
      <w:bookmarkEnd w:id="0"/>
      <w:r>
        <w:rPr>
          <w:b/>
          <w:sz w:val="28"/>
          <w:szCs w:val="28"/>
          <w:lang w:eastAsia="zh-CN"/>
        </w:rPr>
        <w:t>mā "</w:t>
      </w:r>
      <w:r w:rsidRPr="00023598">
        <w:rPr>
          <w:b/>
          <w:sz w:val="28"/>
          <w:szCs w:val="28"/>
          <w:lang w:eastAsia="zh-CN"/>
        </w:rPr>
        <w:t>Par valsts pensijām</w:t>
      </w:r>
      <w:r>
        <w:rPr>
          <w:b/>
          <w:sz w:val="28"/>
          <w:szCs w:val="28"/>
          <w:lang w:eastAsia="zh-CN"/>
        </w:rPr>
        <w:t>"</w:t>
      </w:r>
      <w:r w:rsidRPr="007E212E">
        <w:rPr>
          <w:rStyle w:val="Hyperlink"/>
          <w:b/>
          <w:sz w:val="28"/>
          <w:szCs w:val="28"/>
        </w:rPr>
        <w:t xml:space="preserve"> </w:t>
      </w:r>
    </w:p>
    <w:p w:rsidR="00364D38" w:rsidRPr="007E212E" w:rsidRDefault="00364D38" w:rsidP="00364D38">
      <w:pPr>
        <w:jc w:val="center"/>
        <w:rPr>
          <w:rStyle w:val="Emphasis"/>
          <w:b/>
          <w:sz w:val="28"/>
          <w:szCs w:val="28"/>
        </w:rPr>
      </w:pPr>
      <w:r w:rsidRPr="007E212E">
        <w:rPr>
          <w:rStyle w:val="Emphasis"/>
          <w:b/>
          <w:sz w:val="28"/>
          <w:szCs w:val="28"/>
        </w:rPr>
        <w:t>(Nr. 82</w:t>
      </w:r>
      <w:r>
        <w:rPr>
          <w:rStyle w:val="Emphasis"/>
          <w:b/>
          <w:sz w:val="28"/>
          <w:szCs w:val="28"/>
        </w:rPr>
        <w:t>1</w:t>
      </w:r>
      <w:r w:rsidRPr="007E212E">
        <w:rPr>
          <w:rStyle w:val="Emphasis"/>
          <w:b/>
          <w:sz w:val="28"/>
          <w:szCs w:val="28"/>
        </w:rPr>
        <w:t xml:space="preserve">/Lp13) </w:t>
      </w:r>
    </w:p>
    <w:p w:rsidR="00364D38" w:rsidRPr="007E212E" w:rsidRDefault="00364D38" w:rsidP="00364D38">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364D38" w:rsidRPr="007E212E" w:rsidTr="00425AC7">
        <w:tc>
          <w:tcPr>
            <w:tcW w:w="3964" w:type="dxa"/>
            <w:shd w:val="clear" w:color="auto" w:fill="auto"/>
            <w:vAlign w:val="center"/>
          </w:tcPr>
          <w:p w:rsidR="00364D38" w:rsidRPr="007E212E" w:rsidRDefault="00364D38" w:rsidP="00425AC7">
            <w:pPr>
              <w:jc w:val="center"/>
              <w:rPr>
                <w:b/>
                <w:bCs/>
                <w:iCs/>
              </w:rPr>
            </w:pPr>
            <w:r w:rsidRPr="007E212E">
              <w:rPr>
                <w:b/>
              </w:rPr>
              <w:t>Spēkā esošā redakcija</w:t>
            </w:r>
          </w:p>
        </w:tc>
        <w:tc>
          <w:tcPr>
            <w:tcW w:w="3969" w:type="dxa"/>
            <w:shd w:val="clear" w:color="auto" w:fill="auto"/>
            <w:vAlign w:val="center"/>
          </w:tcPr>
          <w:p w:rsidR="00364D38" w:rsidRPr="007E212E" w:rsidRDefault="00364D38" w:rsidP="00425AC7">
            <w:pPr>
              <w:jc w:val="center"/>
              <w:rPr>
                <w:b/>
              </w:rPr>
            </w:pPr>
            <w:r w:rsidRPr="007E212E">
              <w:rPr>
                <w:b/>
              </w:rPr>
              <w:t>Pirmā lasījuma redakcija</w:t>
            </w:r>
          </w:p>
        </w:tc>
        <w:tc>
          <w:tcPr>
            <w:tcW w:w="581" w:type="dxa"/>
            <w:vAlign w:val="center"/>
          </w:tcPr>
          <w:p w:rsidR="00364D38" w:rsidRPr="007E212E" w:rsidRDefault="00364D38" w:rsidP="00425AC7">
            <w:pPr>
              <w:jc w:val="center"/>
              <w:rPr>
                <w:b/>
              </w:rPr>
            </w:pPr>
            <w:r w:rsidRPr="007E212E">
              <w:rPr>
                <w:b/>
              </w:rPr>
              <w:t>Nr.</w:t>
            </w:r>
          </w:p>
        </w:tc>
        <w:tc>
          <w:tcPr>
            <w:tcW w:w="3969" w:type="dxa"/>
            <w:vAlign w:val="center"/>
          </w:tcPr>
          <w:p w:rsidR="00364D38" w:rsidRPr="007E212E" w:rsidRDefault="00364D38" w:rsidP="00425AC7">
            <w:pPr>
              <w:jc w:val="center"/>
              <w:rPr>
                <w:b/>
              </w:rPr>
            </w:pPr>
            <w:r w:rsidRPr="007E212E">
              <w:rPr>
                <w:b/>
              </w:rPr>
              <w:t>Priekšlikumi</w:t>
            </w:r>
          </w:p>
          <w:p w:rsidR="00364D38" w:rsidRPr="007E212E" w:rsidRDefault="00DB7010" w:rsidP="00425AC7">
            <w:pPr>
              <w:jc w:val="center"/>
              <w:rPr>
                <w:b/>
              </w:rPr>
            </w:pPr>
            <w:r>
              <w:rPr>
                <w:b/>
              </w:rPr>
              <w:t>(9</w:t>
            </w:r>
            <w:r w:rsidR="00364D38" w:rsidRPr="007E212E">
              <w:rPr>
                <w:b/>
              </w:rPr>
              <w:t>)</w:t>
            </w:r>
          </w:p>
        </w:tc>
        <w:tc>
          <w:tcPr>
            <w:tcW w:w="1417" w:type="dxa"/>
            <w:vAlign w:val="center"/>
          </w:tcPr>
          <w:p w:rsidR="00364D38" w:rsidRPr="007E212E" w:rsidRDefault="00364D38" w:rsidP="00425AC7">
            <w:pPr>
              <w:jc w:val="center"/>
              <w:rPr>
                <w:b/>
              </w:rPr>
            </w:pPr>
            <w:r w:rsidRPr="007E212E">
              <w:rPr>
                <w:b/>
              </w:rPr>
              <w:t>Ministru kabineta atzinums</w:t>
            </w:r>
          </w:p>
        </w:tc>
        <w:tc>
          <w:tcPr>
            <w:tcW w:w="1418" w:type="dxa"/>
            <w:vAlign w:val="center"/>
          </w:tcPr>
          <w:p w:rsidR="00364D38" w:rsidRPr="007E212E" w:rsidRDefault="00364D38" w:rsidP="00425AC7">
            <w:pPr>
              <w:jc w:val="center"/>
              <w:rPr>
                <w:b/>
              </w:rPr>
            </w:pPr>
            <w:r w:rsidRPr="007E212E">
              <w:rPr>
                <w:b/>
              </w:rPr>
              <w:t>Komisijas atzinums</w:t>
            </w:r>
          </w:p>
        </w:tc>
      </w:tr>
      <w:tr w:rsidR="00364D38" w:rsidRPr="007E212E" w:rsidTr="00DB7010">
        <w:tc>
          <w:tcPr>
            <w:tcW w:w="3964" w:type="dxa"/>
            <w:shd w:val="clear" w:color="auto" w:fill="auto"/>
            <w:vAlign w:val="center"/>
          </w:tcPr>
          <w:p w:rsidR="00364D38" w:rsidRPr="007E212E" w:rsidRDefault="00364D38" w:rsidP="00425AC7">
            <w:pPr>
              <w:jc w:val="center"/>
              <w:rPr>
                <w:b/>
              </w:rPr>
            </w:pPr>
          </w:p>
        </w:tc>
        <w:tc>
          <w:tcPr>
            <w:tcW w:w="3969" w:type="dxa"/>
            <w:shd w:val="clear" w:color="auto" w:fill="auto"/>
          </w:tcPr>
          <w:p w:rsidR="00364D38" w:rsidRPr="007E212E" w:rsidRDefault="00364D38" w:rsidP="00750653">
            <w:pPr>
              <w:suppressAutoHyphens/>
              <w:ind w:firstLine="567"/>
              <w:jc w:val="both"/>
              <w:rPr>
                <w:rFonts w:eastAsia="Times New Roman"/>
                <w:sz w:val="22"/>
              </w:rPr>
            </w:pPr>
            <w:r w:rsidRPr="00364D38">
              <w:rPr>
                <w:sz w:val="22"/>
                <w:lang w:eastAsia="zh-CN"/>
              </w:rPr>
              <w:t xml:space="preserve">Izdarīt likumā "Par valsts pensijām" </w:t>
            </w:r>
            <w:proofErr w:type="gramStart"/>
            <w:r w:rsidRPr="00364D38">
              <w:rPr>
                <w:sz w:val="22"/>
                <w:lang w:eastAsia="zh-CN"/>
              </w:rPr>
              <w:t>(</w:t>
            </w:r>
            <w:proofErr w:type="gramEnd"/>
            <w:r w:rsidRPr="00364D38">
              <w:rPr>
                <w:sz w:val="22"/>
                <w:lang w:eastAsia="zh-CN"/>
              </w:rPr>
              <w:t>Latvijas Republikas Saeimas un Ministru Kabineta Ziņotājs, 1996, 1., 24. nr.; 1997, 3., 13. nr.; 1998, 1., 24. nr.; 1999, 11., 23. nr.; 2002, 2. nr.; 2004, 6. nr.; 2005, 13., 24. nr.; 2006, 24. nr.; 2007, 24. nr.; 2008, 7., 10., 14. nr.; 2009, 8., 15. nr.; Latvijas Vēstnesis, 2009, 199. nr.; 2010, 16., 205. nr.; 2011, 202. nr.; 2012, 104. nr.; 2013, 112., 137., 194. nr.; 2014, 75. nr.; 2015, 122. nr.; 2016, 57., 241. nr.; 2017, 128. nr.; 2018, 87., 196. nr.; 2019, 240. nr.) šādus grozījumus:</w:t>
            </w:r>
          </w:p>
        </w:tc>
        <w:tc>
          <w:tcPr>
            <w:tcW w:w="581" w:type="dxa"/>
          </w:tcPr>
          <w:p w:rsidR="00364D38" w:rsidRDefault="00DB7010" w:rsidP="00DB7010">
            <w:pPr>
              <w:jc w:val="center"/>
              <w:rPr>
                <w:b/>
              </w:rPr>
            </w:pPr>
            <w:r>
              <w:rPr>
                <w:b/>
              </w:rPr>
              <w:t>1</w:t>
            </w: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Default="00DB7010" w:rsidP="00DB7010">
            <w:pPr>
              <w:jc w:val="center"/>
              <w:rPr>
                <w:b/>
              </w:rPr>
            </w:pPr>
          </w:p>
          <w:p w:rsidR="00DB7010" w:rsidRPr="007E212E" w:rsidRDefault="00DB7010" w:rsidP="00DB7010">
            <w:pPr>
              <w:jc w:val="center"/>
              <w:rPr>
                <w:b/>
              </w:rPr>
            </w:pPr>
            <w:r>
              <w:rPr>
                <w:b/>
              </w:rPr>
              <w:t>2</w:t>
            </w:r>
          </w:p>
        </w:tc>
        <w:tc>
          <w:tcPr>
            <w:tcW w:w="3969" w:type="dxa"/>
          </w:tcPr>
          <w:p w:rsidR="00364D38" w:rsidRPr="00750653" w:rsidRDefault="00750653" w:rsidP="00750653">
            <w:pPr>
              <w:ind w:firstLine="567"/>
              <w:jc w:val="both"/>
              <w:rPr>
                <w:b/>
                <w:sz w:val="22"/>
                <w:u w:val="single"/>
              </w:rPr>
            </w:pPr>
            <w:r w:rsidRPr="00750653">
              <w:rPr>
                <w:b/>
                <w:sz w:val="22"/>
                <w:u w:val="single"/>
              </w:rPr>
              <w:lastRenderedPageBreak/>
              <w:t>Juridiskais birojs</w:t>
            </w:r>
          </w:p>
          <w:p w:rsidR="00750653" w:rsidRPr="00750653" w:rsidRDefault="00750653" w:rsidP="00750653">
            <w:pPr>
              <w:ind w:firstLine="567"/>
              <w:jc w:val="both"/>
              <w:rPr>
                <w:i/>
                <w:sz w:val="22"/>
              </w:rPr>
            </w:pPr>
            <w:r w:rsidRPr="00750653">
              <w:rPr>
                <w:i/>
                <w:sz w:val="22"/>
              </w:rPr>
              <w:t>Juridiskais birojs izskatīja likumprojektu “Grozījumi likumā “Par valsts pensijām””</w:t>
            </w:r>
            <w:r w:rsidRPr="00750653">
              <w:rPr>
                <w:i/>
                <w:iCs/>
                <w:sz w:val="22"/>
              </w:rPr>
              <w:t xml:space="preserve"> (Nr. 821/Lp13) </w:t>
            </w:r>
            <w:r w:rsidRPr="00750653">
              <w:rPr>
                <w:i/>
                <w:sz w:val="22"/>
              </w:rPr>
              <w:t>un sniedz šādu atzinumu par likumprojektu pirms otrā lasījuma:</w:t>
            </w:r>
          </w:p>
          <w:p w:rsidR="00750653" w:rsidRPr="00750653" w:rsidRDefault="00750653" w:rsidP="00750653">
            <w:pPr>
              <w:ind w:firstLine="567"/>
              <w:jc w:val="both"/>
              <w:rPr>
                <w:i/>
                <w:sz w:val="22"/>
              </w:rPr>
            </w:pPr>
            <w:r w:rsidRPr="00750653">
              <w:rPr>
                <w:i/>
                <w:sz w:val="22"/>
              </w:rPr>
              <w:t>1. Likumprojekts paredz noteikt minimālās vecuma pensijas, invaliditātes pensijas un apgādnieka zaudējuma pensijas aprēķina bāzi, šo bāzes apmēru izsakot skaitliskā apmērā. Šo pensiju minimālos apmērus plānots pārskatīt atbilstoši likumā “Par sociālo drošību” noteiktajai minimālo ienākumu sliekšņu pārskatīšanas kārtībai. Juridiskais birojs vērš komisijas uzmanību uz to, ka nedz konkrētais likumprojekts, nedz ar to saistītais likumprojekts “Grozījums likumā “Par sociālo drošību”” (Nr. 817/Lp13) šobrīd neietver šādu minimālo ienākumu sliekšņu noteikšanas pamatprincipus, kā arī pietiekami regulāru šo sliekšņu pārskatīšanas kārtību, tādējādi neievērojot Satversmes tiesas spriedumus lietās Nr. 2019-24-03, Nr. 2019-25-03, Nr. 2019-27-03.</w:t>
            </w:r>
          </w:p>
          <w:p w:rsidR="00750653" w:rsidRPr="00750653" w:rsidRDefault="00750653" w:rsidP="00750653">
            <w:pPr>
              <w:ind w:firstLine="567"/>
              <w:jc w:val="both"/>
              <w:rPr>
                <w:i/>
                <w:sz w:val="22"/>
              </w:rPr>
            </w:pPr>
            <w:r w:rsidRPr="00750653">
              <w:rPr>
                <w:i/>
                <w:sz w:val="22"/>
              </w:rPr>
              <w:t xml:space="preserve">Atbilstoši Satversmes tiesas judikatūrai, likumdevējam likumdošanas </w:t>
            </w:r>
            <w:r w:rsidRPr="00750653">
              <w:rPr>
                <w:i/>
                <w:sz w:val="22"/>
              </w:rPr>
              <w:lastRenderedPageBreak/>
              <w:t>procesā jāizlemj svarīgākie jautājumi, detalizētāku noteikumu un likuma ieviešanai dzīvē nepieciešamo tehnisko normu izstrādāšanai pilnvarojot Ministru kabinetu vai citu valsts institūciju (sk. Satversmes tiesas 2020. gada 25. jūnija sprieduma lietā Nr. 2019-24-03 19. punktu). Minimālo ienākumu sliekšņa noteikšana ir saistīta ar valsts pienākumu izveidot tādu sociālās drošības sistēmu, kura nodrošina cilvēka cieņas aizsardzību, sociālekonomisko atšķirību izlīdzināšanu un valsts ilgtspējīgu attīstību. Tādēļ minimālo ienākumu sliekšņa noteikšanas metodes pamatprincipu izstrāde ir tik būtisks jautājums, ka tas jāizlemj pašam likumdevējam (sal. sk. Satversmes tiesas 2020. gada 25. jūnija sprieduma lietā Nr. 2019-24-03 20. punktu). Minimālo ienākumu sliekšņa noteikšanas pamatprincipu neiekļaušana likumā padara neparedzamu minimālo ienākumu sliekšņa pārskatīšanu nākotnē, jo nepastāv likumā noteikti pamatprincipi pēc kuriem būtu jāvadās šādu slieksni pārskatot. Turklāt pat ja šādi pamatprincipi tiktu noteikti, skaitļu iekļaušana likumā radītu pienākumu likumdevējam grozīt likumu, katru reizi, kad šie minimālo ienākumu sliekšņi tiktu paaugstināti. Attiecīgi likumprojektā nepieciešams ietvert pensiju minimālo apmēru noteikšanas pamatprincipus, nevis konkrētus skaitļus.</w:t>
            </w:r>
          </w:p>
          <w:p w:rsidR="00DB7010" w:rsidRDefault="00DB7010" w:rsidP="00750653">
            <w:pPr>
              <w:ind w:firstLine="567"/>
              <w:jc w:val="both"/>
              <w:rPr>
                <w:i/>
                <w:sz w:val="22"/>
              </w:rPr>
            </w:pPr>
          </w:p>
          <w:p w:rsidR="00DB7010" w:rsidRPr="00750653" w:rsidRDefault="00DB7010" w:rsidP="00DB7010">
            <w:pPr>
              <w:ind w:firstLine="567"/>
              <w:jc w:val="both"/>
              <w:rPr>
                <w:b/>
                <w:sz w:val="22"/>
                <w:u w:val="single"/>
              </w:rPr>
            </w:pPr>
            <w:r w:rsidRPr="00750653">
              <w:rPr>
                <w:b/>
                <w:sz w:val="22"/>
                <w:u w:val="single"/>
              </w:rPr>
              <w:t>Juridiskais birojs</w:t>
            </w:r>
          </w:p>
          <w:p w:rsidR="00750653" w:rsidRPr="00750653" w:rsidRDefault="00750653" w:rsidP="00750653">
            <w:pPr>
              <w:ind w:firstLine="567"/>
              <w:jc w:val="both"/>
              <w:rPr>
                <w:i/>
                <w:sz w:val="22"/>
              </w:rPr>
            </w:pPr>
            <w:r w:rsidRPr="00750653">
              <w:rPr>
                <w:i/>
                <w:sz w:val="22"/>
              </w:rPr>
              <w:t xml:space="preserve">2. Likumprojekta anotācijā nav atrodams piedāvāto grozījumu izvērtējums attiecībā uz atbilstību valsts </w:t>
            </w:r>
            <w:r w:rsidRPr="00750653">
              <w:rPr>
                <w:i/>
                <w:sz w:val="22"/>
              </w:rPr>
              <w:lastRenderedPageBreak/>
              <w:t>starptautiskajām saistībām. Likumprojekta anotācijā norādīts, ka likumprojekts šo jomu neskar (sk. likumprojekta anotācijas 13. lpp.) Juridiskais birojs vērš uzmanību uz to, ka likumdevējs 2013. gada 14. februārī pieņēma un 2013. gada 27. februārī stājās spēkā likums “Par Pārskatīto Eiropas Sociālo hartu”, ar kuru tika pieņemta un apstiprināta (ratificēta) 1996. gada 3. maijā Pārskatītā Eiropas Sociālā harta (turpmāk – Harta). Saskaņā ar minētā likuma 2. pantu Latvijas Republika apņēmās atzīt sev par saistošiem vairākus Hartas II sadaļas pantus, tostarp 12. panta 1. un 2. punktu (tiesības uz sociālo drošību).</w:t>
            </w:r>
          </w:p>
          <w:p w:rsidR="00750653" w:rsidRPr="00750653" w:rsidRDefault="00750653" w:rsidP="00750653">
            <w:pPr>
              <w:ind w:firstLine="567"/>
              <w:jc w:val="both"/>
              <w:rPr>
                <w:i/>
                <w:sz w:val="22"/>
              </w:rPr>
            </w:pPr>
            <w:r w:rsidRPr="00750653">
              <w:rPr>
                <w:i/>
                <w:sz w:val="22"/>
              </w:rPr>
              <w:t xml:space="preserve">Eiropas Sociālo tiesību komiteja (turpmāk – komiteja), kuras kompetencē ir pārbaudīt, vai dalībvalstī esošā situācija atbilst Hartas prasībām, skaidrojot Hartas 12. panta 1.punktu, ir norādījusi, </w:t>
            </w:r>
            <w:proofErr w:type="gramStart"/>
            <w:r w:rsidRPr="00750653">
              <w:rPr>
                <w:i/>
                <w:sz w:val="22"/>
              </w:rPr>
              <w:t>ka sociālās drošības sistēmai jāspēj</w:t>
            </w:r>
            <w:proofErr w:type="gramEnd"/>
            <w:r w:rsidRPr="00750653">
              <w:rPr>
                <w:i/>
                <w:sz w:val="22"/>
              </w:rPr>
              <w:t xml:space="preserve"> personai garantēt efektīvas tiesības saņemt sociālo nodrošinājumu. Hartas 12. panta 1. punkts prasa, lai sociālais nodrošinājums būtu adekvāts. Proti, sociālā nodrošinājuma apmēram, ja tas ir ienākumus aizstājošs, ir jābūt tādam, lai tas veidotu samērīgu daļu no iepriekšējiem ienākumiem, un tas nedrīkst būt zemāks par nabadzības slieksni, kas ir 50 % no ienākumu mediānas uz vienu ekvivalento patērētāju, kas aprēķināta, balstoties uz Eurostat noteikto nabadzības riska slieksni. Gadījumā, ja ienākumus aizstājošs sociālā nodrošinājuma apmērs ir robežās no 40 līdz 50 % no ienākumu mediānas uz vienu ekvivalento patērētāju, tad jāņem vērā arī </w:t>
            </w:r>
            <w:r w:rsidRPr="00750653">
              <w:rPr>
                <w:i/>
                <w:sz w:val="22"/>
              </w:rPr>
              <w:lastRenderedPageBreak/>
              <w:t>citi (pēc to mērķa) personai nodrošinātie sociālā atbalsta pasākumi, un gadījumā, ja to kopējais apmērs sasniedz 50 %, tad to var uzskatīt par atbilstošu Hartas 12. panta 1. punktam. Tomēr, ja sociālā nodrošinājuma apmērs, kas ir ienākumus aizstājošs, jau sākotnēji ir mazāks par 40 %, tad tas ir acīmredzami neatbilstošs, un tāpēc tā summēšana ar citiem sociālā atbalsta pasākumiem nevar šādu situāciju vērst par atbilstošu Hartas 12. panta 1. punktam (sk. </w:t>
            </w:r>
            <w:r w:rsidRPr="00750653">
              <w:rPr>
                <w:i/>
                <w:iCs/>
                <w:sz w:val="22"/>
              </w:rPr>
              <w:t>Eiropas Sociālo tiesību komitejas judikatūras apkopojumu. 12. pants. Tiesības uz sociālo drošību 2018. gada 31. decembris, 137. lpp. Pieejams: https://rm.coe.int/digest-2018-parts-i-ii-iii-iv-en/1680939f80</w:t>
            </w:r>
            <w:r w:rsidRPr="00750653">
              <w:rPr>
                <w:i/>
                <w:sz w:val="22"/>
              </w:rPr>
              <w:t xml:space="preserve">).Komiteja 2018. gada 24. janvāra secinājumos par situāciju Latvijā atzina, ka situācija Latvijā neatbilst Hartas 12. panta 1. punktam, </w:t>
            </w:r>
            <w:proofErr w:type="spellStart"/>
            <w:r w:rsidRPr="00750653">
              <w:rPr>
                <w:i/>
                <w:sz w:val="22"/>
              </w:rPr>
              <w:t>citstarp</w:t>
            </w:r>
            <w:proofErr w:type="spellEnd"/>
            <w:r w:rsidRPr="00750653">
              <w:rPr>
                <w:i/>
                <w:sz w:val="22"/>
              </w:rPr>
              <w:t xml:space="preserve"> norādot, ka minimālās vecuma pensijas un invaliditātes pensijas apmērs Latvijā ir acīmredzami nepietiekams (sk. </w:t>
            </w:r>
            <w:r w:rsidRPr="00750653">
              <w:rPr>
                <w:i/>
                <w:iCs/>
                <w:sz w:val="22"/>
              </w:rPr>
              <w:t xml:space="preserve">Eiropas Sociālo tiesību komiteja. Secinājumi 2017, Latvija. </w:t>
            </w:r>
            <w:proofErr w:type="spellStart"/>
            <w:r w:rsidRPr="00750653">
              <w:rPr>
                <w:i/>
                <w:iCs/>
                <w:sz w:val="22"/>
                <w:lang w:val="es-ES"/>
              </w:rPr>
              <w:t>Eiropas</w:t>
            </w:r>
            <w:proofErr w:type="spellEnd"/>
            <w:r w:rsidRPr="00750653">
              <w:rPr>
                <w:i/>
                <w:iCs/>
                <w:sz w:val="22"/>
                <w:lang w:val="es-ES"/>
              </w:rPr>
              <w:t> </w:t>
            </w:r>
            <w:proofErr w:type="spellStart"/>
            <w:r w:rsidRPr="00750653">
              <w:rPr>
                <w:i/>
                <w:iCs/>
                <w:sz w:val="22"/>
                <w:lang w:val="es-ES"/>
              </w:rPr>
              <w:t>Sociālā</w:t>
            </w:r>
            <w:proofErr w:type="spellEnd"/>
            <w:r w:rsidRPr="00750653">
              <w:rPr>
                <w:i/>
                <w:iCs/>
                <w:sz w:val="22"/>
                <w:lang w:val="es-ES"/>
              </w:rPr>
              <w:t> </w:t>
            </w:r>
            <w:r w:rsidRPr="00750653">
              <w:rPr>
                <w:i/>
                <w:iCs/>
                <w:sz w:val="22"/>
              </w:rPr>
              <w:t>Harta. 12. pants tiesības uz sociālo drošību. 1. punkts sociālās drošības sistēmas esība. Pieejams: http://hudoc.esc.coe.int/eng?i=2017/def/LVA/12/1/EN</w:t>
            </w:r>
            <w:r w:rsidRPr="00750653">
              <w:rPr>
                <w:i/>
                <w:sz w:val="22"/>
              </w:rPr>
              <w:t>).</w:t>
            </w:r>
          </w:p>
          <w:p w:rsidR="00750653" w:rsidRPr="00DB7010" w:rsidRDefault="00750653" w:rsidP="00DB7010">
            <w:pPr>
              <w:ind w:firstLine="567"/>
              <w:jc w:val="both"/>
              <w:rPr>
                <w:i/>
                <w:iCs/>
                <w:sz w:val="22"/>
              </w:rPr>
            </w:pPr>
            <w:r w:rsidRPr="00750653">
              <w:rPr>
                <w:i/>
                <w:sz w:val="22"/>
              </w:rPr>
              <w:t>Ņemot vērā iepriekš minētās starptautiskās saistībās un to, ka atbilstības izvērtējums attiecībā uz šīm saistībām nav iekļauts likumprojekta anotācijā, aicinām uzklausīt likumprojektu autoru skaidrojumu par likumprojektā piedāvātā regulējuma atbilstību valsts starptautiskajām saistībām.</w:t>
            </w: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r w:rsidR="0064260C" w:rsidRPr="007E212E" w:rsidTr="00DB7010">
        <w:tc>
          <w:tcPr>
            <w:tcW w:w="3964" w:type="dxa"/>
            <w:shd w:val="clear" w:color="auto" w:fill="auto"/>
          </w:tcPr>
          <w:p w:rsidR="0064260C" w:rsidRPr="0064260C" w:rsidRDefault="0064260C" w:rsidP="0064260C">
            <w:pPr>
              <w:pStyle w:val="tv213"/>
              <w:spacing w:before="0" w:beforeAutospacing="0" w:after="0" w:afterAutospacing="0"/>
              <w:ind w:firstLine="567"/>
              <w:jc w:val="both"/>
              <w:rPr>
                <w:sz w:val="22"/>
                <w:szCs w:val="22"/>
              </w:rPr>
            </w:pPr>
            <w:proofErr w:type="gramStart"/>
            <w:r w:rsidRPr="0064260C">
              <w:rPr>
                <w:b/>
                <w:bCs/>
                <w:sz w:val="22"/>
                <w:szCs w:val="22"/>
              </w:rPr>
              <w:lastRenderedPageBreak/>
              <w:t>3.pants</w:t>
            </w:r>
            <w:proofErr w:type="gramEnd"/>
            <w:r w:rsidRPr="0064260C">
              <w:rPr>
                <w:b/>
                <w:bCs/>
                <w:sz w:val="22"/>
                <w:szCs w:val="22"/>
              </w:rPr>
              <w:t>. Tiesības uz valsts sociālās apdrošināšanas pensiju</w:t>
            </w:r>
          </w:p>
          <w:p w:rsidR="0064260C" w:rsidRPr="0064260C" w:rsidRDefault="0064260C" w:rsidP="0064260C">
            <w:pPr>
              <w:pStyle w:val="tv213"/>
              <w:spacing w:before="0" w:beforeAutospacing="0" w:after="0" w:afterAutospacing="0"/>
              <w:ind w:firstLine="567"/>
              <w:jc w:val="both"/>
              <w:rPr>
                <w:sz w:val="22"/>
                <w:szCs w:val="22"/>
              </w:rPr>
            </w:pPr>
            <w:r w:rsidRPr="0064260C">
              <w:rPr>
                <w:sz w:val="22"/>
                <w:szCs w:val="22"/>
              </w:rPr>
              <w:t>(1) Tiesības uz valsts sociālās apdrošināšanas pensiju (turpmāk — valsts pensija) saskaņā ar šā likuma nosacījumiem ir Latvijas teritorijā dzīvojošām personām, kas bijušas pakļautas valsts obligātajai pensiju apdrošināšanai.</w:t>
            </w:r>
          </w:p>
        </w:tc>
        <w:tc>
          <w:tcPr>
            <w:tcW w:w="3969" w:type="dxa"/>
            <w:shd w:val="clear" w:color="auto" w:fill="auto"/>
            <w:vAlign w:val="center"/>
          </w:tcPr>
          <w:p w:rsidR="0064260C" w:rsidRPr="00364D38" w:rsidRDefault="0064260C" w:rsidP="00364D38">
            <w:pPr>
              <w:suppressAutoHyphens/>
              <w:ind w:firstLine="567"/>
              <w:jc w:val="both"/>
              <w:rPr>
                <w:sz w:val="22"/>
                <w:lang w:eastAsia="zh-CN"/>
              </w:rPr>
            </w:pPr>
          </w:p>
        </w:tc>
        <w:tc>
          <w:tcPr>
            <w:tcW w:w="581" w:type="dxa"/>
          </w:tcPr>
          <w:p w:rsidR="0064260C" w:rsidRPr="007E212E" w:rsidRDefault="00DB7010" w:rsidP="00DB7010">
            <w:pPr>
              <w:jc w:val="center"/>
              <w:rPr>
                <w:b/>
              </w:rPr>
            </w:pPr>
            <w:r>
              <w:rPr>
                <w:b/>
              </w:rPr>
              <w:t>3</w:t>
            </w:r>
          </w:p>
        </w:tc>
        <w:tc>
          <w:tcPr>
            <w:tcW w:w="3969" w:type="dxa"/>
          </w:tcPr>
          <w:p w:rsidR="0064260C" w:rsidRDefault="0064260C" w:rsidP="0064260C">
            <w:pPr>
              <w:ind w:firstLine="567"/>
              <w:jc w:val="both"/>
              <w:rPr>
                <w:b/>
                <w:sz w:val="22"/>
                <w:u w:val="single"/>
              </w:rPr>
            </w:pPr>
            <w:r w:rsidRPr="0064260C">
              <w:rPr>
                <w:b/>
                <w:sz w:val="22"/>
                <w:u w:val="single"/>
              </w:rPr>
              <w:t>Deputāti D.Reizniece-Ozola, V.Valainis</w:t>
            </w:r>
          </w:p>
          <w:p w:rsidR="0064260C" w:rsidRPr="0064260C" w:rsidRDefault="0064260C" w:rsidP="0064260C">
            <w:pPr>
              <w:ind w:firstLine="567"/>
              <w:jc w:val="both"/>
              <w:rPr>
                <w:sz w:val="22"/>
              </w:rPr>
            </w:pPr>
            <w:r w:rsidRPr="0064260C">
              <w:rPr>
                <w:sz w:val="22"/>
              </w:rPr>
              <w:t xml:space="preserve">Papildināt likumprojektu ar </w:t>
            </w:r>
            <w:proofErr w:type="gramStart"/>
            <w:r w:rsidRPr="0064260C">
              <w:rPr>
                <w:sz w:val="22"/>
              </w:rPr>
              <w:t>8.pantu</w:t>
            </w:r>
            <w:proofErr w:type="gramEnd"/>
            <w:r w:rsidRPr="0064260C">
              <w:rPr>
                <w:sz w:val="22"/>
              </w:rPr>
              <w:t xml:space="preserve"> šādā redakcijā:</w:t>
            </w:r>
          </w:p>
          <w:p w:rsidR="0064260C" w:rsidRPr="0064260C" w:rsidRDefault="0064260C" w:rsidP="0064260C">
            <w:pPr>
              <w:ind w:firstLine="567"/>
              <w:jc w:val="both"/>
              <w:rPr>
                <w:sz w:val="22"/>
              </w:rPr>
            </w:pPr>
            <w:r w:rsidRPr="0064260C">
              <w:rPr>
                <w:sz w:val="22"/>
              </w:rPr>
              <w:t xml:space="preserve">“izteikt likuma </w:t>
            </w:r>
            <w:proofErr w:type="gramStart"/>
            <w:r w:rsidRPr="0064260C">
              <w:rPr>
                <w:sz w:val="22"/>
              </w:rPr>
              <w:t>3.panta</w:t>
            </w:r>
            <w:proofErr w:type="gramEnd"/>
            <w:r w:rsidRPr="0064260C">
              <w:rPr>
                <w:sz w:val="22"/>
              </w:rPr>
              <w:t xml:space="preserve"> pirmo daļu šādā redakcijā:</w:t>
            </w:r>
          </w:p>
          <w:p w:rsidR="0064260C" w:rsidRPr="0064260C" w:rsidRDefault="0064260C" w:rsidP="0064260C">
            <w:pPr>
              <w:ind w:firstLine="567"/>
              <w:jc w:val="both"/>
              <w:rPr>
                <w:sz w:val="22"/>
              </w:rPr>
            </w:pPr>
            <w:r w:rsidRPr="0064260C">
              <w:rPr>
                <w:sz w:val="22"/>
              </w:rPr>
              <w:t>(1) Tiesības uz valsts sociālās apdrošināšanas pensiju (turpmāk — valsts pensija) saskaņā ar šā likuma nosacījumiem ir Latvijas teritorijā dzīvojošām personām, kas bijušas pakļautas valsts obligātajai pensiju apdrošināšanai un Latvijas pilsoņiem, kas bijušas pakļautas valsts obligātajai pensiju apdrošināšanai, neatkarīgi no to dzīves vietas.”</w:t>
            </w:r>
          </w:p>
        </w:tc>
        <w:tc>
          <w:tcPr>
            <w:tcW w:w="1417" w:type="dxa"/>
            <w:vAlign w:val="center"/>
          </w:tcPr>
          <w:p w:rsidR="0064260C" w:rsidRPr="007E212E" w:rsidRDefault="0064260C" w:rsidP="00425AC7">
            <w:pPr>
              <w:jc w:val="center"/>
              <w:rPr>
                <w:b/>
              </w:rPr>
            </w:pPr>
          </w:p>
        </w:tc>
        <w:tc>
          <w:tcPr>
            <w:tcW w:w="1418" w:type="dxa"/>
            <w:vAlign w:val="center"/>
          </w:tcPr>
          <w:p w:rsidR="0064260C" w:rsidRPr="007E212E" w:rsidRDefault="0064260C" w:rsidP="00425AC7">
            <w:pPr>
              <w:jc w:val="center"/>
              <w:rPr>
                <w:b/>
              </w:rPr>
            </w:pPr>
          </w:p>
        </w:tc>
      </w:tr>
      <w:tr w:rsidR="0064260C" w:rsidRPr="007E212E" w:rsidTr="00DB7010">
        <w:tc>
          <w:tcPr>
            <w:tcW w:w="3964" w:type="dxa"/>
            <w:shd w:val="clear" w:color="auto" w:fill="auto"/>
          </w:tcPr>
          <w:p w:rsidR="0064260C" w:rsidRPr="0064260C" w:rsidRDefault="0064260C" w:rsidP="0064260C">
            <w:pPr>
              <w:pStyle w:val="tv213"/>
              <w:spacing w:before="0" w:beforeAutospacing="0" w:after="0" w:afterAutospacing="0"/>
              <w:ind w:firstLine="567"/>
              <w:jc w:val="both"/>
              <w:rPr>
                <w:sz w:val="22"/>
                <w:szCs w:val="22"/>
              </w:rPr>
            </w:pPr>
            <w:proofErr w:type="gramStart"/>
            <w:r w:rsidRPr="0064260C">
              <w:rPr>
                <w:b/>
                <w:bCs/>
                <w:sz w:val="22"/>
                <w:szCs w:val="22"/>
              </w:rPr>
              <w:t>10.pants</w:t>
            </w:r>
            <w:proofErr w:type="gramEnd"/>
            <w:r w:rsidRPr="0064260C">
              <w:rPr>
                <w:b/>
                <w:bCs/>
                <w:sz w:val="22"/>
                <w:szCs w:val="22"/>
              </w:rPr>
              <w:t>. Apdrošināšanas stāža apliecināšana</w:t>
            </w:r>
          </w:p>
          <w:p w:rsidR="0064260C" w:rsidRPr="0064260C" w:rsidRDefault="0064260C" w:rsidP="0064260C">
            <w:pPr>
              <w:pStyle w:val="tv213"/>
              <w:spacing w:before="0" w:beforeAutospacing="0" w:after="0" w:afterAutospacing="0"/>
              <w:ind w:firstLine="567"/>
              <w:jc w:val="both"/>
              <w:rPr>
                <w:sz w:val="22"/>
                <w:szCs w:val="22"/>
              </w:rPr>
            </w:pPr>
            <w:r w:rsidRPr="0064260C">
              <w:rPr>
                <w:sz w:val="22"/>
                <w:szCs w:val="22"/>
              </w:rPr>
              <w:t>Apdrošināšanas stāžu apliecina Valsts sociālās apdrošināšanas aģentūrā uzkrātie dati, kas pierāda apdrošināšanas iemaksu izdarīšanu.</w:t>
            </w:r>
          </w:p>
          <w:p w:rsidR="0064260C" w:rsidRPr="0064260C" w:rsidRDefault="0064260C" w:rsidP="0064260C">
            <w:pPr>
              <w:jc w:val="both"/>
              <w:rPr>
                <w:b/>
                <w:sz w:val="22"/>
              </w:rPr>
            </w:pPr>
          </w:p>
        </w:tc>
        <w:tc>
          <w:tcPr>
            <w:tcW w:w="3969" w:type="dxa"/>
            <w:shd w:val="clear" w:color="auto" w:fill="auto"/>
            <w:vAlign w:val="center"/>
          </w:tcPr>
          <w:p w:rsidR="0064260C" w:rsidRPr="00364D38" w:rsidRDefault="0064260C" w:rsidP="00364D38">
            <w:pPr>
              <w:suppressAutoHyphens/>
              <w:ind w:firstLine="567"/>
              <w:jc w:val="both"/>
              <w:rPr>
                <w:sz w:val="22"/>
                <w:lang w:eastAsia="zh-CN"/>
              </w:rPr>
            </w:pPr>
          </w:p>
        </w:tc>
        <w:tc>
          <w:tcPr>
            <w:tcW w:w="581" w:type="dxa"/>
          </w:tcPr>
          <w:p w:rsidR="0064260C" w:rsidRPr="007E212E" w:rsidRDefault="00DB7010" w:rsidP="00DB7010">
            <w:pPr>
              <w:jc w:val="center"/>
              <w:rPr>
                <w:b/>
              </w:rPr>
            </w:pPr>
            <w:r>
              <w:rPr>
                <w:b/>
              </w:rPr>
              <w:t>4</w:t>
            </w:r>
          </w:p>
        </w:tc>
        <w:tc>
          <w:tcPr>
            <w:tcW w:w="3969" w:type="dxa"/>
            <w:vAlign w:val="center"/>
          </w:tcPr>
          <w:p w:rsidR="0064260C" w:rsidRDefault="0064260C" w:rsidP="0064260C">
            <w:pPr>
              <w:ind w:firstLine="567"/>
              <w:jc w:val="both"/>
              <w:rPr>
                <w:b/>
                <w:sz w:val="22"/>
                <w:u w:val="single"/>
              </w:rPr>
            </w:pPr>
            <w:r w:rsidRPr="0064260C">
              <w:rPr>
                <w:b/>
                <w:sz w:val="22"/>
                <w:u w:val="single"/>
              </w:rPr>
              <w:t>Deputāti D.Reizniece-Ozola, V.Valainis</w:t>
            </w:r>
          </w:p>
          <w:p w:rsidR="0064260C" w:rsidRPr="0064260C" w:rsidRDefault="0064260C" w:rsidP="0064260C">
            <w:pPr>
              <w:ind w:firstLine="567"/>
              <w:jc w:val="both"/>
              <w:rPr>
                <w:sz w:val="22"/>
              </w:rPr>
            </w:pPr>
            <w:r w:rsidRPr="0064260C">
              <w:rPr>
                <w:sz w:val="22"/>
              </w:rPr>
              <w:t xml:space="preserve">Papildināt likumprojektu ar </w:t>
            </w:r>
            <w:proofErr w:type="gramStart"/>
            <w:r w:rsidRPr="0064260C">
              <w:rPr>
                <w:sz w:val="22"/>
              </w:rPr>
              <w:t>6.pantu</w:t>
            </w:r>
            <w:proofErr w:type="gramEnd"/>
            <w:r w:rsidRPr="0064260C">
              <w:rPr>
                <w:sz w:val="22"/>
              </w:rPr>
              <w:t xml:space="preserve"> šādā redakcijā:</w:t>
            </w:r>
          </w:p>
          <w:p w:rsidR="0064260C" w:rsidRPr="0064260C" w:rsidRDefault="0064260C" w:rsidP="0064260C">
            <w:pPr>
              <w:ind w:firstLine="567"/>
              <w:jc w:val="both"/>
              <w:rPr>
                <w:sz w:val="22"/>
              </w:rPr>
            </w:pPr>
            <w:r w:rsidRPr="0064260C">
              <w:rPr>
                <w:sz w:val="22"/>
              </w:rPr>
              <w:t xml:space="preserve">“izteikt likuma </w:t>
            </w:r>
            <w:proofErr w:type="gramStart"/>
            <w:r w:rsidRPr="0064260C">
              <w:rPr>
                <w:sz w:val="22"/>
              </w:rPr>
              <w:t>10.pantu</w:t>
            </w:r>
            <w:proofErr w:type="gramEnd"/>
            <w:r w:rsidRPr="0064260C">
              <w:rPr>
                <w:sz w:val="22"/>
              </w:rPr>
              <w:t xml:space="preserve"> šādā redakcijā:</w:t>
            </w:r>
          </w:p>
          <w:p w:rsidR="0064260C" w:rsidRPr="0064260C" w:rsidRDefault="0064260C" w:rsidP="0064260C">
            <w:pPr>
              <w:ind w:firstLine="567"/>
              <w:jc w:val="both"/>
              <w:rPr>
                <w:sz w:val="22"/>
              </w:rPr>
            </w:pPr>
            <w:r w:rsidRPr="0064260C">
              <w:rPr>
                <w:sz w:val="22"/>
              </w:rPr>
              <w:t>“</w:t>
            </w:r>
            <w:proofErr w:type="gramStart"/>
            <w:r w:rsidRPr="0064260C">
              <w:rPr>
                <w:sz w:val="22"/>
              </w:rPr>
              <w:t>10.pants</w:t>
            </w:r>
            <w:proofErr w:type="gramEnd"/>
            <w:r w:rsidRPr="0064260C">
              <w:rPr>
                <w:sz w:val="22"/>
              </w:rPr>
              <w:t>. Apdrošināšanas stāža apliecināšana</w:t>
            </w:r>
          </w:p>
          <w:p w:rsidR="0064260C" w:rsidRPr="0064260C" w:rsidRDefault="0064260C" w:rsidP="0064260C">
            <w:pPr>
              <w:ind w:firstLine="567"/>
              <w:jc w:val="both"/>
              <w:rPr>
                <w:sz w:val="22"/>
              </w:rPr>
            </w:pPr>
            <w:r w:rsidRPr="0064260C">
              <w:rPr>
                <w:sz w:val="22"/>
              </w:rPr>
              <w:t>1. Apdrošināšanas stāžu apliecina Valsts sociālās apdrošināšanas aģentūrā uzkrātie dati, kas pierāda apdrošināšanas iemaksu izdarīšanu.</w:t>
            </w:r>
          </w:p>
          <w:p w:rsidR="0064260C" w:rsidRPr="0064260C" w:rsidRDefault="0064260C" w:rsidP="0064260C">
            <w:pPr>
              <w:ind w:firstLine="567"/>
              <w:jc w:val="both"/>
            </w:pPr>
            <w:r w:rsidRPr="0064260C">
              <w:rPr>
                <w:sz w:val="22"/>
              </w:rPr>
              <w:t xml:space="preserve">2. Personas izdevumi par uzkrāto darba un tam pielīdzināto periodu līdz </w:t>
            </w:r>
            <w:proofErr w:type="gramStart"/>
            <w:r w:rsidRPr="0064260C">
              <w:rPr>
                <w:sz w:val="22"/>
              </w:rPr>
              <w:t>1990.gada</w:t>
            </w:r>
            <w:proofErr w:type="gramEnd"/>
            <w:r w:rsidRPr="0064260C">
              <w:rPr>
                <w:sz w:val="22"/>
              </w:rPr>
              <w:t xml:space="preserve"> 31.decembrim pierādīšanu tiek kompensēti no valsts budžeta Ministru kabineta noteiktajā kārtībā.””</w:t>
            </w:r>
          </w:p>
        </w:tc>
        <w:tc>
          <w:tcPr>
            <w:tcW w:w="1417" w:type="dxa"/>
            <w:vAlign w:val="center"/>
          </w:tcPr>
          <w:p w:rsidR="0064260C" w:rsidRPr="007E212E" w:rsidRDefault="0064260C" w:rsidP="00425AC7">
            <w:pPr>
              <w:jc w:val="center"/>
              <w:rPr>
                <w:b/>
              </w:rPr>
            </w:pPr>
          </w:p>
        </w:tc>
        <w:tc>
          <w:tcPr>
            <w:tcW w:w="1418" w:type="dxa"/>
            <w:vAlign w:val="center"/>
          </w:tcPr>
          <w:p w:rsidR="0064260C" w:rsidRPr="007E212E" w:rsidRDefault="0064260C" w:rsidP="00425AC7">
            <w:pPr>
              <w:jc w:val="center"/>
              <w:rPr>
                <w:b/>
              </w:rPr>
            </w:pPr>
          </w:p>
        </w:tc>
      </w:tr>
      <w:tr w:rsidR="00364D38" w:rsidRPr="007E212E" w:rsidTr="00023598">
        <w:tc>
          <w:tcPr>
            <w:tcW w:w="3964" w:type="dxa"/>
            <w:shd w:val="clear" w:color="auto" w:fill="auto"/>
          </w:tcPr>
          <w:p w:rsidR="0064260C" w:rsidRPr="0064260C" w:rsidRDefault="0064260C" w:rsidP="00023598">
            <w:pPr>
              <w:ind w:firstLine="567"/>
              <w:jc w:val="both"/>
              <w:rPr>
                <w:sz w:val="22"/>
              </w:rPr>
            </w:pPr>
            <w:proofErr w:type="gramStart"/>
            <w:r w:rsidRPr="0064260C">
              <w:rPr>
                <w:b/>
                <w:bCs/>
                <w:sz w:val="22"/>
              </w:rPr>
              <w:t>12.pants</w:t>
            </w:r>
            <w:proofErr w:type="gramEnd"/>
            <w:r w:rsidRPr="0064260C">
              <w:rPr>
                <w:b/>
                <w:bCs/>
                <w:sz w:val="22"/>
              </w:rPr>
              <w:t>. Vecuma pensijas aprēķināšana</w:t>
            </w:r>
          </w:p>
          <w:p w:rsidR="00364D38" w:rsidRPr="00023598" w:rsidRDefault="00023598" w:rsidP="00023598">
            <w:pPr>
              <w:ind w:firstLine="567"/>
              <w:jc w:val="both"/>
              <w:rPr>
                <w:b/>
                <w:sz w:val="22"/>
              </w:rPr>
            </w:pPr>
            <w:r w:rsidRPr="00023598">
              <w:rPr>
                <w:sz w:val="22"/>
              </w:rPr>
              <w:t xml:space="preserve">(2) Personām, kurām piešķirta vecuma pensija, pensijas apmērs nedrīkst būt mazāks par minimālās vecuma pensijas </w:t>
            </w:r>
            <w:r w:rsidRPr="00023598">
              <w:rPr>
                <w:sz w:val="22"/>
              </w:rPr>
              <w:lastRenderedPageBreak/>
              <w:t>apmēru. Ministru kabinets nosaka minimālās vecuma pensijas aprēķina bāzi, kā arī minimālās vecuma pensijas apmēru, piešķiršanas un pārskatīšanas kārtību.</w:t>
            </w:r>
          </w:p>
        </w:tc>
        <w:tc>
          <w:tcPr>
            <w:tcW w:w="3969" w:type="dxa"/>
            <w:shd w:val="clear" w:color="auto" w:fill="auto"/>
            <w:vAlign w:val="center"/>
          </w:tcPr>
          <w:p w:rsidR="00364D38" w:rsidRPr="00364D38" w:rsidRDefault="00364D38" w:rsidP="00364D38">
            <w:pPr>
              <w:suppressAutoHyphens/>
              <w:ind w:firstLine="567"/>
              <w:jc w:val="both"/>
              <w:rPr>
                <w:sz w:val="22"/>
              </w:rPr>
            </w:pPr>
            <w:r w:rsidRPr="00364D38">
              <w:rPr>
                <w:sz w:val="22"/>
                <w:lang w:eastAsia="zh-CN"/>
              </w:rPr>
              <w:lastRenderedPageBreak/>
              <w:t>1.  12. pantā:</w:t>
            </w:r>
          </w:p>
          <w:p w:rsidR="00364D38" w:rsidRPr="00364D38" w:rsidRDefault="00364D38" w:rsidP="00364D38">
            <w:pPr>
              <w:suppressAutoHyphens/>
              <w:ind w:firstLine="567"/>
              <w:jc w:val="both"/>
              <w:rPr>
                <w:sz w:val="22"/>
              </w:rPr>
            </w:pPr>
            <w:r w:rsidRPr="00364D38">
              <w:rPr>
                <w:sz w:val="22"/>
                <w:lang w:eastAsia="zh-CN"/>
              </w:rPr>
              <w:t>izteikt otro daļu šādā redakcijā:</w:t>
            </w:r>
          </w:p>
          <w:p w:rsidR="00364D38" w:rsidRPr="00364D38" w:rsidRDefault="00364D38" w:rsidP="00364D38">
            <w:pPr>
              <w:suppressAutoHyphens/>
              <w:ind w:firstLine="567"/>
              <w:contextualSpacing/>
              <w:jc w:val="both"/>
              <w:rPr>
                <w:sz w:val="22"/>
              </w:rPr>
            </w:pPr>
            <w:r w:rsidRPr="00364D38">
              <w:rPr>
                <w:sz w:val="22"/>
                <w:lang w:eastAsia="zh-CN"/>
              </w:rPr>
              <w:t> </w:t>
            </w:r>
            <w:r w:rsidRPr="00364D38">
              <w:rPr>
                <w:spacing w:val="-2"/>
                <w:sz w:val="22"/>
                <w:lang w:eastAsia="zh-CN"/>
              </w:rPr>
              <w:t>"(2) </w:t>
            </w:r>
            <w:r w:rsidRPr="00364D38">
              <w:rPr>
                <w:spacing w:val="-2"/>
                <w:sz w:val="22"/>
              </w:rPr>
              <w:t xml:space="preserve">Personām, kurām ir šajā likumā </w:t>
            </w:r>
            <w:bookmarkStart w:id="1" w:name="_Hlk47426845"/>
            <w:r w:rsidRPr="00364D38">
              <w:rPr>
                <w:spacing w:val="-2"/>
                <w:sz w:val="22"/>
              </w:rPr>
              <w:t>noteiktais vecuma pensijas piešķiršanai</w:t>
            </w:r>
            <w:r w:rsidRPr="00364D38">
              <w:rPr>
                <w:sz w:val="22"/>
              </w:rPr>
              <w:t xml:space="preserve"> nepieciešamais </w:t>
            </w:r>
            <w:bookmarkEnd w:id="1"/>
            <w:r w:rsidRPr="00364D38">
              <w:rPr>
                <w:sz w:val="22"/>
              </w:rPr>
              <w:t xml:space="preserve">apdrošināšanas stāžs, </w:t>
            </w:r>
            <w:r w:rsidRPr="00364D38">
              <w:rPr>
                <w:sz w:val="22"/>
              </w:rPr>
              <w:lastRenderedPageBreak/>
              <w:t>piešķirtās (pārrēķinātās) vecuma pensijas apmērs nedrīkst būt mazāks par minimālās vecuma pensijas apmēru.";</w:t>
            </w:r>
          </w:p>
        </w:tc>
        <w:tc>
          <w:tcPr>
            <w:tcW w:w="581" w:type="dxa"/>
            <w:vAlign w:val="center"/>
          </w:tcPr>
          <w:p w:rsidR="00364D38" w:rsidRPr="007E212E" w:rsidRDefault="00364D38" w:rsidP="00425AC7">
            <w:pPr>
              <w:jc w:val="center"/>
              <w:rPr>
                <w:b/>
              </w:rPr>
            </w:pPr>
          </w:p>
        </w:tc>
        <w:tc>
          <w:tcPr>
            <w:tcW w:w="3969" w:type="dxa"/>
            <w:vAlign w:val="center"/>
          </w:tcPr>
          <w:p w:rsidR="00364D38" w:rsidRPr="007E212E" w:rsidRDefault="00364D38" w:rsidP="00425AC7">
            <w:pPr>
              <w:jc w:val="center"/>
              <w:rPr>
                <w:b/>
              </w:rPr>
            </w:pP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r w:rsidR="00364D38" w:rsidRPr="007E212E" w:rsidTr="00425AC7">
        <w:tc>
          <w:tcPr>
            <w:tcW w:w="3964" w:type="dxa"/>
            <w:shd w:val="clear" w:color="auto" w:fill="auto"/>
          </w:tcPr>
          <w:p w:rsidR="00364D38" w:rsidRPr="007E212E" w:rsidRDefault="00364D38" w:rsidP="00425AC7">
            <w:pPr>
              <w:pStyle w:val="tv213"/>
              <w:spacing w:before="0" w:beforeAutospacing="0" w:after="0" w:afterAutospacing="0"/>
              <w:ind w:firstLine="567"/>
              <w:jc w:val="both"/>
              <w:rPr>
                <w:sz w:val="22"/>
                <w:szCs w:val="22"/>
              </w:rPr>
            </w:pPr>
          </w:p>
        </w:tc>
        <w:tc>
          <w:tcPr>
            <w:tcW w:w="3969" w:type="dxa"/>
            <w:shd w:val="clear" w:color="auto" w:fill="auto"/>
          </w:tcPr>
          <w:p w:rsidR="00364D38" w:rsidRPr="00364D38" w:rsidRDefault="00364D38" w:rsidP="00364D38">
            <w:pPr>
              <w:suppressAutoHyphens/>
              <w:ind w:firstLine="567"/>
              <w:contextualSpacing/>
              <w:jc w:val="both"/>
              <w:rPr>
                <w:sz w:val="22"/>
              </w:rPr>
            </w:pPr>
            <w:r w:rsidRPr="00364D38">
              <w:rPr>
                <w:sz w:val="22"/>
              </w:rPr>
              <w:t>papildināt pantu ar 2.</w:t>
            </w:r>
            <w:r w:rsidRPr="00364D38">
              <w:rPr>
                <w:sz w:val="22"/>
                <w:vertAlign w:val="superscript"/>
              </w:rPr>
              <w:t>1</w:t>
            </w:r>
            <w:bookmarkStart w:id="2" w:name="_Hlk47427308"/>
            <w:r w:rsidRPr="00364D38">
              <w:rPr>
                <w:sz w:val="22"/>
              </w:rPr>
              <w:t xml:space="preserve"> un 2.</w:t>
            </w:r>
            <w:r w:rsidRPr="00364D38">
              <w:rPr>
                <w:sz w:val="22"/>
                <w:vertAlign w:val="superscript"/>
              </w:rPr>
              <w:t>2 </w:t>
            </w:r>
            <w:bookmarkEnd w:id="2"/>
            <w:r w:rsidRPr="00364D38">
              <w:rPr>
                <w:sz w:val="22"/>
              </w:rPr>
              <w:t>daļu šādā redakcijā:</w:t>
            </w:r>
          </w:p>
          <w:p w:rsidR="00364D38" w:rsidRPr="00364D38" w:rsidRDefault="00364D38" w:rsidP="00364D38">
            <w:pPr>
              <w:suppressAutoHyphens/>
              <w:ind w:firstLine="567"/>
              <w:contextualSpacing/>
              <w:jc w:val="both"/>
              <w:rPr>
                <w:sz w:val="22"/>
              </w:rPr>
            </w:pPr>
            <w:r w:rsidRPr="00364D38">
              <w:rPr>
                <w:sz w:val="22"/>
              </w:rPr>
              <w:t> "(</w:t>
            </w:r>
            <w:bookmarkStart w:id="3" w:name="_Hlk47428246"/>
            <w:r w:rsidRPr="00364D38">
              <w:rPr>
                <w:sz w:val="22"/>
              </w:rPr>
              <w:t>2</w:t>
            </w:r>
            <w:r w:rsidRPr="00364D38">
              <w:rPr>
                <w:sz w:val="22"/>
                <w:vertAlign w:val="superscript"/>
              </w:rPr>
              <w:t>1</w:t>
            </w:r>
            <w:bookmarkEnd w:id="3"/>
            <w:r w:rsidRPr="00364D38">
              <w:rPr>
                <w:sz w:val="22"/>
              </w:rPr>
              <w:t xml:space="preserve">) Minimālās vecuma pensijas aprēķina bāze ir </w:t>
            </w:r>
            <w:bookmarkStart w:id="4" w:name="_Hlk47426961"/>
            <w:r w:rsidRPr="00364D38">
              <w:rPr>
                <w:sz w:val="22"/>
              </w:rPr>
              <w:t xml:space="preserve">136 </w:t>
            </w:r>
            <w:proofErr w:type="spellStart"/>
            <w:r w:rsidRPr="00364D38">
              <w:rPr>
                <w:i/>
                <w:sz w:val="22"/>
              </w:rPr>
              <w:t>euro</w:t>
            </w:r>
            <w:proofErr w:type="spellEnd"/>
            <w:r w:rsidRPr="00364D38">
              <w:rPr>
                <w:sz w:val="22"/>
              </w:rPr>
              <w:t xml:space="preserve">, </w:t>
            </w:r>
            <w:bookmarkEnd w:id="4"/>
            <w:r w:rsidRPr="00364D38">
              <w:rPr>
                <w:sz w:val="22"/>
              </w:rPr>
              <w:t xml:space="preserve">personām ar invaliditāti kopš bērnības – 163 </w:t>
            </w:r>
            <w:proofErr w:type="spellStart"/>
            <w:r w:rsidRPr="00364D38">
              <w:rPr>
                <w:i/>
                <w:sz w:val="22"/>
              </w:rPr>
              <w:t>euro</w:t>
            </w:r>
            <w:proofErr w:type="spellEnd"/>
            <w:r w:rsidRPr="00364D38">
              <w:rPr>
                <w:sz w:val="22"/>
              </w:rPr>
              <w:t xml:space="preserve">. Minimālās vecuma pensijas apmēru nosaka, minimālās vecuma pensijas aprēķina bāzei piemērojot koeficientu 1,1 </w:t>
            </w:r>
            <w:bookmarkStart w:id="5" w:name="_Hlk47945776"/>
            <w:r w:rsidRPr="00364D38">
              <w:rPr>
                <w:sz w:val="22"/>
              </w:rPr>
              <w:t>un par katru nākamo gadu, kas pārsniedz šajā likumā noteikto vecuma pensijas piešķiršanai nepieciešamo apdrošināšanas stāžu, apmēru palielinot par diviem procentiem no minimālās vecuma pensijas aprēķina bāzes.</w:t>
            </w:r>
            <w:bookmarkEnd w:id="5"/>
            <w:r w:rsidRPr="00364D38">
              <w:rPr>
                <w:sz w:val="22"/>
              </w:rPr>
              <w:t xml:space="preserve"> Mainoties vecuma pensijas piešķiršanai nepieciešamā apdrošināšanas stāža lielumam, minimālās vecuma pensijas apmērs nedrīkst būt mazāks par iepriekš noteikto minimālās vecuma pensijas apmēru atbilstoši konkrētajam apdrošināšanas stāžam.</w:t>
            </w:r>
          </w:p>
          <w:p w:rsidR="00364D38" w:rsidRPr="00023598" w:rsidRDefault="00364D38" w:rsidP="00023598">
            <w:pPr>
              <w:suppressAutoHyphens/>
              <w:ind w:firstLine="567"/>
              <w:contextualSpacing/>
              <w:jc w:val="both"/>
              <w:rPr>
                <w:sz w:val="22"/>
              </w:rPr>
            </w:pPr>
            <w:r w:rsidRPr="00364D38">
              <w:rPr>
                <w:sz w:val="22"/>
              </w:rPr>
              <w:t>(2</w:t>
            </w:r>
            <w:r w:rsidRPr="00364D38">
              <w:rPr>
                <w:sz w:val="22"/>
                <w:vertAlign w:val="superscript"/>
              </w:rPr>
              <w:t>2</w:t>
            </w:r>
            <w:r w:rsidRPr="00364D38">
              <w:rPr>
                <w:sz w:val="22"/>
              </w:rPr>
              <w:t>) Minimālās vecuma pensijas apmēru nosaka pensijas piešķiršanas (pārrēķināšanas) dienā, kā arī</w:t>
            </w:r>
            <w:proofErr w:type="gramStart"/>
            <w:r w:rsidRPr="00364D38">
              <w:rPr>
                <w:sz w:val="22"/>
              </w:rPr>
              <w:t xml:space="preserve"> pārskatot minimālās</w:t>
            </w:r>
            <w:proofErr w:type="gramEnd"/>
            <w:r w:rsidRPr="00364D38">
              <w:rPr>
                <w:sz w:val="22"/>
              </w:rPr>
              <w:t xml:space="preserve"> vecuma pensijas aprēķina bāzi. Minimālās vecuma pensijas aprēķina bāzi pārskata </w:t>
            </w:r>
            <w:bookmarkStart w:id="6" w:name="_Hlk47427356"/>
            <w:r w:rsidRPr="00364D38">
              <w:rPr>
                <w:sz w:val="22"/>
              </w:rPr>
              <w:t>atbilstoši likumā "Par sociālo drošību" noteiktajai minimālo ienākumu sliekšņu pārskatīšanas kārtībai.</w:t>
            </w:r>
            <w:r w:rsidRPr="00364D38">
              <w:rPr>
                <w:sz w:val="22"/>
                <w:lang w:eastAsia="zh-CN"/>
              </w:rPr>
              <w:t xml:space="preserve">" </w:t>
            </w:r>
            <w:bookmarkEnd w:id="6"/>
          </w:p>
        </w:tc>
        <w:tc>
          <w:tcPr>
            <w:tcW w:w="581" w:type="dxa"/>
            <w:vAlign w:val="center"/>
          </w:tcPr>
          <w:p w:rsidR="00364D38" w:rsidRPr="007E212E" w:rsidRDefault="00364D38" w:rsidP="00425AC7">
            <w:pPr>
              <w:jc w:val="center"/>
              <w:rPr>
                <w:b/>
              </w:rPr>
            </w:pPr>
          </w:p>
        </w:tc>
        <w:tc>
          <w:tcPr>
            <w:tcW w:w="3969" w:type="dxa"/>
            <w:vAlign w:val="center"/>
          </w:tcPr>
          <w:p w:rsidR="00364D38" w:rsidRPr="007E212E" w:rsidRDefault="00364D38" w:rsidP="00425AC7">
            <w:pPr>
              <w:jc w:val="center"/>
              <w:rPr>
                <w:b/>
              </w:rPr>
            </w:pP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r w:rsidR="00023598" w:rsidRPr="007E212E" w:rsidTr="00425AC7">
        <w:tc>
          <w:tcPr>
            <w:tcW w:w="3964" w:type="dxa"/>
            <w:shd w:val="clear" w:color="auto" w:fill="auto"/>
          </w:tcPr>
          <w:p w:rsidR="00023598" w:rsidRPr="00023598" w:rsidRDefault="00023598" w:rsidP="00023598">
            <w:pPr>
              <w:pStyle w:val="tv213"/>
              <w:spacing w:before="0" w:beforeAutospacing="0" w:after="0" w:afterAutospacing="0"/>
              <w:ind w:firstLine="567"/>
              <w:jc w:val="both"/>
              <w:rPr>
                <w:sz w:val="22"/>
                <w:szCs w:val="22"/>
              </w:rPr>
            </w:pPr>
            <w:proofErr w:type="gramStart"/>
            <w:r w:rsidRPr="00023598">
              <w:rPr>
                <w:b/>
                <w:bCs/>
                <w:sz w:val="22"/>
                <w:szCs w:val="22"/>
              </w:rPr>
              <w:t>16.pants</w:t>
            </w:r>
            <w:proofErr w:type="gramEnd"/>
            <w:r w:rsidRPr="00023598">
              <w:rPr>
                <w:b/>
                <w:bCs/>
                <w:sz w:val="22"/>
                <w:szCs w:val="22"/>
              </w:rPr>
              <w:t>. Invaliditātes pensijas aprēķināšana</w:t>
            </w:r>
          </w:p>
          <w:p w:rsidR="00023598" w:rsidRPr="00023598" w:rsidRDefault="00023598" w:rsidP="00023598">
            <w:pPr>
              <w:pStyle w:val="tv213"/>
              <w:spacing w:before="0" w:beforeAutospacing="0" w:after="0" w:afterAutospacing="0"/>
              <w:ind w:firstLine="567"/>
              <w:jc w:val="both"/>
              <w:rPr>
                <w:sz w:val="22"/>
                <w:szCs w:val="22"/>
              </w:rPr>
            </w:pPr>
            <w:r w:rsidRPr="00023598">
              <w:rPr>
                <w:sz w:val="22"/>
                <w:szCs w:val="22"/>
              </w:rPr>
              <w:t>(1) Invaliditātes pensiju atkarībā no tā, kāda invaliditātes grupa ir noteikta — pirmā, otrā vai trešā —, piešķir:</w:t>
            </w:r>
          </w:p>
          <w:p w:rsidR="00023598" w:rsidRPr="007E212E" w:rsidRDefault="00023598" w:rsidP="00023598">
            <w:pPr>
              <w:pStyle w:val="tv213"/>
              <w:spacing w:before="0" w:beforeAutospacing="0" w:after="0" w:afterAutospacing="0"/>
              <w:ind w:firstLine="567"/>
              <w:jc w:val="both"/>
              <w:rPr>
                <w:sz w:val="22"/>
                <w:szCs w:val="22"/>
              </w:rPr>
            </w:pPr>
            <w:r w:rsidRPr="00023598">
              <w:rPr>
                <w:sz w:val="22"/>
                <w:szCs w:val="22"/>
              </w:rPr>
              <w:lastRenderedPageBreak/>
              <w:t>2) III grupas invaliditātes gadījumā — valsts sociālā nodrošinājuma pabalsta līmenī.</w:t>
            </w:r>
          </w:p>
        </w:tc>
        <w:tc>
          <w:tcPr>
            <w:tcW w:w="3969" w:type="dxa"/>
            <w:shd w:val="clear" w:color="auto" w:fill="auto"/>
          </w:tcPr>
          <w:p w:rsidR="00023598" w:rsidRPr="00364D38" w:rsidRDefault="00023598" w:rsidP="00023598">
            <w:pPr>
              <w:suppressAutoHyphens/>
              <w:ind w:firstLine="567"/>
              <w:jc w:val="both"/>
              <w:rPr>
                <w:sz w:val="22"/>
              </w:rPr>
            </w:pPr>
            <w:r w:rsidRPr="00364D38">
              <w:rPr>
                <w:sz w:val="22"/>
                <w:lang w:eastAsia="zh-CN"/>
              </w:rPr>
              <w:lastRenderedPageBreak/>
              <w:t>2.  16. pantā:</w:t>
            </w:r>
          </w:p>
          <w:p w:rsidR="00023598" w:rsidRPr="00364D38" w:rsidRDefault="00023598" w:rsidP="00023598">
            <w:pPr>
              <w:suppressAutoHyphens/>
              <w:ind w:firstLine="567"/>
              <w:jc w:val="both"/>
              <w:rPr>
                <w:sz w:val="22"/>
              </w:rPr>
            </w:pPr>
            <w:r w:rsidRPr="00364D38">
              <w:rPr>
                <w:spacing w:val="-2"/>
                <w:sz w:val="22"/>
                <w:lang w:eastAsia="zh-CN"/>
              </w:rPr>
              <w:t>aizstāt pirmās daļas 2. punktā vārdus "valsts sociālā nodrošinājuma pabalsta</w:t>
            </w:r>
            <w:r w:rsidRPr="00364D38">
              <w:rPr>
                <w:sz w:val="22"/>
                <w:lang w:eastAsia="zh-CN"/>
              </w:rPr>
              <w:t xml:space="preserve"> līmenī" ar vārdiem un skaitļiem "invaliditātes pensijas aprēķina bāzes līmenī, kas ir 136 </w:t>
            </w:r>
            <w:proofErr w:type="spellStart"/>
            <w:r w:rsidRPr="00364D38">
              <w:rPr>
                <w:i/>
                <w:sz w:val="22"/>
                <w:lang w:eastAsia="zh-CN"/>
              </w:rPr>
              <w:t>euro</w:t>
            </w:r>
            <w:proofErr w:type="spellEnd"/>
            <w:r w:rsidRPr="00364D38">
              <w:rPr>
                <w:sz w:val="22"/>
              </w:rPr>
              <w:t xml:space="preserve">, bet personām ar </w:t>
            </w:r>
            <w:r w:rsidRPr="00364D38">
              <w:rPr>
                <w:sz w:val="22"/>
              </w:rPr>
              <w:lastRenderedPageBreak/>
              <w:t xml:space="preserve">invaliditāti kopš bērnības – 163 </w:t>
            </w:r>
            <w:proofErr w:type="spellStart"/>
            <w:r w:rsidRPr="00364D38">
              <w:rPr>
                <w:i/>
                <w:sz w:val="22"/>
              </w:rPr>
              <w:t>euro</w:t>
            </w:r>
            <w:proofErr w:type="spellEnd"/>
            <w:r w:rsidRPr="00364D38">
              <w:rPr>
                <w:sz w:val="22"/>
              </w:rPr>
              <w:t xml:space="preserve"> (turpmāk – invaliditātes pensijas aprēķina bāze)";</w:t>
            </w:r>
          </w:p>
        </w:tc>
        <w:tc>
          <w:tcPr>
            <w:tcW w:w="581" w:type="dxa"/>
            <w:vAlign w:val="center"/>
          </w:tcPr>
          <w:p w:rsidR="00023598" w:rsidRPr="007E212E" w:rsidRDefault="00023598" w:rsidP="00425AC7">
            <w:pPr>
              <w:jc w:val="center"/>
              <w:rPr>
                <w:b/>
              </w:rPr>
            </w:pPr>
          </w:p>
        </w:tc>
        <w:tc>
          <w:tcPr>
            <w:tcW w:w="3969" w:type="dxa"/>
            <w:vAlign w:val="center"/>
          </w:tcPr>
          <w:p w:rsidR="00023598" w:rsidRPr="007E212E" w:rsidRDefault="00023598" w:rsidP="00425AC7">
            <w:pPr>
              <w:jc w:val="center"/>
              <w:rPr>
                <w:b/>
              </w:rPr>
            </w:pPr>
          </w:p>
        </w:tc>
        <w:tc>
          <w:tcPr>
            <w:tcW w:w="1417" w:type="dxa"/>
            <w:vAlign w:val="center"/>
          </w:tcPr>
          <w:p w:rsidR="00023598" w:rsidRPr="007E212E" w:rsidRDefault="00023598" w:rsidP="00425AC7">
            <w:pPr>
              <w:jc w:val="center"/>
              <w:rPr>
                <w:b/>
              </w:rPr>
            </w:pPr>
          </w:p>
        </w:tc>
        <w:tc>
          <w:tcPr>
            <w:tcW w:w="1418" w:type="dxa"/>
            <w:vAlign w:val="center"/>
          </w:tcPr>
          <w:p w:rsidR="00023598" w:rsidRPr="007E212E" w:rsidRDefault="00023598" w:rsidP="00425AC7">
            <w:pPr>
              <w:jc w:val="center"/>
              <w:rPr>
                <w:b/>
              </w:rPr>
            </w:pPr>
          </w:p>
        </w:tc>
      </w:tr>
      <w:tr w:rsidR="00023598" w:rsidRPr="007E212E" w:rsidTr="00425AC7">
        <w:tc>
          <w:tcPr>
            <w:tcW w:w="3964" w:type="dxa"/>
            <w:shd w:val="clear" w:color="auto" w:fill="auto"/>
          </w:tcPr>
          <w:p w:rsidR="00023598" w:rsidRPr="00023598" w:rsidRDefault="00023598" w:rsidP="00023598">
            <w:pPr>
              <w:pStyle w:val="tvhtml"/>
              <w:spacing w:before="0" w:beforeAutospacing="0" w:after="0" w:afterAutospacing="0"/>
              <w:ind w:firstLine="567"/>
              <w:jc w:val="both"/>
              <w:rPr>
                <w:sz w:val="22"/>
                <w:szCs w:val="22"/>
              </w:rPr>
            </w:pPr>
            <w:r w:rsidRPr="00023598">
              <w:rPr>
                <w:sz w:val="22"/>
                <w:szCs w:val="22"/>
              </w:rPr>
              <w:t>(2) I un II grupas invaliditātes pensijas apmērs nedrīkst būt mazāks par valsts sociālā nodrošinājuma pabalstu, kuram piemērots šāds koeficients:</w:t>
            </w:r>
          </w:p>
          <w:p w:rsidR="00023598" w:rsidRPr="00023598" w:rsidRDefault="00023598" w:rsidP="00023598">
            <w:pPr>
              <w:pStyle w:val="tvhtml"/>
              <w:spacing w:before="0" w:beforeAutospacing="0" w:after="0" w:afterAutospacing="0"/>
              <w:ind w:firstLine="567"/>
              <w:jc w:val="both"/>
              <w:rPr>
                <w:sz w:val="22"/>
                <w:szCs w:val="22"/>
              </w:rPr>
            </w:pPr>
            <w:r w:rsidRPr="00023598">
              <w:rPr>
                <w:sz w:val="22"/>
                <w:szCs w:val="22"/>
              </w:rPr>
              <w:t>I grupas invaliditātes gadījumā — 1,6;</w:t>
            </w:r>
          </w:p>
          <w:p w:rsidR="00023598" w:rsidRPr="00023598" w:rsidRDefault="00023598" w:rsidP="00023598">
            <w:pPr>
              <w:pStyle w:val="tvhtml"/>
              <w:spacing w:before="0" w:beforeAutospacing="0" w:after="0" w:afterAutospacing="0"/>
              <w:ind w:firstLine="567"/>
              <w:jc w:val="both"/>
              <w:rPr>
                <w:sz w:val="22"/>
                <w:szCs w:val="22"/>
              </w:rPr>
            </w:pPr>
            <w:r w:rsidRPr="00023598">
              <w:rPr>
                <w:sz w:val="22"/>
                <w:szCs w:val="22"/>
              </w:rPr>
              <w:t>II grupas invaliditātes gadījumā — 1,4.</w:t>
            </w:r>
          </w:p>
        </w:tc>
        <w:tc>
          <w:tcPr>
            <w:tcW w:w="3969" w:type="dxa"/>
            <w:shd w:val="clear" w:color="auto" w:fill="auto"/>
          </w:tcPr>
          <w:p w:rsidR="00023598" w:rsidRPr="00364D38" w:rsidRDefault="00023598" w:rsidP="00023598">
            <w:pPr>
              <w:suppressAutoHyphens/>
              <w:ind w:firstLine="567"/>
              <w:jc w:val="both"/>
              <w:rPr>
                <w:sz w:val="22"/>
              </w:rPr>
            </w:pPr>
            <w:r w:rsidRPr="00364D38">
              <w:rPr>
                <w:sz w:val="22"/>
                <w:lang w:eastAsia="zh-CN"/>
              </w:rPr>
              <w:t>aizstāt otrajā daļā vārdus "valsts sociālā nodrošinājuma pabalstu, kuram" ar vārdiem "attiecīgo invaliditātes pensijas aprēķina bāzi, kurai</w:t>
            </w:r>
            <w:r w:rsidRPr="00364D38">
              <w:rPr>
                <w:sz w:val="22"/>
              </w:rPr>
              <w:t>";</w:t>
            </w:r>
          </w:p>
        </w:tc>
        <w:tc>
          <w:tcPr>
            <w:tcW w:w="581" w:type="dxa"/>
            <w:vAlign w:val="center"/>
          </w:tcPr>
          <w:p w:rsidR="00023598" w:rsidRPr="007E212E" w:rsidRDefault="00023598" w:rsidP="00425AC7">
            <w:pPr>
              <w:jc w:val="center"/>
              <w:rPr>
                <w:b/>
              </w:rPr>
            </w:pPr>
          </w:p>
        </w:tc>
        <w:tc>
          <w:tcPr>
            <w:tcW w:w="3969" w:type="dxa"/>
            <w:vAlign w:val="center"/>
          </w:tcPr>
          <w:p w:rsidR="00023598" w:rsidRPr="007E212E" w:rsidRDefault="00023598" w:rsidP="00425AC7">
            <w:pPr>
              <w:jc w:val="center"/>
              <w:rPr>
                <w:b/>
              </w:rPr>
            </w:pPr>
          </w:p>
        </w:tc>
        <w:tc>
          <w:tcPr>
            <w:tcW w:w="1417" w:type="dxa"/>
            <w:vAlign w:val="center"/>
          </w:tcPr>
          <w:p w:rsidR="00023598" w:rsidRPr="007E212E" w:rsidRDefault="00023598" w:rsidP="00425AC7">
            <w:pPr>
              <w:jc w:val="center"/>
              <w:rPr>
                <w:b/>
              </w:rPr>
            </w:pPr>
          </w:p>
        </w:tc>
        <w:tc>
          <w:tcPr>
            <w:tcW w:w="1418" w:type="dxa"/>
            <w:vAlign w:val="center"/>
          </w:tcPr>
          <w:p w:rsidR="00023598" w:rsidRPr="007E212E" w:rsidRDefault="00023598" w:rsidP="00425AC7">
            <w:pPr>
              <w:jc w:val="center"/>
              <w:rPr>
                <w:b/>
              </w:rPr>
            </w:pPr>
          </w:p>
        </w:tc>
      </w:tr>
      <w:tr w:rsidR="00023598" w:rsidRPr="007E212E" w:rsidTr="00425AC7">
        <w:tc>
          <w:tcPr>
            <w:tcW w:w="3964" w:type="dxa"/>
            <w:shd w:val="clear" w:color="auto" w:fill="auto"/>
          </w:tcPr>
          <w:p w:rsidR="00023598" w:rsidRPr="007E212E" w:rsidRDefault="00023598" w:rsidP="00425AC7">
            <w:pPr>
              <w:pStyle w:val="tv213"/>
              <w:spacing w:before="0" w:beforeAutospacing="0" w:after="0" w:afterAutospacing="0"/>
              <w:ind w:firstLine="567"/>
              <w:jc w:val="both"/>
              <w:rPr>
                <w:sz w:val="22"/>
                <w:szCs w:val="22"/>
              </w:rPr>
            </w:pPr>
          </w:p>
        </w:tc>
        <w:tc>
          <w:tcPr>
            <w:tcW w:w="3969" w:type="dxa"/>
            <w:shd w:val="clear" w:color="auto" w:fill="auto"/>
          </w:tcPr>
          <w:p w:rsidR="00023598" w:rsidRPr="00364D38" w:rsidRDefault="00023598" w:rsidP="00023598">
            <w:pPr>
              <w:suppressAutoHyphens/>
              <w:ind w:firstLine="567"/>
              <w:contextualSpacing/>
              <w:jc w:val="both"/>
              <w:rPr>
                <w:sz w:val="22"/>
              </w:rPr>
            </w:pPr>
            <w:r w:rsidRPr="00364D38">
              <w:rPr>
                <w:sz w:val="22"/>
              </w:rPr>
              <w:t>papildināt pantu ar 2.</w:t>
            </w:r>
            <w:r w:rsidRPr="00364D38">
              <w:rPr>
                <w:sz w:val="22"/>
                <w:vertAlign w:val="superscript"/>
              </w:rPr>
              <w:t>1 </w:t>
            </w:r>
            <w:r w:rsidRPr="00364D38">
              <w:rPr>
                <w:sz w:val="22"/>
              </w:rPr>
              <w:t>daļu šādā redakcijā:</w:t>
            </w:r>
          </w:p>
          <w:p w:rsidR="00023598" w:rsidRPr="00364D38" w:rsidRDefault="00023598" w:rsidP="00023598">
            <w:pPr>
              <w:suppressAutoHyphens/>
              <w:ind w:firstLine="567"/>
              <w:contextualSpacing/>
              <w:jc w:val="both"/>
              <w:rPr>
                <w:sz w:val="22"/>
              </w:rPr>
            </w:pPr>
            <w:r w:rsidRPr="00364D38">
              <w:rPr>
                <w:sz w:val="22"/>
              </w:rPr>
              <w:t> "(2</w:t>
            </w:r>
            <w:r w:rsidRPr="00364D38">
              <w:rPr>
                <w:sz w:val="22"/>
                <w:vertAlign w:val="superscript"/>
              </w:rPr>
              <w:t>1</w:t>
            </w:r>
            <w:r w:rsidRPr="00364D38">
              <w:rPr>
                <w:sz w:val="22"/>
              </w:rPr>
              <w:t xml:space="preserve">) Invaliditātes pensijas apmēru, kāds atbilstoši invaliditātes grupai noteikts šā panta pirmās daļas 2. punktā un šā panta otrajā daļā, pārskata atbilstoši </w:t>
            </w:r>
            <w:r w:rsidRPr="00364D38">
              <w:rPr>
                <w:spacing w:val="-2"/>
                <w:sz w:val="22"/>
              </w:rPr>
              <w:t>likumā "Par sociālo drošību" noteiktajai minimālo ienākumu sliekšņu pārskatīšanas</w:t>
            </w:r>
            <w:r w:rsidRPr="00364D38">
              <w:rPr>
                <w:sz w:val="22"/>
              </w:rPr>
              <w:t xml:space="preserve"> kārtībai.</w:t>
            </w:r>
            <w:r w:rsidRPr="00364D38">
              <w:rPr>
                <w:sz w:val="22"/>
                <w:lang w:eastAsia="zh-CN"/>
              </w:rPr>
              <w:t xml:space="preserve">" </w:t>
            </w:r>
          </w:p>
        </w:tc>
        <w:tc>
          <w:tcPr>
            <w:tcW w:w="581" w:type="dxa"/>
            <w:vAlign w:val="center"/>
          </w:tcPr>
          <w:p w:rsidR="00023598" w:rsidRPr="007E212E" w:rsidRDefault="00023598" w:rsidP="00425AC7">
            <w:pPr>
              <w:jc w:val="center"/>
              <w:rPr>
                <w:b/>
              </w:rPr>
            </w:pPr>
          </w:p>
        </w:tc>
        <w:tc>
          <w:tcPr>
            <w:tcW w:w="3969" w:type="dxa"/>
            <w:vAlign w:val="center"/>
          </w:tcPr>
          <w:p w:rsidR="00023598" w:rsidRPr="007E212E" w:rsidRDefault="00023598" w:rsidP="00425AC7">
            <w:pPr>
              <w:jc w:val="center"/>
              <w:rPr>
                <w:b/>
              </w:rPr>
            </w:pPr>
          </w:p>
        </w:tc>
        <w:tc>
          <w:tcPr>
            <w:tcW w:w="1417" w:type="dxa"/>
            <w:vAlign w:val="center"/>
          </w:tcPr>
          <w:p w:rsidR="00023598" w:rsidRPr="007E212E" w:rsidRDefault="00023598" w:rsidP="00425AC7">
            <w:pPr>
              <w:jc w:val="center"/>
              <w:rPr>
                <w:b/>
              </w:rPr>
            </w:pPr>
          </w:p>
        </w:tc>
        <w:tc>
          <w:tcPr>
            <w:tcW w:w="1418" w:type="dxa"/>
            <w:vAlign w:val="center"/>
          </w:tcPr>
          <w:p w:rsidR="00023598" w:rsidRPr="007E212E" w:rsidRDefault="00023598" w:rsidP="00425AC7">
            <w:pPr>
              <w:jc w:val="center"/>
              <w:rPr>
                <w:b/>
              </w:rPr>
            </w:pPr>
          </w:p>
        </w:tc>
      </w:tr>
      <w:tr w:rsidR="00023598" w:rsidRPr="007E212E" w:rsidTr="00425AC7">
        <w:tc>
          <w:tcPr>
            <w:tcW w:w="3964" w:type="dxa"/>
            <w:shd w:val="clear" w:color="auto" w:fill="auto"/>
          </w:tcPr>
          <w:p w:rsidR="00023598" w:rsidRPr="00023598" w:rsidRDefault="00023598" w:rsidP="00425AC7">
            <w:pPr>
              <w:pStyle w:val="tv213"/>
              <w:spacing w:before="0" w:beforeAutospacing="0" w:after="0" w:afterAutospacing="0"/>
              <w:ind w:firstLine="567"/>
              <w:jc w:val="both"/>
              <w:rPr>
                <w:b/>
                <w:bCs/>
                <w:sz w:val="22"/>
                <w:szCs w:val="22"/>
              </w:rPr>
            </w:pPr>
            <w:proofErr w:type="gramStart"/>
            <w:r w:rsidRPr="00023598">
              <w:rPr>
                <w:b/>
                <w:bCs/>
                <w:sz w:val="22"/>
                <w:szCs w:val="22"/>
              </w:rPr>
              <w:t>23.pants</w:t>
            </w:r>
            <w:proofErr w:type="gramEnd"/>
            <w:r w:rsidRPr="00023598">
              <w:rPr>
                <w:b/>
                <w:bCs/>
                <w:sz w:val="22"/>
                <w:szCs w:val="22"/>
              </w:rPr>
              <w:t>. Apgādnieka zaudējuma pensijas aprēķināšana</w:t>
            </w:r>
          </w:p>
          <w:p w:rsidR="00023598" w:rsidRPr="00023598" w:rsidRDefault="00023598" w:rsidP="00425AC7">
            <w:pPr>
              <w:pStyle w:val="tv213"/>
              <w:spacing w:before="0" w:beforeAutospacing="0" w:after="0" w:afterAutospacing="0"/>
              <w:ind w:firstLine="567"/>
              <w:jc w:val="both"/>
              <w:rPr>
                <w:sz w:val="22"/>
                <w:szCs w:val="22"/>
              </w:rPr>
            </w:pPr>
            <w:r w:rsidRPr="00023598">
              <w:rPr>
                <w:sz w:val="22"/>
                <w:szCs w:val="22"/>
              </w:rPr>
              <w:t>(4) Ja apgādnieka apdrošināšanas stāžs iespējamai vecuma pensijai nav mazāks, kā noteikts šajā likumā pensijas piešķiršanas dienā, apgādnieka zaudējuma pensijas apmērs katram bērnam nedrīkst būt mazāks par Ministru kabineta noteikto minimālo apmēru.</w:t>
            </w:r>
          </w:p>
        </w:tc>
        <w:tc>
          <w:tcPr>
            <w:tcW w:w="3969" w:type="dxa"/>
            <w:shd w:val="clear" w:color="auto" w:fill="auto"/>
          </w:tcPr>
          <w:p w:rsidR="00023598" w:rsidRPr="00364D38" w:rsidRDefault="00023598" w:rsidP="00023598">
            <w:pPr>
              <w:suppressAutoHyphens/>
              <w:ind w:firstLine="567"/>
              <w:jc w:val="both"/>
              <w:rPr>
                <w:sz w:val="22"/>
              </w:rPr>
            </w:pPr>
            <w:r w:rsidRPr="00364D38">
              <w:rPr>
                <w:sz w:val="22"/>
                <w:lang w:eastAsia="zh-CN"/>
              </w:rPr>
              <w:t>3.  23. pantā:</w:t>
            </w:r>
          </w:p>
          <w:p w:rsidR="00023598" w:rsidRPr="00364D38" w:rsidRDefault="00023598" w:rsidP="00023598">
            <w:pPr>
              <w:suppressAutoHyphens/>
              <w:ind w:firstLine="567"/>
              <w:jc w:val="both"/>
              <w:rPr>
                <w:sz w:val="22"/>
              </w:rPr>
            </w:pPr>
            <w:r w:rsidRPr="00364D38">
              <w:rPr>
                <w:sz w:val="22"/>
                <w:lang w:eastAsia="zh-CN"/>
              </w:rPr>
              <w:t>aizstāt ceturtajā un piektajā daļā vārdus "Ministru kabineta" ar vārdiem "šā panta devītajā daļā";</w:t>
            </w:r>
          </w:p>
        </w:tc>
        <w:tc>
          <w:tcPr>
            <w:tcW w:w="581" w:type="dxa"/>
            <w:vAlign w:val="center"/>
          </w:tcPr>
          <w:p w:rsidR="00023598" w:rsidRPr="007E212E" w:rsidRDefault="00023598" w:rsidP="00425AC7">
            <w:pPr>
              <w:jc w:val="center"/>
              <w:rPr>
                <w:b/>
              </w:rPr>
            </w:pPr>
          </w:p>
        </w:tc>
        <w:tc>
          <w:tcPr>
            <w:tcW w:w="3969" w:type="dxa"/>
            <w:vAlign w:val="center"/>
          </w:tcPr>
          <w:p w:rsidR="00023598" w:rsidRPr="007E212E" w:rsidRDefault="00023598" w:rsidP="00425AC7">
            <w:pPr>
              <w:jc w:val="center"/>
              <w:rPr>
                <w:b/>
              </w:rPr>
            </w:pPr>
          </w:p>
        </w:tc>
        <w:tc>
          <w:tcPr>
            <w:tcW w:w="1417" w:type="dxa"/>
            <w:vAlign w:val="center"/>
          </w:tcPr>
          <w:p w:rsidR="00023598" w:rsidRPr="007E212E" w:rsidRDefault="00023598" w:rsidP="00425AC7">
            <w:pPr>
              <w:jc w:val="center"/>
              <w:rPr>
                <w:b/>
              </w:rPr>
            </w:pPr>
          </w:p>
        </w:tc>
        <w:tc>
          <w:tcPr>
            <w:tcW w:w="1418" w:type="dxa"/>
            <w:vAlign w:val="center"/>
          </w:tcPr>
          <w:p w:rsidR="00023598" w:rsidRPr="007E212E" w:rsidRDefault="00023598" w:rsidP="00425AC7">
            <w:pPr>
              <w:jc w:val="center"/>
              <w:rPr>
                <w:b/>
              </w:rPr>
            </w:pPr>
          </w:p>
        </w:tc>
      </w:tr>
      <w:tr w:rsidR="00364D38" w:rsidRPr="007E212E" w:rsidTr="00425AC7">
        <w:tc>
          <w:tcPr>
            <w:tcW w:w="3964" w:type="dxa"/>
            <w:shd w:val="clear" w:color="auto" w:fill="auto"/>
          </w:tcPr>
          <w:p w:rsidR="00364D38" w:rsidRPr="00023598" w:rsidRDefault="00023598" w:rsidP="00425AC7">
            <w:pPr>
              <w:pStyle w:val="tv213"/>
              <w:spacing w:before="0" w:beforeAutospacing="0" w:after="0" w:afterAutospacing="0"/>
              <w:ind w:firstLine="567"/>
              <w:jc w:val="both"/>
              <w:rPr>
                <w:sz w:val="22"/>
                <w:szCs w:val="22"/>
              </w:rPr>
            </w:pPr>
            <w:r w:rsidRPr="00023598">
              <w:rPr>
                <w:sz w:val="22"/>
                <w:szCs w:val="22"/>
              </w:rPr>
              <w:t>(9) Ministru kabinets nosaka apgādnieka zaudējuma pensijas minimālo apmēru katram bērnam un tā pārskatīšanas kārtību.</w:t>
            </w:r>
          </w:p>
        </w:tc>
        <w:tc>
          <w:tcPr>
            <w:tcW w:w="3969" w:type="dxa"/>
            <w:shd w:val="clear" w:color="auto" w:fill="auto"/>
          </w:tcPr>
          <w:p w:rsidR="00023598" w:rsidRPr="00364D38" w:rsidRDefault="00023598" w:rsidP="00023598">
            <w:pPr>
              <w:suppressAutoHyphens/>
              <w:ind w:firstLine="567"/>
              <w:jc w:val="both"/>
              <w:rPr>
                <w:sz w:val="22"/>
              </w:rPr>
            </w:pPr>
            <w:r w:rsidRPr="00364D38">
              <w:rPr>
                <w:sz w:val="22"/>
                <w:lang w:eastAsia="zh-CN"/>
              </w:rPr>
              <w:t>izteikt devīto daļu šādā redakcijā:</w:t>
            </w:r>
          </w:p>
          <w:p w:rsidR="00023598" w:rsidRPr="00364D38" w:rsidRDefault="00023598" w:rsidP="00023598">
            <w:pPr>
              <w:suppressAutoHyphens/>
              <w:ind w:firstLine="567"/>
              <w:jc w:val="both"/>
              <w:rPr>
                <w:sz w:val="22"/>
              </w:rPr>
            </w:pPr>
            <w:r w:rsidRPr="00364D38">
              <w:rPr>
                <w:sz w:val="22"/>
                <w:lang w:eastAsia="zh-CN"/>
              </w:rPr>
              <w:t> "(9) Minimālās apgādnieka zaudējuma pensijas apmērs katram bērnam ir:</w:t>
            </w:r>
          </w:p>
          <w:p w:rsidR="00023598" w:rsidRPr="00364D38" w:rsidRDefault="00023598" w:rsidP="00023598">
            <w:pPr>
              <w:suppressAutoHyphens/>
              <w:ind w:firstLine="567"/>
              <w:jc w:val="both"/>
              <w:rPr>
                <w:sz w:val="22"/>
              </w:rPr>
            </w:pPr>
            <w:r w:rsidRPr="00364D38">
              <w:rPr>
                <w:sz w:val="22"/>
                <w:lang w:eastAsia="zh-CN"/>
              </w:rPr>
              <w:t xml:space="preserve">1) no dzimšanas līdz septiņu gadu vecuma sasniegšanai –136 </w:t>
            </w:r>
            <w:proofErr w:type="spellStart"/>
            <w:r w:rsidRPr="00364D38">
              <w:rPr>
                <w:i/>
                <w:sz w:val="22"/>
                <w:lang w:eastAsia="zh-CN"/>
              </w:rPr>
              <w:t>euro</w:t>
            </w:r>
            <w:proofErr w:type="spellEnd"/>
            <w:r w:rsidRPr="00364D38">
              <w:rPr>
                <w:sz w:val="22"/>
                <w:lang w:eastAsia="zh-CN"/>
              </w:rPr>
              <w:t>;</w:t>
            </w:r>
          </w:p>
          <w:p w:rsidR="00364D38" w:rsidRPr="00364D38" w:rsidRDefault="00023598" w:rsidP="00023598">
            <w:pPr>
              <w:suppressAutoHyphens/>
              <w:ind w:firstLine="567"/>
              <w:jc w:val="both"/>
              <w:rPr>
                <w:sz w:val="22"/>
              </w:rPr>
            </w:pPr>
            <w:r w:rsidRPr="00364D38">
              <w:rPr>
                <w:sz w:val="22"/>
                <w:lang w:eastAsia="zh-CN"/>
              </w:rPr>
              <w:t xml:space="preserve">2) no septiņu gadu vecuma – 163 </w:t>
            </w:r>
            <w:proofErr w:type="spellStart"/>
            <w:r w:rsidRPr="00364D38">
              <w:rPr>
                <w:i/>
                <w:sz w:val="22"/>
                <w:lang w:eastAsia="zh-CN"/>
              </w:rPr>
              <w:t>euro</w:t>
            </w:r>
            <w:proofErr w:type="spellEnd"/>
            <w:r w:rsidRPr="00364D38">
              <w:rPr>
                <w:sz w:val="22"/>
                <w:lang w:eastAsia="zh-CN"/>
              </w:rPr>
              <w:t>.";</w:t>
            </w:r>
          </w:p>
        </w:tc>
        <w:tc>
          <w:tcPr>
            <w:tcW w:w="581" w:type="dxa"/>
            <w:vAlign w:val="center"/>
          </w:tcPr>
          <w:p w:rsidR="00364D38" w:rsidRPr="007E212E" w:rsidRDefault="00364D38" w:rsidP="00425AC7">
            <w:pPr>
              <w:jc w:val="center"/>
              <w:rPr>
                <w:b/>
              </w:rPr>
            </w:pPr>
          </w:p>
        </w:tc>
        <w:tc>
          <w:tcPr>
            <w:tcW w:w="3969" w:type="dxa"/>
            <w:vAlign w:val="center"/>
          </w:tcPr>
          <w:p w:rsidR="00364D38" w:rsidRPr="007E212E" w:rsidRDefault="00364D38" w:rsidP="00425AC7">
            <w:pPr>
              <w:jc w:val="center"/>
              <w:rPr>
                <w:b/>
              </w:rPr>
            </w:pP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r w:rsidR="00364D38" w:rsidRPr="007E212E" w:rsidTr="00425AC7">
        <w:tc>
          <w:tcPr>
            <w:tcW w:w="3964" w:type="dxa"/>
            <w:shd w:val="clear" w:color="auto" w:fill="auto"/>
          </w:tcPr>
          <w:p w:rsidR="00364D38" w:rsidRPr="007E212E" w:rsidRDefault="00364D38" w:rsidP="00425AC7">
            <w:pPr>
              <w:pStyle w:val="tv213"/>
              <w:spacing w:before="0" w:beforeAutospacing="0" w:after="0" w:afterAutospacing="0"/>
              <w:ind w:firstLine="567"/>
              <w:jc w:val="both"/>
              <w:rPr>
                <w:sz w:val="22"/>
                <w:szCs w:val="22"/>
              </w:rPr>
            </w:pPr>
          </w:p>
        </w:tc>
        <w:tc>
          <w:tcPr>
            <w:tcW w:w="3969" w:type="dxa"/>
            <w:shd w:val="clear" w:color="auto" w:fill="auto"/>
          </w:tcPr>
          <w:p w:rsidR="00364D38" w:rsidRPr="00364D38" w:rsidRDefault="00364D38" w:rsidP="00364D38">
            <w:pPr>
              <w:suppressAutoHyphens/>
              <w:ind w:firstLine="567"/>
              <w:jc w:val="both"/>
              <w:rPr>
                <w:sz w:val="22"/>
              </w:rPr>
            </w:pPr>
            <w:r w:rsidRPr="00364D38">
              <w:rPr>
                <w:sz w:val="22"/>
                <w:lang w:eastAsia="zh-CN"/>
              </w:rPr>
              <w:t>papildināt pantu ar desmito daļu šādā redakcijā:</w:t>
            </w:r>
          </w:p>
          <w:p w:rsidR="00364D38" w:rsidRPr="00364D38" w:rsidRDefault="00364D38" w:rsidP="00364D38">
            <w:pPr>
              <w:suppressAutoHyphens/>
              <w:ind w:firstLine="567"/>
              <w:jc w:val="both"/>
              <w:rPr>
                <w:sz w:val="22"/>
              </w:rPr>
            </w:pPr>
            <w:r w:rsidRPr="00364D38">
              <w:rPr>
                <w:sz w:val="22"/>
                <w:lang w:eastAsia="zh-CN"/>
              </w:rPr>
              <w:lastRenderedPageBreak/>
              <w:t xml:space="preserve"> "(10) Minimālās apgādnieka zaudējuma pensijas apmēru pārskata </w:t>
            </w:r>
            <w:r w:rsidRPr="00364D38">
              <w:rPr>
                <w:sz w:val="22"/>
              </w:rPr>
              <w:t xml:space="preserve">atbilstoši </w:t>
            </w:r>
            <w:r w:rsidRPr="00364D38">
              <w:rPr>
                <w:spacing w:val="-2"/>
                <w:sz w:val="22"/>
              </w:rPr>
              <w:t>likumā "Par sociālo drošību" noteiktajai minimālo ienākumu sliekšņu pārskatīšanas</w:t>
            </w:r>
            <w:r w:rsidRPr="00364D38">
              <w:rPr>
                <w:sz w:val="22"/>
              </w:rPr>
              <w:t xml:space="preserve"> kārtībai.</w:t>
            </w:r>
            <w:r w:rsidRPr="00364D38">
              <w:rPr>
                <w:sz w:val="22"/>
                <w:lang w:eastAsia="zh-CN"/>
              </w:rPr>
              <w:t>"</w:t>
            </w:r>
          </w:p>
        </w:tc>
        <w:tc>
          <w:tcPr>
            <w:tcW w:w="581" w:type="dxa"/>
            <w:vAlign w:val="center"/>
          </w:tcPr>
          <w:p w:rsidR="00364D38" w:rsidRPr="007E212E" w:rsidRDefault="00364D38" w:rsidP="00425AC7">
            <w:pPr>
              <w:jc w:val="center"/>
              <w:rPr>
                <w:b/>
              </w:rPr>
            </w:pPr>
          </w:p>
        </w:tc>
        <w:tc>
          <w:tcPr>
            <w:tcW w:w="3969" w:type="dxa"/>
            <w:vAlign w:val="center"/>
          </w:tcPr>
          <w:p w:rsidR="00364D38" w:rsidRPr="007E212E" w:rsidRDefault="00364D38" w:rsidP="00425AC7">
            <w:pPr>
              <w:jc w:val="center"/>
              <w:rPr>
                <w:b/>
              </w:rPr>
            </w:pP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r w:rsidR="0029603B" w:rsidRPr="007E212E" w:rsidTr="00DB7010">
        <w:tc>
          <w:tcPr>
            <w:tcW w:w="3964" w:type="dxa"/>
            <w:shd w:val="clear" w:color="auto" w:fill="auto"/>
          </w:tcPr>
          <w:p w:rsidR="0029603B" w:rsidRPr="009708E1" w:rsidRDefault="008631D2" w:rsidP="009708E1">
            <w:pPr>
              <w:pStyle w:val="tv213"/>
              <w:spacing w:before="0" w:beforeAutospacing="0" w:after="0" w:afterAutospacing="0"/>
              <w:ind w:firstLine="567"/>
              <w:jc w:val="both"/>
              <w:rPr>
                <w:b/>
                <w:bCs/>
                <w:sz w:val="22"/>
                <w:szCs w:val="22"/>
              </w:rPr>
            </w:pPr>
            <w:proofErr w:type="gramStart"/>
            <w:r w:rsidRPr="009708E1">
              <w:rPr>
                <w:b/>
                <w:bCs/>
                <w:sz w:val="22"/>
                <w:szCs w:val="22"/>
              </w:rPr>
              <w:t>26.pants</w:t>
            </w:r>
            <w:proofErr w:type="gramEnd"/>
            <w:r w:rsidRPr="009708E1">
              <w:rPr>
                <w:b/>
                <w:bCs/>
                <w:sz w:val="22"/>
                <w:szCs w:val="22"/>
              </w:rPr>
              <w:t>. Valsts pensijas pārskatīšana</w:t>
            </w:r>
          </w:p>
          <w:p w:rsidR="008631D2" w:rsidRPr="009708E1" w:rsidRDefault="008631D2" w:rsidP="009708E1">
            <w:pPr>
              <w:pStyle w:val="tv213"/>
              <w:spacing w:before="0" w:beforeAutospacing="0" w:after="0" w:afterAutospacing="0"/>
              <w:ind w:firstLine="567"/>
              <w:jc w:val="both"/>
              <w:rPr>
                <w:sz w:val="22"/>
                <w:szCs w:val="22"/>
              </w:rPr>
            </w:pPr>
            <w:r w:rsidRPr="009708E1">
              <w:rPr>
                <w:sz w:val="22"/>
                <w:szCs w:val="22"/>
              </w:rPr>
              <w:t>(4) Vecuma pensiju pārskatīšanai atkarībā no personas apdrošināšanas stāža, par kuru ir piešķirta (pārrēķināta) pensija, piemēro nevis 50 procentus, bet gan šādus apdrošināšanas iemaksu algu summas reālā pieauguma procentus:</w:t>
            </w:r>
          </w:p>
          <w:p w:rsidR="008631D2" w:rsidRPr="007E212E" w:rsidRDefault="008631D2" w:rsidP="009708E1">
            <w:pPr>
              <w:pStyle w:val="tv213"/>
              <w:spacing w:before="0" w:beforeAutospacing="0" w:after="0" w:afterAutospacing="0"/>
              <w:ind w:firstLine="567"/>
              <w:jc w:val="both"/>
              <w:rPr>
                <w:sz w:val="22"/>
                <w:szCs w:val="22"/>
              </w:rPr>
            </w:pPr>
            <w:r w:rsidRPr="009708E1">
              <w:rPr>
                <w:sz w:val="22"/>
                <w:szCs w:val="22"/>
              </w:rPr>
              <w:t xml:space="preserve">1) 60 procentus — ja stāžs ir no 30 līdz 39 gadiem vai ja vecuma pensija </w:t>
            </w:r>
            <w:proofErr w:type="gramStart"/>
            <w:r w:rsidRPr="009708E1">
              <w:rPr>
                <w:sz w:val="22"/>
                <w:szCs w:val="22"/>
              </w:rPr>
              <w:t>piešķirta par darbu kaitīgos</w:t>
            </w:r>
            <w:proofErr w:type="gramEnd"/>
            <w:r w:rsidRPr="009708E1">
              <w:rPr>
                <w:sz w:val="22"/>
                <w:szCs w:val="22"/>
              </w:rPr>
              <w:t>, smagos vai sevišķi kaitīgos, sevišķi smagos darba apstākļos;</w:t>
            </w:r>
          </w:p>
        </w:tc>
        <w:tc>
          <w:tcPr>
            <w:tcW w:w="3969" w:type="dxa"/>
            <w:shd w:val="clear" w:color="auto" w:fill="auto"/>
          </w:tcPr>
          <w:p w:rsidR="0029603B" w:rsidRPr="00364D38" w:rsidRDefault="0029603B" w:rsidP="00364D38">
            <w:pPr>
              <w:suppressAutoHyphens/>
              <w:ind w:firstLine="567"/>
              <w:jc w:val="both"/>
              <w:rPr>
                <w:sz w:val="22"/>
                <w:lang w:eastAsia="zh-CN"/>
              </w:rPr>
            </w:pPr>
          </w:p>
        </w:tc>
        <w:tc>
          <w:tcPr>
            <w:tcW w:w="581" w:type="dxa"/>
          </w:tcPr>
          <w:p w:rsidR="0029603B" w:rsidRPr="007E212E" w:rsidRDefault="00DB7010" w:rsidP="00DB7010">
            <w:pPr>
              <w:jc w:val="center"/>
              <w:rPr>
                <w:b/>
              </w:rPr>
            </w:pPr>
            <w:r>
              <w:rPr>
                <w:b/>
              </w:rPr>
              <w:t>5</w:t>
            </w:r>
          </w:p>
        </w:tc>
        <w:tc>
          <w:tcPr>
            <w:tcW w:w="3969" w:type="dxa"/>
          </w:tcPr>
          <w:p w:rsidR="0029603B" w:rsidRPr="008631D2" w:rsidRDefault="008631D2" w:rsidP="0064260C">
            <w:pPr>
              <w:ind w:firstLine="567"/>
              <w:jc w:val="both"/>
              <w:rPr>
                <w:rFonts w:eastAsia="Times New Roman"/>
                <w:b/>
                <w:sz w:val="22"/>
                <w:u w:val="single"/>
                <w:lang w:eastAsia="lv-LV"/>
              </w:rPr>
            </w:pPr>
            <w:r w:rsidRPr="008631D2">
              <w:rPr>
                <w:rFonts w:eastAsia="Times New Roman"/>
                <w:b/>
                <w:sz w:val="22"/>
                <w:u w:val="single"/>
                <w:lang w:eastAsia="lv-LV"/>
              </w:rPr>
              <w:t>Zaļo</w:t>
            </w:r>
            <w:r w:rsidR="0005500E">
              <w:rPr>
                <w:rFonts w:eastAsia="Times New Roman"/>
                <w:b/>
                <w:sz w:val="22"/>
                <w:u w:val="single"/>
                <w:lang w:eastAsia="lv-LV"/>
              </w:rPr>
              <w:t xml:space="preserve"> un Z</w:t>
            </w:r>
            <w:r w:rsidRPr="008631D2">
              <w:rPr>
                <w:rFonts w:eastAsia="Times New Roman"/>
                <w:b/>
                <w:sz w:val="22"/>
                <w:u w:val="single"/>
                <w:lang w:eastAsia="lv-LV"/>
              </w:rPr>
              <w:t>emnieku savienības frakcija</w:t>
            </w:r>
          </w:p>
          <w:p w:rsidR="008631D2" w:rsidRPr="008631D2" w:rsidRDefault="008631D2" w:rsidP="0064260C">
            <w:pPr>
              <w:ind w:firstLine="567"/>
              <w:jc w:val="both"/>
              <w:rPr>
                <w:rFonts w:eastAsia="Times New Roman"/>
                <w:sz w:val="22"/>
                <w:lang w:eastAsia="lv-LV"/>
              </w:rPr>
            </w:pPr>
            <w:r w:rsidRPr="008631D2">
              <w:rPr>
                <w:rFonts w:eastAsia="Times New Roman"/>
                <w:sz w:val="22"/>
                <w:lang w:eastAsia="lv-LV"/>
              </w:rPr>
              <w:t xml:space="preserve">Izteikt likuma </w:t>
            </w:r>
            <w:proofErr w:type="gramStart"/>
            <w:r w:rsidRPr="008631D2">
              <w:rPr>
                <w:rFonts w:eastAsia="Times New Roman"/>
                <w:sz w:val="22"/>
                <w:lang w:eastAsia="lv-LV"/>
              </w:rPr>
              <w:t>26.panta</w:t>
            </w:r>
            <w:proofErr w:type="gramEnd"/>
            <w:r w:rsidRPr="008631D2">
              <w:rPr>
                <w:rFonts w:eastAsia="Times New Roman"/>
                <w:sz w:val="22"/>
                <w:lang w:eastAsia="lv-LV"/>
              </w:rPr>
              <w:t xml:space="preserve"> 4.daļas 1.apakšpunktu sekojošā redakcijā:</w:t>
            </w:r>
          </w:p>
          <w:p w:rsidR="008631D2" w:rsidRPr="008631D2" w:rsidRDefault="008631D2" w:rsidP="0064260C">
            <w:pPr>
              <w:ind w:firstLine="567"/>
              <w:jc w:val="both"/>
              <w:rPr>
                <w:rFonts w:eastAsia="Times New Roman"/>
                <w:sz w:val="22"/>
                <w:lang w:eastAsia="lv-LV"/>
              </w:rPr>
            </w:pPr>
            <w:r w:rsidRPr="008631D2">
              <w:rPr>
                <w:rFonts w:eastAsia="Times New Roman"/>
                <w:sz w:val="22"/>
                <w:lang w:eastAsia="lv-LV"/>
              </w:rPr>
              <w:t>60 procentus – ja stāžs ir no 30 līdz 39 gadiem.</w:t>
            </w:r>
          </w:p>
        </w:tc>
        <w:tc>
          <w:tcPr>
            <w:tcW w:w="1417" w:type="dxa"/>
            <w:vAlign w:val="center"/>
          </w:tcPr>
          <w:p w:rsidR="0029603B" w:rsidRPr="007E212E" w:rsidRDefault="0029603B" w:rsidP="00425AC7">
            <w:pPr>
              <w:jc w:val="center"/>
              <w:rPr>
                <w:b/>
              </w:rPr>
            </w:pPr>
          </w:p>
        </w:tc>
        <w:tc>
          <w:tcPr>
            <w:tcW w:w="1418" w:type="dxa"/>
            <w:vAlign w:val="center"/>
          </w:tcPr>
          <w:p w:rsidR="0029603B" w:rsidRPr="007E212E" w:rsidRDefault="0029603B" w:rsidP="00425AC7">
            <w:pPr>
              <w:jc w:val="center"/>
              <w:rPr>
                <w:b/>
              </w:rPr>
            </w:pPr>
          </w:p>
        </w:tc>
      </w:tr>
      <w:tr w:rsidR="008631D2" w:rsidRPr="007E212E" w:rsidTr="00DB7010">
        <w:tc>
          <w:tcPr>
            <w:tcW w:w="3964" w:type="dxa"/>
            <w:shd w:val="clear" w:color="auto" w:fill="auto"/>
          </w:tcPr>
          <w:p w:rsidR="009708E1" w:rsidRPr="009708E1" w:rsidRDefault="009708E1" w:rsidP="009708E1">
            <w:pPr>
              <w:pStyle w:val="tv213"/>
              <w:spacing w:before="0" w:beforeAutospacing="0" w:after="0" w:afterAutospacing="0"/>
              <w:ind w:firstLine="567"/>
              <w:jc w:val="both"/>
              <w:rPr>
                <w:sz w:val="22"/>
                <w:szCs w:val="22"/>
              </w:rPr>
            </w:pPr>
            <w:r w:rsidRPr="009708E1">
              <w:rPr>
                <w:sz w:val="22"/>
                <w:szCs w:val="22"/>
              </w:rPr>
              <w:t>2) 70 procentus — ja stāžs ir no 40 līdz 44 gadiem;</w:t>
            </w:r>
          </w:p>
          <w:p w:rsidR="008631D2" w:rsidRPr="007E212E" w:rsidRDefault="009708E1" w:rsidP="009708E1">
            <w:pPr>
              <w:pStyle w:val="tv213"/>
              <w:spacing w:before="0" w:beforeAutospacing="0" w:after="0" w:afterAutospacing="0"/>
              <w:ind w:firstLine="567"/>
              <w:jc w:val="both"/>
              <w:rPr>
                <w:sz w:val="22"/>
                <w:szCs w:val="22"/>
              </w:rPr>
            </w:pPr>
            <w:r w:rsidRPr="009708E1">
              <w:rPr>
                <w:sz w:val="22"/>
                <w:szCs w:val="22"/>
              </w:rPr>
              <w:t>3) 80 procentus — ja stāžs ir 45 gadi un vairāk.</w:t>
            </w:r>
          </w:p>
        </w:tc>
        <w:tc>
          <w:tcPr>
            <w:tcW w:w="3969" w:type="dxa"/>
            <w:shd w:val="clear" w:color="auto" w:fill="auto"/>
          </w:tcPr>
          <w:p w:rsidR="008631D2" w:rsidRPr="00364D38" w:rsidRDefault="008631D2" w:rsidP="00364D38">
            <w:pPr>
              <w:suppressAutoHyphens/>
              <w:ind w:firstLine="567"/>
              <w:jc w:val="both"/>
              <w:rPr>
                <w:sz w:val="22"/>
                <w:lang w:eastAsia="zh-CN"/>
              </w:rPr>
            </w:pPr>
          </w:p>
        </w:tc>
        <w:tc>
          <w:tcPr>
            <w:tcW w:w="581" w:type="dxa"/>
          </w:tcPr>
          <w:p w:rsidR="008631D2" w:rsidRPr="007E212E" w:rsidRDefault="00DB7010" w:rsidP="00DB7010">
            <w:pPr>
              <w:jc w:val="center"/>
              <w:rPr>
                <w:b/>
              </w:rPr>
            </w:pPr>
            <w:r>
              <w:rPr>
                <w:b/>
              </w:rPr>
              <w:t>6</w:t>
            </w:r>
          </w:p>
        </w:tc>
        <w:tc>
          <w:tcPr>
            <w:tcW w:w="3969" w:type="dxa"/>
            <w:vAlign w:val="center"/>
          </w:tcPr>
          <w:p w:rsidR="008631D2" w:rsidRPr="008631D2" w:rsidRDefault="008631D2" w:rsidP="008631D2">
            <w:pPr>
              <w:ind w:firstLine="567"/>
              <w:jc w:val="both"/>
              <w:rPr>
                <w:rFonts w:eastAsia="Times New Roman"/>
                <w:b/>
                <w:sz w:val="22"/>
                <w:u w:val="single"/>
                <w:lang w:eastAsia="lv-LV"/>
              </w:rPr>
            </w:pPr>
            <w:r w:rsidRPr="008631D2">
              <w:rPr>
                <w:rFonts w:eastAsia="Times New Roman"/>
                <w:b/>
                <w:sz w:val="22"/>
                <w:u w:val="single"/>
                <w:lang w:eastAsia="lv-LV"/>
              </w:rPr>
              <w:t>Zaļo</w:t>
            </w:r>
            <w:r w:rsidR="0005500E">
              <w:rPr>
                <w:rFonts w:eastAsia="Times New Roman"/>
                <w:b/>
                <w:sz w:val="22"/>
                <w:u w:val="single"/>
                <w:lang w:eastAsia="lv-LV"/>
              </w:rPr>
              <w:t xml:space="preserve"> un Z</w:t>
            </w:r>
            <w:r w:rsidRPr="008631D2">
              <w:rPr>
                <w:rFonts w:eastAsia="Times New Roman"/>
                <w:b/>
                <w:sz w:val="22"/>
                <w:u w:val="single"/>
                <w:lang w:eastAsia="lv-LV"/>
              </w:rPr>
              <w:t>emnieku savienības frakcija</w:t>
            </w:r>
          </w:p>
          <w:p w:rsidR="008631D2" w:rsidRPr="008631D2" w:rsidRDefault="008631D2" w:rsidP="008631D2">
            <w:pPr>
              <w:ind w:firstLine="567"/>
              <w:jc w:val="both"/>
              <w:rPr>
                <w:rFonts w:eastAsia="Times New Roman"/>
                <w:sz w:val="22"/>
                <w:lang w:eastAsia="lv-LV"/>
              </w:rPr>
            </w:pPr>
            <w:r w:rsidRPr="008631D2">
              <w:rPr>
                <w:rFonts w:eastAsia="Times New Roman"/>
                <w:sz w:val="22"/>
                <w:lang w:eastAsia="lv-LV"/>
              </w:rPr>
              <w:t xml:space="preserve">Papildināt likuma </w:t>
            </w:r>
            <w:proofErr w:type="gramStart"/>
            <w:r w:rsidRPr="008631D2">
              <w:rPr>
                <w:rFonts w:eastAsia="Times New Roman"/>
                <w:sz w:val="22"/>
                <w:lang w:eastAsia="lv-LV"/>
              </w:rPr>
              <w:t>26.panta</w:t>
            </w:r>
            <w:proofErr w:type="gramEnd"/>
            <w:r w:rsidRPr="008631D2">
              <w:rPr>
                <w:rFonts w:eastAsia="Times New Roman"/>
                <w:sz w:val="22"/>
                <w:lang w:eastAsia="lv-LV"/>
              </w:rPr>
              <w:t xml:space="preserve"> 4.daļu ar jaunu 4.apakšpunktu šādā redakcijā:</w:t>
            </w:r>
          </w:p>
          <w:p w:rsidR="008631D2" w:rsidRPr="009708E1" w:rsidRDefault="008631D2" w:rsidP="009708E1">
            <w:pPr>
              <w:ind w:firstLine="567"/>
              <w:jc w:val="both"/>
              <w:rPr>
                <w:rFonts w:eastAsia="Times New Roman"/>
                <w:sz w:val="22"/>
                <w:lang w:eastAsia="lv-LV"/>
              </w:rPr>
            </w:pPr>
            <w:r w:rsidRPr="008631D2">
              <w:rPr>
                <w:rFonts w:eastAsia="Times New Roman"/>
                <w:sz w:val="22"/>
                <w:lang w:eastAsia="lv-LV"/>
              </w:rPr>
              <w:t xml:space="preserve">100 procentus – ja stāžs ir 50 gadi un vairāk vai, ja vecuma pensija </w:t>
            </w:r>
            <w:proofErr w:type="gramStart"/>
            <w:r w:rsidRPr="008631D2">
              <w:rPr>
                <w:rFonts w:eastAsia="Times New Roman"/>
                <w:sz w:val="22"/>
                <w:lang w:eastAsia="lv-LV"/>
              </w:rPr>
              <w:t>piešķirta par darbu kaitīgos</w:t>
            </w:r>
            <w:proofErr w:type="gramEnd"/>
            <w:r w:rsidRPr="008631D2">
              <w:rPr>
                <w:rFonts w:eastAsia="Times New Roman"/>
                <w:sz w:val="22"/>
                <w:lang w:eastAsia="lv-LV"/>
              </w:rPr>
              <w:t>, smagos vai sevišķi kaitīgos, sevišķi smagos darba apstākļos</w:t>
            </w:r>
          </w:p>
        </w:tc>
        <w:tc>
          <w:tcPr>
            <w:tcW w:w="1417" w:type="dxa"/>
            <w:vAlign w:val="center"/>
          </w:tcPr>
          <w:p w:rsidR="008631D2" w:rsidRPr="007E212E" w:rsidRDefault="008631D2" w:rsidP="00425AC7">
            <w:pPr>
              <w:jc w:val="center"/>
              <w:rPr>
                <w:b/>
              </w:rPr>
            </w:pPr>
          </w:p>
        </w:tc>
        <w:tc>
          <w:tcPr>
            <w:tcW w:w="1418" w:type="dxa"/>
            <w:vAlign w:val="center"/>
          </w:tcPr>
          <w:p w:rsidR="008631D2" w:rsidRPr="007E212E" w:rsidRDefault="008631D2" w:rsidP="00425AC7">
            <w:pPr>
              <w:jc w:val="center"/>
              <w:rPr>
                <w:b/>
              </w:rPr>
            </w:pPr>
          </w:p>
        </w:tc>
      </w:tr>
      <w:tr w:rsidR="00364D38" w:rsidRPr="007E212E" w:rsidTr="00425AC7">
        <w:tc>
          <w:tcPr>
            <w:tcW w:w="3964" w:type="dxa"/>
            <w:shd w:val="clear" w:color="auto" w:fill="auto"/>
          </w:tcPr>
          <w:p w:rsidR="00364D38" w:rsidRPr="00301967" w:rsidRDefault="00301967" w:rsidP="00425AC7">
            <w:pPr>
              <w:pStyle w:val="tv213"/>
              <w:spacing w:before="0" w:beforeAutospacing="0" w:after="0" w:afterAutospacing="0"/>
              <w:ind w:firstLine="567"/>
              <w:jc w:val="both"/>
              <w:rPr>
                <w:b/>
                <w:bCs/>
                <w:sz w:val="22"/>
                <w:szCs w:val="22"/>
              </w:rPr>
            </w:pPr>
            <w:proofErr w:type="gramStart"/>
            <w:r w:rsidRPr="00301967">
              <w:rPr>
                <w:b/>
                <w:bCs/>
                <w:sz w:val="22"/>
                <w:szCs w:val="22"/>
              </w:rPr>
              <w:t>36.pants</w:t>
            </w:r>
            <w:proofErr w:type="gramEnd"/>
            <w:r w:rsidRPr="00301967">
              <w:rPr>
                <w:b/>
                <w:bCs/>
                <w:sz w:val="22"/>
                <w:szCs w:val="22"/>
              </w:rPr>
              <w:t>. Ieturējumi no valsts pensijas un pārmaksātās pensijas atgūšana</w:t>
            </w:r>
          </w:p>
          <w:p w:rsidR="00301967" w:rsidRPr="007E212E" w:rsidRDefault="00301967" w:rsidP="00425AC7">
            <w:pPr>
              <w:pStyle w:val="tv213"/>
              <w:spacing w:before="0" w:beforeAutospacing="0" w:after="0" w:afterAutospacing="0"/>
              <w:ind w:firstLine="567"/>
              <w:jc w:val="both"/>
              <w:rPr>
                <w:sz w:val="22"/>
                <w:szCs w:val="22"/>
              </w:rPr>
            </w:pPr>
            <w:r w:rsidRPr="00301967">
              <w:rPr>
                <w:sz w:val="22"/>
                <w:szCs w:val="22"/>
              </w:rPr>
              <w:t xml:space="preserve">(2) Ieturējumi no valsts pensijas aprēķināmi no pensijas saņēmējam izmaksājamās summas. Kopējā ieturējumu summa mēnesī nedrīkst pārsniegt 30 procentus no pensijas. Ja pensijas izmaksa tiek izbeigta pirms parāda dzēšanas, Valsts sociālās apdrošināšanas aģentūras nodaļas atlikušo parāda daļu piedzen likumā noteiktajā kārtībā. Izmaksājamais </w:t>
            </w:r>
            <w:r w:rsidRPr="00301967">
              <w:rPr>
                <w:sz w:val="22"/>
                <w:szCs w:val="22"/>
              </w:rPr>
              <w:lastRenderedPageBreak/>
              <w:t>invaliditātes pensijas apmērs pēc ieturējumu izdarīšanas nedrīkst būt mazāks par valsts sociālā nodrošinājuma pabalstu.</w:t>
            </w:r>
          </w:p>
        </w:tc>
        <w:tc>
          <w:tcPr>
            <w:tcW w:w="3969" w:type="dxa"/>
            <w:shd w:val="clear" w:color="auto" w:fill="auto"/>
          </w:tcPr>
          <w:p w:rsidR="00364D38" w:rsidRPr="00364D38" w:rsidRDefault="00364D38" w:rsidP="00364D38">
            <w:pPr>
              <w:suppressAutoHyphens/>
              <w:ind w:firstLine="567"/>
              <w:jc w:val="both"/>
              <w:rPr>
                <w:sz w:val="22"/>
              </w:rPr>
            </w:pPr>
            <w:r w:rsidRPr="00364D38">
              <w:rPr>
                <w:sz w:val="22"/>
                <w:lang w:eastAsia="zh-CN"/>
              </w:rPr>
              <w:lastRenderedPageBreak/>
              <w:t>4. Aizstāt 36. panta otrajā daļā vārdus "par valsts sociālā nodrošinājuma pabalstu" ar vārdiem "par attiecīgo invaliditātes pensijas aprēķina bāzi</w:t>
            </w:r>
            <w:r w:rsidRPr="00364D38">
              <w:rPr>
                <w:sz w:val="22"/>
              </w:rPr>
              <w:t>".</w:t>
            </w:r>
          </w:p>
        </w:tc>
        <w:tc>
          <w:tcPr>
            <w:tcW w:w="581" w:type="dxa"/>
            <w:vAlign w:val="center"/>
          </w:tcPr>
          <w:p w:rsidR="00364D38" w:rsidRPr="007E212E" w:rsidRDefault="00364D38" w:rsidP="00425AC7">
            <w:pPr>
              <w:jc w:val="center"/>
              <w:rPr>
                <w:b/>
              </w:rPr>
            </w:pPr>
          </w:p>
        </w:tc>
        <w:tc>
          <w:tcPr>
            <w:tcW w:w="3969" w:type="dxa"/>
            <w:vAlign w:val="center"/>
          </w:tcPr>
          <w:p w:rsidR="00364D38" w:rsidRPr="007E212E" w:rsidRDefault="00364D38" w:rsidP="00425AC7">
            <w:pPr>
              <w:jc w:val="center"/>
              <w:rPr>
                <w:b/>
              </w:rPr>
            </w:pP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r w:rsidR="008631D2" w:rsidRPr="007E212E" w:rsidTr="00DB7010">
        <w:tc>
          <w:tcPr>
            <w:tcW w:w="3964" w:type="dxa"/>
            <w:shd w:val="clear" w:color="auto" w:fill="auto"/>
          </w:tcPr>
          <w:p w:rsidR="008631D2" w:rsidRDefault="008631D2" w:rsidP="00425AC7">
            <w:pPr>
              <w:pStyle w:val="tv213"/>
              <w:spacing w:before="0" w:beforeAutospacing="0" w:after="0" w:afterAutospacing="0"/>
              <w:ind w:firstLine="567"/>
              <w:jc w:val="both"/>
              <w:rPr>
                <w:b/>
                <w:sz w:val="22"/>
                <w:szCs w:val="22"/>
              </w:rPr>
            </w:pPr>
            <w:r>
              <w:rPr>
                <w:b/>
                <w:sz w:val="22"/>
                <w:szCs w:val="22"/>
              </w:rPr>
              <w:t>Pāreja noteikumi</w:t>
            </w:r>
          </w:p>
          <w:p w:rsidR="009708E1" w:rsidRPr="009708E1" w:rsidRDefault="009708E1" w:rsidP="009708E1">
            <w:pPr>
              <w:pStyle w:val="tv213"/>
              <w:spacing w:before="0" w:beforeAutospacing="0" w:after="0" w:afterAutospacing="0"/>
              <w:ind w:firstLine="567"/>
              <w:jc w:val="both"/>
              <w:rPr>
                <w:sz w:val="22"/>
                <w:szCs w:val="22"/>
              </w:rPr>
            </w:pPr>
            <w:r w:rsidRPr="009708E1">
              <w:rPr>
                <w:sz w:val="22"/>
                <w:szCs w:val="22"/>
              </w:rPr>
              <w:t>41.</w:t>
            </w:r>
            <w:r w:rsidRPr="009708E1">
              <w:rPr>
                <w:sz w:val="22"/>
                <w:szCs w:val="22"/>
                <w:vertAlign w:val="superscript"/>
              </w:rPr>
              <w:t xml:space="preserve">3 </w:t>
            </w:r>
            <w:r w:rsidRPr="009708E1">
              <w:rPr>
                <w:sz w:val="22"/>
                <w:szCs w:val="22"/>
              </w:rPr>
              <w:t xml:space="preserve">Atbilstoši šo pārejas noteikumu 41. punktam piešķirto piemaksu par apdrošināšanas stāžu, kas uzkrāts līdz 1995. gada 31. decembrim un ņemts vērā, piešķirot (pārrēķinot) pensiju, no 2018. gada 1. jūlija par vienu apdrošināšanas stāža gadu nosaka 1,50 </w:t>
            </w:r>
            <w:proofErr w:type="spellStart"/>
            <w:r w:rsidRPr="009708E1">
              <w:rPr>
                <w:i/>
                <w:iCs/>
                <w:sz w:val="22"/>
                <w:szCs w:val="22"/>
              </w:rPr>
              <w:t>euro</w:t>
            </w:r>
            <w:proofErr w:type="spellEnd"/>
            <w:r w:rsidRPr="009708E1">
              <w:rPr>
                <w:sz w:val="22"/>
                <w:szCs w:val="22"/>
              </w:rPr>
              <w:t xml:space="preserve"> apmērā personām, kurām:</w:t>
            </w:r>
          </w:p>
          <w:p w:rsidR="009708E1" w:rsidRPr="009708E1" w:rsidRDefault="009708E1" w:rsidP="009708E1">
            <w:pPr>
              <w:pStyle w:val="tv213"/>
              <w:spacing w:before="0" w:beforeAutospacing="0" w:after="0" w:afterAutospacing="0"/>
              <w:ind w:firstLine="567"/>
              <w:jc w:val="both"/>
              <w:rPr>
                <w:sz w:val="22"/>
                <w:szCs w:val="22"/>
              </w:rPr>
            </w:pPr>
            <w:r w:rsidRPr="009708E1">
              <w:rPr>
                <w:sz w:val="22"/>
                <w:szCs w:val="22"/>
              </w:rPr>
              <w:t>1) vecuma pensija piešķirta līdz 1996. gada 31. decembrim;</w:t>
            </w:r>
          </w:p>
          <w:p w:rsidR="009708E1" w:rsidRPr="00301967" w:rsidRDefault="009708E1" w:rsidP="009708E1">
            <w:pPr>
              <w:pStyle w:val="tv213"/>
              <w:spacing w:before="0" w:beforeAutospacing="0" w:after="0" w:afterAutospacing="0"/>
              <w:ind w:firstLine="567"/>
              <w:jc w:val="both"/>
              <w:rPr>
                <w:b/>
                <w:bCs/>
                <w:sz w:val="22"/>
                <w:szCs w:val="22"/>
              </w:rPr>
            </w:pPr>
            <w:r w:rsidRPr="009708E1">
              <w:rPr>
                <w:sz w:val="22"/>
                <w:szCs w:val="22"/>
              </w:rPr>
              <w:t>2) invaliditātes pensija piešķirta</w:t>
            </w:r>
            <w:proofErr w:type="gramStart"/>
            <w:r w:rsidRPr="009708E1">
              <w:rPr>
                <w:sz w:val="22"/>
                <w:szCs w:val="22"/>
              </w:rPr>
              <w:t xml:space="preserve"> un</w:t>
            </w:r>
            <w:proofErr w:type="gramEnd"/>
            <w:r w:rsidRPr="009708E1">
              <w:rPr>
                <w:sz w:val="22"/>
                <w:szCs w:val="22"/>
              </w:rPr>
              <w:t xml:space="preserve"> vecuma pensijas piešķiršanai nepieciešamais vecums sasniegts līdz 1996. gada 31. decembrim un personas turpina saņemt invaliditātes pensiju vai vecuma pensiju.</w:t>
            </w:r>
          </w:p>
        </w:tc>
        <w:tc>
          <w:tcPr>
            <w:tcW w:w="3969" w:type="dxa"/>
            <w:shd w:val="clear" w:color="auto" w:fill="auto"/>
          </w:tcPr>
          <w:p w:rsidR="008631D2" w:rsidRPr="00364D38" w:rsidRDefault="008631D2" w:rsidP="00364D38">
            <w:pPr>
              <w:suppressAutoHyphens/>
              <w:ind w:firstLine="567"/>
              <w:jc w:val="both"/>
              <w:rPr>
                <w:sz w:val="22"/>
                <w:lang w:eastAsia="zh-CN"/>
              </w:rPr>
            </w:pPr>
          </w:p>
        </w:tc>
        <w:tc>
          <w:tcPr>
            <w:tcW w:w="581" w:type="dxa"/>
          </w:tcPr>
          <w:p w:rsidR="008631D2" w:rsidRPr="007E212E" w:rsidRDefault="00DB7010" w:rsidP="00DB7010">
            <w:pPr>
              <w:jc w:val="center"/>
              <w:rPr>
                <w:b/>
              </w:rPr>
            </w:pPr>
            <w:r>
              <w:rPr>
                <w:b/>
              </w:rPr>
              <w:t>7</w:t>
            </w:r>
          </w:p>
        </w:tc>
        <w:tc>
          <w:tcPr>
            <w:tcW w:w="3969" w:type="dxa"/>
            <w:vAlign w:val="center"/>
          </w:tcPr>
          <w:p w:rsidR="009708E1" w:rsidRPr="008631D2" w:rsidRDefault="009708E1" w:rsidP="009708E1">
            <w:pPr>
              <w:ind w:firstLine="567"/>
              <w:jc w:val="both"/>
              <w:rPr>
                <w:rFonts w:eastAsia="Times New Roman"/>
                <w:b/>
                <w:sz w:val="22"/>
                <w:u w:val="single"/>
                <w:lang w:eastAsia="lv-LV"/>
              </w:rPr>
            </w:pPr>
            <w:r w:rsidRPr="008631D2">
              <w:rPr>
                <w:rFonts w:eastAsia="Times New Roman"/>
                <w:b/>
                <w:sz w:val="22"/>
                <w:u w:val="single"/>
                <w:lang w:eastAsia="lv-LV"/>
              </w:rPr>
              <w:t>Zaļo</w:t>
            </w:r>
            <w:r w:rsidR="0005500E">
              <w:rPr>
                <w:rFonts w:eastAsia="Times New Roman"/>
                <w:b/>
                <w:sz w:val="22"/>
                <w:u w:val="single"/>
                <w:lang w:eastAsia="lv-LV"/>
              </w:rPr>
              <w:t xml:space="preserve"> un Z</w:t>
            </w:r>
            <w:r w:rsidRPr="008631D2">
              <w:rPr>
                <w:rFonts w:eastAsia="Times New Roman"/>
                <w:b/>
                <w:sz w:val="22"/>
                <w:u w:val="single"/>
                <w:lang w:eastAsia="lv-LV"/>
              </w:rPr>
              <w:t>emnieku savienības frakcija</w:t>
            </w:r>
          </w:p>
          <w:p w:rsidR="009708E1" w:rsidRPr="008631D2" w:rsidRDefault="009708E1" w:rsidP="009708E1">
            <w:pPr>
              <w:pStyle w:val="tv213"/>
              <w:spacing w:before="0" w:beforeAutospacing="0" w:after="0" w:afterAutospacing="0"/>
              <w:ind w:firstLine="567"/>
              <w:jc w:val="both"/>
              <w:rPr>
                <w:sz w:val="22"/>
                <w:szCs w:val="22"/>
              </w:rPr>
            </w:pPr>
            <w:r w:rsidRPr="008631D2">
              <w:rPr>
                <w:sz w:val="22"/>
                <w:szCs w:val="22"/>
              </w:rPr>
              <w:t>Svītrot Pārejas noteikumu tekstu:</w:t>
            </w:r>
          </w:p>
          <w:p w:rsidR="009708E1" w:rsidRPr="008631D2" w:rsidRDefault="009708E1" w:rsidP="009708E1">
            <w:pPr>
              <w:pStyle w:val="tv213"/>
              <w:spacing w:before="0" w:beforeAutospacing="0" w:after="0" w:afterAutospacing="0"/>
              <w:ind w:firstLine="567"/>
              <w:jc w:val="both"/>
              <w:rPr>
                <w:strike/>
                <w:sz w:val="22"/>
                <w:szCs w:val="22"/>
              </w:rPr>
            </w:pPr>
            <w:r w:rsidRPr="008631D2">
              <w:rPr>
                <w:sz w:val="22"/>
                <w:szCs w:val="22"/>
              </w:rPr>
              <w:t>“41.</w:t>
            </w:r>
            <w:r w:rsidRPr="008631D2">
              <w:rPr>
                <w:sz w:val="22"/>
                <w:szCs w:val="22"/>
                <w:vertAlign w:val="superscript"/>
              </w:rPr>
              <w:t xml:space="preserve">3 </w:t>
            </w:r>
            <w:r w:rsidRPr="008631D2">
              <w:rPr>
                <w:sz w:val="22"/>
                <w:szCs w:val="22"/>
              </w:rPr>
              <w:t>Atbilstoši šo pārejas noteikumu 41. punktam piešķirto piemaksu par apdrošināšanas stāžu,</w:t>
            </w:r>
            <w:r w:rsidRPr="008631D2">
              <w:rPr>
                <w:strike/>
                <w:sz w:val="22"/>
                <w:szCs w:val="22"/>
              </w:rPr>
              <w:t xml:space="preserve"> kas uzkrāts līdz 1995. gada 31. decembrim un ņemts vērā, piešķirot (pārrēķinot) pensiju, no 2018. gada 1. jūlija par vienu apdrošināšanas stāža gadu nosaka 1,50 </w:t>
            </w:r>
            <w:proofErr w:type="spellStart"/>
            <w:r w:rsidRPr="008631D2">
              <w:rPr>
                <w:i/>
                <w:iCs/>
                <w:strike/>
                <w:sz w:val="22"/>
                <w:szCs w:val="22"/>
              </w:rPr>
              <w:t>euro</w:t>
            </w:r>
            <w:proofErr w:type="spellEnd"/>
            <w:r w:rsidRPr="008631D2">
              <w:rPr>
                <w:strike/>
                <w:sz w:val="22"/>
                <w:szCs w:val="22"/>
              </w:rPr>
              <w:t xml:space="preserve"> apmērā personām, kurām:</w:t>
            </w:r>
          </w:p>
          <w:p w:rsidR="009708E1" w:rsidRPr="008631D2" w:rsidRDefault="009708E1" w:rsidP="009708E1">
            <w:pPr>
              <w:pStyle w:val="tv213"/>
              <w:spacing w:before="0" w:beforeAutospacing="0" w:after="0" w:afterAutospacing="0"/>
              <w:ind w:firstLine="567"/>
              <w:jc w:val="both"/>
              <w:rPr>
                <w:strike/>
                <w:sz w:val="22"/>
                <w:szCs w:val="22"/>
              </w:rPr>
            </w:pPr>
            <w:r w:rsidRPr="008631D2">
              <w:rPr>
                <w:strike/>
                <w:sz w:val="22"/>
                <w:szCs w:val="22"/>
              </w:rPr>
              <w:t>1) vecuma pensija piešķirta līdz 1996. gada 31. decembrim;</w:t>
            </w:r>
          </w:p>
          <w:p w:rsidR="008631D2" w:rsidRPr="008631D2" w:rsidRDefault="009708E1" w:rsidP="009708E1">
            <w:pPr>
              <w:ind w:firstLine="567"/>
              <w:jc w:val="both"/>
              <w:rPr>
                <w:rFonts w:eastAsia="Times New Roman"/>
                <w:sz w:val="22"/>
                <w:lang w:eastAsia="lv-LV"/>
              </w:rPr>
            </w:pPr>
            <w:r w:rsidRPr="008631D2">
              <w:rPr>
                <w:sz w:val="22"/>
              </w:rPr>
              <w:t>2) invaliditātes pensija piešķirta</w:t>
            </w:r>
            <w:proofErr w:type="gramStart"/>
            <w:r w:rsidRPr="008631D2">
              <w:rPr>
                <w:sz w:val="22"/>
              </w:rPr>
              <w:t xml:space="preserve"> un</w:t>
            </w:r>
            <w:proofErr w:type="gramEnd"/>
            <w:r w:rsidRPr="008631D2">
              <w:rPr>
                <w:sz w:val="22"/>
              </w:rPr>
              <w:t xml:space="preserve"> vecuma pensijas piešķiršanai nepieciešamais vecums sasniegts līdz 1996. gada 31. decembrim un personas turpina saņemt invaliditātes pensiju vai vecuma pensiju.</w:t>
            </w:r>
          </w:p>
        </w:tc>
        <w:tc>
          <w:tcPr>
            <w:tcW w:w="1417" w:type="dxa"/>
            <w:vAlign w:val="center"/>
          </w:tcPr>
          <w:p w:rsidR="008631D2" w:rsidRPr="007E212E" w:rsidRDefault="008631D2" w:rsidP="00425AC7">
            <w:pPr>
              <w:jc w:val="center"/>
              <w:rPr>
                <w:b/>
              </w:rPr>
            </w:pPr>
          </w:p>
        </w:tc>
        <w:tc>
          <w:tcPr>
            <w:tcW w:w="1418" w:type="dxa"/>
            <w:vAlign w:val="center"/>
          </w:tcPr>
          <w:p w:rsidR="008631D2" w:rsidRPr="007E212E" w:rsidRDefault="008631D2" w:rsidP="00425AC7">
            <w:pPr>
              <w:jc w:val="center"/>
              <w:rPr>
                <w:b/>
              </w:rPr>
            </w:pPr>
          </w:p>
        </w:tc>
      </w:tr>
      <w:tr w:rsidR="008631D2" w:rsidRPr="007E212E" w:rsidTr="00DB7010">
        <w:tc>
          <w:tcPr>
            <w:tcW w:w="3964" w:type="dxa"/>
            <w:shd w:val="clear" w:color="auto" w:fill="auto"/>
          </w:tcPr>
          <w:p w:rsidR="008631D2" w:rsidRPr="009708E1" w:rsidRDefault="008631D2" w:rsidP="009708E1">
            <w:pPr>
              <w:pStyle w:val="tv213"/>
              <w:spacing w:before="0" w:beforeAutospacing="0" w:after="0" w:afterAutospacing="0"/>
              <w:ind w:firstLine="567"/>
              <w:jc w:val="both"/>
            </w:pPr>
          </w:p>
        </w:tc>
        <w:tc>
          <w:tcPr>
            <w:tcW w:w="3969" w:type="dxa"/>
            <w:shd w:val="clear" w:color="auto" w:fill="auto"/>
          </w:tcPr>
          <w:p w:rsidR="008631D2" w:rsidRPr="00364D38" w:rsidRDefault="008631D2" w:rsidP="009708E1">
            <w:pPr>
              <w:suppressAutoHyphens/>
              <w:ind w:firstLine="567"/>
              <w:jc w:val="both"/>
              <w:rPr>
                <w:sz w:val="22"/>
                <w:lang w:eastAsia="zh-CN"/>
              </w:rPr>
            </w:pPr>
          </w:p>
        </w:tc>
        <w:tc>
          <w:tcPr>
            <w:tcW w:w="581" w:type="dxa"/>
          </w:tcPr>
          <w:p w:rsidR="008631D2" w:rsidRPr="007E212E" w:rsidRDefault="00DB7010" w:rsidP="00DB7010">
            <w:pPr>
              <w:jc w:val="center"/>
              <w:rPr>
                <w:b/>
              </w:rPr>
            </w:pPr>
            <w:r>
              <w:rPr>
                <w:b/>
              </w:rPr>
              <w:t>8</w:t>
            </w:r>
          </w:p>
        </w:tc>
        <w:tc>
          <w:tcPr>
            <w:tcW w:w="3969" w:type="dxa"/>
            <w:vAlign w:val="center"/>
          </w:tcPr>
          <w:p w:rsidR="009708E1" w:rsidRPr="008631D2" w:rsidRDefault="009708E1" w:rsidP="009708E1">
            <w:pPr>
              <w:ind w:firstLine="567"/>
              <w:jc w:val="both"/>
              <w:rPr>
                <w:rFonts w:eastAsia="Times New Roman"/>
                <w:b/>
                <w:sz w:val="22"/>
                <w:u w:val="single"/>
                <w:lang w:eastAsia="lv-LV"/>
              </w:rPr>
            </w:pPr>
            <w:r w:rsidRPr="008631D2">
              <w:rPr>
                <w:rFonts w:eastAsia="Times New Roman"/>
                <w:b/>
                <w:sz w:val="22"/>
                <w:u w:val="single"/>
                <w:lang w:eastAsia="lv-LV"/>
              </w:rPr>
              <w:t>Zaļo</w:t>
            </w:r>
            <w:r w:rsidR="0005500E">
              <w:rPr>
                <w:rFonts w:eastAsia="Times New Roman"/>
                <w:b/>
                <w:sz w:val="22"/>
                <w:u w:val="single"/>
                <w:lang w:eastAsia="lv-LV"/>
              </w:rPr>
              <w:t xml:space="preserve"> un Z</w:t>
            </w:r>
            <w:r w:rsidRPr="008631D2">
              <w:rPr>
                <w:rFonts w:eastAsia="Times New Roman"/>
                <w:b/>
                <w:sz w:val="22"/>
                <w:u w:val="single"/>
                <w:lang w:eastAsia="lv-LV"/>
              </w:rPr>
              <w:t>emnieku savienības frakcija</w:t>
            </w:r>
          </w:p>
          <w:p w:rsidR="009708E1" w:rsidRPr="008631D2" w:rsidRDefault="009708E1" w:rsidP="009708E1">
            <w:pPr>
              <w:ind w:firstLine="567"/>
              <w:jc w:val="both"/>
              <w:rPr>
                <w:rFonts w:eastAsia="Times New Roman"/>
                <w:sz w:val="22"/>
                <w:lang w:eastAsia="lv-LV"/>
              </w:rPr>
            </w:pPr>
            <w:r w:rsidRPr="008631D2">
              <w:rPr>
                <w:rFonts w:eastAsia="Times New Roman"/>
                <w:sz w:val="22"/>
                <w:lang w:eastAsia="lv-LV"/>
              </w:rPr>
              <w:t>Papildināt likuma Pārejas noteikumu 41.</w:t>
            </w:r>
            <w:r w:rsidRPr="008631D2">
              <w:rPr>
                <w:rFonts w:eastAsia="Times New Roman"/>
                <w:sz w:val="22"/>
                <w:vertAlign w:val="superscript"/>
                <w:lang w:eastAsia="lv-LV"/>
              </w:rPr>
              <w:t>3</w:t>
            </w:r>
            <w:r w:rsidRPr="008631D2">
              <w:rPr>
                <w:rFonts w:eastAsia="Times New Roman"/>
                <w:sz w:val="22"/>
                <w:lang w:eastAsia="lv-LV"/>
              </w:rPr>
              <w:t xml:space="preserve"> punktu ar tekstu sekojošā redakcijā:</w:t>
            </w:r>
          </w:p>
          <w:p w:rsidR="009708E1" w:rsidRPr="008631D2" w:rsidRDefault="009708E1" w:rsidP="009708E1">
            <w:pPr>
              <w:ind w:firstLine="567"/>
              <w:jc w:val="both"/>
              <w:rPr>
                <w:rFonts w:eastAsia="Times New Roman"/>
                <w:sz w:val="22"/>
                <w:lang w:eastAsia="lv-LV"/>
              </w:rPr>
            </w:pPr>
            <w:r w:rsidRPr="008631D2">
              <w:rPr>
                <w:rFonts w:eastAsia="Times New Roman"/>
                <w:sz w:val="22"/>
                <w:lang w:eastAsia="lv-LV"/>
              </w:rPr>
              <w:t xml:space="preserve">“Noteikt piemaksu par katru darba stāža gadu līdz 1995.ga </w:t>
            </w:r>
            <w:proofErr w:type="gramStart"/>
            <w:r w:rsidRPr="008631D2">
              <w:rPr>
                <w:rFonts w:eastAsia="Times New Roman"/>
                <w:sz w:val="22"/>
                <w:lang w:eastAsia="lv-LV"/>
              </w:rPr>
              <w:t>31.decembrim</w:t>
            </w:r>
            <w:proofErr w:type="gramEnd"/>
            <w:r w:rsidRPr="008631D2">
              <w:rPr>
                <w:rFonts w:eastAsia="Times New Roman"/>
                <w:sz w:val="22"/>
                <w:lang w:eastAsia="lv-LV"/>
              </w:rPr>
              <w:t xml:space="preserve"> 3 eiro apmērā personām, kuras pensionējas līdz 1996.gada 31.decembrim.</w:t>
            </w:r>
          </w:p>
          <w:p w:rsidR="009708E1" w:rsidRPr="008631D2" w:rsidRDefault="009708E1" w:rsidP="009708E1">
            <w:pPr>
              <w:ind w:firstLine="567"/>
              <w:jc w:val="both"/>
              <w:rPr>
                <w:rFonts w:eastAsia="Times New Roman"/>
                <w:sz w:val="22"/>
                <w:lang w:eastAsia="lv-LV"/>
              </w:rPr>
            </w:pPr>
            <w:r w:rsidRPr="008631D2">
              <w:rPr>
                <w:rFonts w:eastAsia="Times New Roman"/>
                <w:sz w:val="22"/>
                <w:lang w:eastAsia="lv-LV"/>
              </w:rPr>
              <w:t xml:space="preserve">Noteikt piemaksu par katru darba stāža gadu līdz </w:t>
            </w:r>
            <w:proofErr w:type="gramStart"/>
            <w:r w:rsidRPr="008631D2">
              <w:rPr>
                <w:rFonts w:eastAsia="Times New Roman"/>
                <w:sz w:val="22"/>
                <w:lang w:eastAsia="lv-LV"/>
              </w:rPr>
              <w:t>1995.gada</w:t>
            </w:r>
            <w:proofErr w:type="gramEnd"/>
            <w:r w:rsidRPr="008631D2">
              <w:rPr>
                <w:rFonts w:eastAsia="Times New Roman"/>
                <w:sz w:val="22"/>
                <w:lang w:eastAsia="lv-LV"/>
              </w:rPr>
              <w:t xml:space="preserve"> 31.decembrim 2 eiro apmērā personām, kuras pensionējās no 1997.gada 1.janvāra līdz 2011.gada 31.decembrim.</w:t>
            </w:r>
          </w:p>
          <w:p w:rsidR="008631D2" w:rsidRPr="008631D2" w:rsidRDefault="009708E1" w:rsidP="009708E1">
            <w:pPr>
              <w:pStyle w:val="tv213"/>
              <w:spacing w:before="0" w:beforeAutospacing="0" w:after="0" w:afterAutospacing="0"/>
              <w:ind w:firstLine="567"/>
              <w:jc w:val="both"/>
              <w:rPr>
                <w:sz w:val="22"/>
                <w:szCs w:val="22"/>
              </w:rPr>
            </w:pPr>
            <w:r w:rsidRPr="008631D2">
              <w:rPr>
                <w:sz w:val="22"/>
                <w:szCs w:val="22"/>
              </w:rPr>
              <w:t xml:space="preserve">Uzsākt noteikt piemaksu par katru darba stāža gadu, kas uzkrāts līdz </w:t>
            </w:r>
            <w:proofErr w:type="gramStart"/>
            <w:r w:rsidRPr="008631D2">
              <w:rPr>
                <w:sz w:val="22"/>
                <w:szCs w:val="22"/>
              </w:rPr>
              <w:lastRenderedPageBreak/>
              <w:t>1995.gada</w:t>
            </w:r>
            <w:proofErr w:type="gramEnd"/>
            <w:r w:rsidRPr="008631D2">
              <w:rPr>
                <w:sz w:val="22"/>
                <w:szCs w:val="22"/>
              </w:rPr>
              <w:t xml:space="preserve"> 31.decembrim 1,5 eiro apmērā personām, kuras pensionējās no 2012.gada 1.janvāra.”</w:t>
            </w:r>
          </w:p>
        </w:tc>
        <w:tc>
          <w:tcPr>
            <w:tcW w:w="1417" w:type="dxa"/>
            <w:vAlign w:val="center"/>
          </w:tcPr>
          <w:p w:rsidR="008631D2" w:rsidRPr="007E212E" w:rsidRDefault="008631D2" w:rsidP="00425AC7">
            <w:pPr>
              <w:jc w:val="center"/>
              <w:rPr>
                <w:b/>
              </w:rPr>
            </w:pPr>
          </w:p>
        </w:tc>
        <w:tc>
          <w:tcPr>
            <w:tcW w:w="1418" w:type="dxa"/>
            <w:vAlign w:val="center"/>
          </w:tcPr>
          <w:p w:rsidR="008631D2" w:rsidRPr="007E212E" w:rsidRDefault="008631D2" w:rsidP="00425AC7">
            <w:pPr>
              <w:jc w:val="center"/>
              <w:rPr>
                <w:b/>
              </w:rPr>
            </w:pPr>
          </w:p>
        </w:tc>
      </w:tr>
      <w:tr w:rsidR="00364D38" w:rsidRPr="007E212E" w:rsidTr="00DB7010">
        <w:tc>
          <w:tcPr>
            <w:tcW w:w="3964" w:type="dxa"/>
            <w:shd w:val="clear" w:color="auto" w:fill="auto"/>
          </w:tcPr>
          <w:p w:rsidR="00364D38" w:rsidRPr="007E212E" w:rsidRDefault="00364D38" w:rsidP="00425AC7">
            <w:pPr>
              <w:pStyle w:val="tv213"/>
              <w:spacing w:before="0" w:beforeAutospacing="0" w:after="0" w:afterAutospacing="0"/>
              <w:ind w:firstLine="567"/>
              <w:jc w:val="both"/>
              <w:rPr>
                <w:b/>
                <w:sz w:val="22"/>
                <w:szCs w:val="22"/>
              </w:rPr>
            </w:pPr>
          </w:p>
        </w:tc>
        <w:tc>
          <w:tcPr>
            <w:tcW w:w="3969" w:type="dxa"/>
            <w:shd w:val="clear" w:color="auto" w:fill="auto"/>
          </w:tcPr>
          <w:p w:rsidR="00364D38" w:rsidRPr="00364D38" w:rsidRDefault="00364D38" w:rsidP="0064260C">
            <w:pPr>
              <w:suppressAutoHyphens/>
              <w:ind w:firstLine="567"/>
              <w:jc w:val="both"/>
              <w:rPr>
                <w:sz w:val="22"/>
              </w:rPr>
            </w:pPr>
            <w:r w:rsidRPr="00364D38">
              <w:rPr>
                <w:sz w:val="22"/>
                <w:lang w:eastAsia="zh-CN"/>
              </w:rPr>
              <w:t>5. Papildināt pārejas noteikumus ar 74. punktu šādā redakcijā:</w:t>
            </w:r>
          </w:p>
          <w:p w:rsidR="00364D38" w:rsidRPr="00364D38" w:rsidRDefault="00364D38" w:rsidP="0064260C">
            <w:pPr>
              <w:suppressAutoHyphens/>
              <w:ind w:firstLine="567"/>
              <w:contextualSpacing/>
              <w:jc w:val="both"/>
              <w:rPr>
                <w:sz w:val="22"/>
              </w:rPr>
            </w:pPr>
            <w:r w:rsidRPr="00364D38">
              <w:rPr>
                <w:sz w:val="22"/>
                <w:lang w:eastAsia="zh-CN"/>
              </w:rPr>
              <w:t>"74. </w:t>
            </w:r>
            <w:r w:rsidRPr="00364D38">
              <w:rPr>
                <w:sz w:val="22"/>
              </w:rPr>
              <w:t>Par periodu no 2021. gada 1. janvāra līdz 2021. gada 30. aprīlim vecuma pensiju, invaliditātes pensiju un apgādnieka zaudējuma pensiju, kas nosakāma minimālās pensijas apmērā, izmaksā minimālās pensijas apmērā, kāds bija noteikts atbilstoši normatīvajiem aktiem līdz 2020. gada 31. decembrim, un ne vēlāk kā līdz 2021. gada maijam veic šo minimālo pensiju pārrēķinu, un starpību izmaksā vienlaikus ar 2021. gada maijā izmaksājamo pensiju."</w:t>
            </w:r>
          </w:p>
        </w:tc>
        <w:tc>
          <w:tcPr>
            <w:tcW w:w="581" w:type="dxa"/>
          </w:tcPr>
          <w:p w:rsidR="00364D38" w:rsidRPr="007E212E" w:rsidRDefault="00DB7010" w:rsidP="00DB7010">
            <w:pPr>
              <w:jc w:val="center"/>
              <w:rPr>
                <w:b/>
              </w:rPr>
            </w:pPr>
            <w:r>
              <w:rPr>
                <w:b/>
              </w:rPr>
              <w:t>9</w:t>
            </w:r>
          </w:p>
        </w:tc>
        <w:tc>
          <w:tcPr>
            <w:tcW w:w="3969" w:type="dxa"/>
          </w:tcPr>
          <w:p w:rsidR="0064260C" w:rsidRDefault="0064260C" w:rsidP="0064260C">
            <w:pPr>
              <w:ind w:firstLine="567"/>
              <w:jc w:val="both"/>
              <w:rPr>
                <w:b/>
                <w:sz w:val="22"/>
                <w:u w:val="single"/>
              </w:rPr>
            </w:pPr>
            <w:r w:rsidRPr="0064260C">
              <w:rPr>
                <w:b/>
                <w:sz w:val="22"/>
                <w:u w:val="single"/>
              </w:rPr>
              <w:t>Deputāti D.Reizniece-Ozola, V.Valainis</w:t>
            </w:r>
          </w:p>
          <w:p w:rsidR="0064260C" w:rsidRPr="0064260C" w:rsidRDefault="0064260C" w:rsidP="0064260C">
            <w:pPr>
              <w:ind w:firstLine="567"/>
              <w:jc w:val="both"/>
              <w:rPr>
                <w:sz w:val="22"/>
              </w:rPr>
            </w:pPr>
            <w:r w:rsidRPr="0064260C">
              <w:rPr>
                <w:sz w:val="22"/>
              </w:rPr>
              <w:t xml:space="preserve">Papildināt likumprojektu ar </w:t>
            </w:r>
            <w:proofErr w:type="gramStart"/>
            <w:r w:rsidRPr="0064260C">
              <w:rPr>
                <w:sz w:val="22"/>
              </w:rPr>
              <w:t>7.pantu</w:t>
            </w:r>
            <w:proofErr w:type="gramEnd"/>
            <w:r w:rsidRPr="0064260C">
              <w:rPr>
                <w:sz w:val="22"/>
              </w:rPr>
              <w:t xml:space="preserve"> šādā redakcijā:</w:t>
            </w:r>
          </w:p>
          <w:p w:rsidR="0064260C" w:rsidRPr="0064260C" w:rsidRDefault="0064260C" w:rsidP="0064260C">
            <w:pPr>
              <w:ind w:firstLine="567"/>
              <w:jc w:val="both"/>
              <w:rPr>
                <w:sz w:val="22"/>
              </w:rPr>
            </w:pPr>
            <w:r w:rsidRPr="0064260C">
              <w:rPr>
                <w:sz w:val="22"/>
              </w:rPr>
              <w:t>“Papildināt likuma pārejas noteikumus ar 74.p. šādā redakcijā:</w:t>
            </w:r>
          </w:p>
          <w:p w:rsidR="0064260C" w:rsidRPr="0064260C" w:rsidRDefault="0064260C" w:rsidP="0064260C">
            <w:pPr>
              <w:ind w:firstLine="567"/>
              <w:jc w:val="both"/>
              <w:rPr>
                <w:sz w:val="22"/>
              </w:rPr>
            </w:pPr>
            <w:r w:rsidRPr="0064260C">
              <w:rPr>
                <w:sz w:val="22"/>
              </w:rPr>
              <w:t xml:space="preserve">“Ministru kabinets līdz 2021. gada 1. jūnijam izdod šā likuma </w:t>
            </w:r>
            <w:proofErr w:type="gramStart"/>
            <w:r w:rsidRPr="0064260C">
              <w:rPr>
                <w:sz w:val="22"/>
              </w:rPr>
              <w:t>10.panta</w:t>
            </w:r>
            <w:proofErr w:type="gramEnd"/>
            <w:r w:rsidRPr="0064260C">
              <w:rPr>
                <w:sz w:val="22"/>
              </w:rPr>
              <w:t xml:space="preserve"> 2.daļā minētos noteikumus par izdevumu kompensēšanu, kuri ir izveidojušies apdrošināšanas stāža pierādīšanas rezultātā.”</w:t>
            </w:r>
          </w:p>
          <w:p w:rsidR="0064260C" w:rsidRPr="0064260C" w:rsidRDefault="0064260C" w:rsidP="0064260C">
            <w:pPr>
              <w:ind w:firstLine="567"/>
              <w:jc w:val="both"/>
              <w:rPr>
                <w:b/>
                <w:sz w:val="22"/>
                <w:u w:val="single"/>
              </w:rPr>
            </w:pPr>
          </w:p>
          <w:p w:rsidR="00364D38" w:rsidRPr="007E212E" w:rsidRDefault="00364D38" w:rsidP="0064260C">
            <w:pPr>
              <w:jc w:val="center"/>
              <w:rPr>
                <w:b/>
              </w:rPr>
            </w:pP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r w:rsidR="00364D38" w:rsidRPr="007E212E" w:rsidTr="00425AC7">
        <w:tc>
          <w:tcPr>
            <w:tcW w:w="3964" w:type="dxa"/>
            <w:shd w:val="clear" w:color="auto" w:fill="auto"/>
          </w:tcPr>
          <w:p w:rsidR="00364D38" w:rsidRPr="007E212E" w:rsidRDefault="00364D38" w:rsidP="00425AC7">
            <w:pPr>
              <w:pStyle w:val="tv213"/>
              <w:spacing w:before="0" w:beforeAutospacing="0" w:after="0" w:afterAutospacing="0"/>
              <w:ind w:firstLine="567"/>
              <w:jc w:val="both"/>
              <w:rPr>
                <w:b/>
                <w:sz w:val="22"/>
                <w:szCs w:val="22"/>
              </w:rPr>
            </w:pPr>
          </w:p>
        </w:tc>
        <w:tc>
          <w:tcPr>
            <w:tcW w:w="3969" w:type="dxa"/>
            <w:shd w:val="clear" w:color="auto" w:fill="auto"/>
            <w:vAlign w:val="center"/>
          </w:tcPr>
          <w:p w:rsidR="00364D38" w:rsidRPr="00364D38" w:rsidRDefault="00364D38" w:rsidP="00364D38">
            <w:pPr>
              <w:suppressAutoHyphens/>
              <w:ind w:firstLine="567"/>
              <w:jc w:val="both"/>
              <w:rPr>
                <w:sz w:val="22"/>
              </w:rPr>
            </w:pPr>
            <w:r w:rsidRPr="00364D38">
              <w:rPr>
                <w:sz w:val="22"/>
              </w:rPr>
              <w:t>Likums stājas spēkā 2021. gada 1. janvārī.</w:t>
            </w:r>
          </w:p>
        </w:tc>
        <w:tc>
          <w:tcPr>
            <w:tcW w:w="581" w:type="dxa"/>
            <w:vAlign w:val="center"/>
          </w:tcPr>
          <w:p w:rsidR="00364D38" w:rsidRPr="007E212E" w:rsidRDefault="00364D38" w:rsidP="00425AC7">
            <w:pPr>
              <w:jc w:val="center"/>
              <w:rPr>
                <w:b/>
              </w:rPr>
            </w:pPr>
          </w:p>
        </w:tc>
        <w:tc>
          <w:tcPr>
            <w:tcW w:w="3969" w:type="dxa"/>
            <w:vAlign w:val="center"/>
          </w:tcPr>
          <w:p w:rsidR="00364D38" w:rsidRPr="007E212E" w:rsidRDefault="00364D38" w:rsidP="00425AC7">
            <w:pPr>
              <w:jc w:val="center"/>
              <w:rPr>
                <w:b/>
              </w:rPr>
            </w:pPr>
          </w:p>
        </w:tc>
        <w:tc>
          <w:tcPr>
            <w:tcW w:w="1417" w:type="dxa"/>
            <w:vAlign w:val="center"/>
          </w:tcPr>
          <w:p w:rsidR="00364D38" w:rsidRPr="007E212E" w:rsidRDefault="00364D38" w:rsidP="00425AC7">
            <w:pPr>
              <w:jc w:val="center"/>
              <w:rPr>
                <w:b/>
              </w:rPr>
            </w:pPr>
          </w:p>
        </w:tc>
        <w:tc>
          <w:tcPr>
            <w:tcW w:w="1418" w:type="dxa"/>
            <w:vAlign w:val="center"/>
          </w:tcPr>
          <w:p w:rsidR="00364D38" w:rsidRPr="007E212E" w:rsidRDefault="00364D38" w:rsidP="00425AC7">
            <w:pPr>
              <w:jc w:val="center"/>
              <w:rPr>
                <w:b/>
              </w:rPr>
            </w:pPr>
          </w:p>
        </w:tc>
      </w:tr>
    </w:tbl>
    <w:p w:rsidR="00364D38" w:rsidRPr="007E212E" w:rsidRDefault="00364D38" w:rsidP="00364D38"/>
    <w:p w:rsidR="005D4711" w:rsidRDefault="005D4711"/>
    <w:sectPr w:rsidR="005D4711"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D4" w:rsidRDefault="0005500E">
      <w:r>
        <w:separator/>
      </w:r>
    </w:p>
  </w:endnote>
  <w:endnote w:type="continuationSeparator" w:id="0">
    <w:p w:rsidR="00322DD4" w:rsidRDefault="0005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0196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DB7010"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301967"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010">
      <w:rPr>
        <w:rStyle w:val="PageNumber"/>
        <w:noProof/>
      </w:rPr>
      <w:t>10</w:t>
    </w:r>
    <w:r>
      <w:rPr>
        <w:rStyle w:val="PageNumber"/>
      </w:rPr>
      <w:fldChar w:fldCharType="end"/>
    </w:r>
  </w:p>
  <w:p w:rsidR="00511D34" w:rsidRDefault="00DB7010"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D4" w:rsidRDefault="0005500E">
      <w:r>
        <w:separator/>
      </w:r>
    </w:p>
  </w:footnote>
  <w:footnote w:type="continuationSeparator" w:id="0">
    <w:p w:rsidR="00322DD4" w:rsidRDefault="00055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49CC"/>
    <w:multiLevelType w:val="hybridMultilevel"/>
    <w:tmpl w:val="41142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38"/>
    <w:rsid w:val="00023598"/>
    <w:rsid w:val="0005500E"/>
    <w:rsid w:val="0029603B"/>
    <w:rsid w:val="00301967"/>
    <w:rsid w:val="00322DD4"/>
    <w:rsid w:val="00364D38"/>
    <w:rsid w:val="005D4711"/>
    <w:rsid w:val="0064260C"/>
    <w:rsid w:val="00750653"/>
    <w:rsid w:val="008631D2"/>
    <w:rsid w:val="009708E1"/>
    <w:rsid w:val="00DB70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1C1A"/>
  <w15:chartTrackingRefBased/>
  <w15:docId w15:val="{8EC3438E-A356-4EFC-99EE-E8D7C8F2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38"/>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64D38"/>
    <w:rPr>
      <w:i/>
      <w:iCs/>
    </w:rPr>
  </w:style>
  <w:style w:type="paragraph" w:styleId="Footer">
    <w:name w:val="footer"/>
    <w:basedOn w:val="Normal"/>
    <w:link w:val="FooterChar"/>
    <w:rsid w:val="00364D38"/>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64D38"/>
    <w:rPr>
      <w:rFonts w:eastAsia="Times New Roman" w:cs="Times New Roman"/>
      <w:szCs w:val="24"/>
      <w:lang w:val="en-GB"/>
    </w:rPr>
  </w:style>
  <w:style w:type="character" w:styleId="PageNumber">
    <w:name w:val="page number"/>
    <w:rsid w:val="00364D38"/>
  </w:style>
  <w:style w:type="paragraph" w:customStyle="1" w:styleId="tv213">
    <w:name w:val="tv213"/>
    <w:basedOn w:val="Normal"/>
    <w:rsid w:val="00364D38"/>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364D38"/>
    <w:rPr>
      <w:color w:val="0000FF"/>
      <w:u w:val="single"/>
    </w:rPr>
  </w:style>
  <w:style w:type="paragraph" w:customStyle="1" w:styleId="tvhtml">
    <w:name w:val="tv_html"/>
    <w:basedOn w:val="Normal"/>
    <w:rsid w:val="00023598"/>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64260C"/>
    <w:pPr>
      <w:ind w:left="720"/>
      <w:contextualSpacing/>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5305">
      <w:bodyDiv w:val="1"/>
      <w:marLeft w:val="0"/>
      <w:marRight w:val="0"/>
      <w:marTop w:val="0"/>
      <w:marBottom w:val="0"/>
      <w:divBdr>
        <w:top w:val="none" w:sz="0" w:space="0" w:color="auto"/>
        <w:left w:val="none" w:sz="0" w:space="0" w:color="auto"/>
        <w:bottom w:val="none" w:sz="0" w:space="0" w:color="auto"/>
        <w:right w:val="none" w:sz="0" w:space="0" w:color="auto"/>
      </w:divBdr>
    </w:div>
    <w:div w:id="517622697">
      <w:bodyDiv w:val="1"/>
      <w:marLeft w:val="0"/>
      <w:marRight w:val="0"/>
      <w:marTop w:val="0"/>
      <w:marBottom w:val="0"/>
      <w:divBdr>
        <w:top w:val="none" w:sz="0" w:space="0" w:color="auto"/>
        <w:left w:val="none" w:sz="0" w:space="0" w:color="auto"/>
        <w:bottom w:val="none" w:sz="0" w:space="0" w:color="auto"/>
        <w:right w:val="none" w:sz="0" w:space="0" w:color="auto"/>
      </w:divBdr>
    </w:div>
    <w:div w:id="798840716">
      <w:bodyDiv w:val="1"/>
      <w:marLeft w:val="0"/>
      <w:marRight w:val="0"/>
      <w:marTop w:val="0"/>
      <w:marBottom w:val="0"/>
      <w:divBdr>
        <w:top w:val="none" w:sz="0" w:space="0" w:color="auto"/>
        <w:left w:val="none" w:sz="0" w:space="0" w:color="auto"/>
        <w:bottom w:val="none" w:sz="0" w:space="0" w:color="auto"/>
        <w:right w:val="none" w:sz="0" w:space="0" w:color="auto"/>
      </w:divBdr>
    </w:div>
    <w:div w:id="1072004844">
      <w:bodyDiv w:val="1"/>
      <w:marLeft w:val="0"/>
      <w:marRight w:val="0"/>
      <w:marTop w:val="0"/>
      <w:marBottom w:val="0"/>
      <w:divBdr>
        <w:top w:val="none" w:sz="0" w:space="0" w:color="auto"/>
        <w:left w:val="none" w:sz="0" w:space="0" w:color="auto"/>
        <w:bottom w:val="none" w:sz="0" w:space="0" w:color="auto"/>
        <w:right w:val="none" w:sz="0" w:space="0" w:color="auto"/>
      </w:divBdr>
    </w:div>
    <w:div w:id="1470367250">
      <w:bodyDiv w:val="1"/>
      <w:marLeft w:val="0"/>
      <w:marRight w:val="0"/>
      <w:marTop w:val="0"/>
      <w:marBottom w:val="0"/>
      <w:divBdr>
        <w:top w:val="none" w:sz="0" w:space="0" w:color="auto"/>
        <w:left w:val="none" w:sz="0" w:space="0" w:color="auto"/>
        <w:bottom w:val="none" w:sz="0" w:space="0" w:color="auto"/>
        <w:right w:val="none" w:sz="0" w:space="0" w:color="auto"/>
      </w:divBdr>
    </w:div>
    <w:div w:id="1713117987">
      <w:bodyDiv w:val="1"/>
      <w:marLeft w:val="0"/>
      <w:marRight w:val="0"/>
      <w:marTop w:val="0"/>
      <w:marBottom w:val="0"/>
      <w:divBdr>
        <w:top w:val="none" w:sz="0" w:space="0" w:color="auto"/>
        <w:left w:val="none" w:sz="0" w:space="0" w:color="auto"/>
        <w:bottom w:val="none" w:sz="0" w:space="0" w:color="auto"/>
        <w:right w:val="none" w:sz="0" w:space="0" w:color="auto"/>
      </w:divBdr>
    </w:div>
    <w:div w:id="18738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10052</Words>
  <Characters>5730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6</cp:revision>
  <dcterms:created xsi:type="dcterms:W3CDTF">2020-10-15T11:09:00Z</dcterms:created>
  <dcterms:modified xsi:type="dcterms:W3CDTF">2020-10-30T12:57:00Z</dcterms:modified>
</cp:coreProperties>
</file>