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C" w:rsidRPr="00825EDC" w:rsidRDefault="00825EDC" w:rsidP="00825EDC">
      <w:pPr>
        <w:pStyle w:val="Heading1"/>
        <w:jc w:val="left"/>
        <w:rPr>
          <w:b w:val="0"/>
          <w:sz w:val="26"/>
        </w:rPr>
      </w:pPr>
      <w:bookmarkStart w:id="0" w:name="_GoBack"/>
      <w:bookmarkEnd w:id="0"/>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8279FC" w:rsidRDefault="008279FC" w:rsidP="00D31F78">
      <w:pPr>
        <w:jc w:val="center"/>
        <w:rPr>
          <w:b/>
          <w:color w:val="000000" w:themeColor="text1"/>
          <w:sz w:val="28"/>
        </w:rPr>
      </w:pPr>
      <w:r w:rsidRPr="009F4135">
        <w:rPr>
          <w:b/>
          <w:color w:val="000000" w:themeColor="text1"/>
          <w:sz w:val="28"/>
        </w:rPr>
        <w:t>Par vi</w:t>
      </w:r>
      <w:r w:rsidR="00037D3C">
        <w:rPr>
          <w:b/>
          <w:color w:val="000000" w:themeColor="text1"/>
          <w:sz w:val="28"/>
        </w:rPr>
        <w:t>dēja termiņa budžeta ietvaru 202</w:t>
      </w:r>
      <w:r w:rsidR="00635E31">
        <w:rPr>
          <w:b/>
          <w:color w:val="000000" w:themeColor="text1"/>
          <w:sz w:val="28"/>
        </w:rPr>
        <w:t>1</w:t>
      </w:r>
      <w:r w:rsidR="00037D3C">
        <w:rPr>
          <w:b/>
          <w:color w:val="000000" w:themeColor="text1"/>
          <w:sz w:val="28"/>
        </w:rPr>
        <w:t>., 202</w:t>
      </w:r>
      <w:r w:rsidR="00635E31">
        <w:rPr>
          <w:b/>
          <w:color w:val="000000" w:themeColor="text1"/>
          <w:sz w:val="28"/>
        </w:rPr>
        <w:t>2</w:t>
      </w:r>
      <w:r w:rsidRPr="009F4135">
        <w:rPr>
          <w:b/>
          <w:color w:val="000000" w:themeColor="text1"/>
          <w:sz w:val="28"/>
        </w:rPr>
        <w:t>. un 20</w:t>
      </w:r>
      <w:r w:rsidR="00037D3C">
        <w:rPr>
          <w:b/>
          <w:color w:val="000000" w:themeColor="text1"/>
          <w:sz w:val="28"/>
        </w:rPr>
        <w:t>2</w:t>
      </w:r>
      <w:r w:rsidR="00635E31">
        <w:rPr>
          <w:b/>
          <w:color w:val="000000" w:themeColor="text1"/>
          <w:sz w:val="28"/>
        </w:rPr>
        <w:t>3</w:t>
      </w:r>
      <w:r w:rsidRPr="009F4135">
        <w:rPr>
          <w:b/>
          <w:color w:val="000000" w:themeColor="text1"/>
          <w:sz w:val="28"/>
        </w:rPr>
        <w:t>.</w:t>
      </w:r>
      <w:r>
        <w:rPr>
          <w:b/>
          <w:color w:val="000000" w:themeColor="text1"/>
          <w:sz w:val="28"/>
        </w:rPr>
        <w:t xml:space="preserve"> </w:t>
      </w:r>
      <w:r w:rsidRPr="009F4135">
        <w:rPr>
          <w:b/>
          <w:color w:val="000000" w:themeColor="text1"/>
          <w:sz w:val="28"/>
        </w:rPr>
        <w:t>gadam</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C852C4">
        <w:rPr>
          <w:b/>
          <w:bCs/>
          <w:i/>
          <w:sz w:val="26"/>
          <w:szCs w:val="26"/>
        </w:rPr>
        <w:t>836</w:t>
      </w:r>
      <w:r w:rsidR="00F02BCB" w:rsidRPr="00216D7B">
        <w:rPr>
          <w:b/>
          <w:bCs/>
          <w:i/>
          <w:sz w:val="26"/>
          <w:szCs w:val="26"/>
        </w:rPr>
        <w:t>/Lp1</w:t>
      </w:r>
      <w:r w:rsidR="00037D3C">
        <w:rPr>
          <w:b/>
          <w:bCs/>
          <w:i/>
          <w:sz w:val="26"/>
          <w:szCs w:val="26"/>
        </w:rPr>
        <w:t>3</w:t>
      </w:r>
      <w:r w:rsidR="00825EDC" w:rsidRPr="00216D7B">
        <w:rPr>
          <w:b/>
          <w:bCs/>
          <w:i/>
          <w:sz w:val="26"/>
          <w:szCs w:val="26"/>
        </w:rPr>
        <w:t>)</w:t>
      </w:r>
    </w:p>
    <w:p w:rsidR="00825EDC" w:rsidRPr="00DB1EFA" w:rsidRDefault="00825EDC" w:rsidP="00825EDC">
      <w:pPr>
        <w:tabs>
          <w:tab w:val="left" w:pos="11880"/>
        </w:tabs>
        <w:rPr>
          <w:sz w:val="18"/>
          <w:szCs w:val="18"/>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644"/>
        <w:gridCol w:w="5168"/>
        <w:gridCol w:w="1451"/>
        <w:gridCol w:w="1260"/>
      </w:tblGrid>
      <w:tr w:rsidR="005C5FDC" w:rsidRPr="0094730E" w:rsidTr="005251F3">
        <w:tc>
          <w:tcPr>
            <w:tcW w:w="6516" w:type="dxa"/>
          </w:tcPr>
          <w:p w:rsidR="005C5FDC" w:rsidRPr="0094730E" w:rsidRDefault="005C5FDC" w:rsidP="008C4B57">
            <w:pPr>
              <w:jc w:val="center"/>
              <w:rPr>
                <w:b/>
                <w:bCs/>
              </w:rPr>
            </w:pPr>
            <w:r w:rsidRPr="0094730E">
              <w:rPr>
                <w:b/>
                <w:bCs/>
              </w:rPr>
              <w:t>Pirmā lasījuma redakcija</w:t>
            </w:r>
          </w:p>
        </w:tc>
        <w:tc>
          <w:tcPr>
            <w:tcW w:w="644" w:type="dxa"/>
          </w:tcPr>
          <w:p w:rsidR="005C5FDC" w:rsidRPr="0094730E" w:rsidRDefault="005C5FDC" w:rsidP="008C4B57">
            <w:pPr>
              <w:jc w:val="center"/>
              <w:rPr>
                <w:b/>
                <w:bCs/>
              </w:rPr>
            </w:pPr>
            <w:r w:rsidRPr="0094730E">
              <w:rPr>
                <w:b/>
                <w:bCs/>
              </w:rPr>
              <w:t>Nr.</w:t>
            </w:r>
          </w:p>
        </w:tc>
        <w:tc>
          <w:tcPr>
            <w:tcW w:w="5168" w:type="dxa"/>
          </w:tcPr>
          <w:p w:rsidR="005C5FDC" w:rsidRDefault="005C5FDC" w:rsidP="008C4B57">
            <w:pPr>
              <w:ind w:firstLine="567"/>
              <w:jc w:val="center"/>
              <w:rPr>
                <w:b/>
                <w:bCs/>
              </w:rPr>
            </w:pPr>
            <w:r w:rsidRPr="0094730E">
              <w:rPr>
                <w:b/>
                <w:bCs/>
              </w:rPr>
              <w:t>Priekšlikumi</w:t>
            </w:r>
          </w:p>
          <w:p w:rsidR="005C5FDC" w:rsidRPr="0094730E" w:rsidRDefault="005C5FDC" w:rsidP="00FC60A3">
            <w:pPr>
              <w:ind w:firstLine="567"/>
              <w:jc w:val="center"/>
              <w:rPr>
                <w:b/>
                <w:bCs/>
              </w:rPr>
            </w:pPr>
          </w:p>
        </w:tc>
        <w:tc>
          <w:tcPr>
            <w:tcW w:w="1451" w:type="dxa"/>
          </w:tcPr>
          <w:p w:rsidR="005C5FDC" w:rsidRPr="0094730E" w:rsidRDefault="005C5FDC" w:rsidP="008C4B57">
            <w:pPr>
              <w:jc w:val="center"/>
              <w:rPr>
                <w:b/>
                <w:bCs/>
              </w:rPr>
            </w:pPr>
            <w:r w:rsidRPr="0094730E">
              <w:rPr>
                <w:b/>
                <w:bCs/>
              </w:rPr>
              <w:t>Ministru kabineta atzinums</w:t>
            </w:r>
          </w:p>
        </w:tc>
        <w:tc>
          <w:tcPr>
            <w:tcW w:w="1260" w:type="dxa"/>
          </w:tcPr>
          <w:p w:rsidR="005C5FDC" w:rsidRPr="0094730E" w:rsidRDefault="005C5FDC" w:rsidP="008C4B57">
            <w:pPr>
              <w:jc w:val="center"/>
              <w:rPr>
                <w:b/>
                <w:bCs/>
              </w:rPr>
            </w:pPr>
            <w:r w:rsidRPr="0094730E">
              <w:rPr>
                <w:b/>
                <w:bCs/>
              </w:rPr>
              <w:t>Komisijas</w:t>
            </w:r>
          </w:p>
          <w:p w:rsidR="005C5FDC" w:rsidRPr="0094730E" w:rsidRDefault="005C5FDC" w:rsidP="008C4B57">
            <w:pPr>
              <w:jc w:val="center"/>
              <w:rPr>
                <w:b/>
                <w:bCs/>
              </w:rPr>
            </w:pPr>
            <w:r w:rsidRPr="0094730E">
              <w:rPr>
                <w:b/>
                <w:bCs/>
              </w:rPr>
              <w:t>atzinums</w:t>
            </w:r>
          </w:p>
        </w:tc>
      </w:tr>
      <w:tr w:rsidR="004722F7" w:rsidRPr="008B6465" w:rsidTr="005251F3">
        <w:tc>
          <w:tcPr>
            <w:tcW w:w="6516" w:type="dxa"/>
          </w:tcPr>
          <w:p w:rsidR="004B4B33" w:rsidRPr="000847C0" w:rsidRDefault="004B4B33" w:rsidP="000847C0">
            <w:pPr>
              <w:ind w:firstLine="567"/>
              <w:jc w:val="both"/>
              <w:rPr>
                <w:sz w:val="22"/>
                <w:szCs w:val="22"/>
              </w:rPr>
            </w:pPr>
            <w:r w:rsidRPr="000847C0">
              <w:rPr>
                <w:b/>
                <w:sz w:val="22"/>
                <w:szCs w:val="22"/>
              </w:rPr>
              <w:t>1.pants.</w:t>
            </w:r>
            <w:r w:rsidRPr="000847C0">
              <w:rPr>
                <w:sz w:val="22"/>
                <w:szCs w:val="22"/>
              </w:rPr>
              <w:t xml:space="preserve"> Ar gadskārtējā valsts budžeta likuma projekta sagatavošanu, vidēja termiņa budžeta ietvara likuma projekta sagatavošanu, ar valsts budžetu saistīto lēmumu pieņemšanu un rīcību īsteno Fiskālās disciplīnas likumā noteiktos fiskālās politikas principus un šādus vidēja termiņa budžeta politikas prioritāros attīstības virzienus:</w:t>
            </w:r>
          </w:p>
          <w:p w:rsidR="004B4B33" w:rsidRPr="000847C0" w:rsidRDefault="004B4B33" w:rsidP="000847C0">
            <w:pPr>
              <w:ind w:firstLine="567"/>
              <w:jc w:val="both"/>
              <w:rPr>
                <w:sz w:val="22"/>
                <w:szCs w:val="22"/>
              </w:rPr>
            </w:pPr>
            <w:r w:rsidRPr="000847C0">
              <w:rPr>
                <w:sz w:val="22"/>
                <w:szCs w:val="22"/>
              </w:rPr>
              <w:t xml:space="preserve">1) uzņēmumu konkurētspējas veicināšana un investīcijas atbalstošas vides attīstīšana, samazinot darbaspēka nodokļu slogu un reorganizējot mikrouzņēmumu nodokļa režīmu; </w:t>
            </w:r>
          </w:p>
          <w:p w:rsidR="004B4B33" w:rsidRPr="000847C0" w:rsidRDefault="004B4B33" w:rsidP="000847C0">
            <w:pPr>
              <w:ind w:firstLine="567"/>
              <w:jc w:val="both"/>
              <w:rPr>
                <w:sz w:val="22"/>
                <w:szCs w:val="22"/>
              </w:rPr>
            </w:pPr>
            <w:r w:rsidRPr="000847C0">
              <w:rPr>
                <w:sz w:val="22"/>
                <w:szCs w:val="22"/>
              </w:rPr>
              <w:t>2) adekvātu valsts sociālās apdrošināšanas pakalpojumu nodrošināšana, nosakot atbilstošu obligāto iemaksu objektu vispārējā nodokļu režīmā un alternatīvajos nodokļu režīmos nodarbinātajiem;</w:t>
            </w:r>
          </w:p>
          <w:p w:rsidR="004B4B33" w:rsidRPr="000847C0" w:rsidRDefault="004B4B33" w:rsidP="000847C0">
            <w:pPr>
              <w:ind w:firstLine="567"/>
              <w:jc w:val="both"/>
              <w:rPr>
                <w:sz w:val="22"/>
                <w:szCs w:val="22"/>
              </w:rPr>
            </w:pPr>
            <w:r w:rsidRPr="000847C0">
              <w:rPr>
                <w:sz w:val="22"/>
                <w:szCs w:val="22"/>
              </w:rPr>
              <w:t>3) veselības un izglītības nozares cilvēkkapitāla kapacitātes saglabāšana un stiprināšana, palielinot publisko finansējumu ārstniecības personu un pedagogu atalgojumam;</w:t>
            </w:r>
          </w:p>
          <w:p w:rsidR="004722F7" w:rsidRPr="000847C0" w:rsidRDefault="004B4B33" w:rsidP="000847C0">
            <w:pPr>
              <w:ind w:firstLine="567"/>
              <w:jc w:val="both"/>
              <w:rPr>
                <w:b/>
                <w:bCs/>
                <w:color w:val="000000" w:themeColor="text1"/>
                <w:sz w:val="22"/>
                <w:szCs w:val="22"/>
              </w:rPr>
            </w:pPr>
            <w:r w:rsidRPr="000847C0">
              <w:rPr>
                <w:sz w:val="22"/>
                <w:szCs w:val="22"/>
              </w:rPr>
              <w:t>4) ienākumu nevienlīdzības mazināšana, paaugstinot ienākumu slieksni, līdz kuram piemēro ar iedzīvotāju ienākuma nodokli neapliekamo minimumu, kā arī palielinot garantēto minimālo ienākumu, minimālo pensiju un pabalstus sociāli maz aizsargātām sabiedrības grupām.</w:t>
            </w:r>
          </w:p>
        </w:tc>
        <w:tc>
          <w:tcPr>
            <w:tcW w:w="644" w:type="dxa"/>
          </w:tcPr>
          <w:p w:rsidR="004722F7" w:rsidRPr="00D21B94" w:rsidRDefault="004722F7" w:rsidP="00EA09BE">
            <w:pPr>
              <w:jc w:val="center"/>
              <w:rPr>
                <w:b/>
                <w:sz w:val="22"/>
                <w:szCs w:val="22"/>
              </w:rPr>
            </w:pPr>
          </w:p>
        </w:tc>
        <w:tc>
          <w:tcPr>
            <w:tcW w:w="5168" w:type="dxa"/>
          </w:tcPr>
          <w:p w:rsidR="004722F7" w:rsidRPr="00AA5211" w:rsidRDefault="004722F7" w:rsidP="00AA5211">
            <w:pPr>
              <w:ind w:firstLine="567"/>
              <w:jc w:val="both"/>
              <w:rPr>
                <w:b/>
                <w:sz w:val="22"/>
                <w:szCs w:val="22"/>
                <w:u w:val="single"/>
              </w:rPr>
            </w:pPr>
          </w:p>
        </w:tc>
        <w:tc>
          <w:tcPr>
            <w:tcW w:w="1451" w:type="dxa"/>
          </w:tcPr>
          <w:p w:rsidR="004722F7" w:rsidRPr="008C4B57" w:rsidRDefault="004722F7" w:rsidP="00635E31">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5251F3">
        <w:tc>
          <w:tcPr>
            <w:tcW w:w="6516" w:type="dxa"/>
          </w:tcPr>
          <w:p w:rsidR="004722F7" w:rsidRPr="000847C0" w:rsidRDefault="004B4B33" w:rsidP="000847C0">
            <w:pPr>
              <w:ind w:firstLine="567"/>
              <w:jc w:val="both"/>
              <w:rPr>
                <w:b/>
                <w:bCs/>
                <w:color w:val="000000" w:themeColor="text1"/>
                <w:sz w:val="22"/>
                <w:szCs w:val="22"/>
              </w:rPr>
            </w:pPr>
            <w:r w:rsidRPr="000847C0">
              <w:rPr>
                <w:b/>
                <w:sz w:val="22"/>
                <w:szCs w:val="22"/>
              </w:rPr>
              <w:t>2.pants.</w:t>
            </w:r>
            <w:r w:rsidRPr="000847C0">
              <w:rPr>
                <w:sz w:val="22"/>
                <w:szCs w:val="22"/>
              </w:rPr>
              <w:t xml:space="preserve"> Šā likuma sagatavošanā izmantota iekšzemes kopprodukta prognoze 2015.gada salīdzināmajās cenās 2021.gadam 26 939 000 000 </w:t>
            </w:r>
            <w:r w:rsidRPr="000847C0">
              <w:rPr>
                <w:i/>
                <w:sz w:val="22"/>
                <w:szCs w:val="22"/>
              </w:rPr>
              <w:t>euro</w:t>
            </w:r>
            <w:r w:rsidRPr="000847C0">
              <w:rPr>
                <w:sz w:val="22"/>
                <w:szCs w:val="22"/>
              </w:rPr>
              <w:t xml:space="preserve"> apmērā, 2022.gadam 27 787 000 000 </w:t>
            </w:r>
            <w:r w:rsidRPr="000847C0">
              <w:rPr>
                <w:i/>
                <w:sz w:val="22"/>
                <w:szCs w:val="22"/>
              </w:rPr>
              <w:t>euro</w:t>
            </w:r>
            <w:r w:rsidRPr="000847C0">
              <w:rPr>
                <w:sz w:val="22"/>
                <w:szCs w:val="22"/>
              </w:rPr>
              <w:t xml:space="preserve"> apmērā un 2023.gadam 28 655 000 000 </w:t>
            </w:r>
            <w:r w:rsidRPr="000847C0">
              <w:rPr>
                <w:i/>
                <w:sz w:val="22"/>
                <w:szCs w:val="22"/>
              </w:rPr>
              <w:t>euro</w:t>
            </w:r>
            <w:r w:rsidRPr="000847C0">
              <w:rPr>
                <w:sz w:val="22"/>
                <w:szCs w:val="22"/>
              </w:rPr>
              <w:t xml:space="preserve"> apmērā. Šā likuma sagatavošanā izmantota iekšzemes kopprodukta prognoze faktiskajās cenās </w:t>
            </w:r>
            <w:r w:rsidRPr="000847C0">
              <w:rPr>
                <w:sz w:val="22"/>
                <w:szCs w:val="22"/>
              </w:rPr>
              <w:lastRenderedPageBreak/>
              <w:t xml:space="preserve">2021.gadam 30 022 000 000 </w:t>
            </w:r>
            <w:r w:rsidRPr="000847C0">
              <w:rPr>
                <w:i/>
                <w:sz w:val="22"/>
                <w:szCs w:val="22"/>
              </w:rPr>
              <w:t>euro</w:t>
            </w:r>
            <w:r w:rsidRPr="000847C0">
              <w:rPr>
                <w:sz w:val="22"/>
                <w:szCs w:val="22"/>
              </w:rPr>
              <w:t xml:space="preserve"> apmērā, 2022.gadam 31 601 000 000 </w:t>
            </w:r>
            <w:r w:rsidRPr="000847C0">
              <w:rPr>
                <w:i/>
                <w:sz w:val="22"/>
                <w:szCs w:val="22"/>
              </w:rPr>
              <w:t>euro</w:t>
            </w:r>
            <w:r w:rsidRPr="000847C0">
              <w:rPr>
                <w:sz w:val="22"/>
                <w:szCs w:val="22"/>
              </w:rPr>
              <w:t xml:space="preserve"> apmērā un 2023.gadam 33 247 000 000 </w:t>
            </w:r>
            <w:r w:rsidRPr="000847C0">
              <w:rPr>
                <w:i/>
                <w:sz w:val="22"/>
                <w:szCs w:val="22"/>
              </w:rPr>
              <w:t>euro</w:t>
            </w:r>
            <w:r w:rsidRPr="000847C0">
              <w:rPr>
                <w:sz w:val="22"/>
                <w:szCs w:val="22"/>
              </w:rPr>
              <w:t xml:space="preserve"> apmērā.</w:t>
            </w:r>
          </w:p>
        </w:tc>
        <w:tc>
          <w:tcPr>
            <w:tcW w:w="644" w:type="dxa"/>
          </w:tcPr>
          <w:p w:rsidR="005250DD" w:rsidRPr="00D21B94" w:rsidRDefault="005250DD" w:rsidP="00EA09BE">
            <w:pPr>
              <w:jc w:val="center"/>
              <w:rPr>
                <w:b/>
                <w:sz w:val="22"/>
                <w:szCs w:val="22"/>
              </w:rPr>
            </w:pPr>
          </w:p>
        </w:tc>
        <w:tc>
          <w:tcPr>
            <w:tcW w:w="5168" w:type="dxa"/>
          </w:tcPr>
          <w:p w:rsidR="004722F7" w:rsidRPr="004722F7" w:rsidRDefault="004722F7" w:rsidP="004722F7">
            <w:pPr>
              <w:ind w:firstLine="567"/>
              <w:jc w:val="both"/>
              <w:rPr>
                <w:b/>
                <w:sz w:val="22"/>
                <w:szCs w:val="22"/>
                <w:u w:val="single"/>
              </w:rPr>
            </w:pPr>
          </w:p>
        </w:tc>
        <w:tc>
          <w:tcPr>
            <w:tcW w:w="1451" w:type="dxa"/>
          </w:tcPr>
          <w:p w:rsidR="00600AD6" w:rsidRPr="008C4B57" w:rsidRDefault="00600AD6" w:rsidP="008C4B57">
            <w:pPr>
              <w:jc w:val="center"/>
              <w:rPr>
                <w:b/>
                <w:sz w:val="22"/>
                <w:szCs w:val="22"/>
              </w:rPr>
            </w:pPr>
          </w:p>
        </w:tc>
        <w:tc>
          <w:tcPr>
            <w:tcW w:w="1260" w:type="dxa"/>
          </w:tcPr>
          <w:p w:rsidR="004722F7" w:rsidRPr="008B6465" w:rsidRDefault="004722F7" w:rsidP="008B6465">
            <w:pPr>
              <w:jc w:val="both"/>
              <w:rPr>
                <w:b/>
                <w:sz w:val="22"/>
                <w:szCs w:val="22"/>
              </w:rPr>
            </w:pPr>
          </w:p>
        </w:tc>
      </w:tr>
      <w:tr w:rsidR="004722F7" w:rsidRPr="008B6465" w:rsidTr="005251F3">
        <w:tc>
          <w:tcPr>
            <w:tcW w:w="6516" w:type="dxa"/>
          </w:tcPr>
          <w:p w:rsidR="004722F7" w:rsidRPr="000847C0" w:rsidRDefault="004B4B33" w:rsidP="000847C0">
            <w:pPr>
              <w:ind w:firstLine="567"/>
              <w:jc w:val="both"/>
              <w:rPr>
                <w:color w:val="000000" w:themeColor="text1"/>
                <w:sz w:val="22"/>
                <w:szCs w:val="22"/>
              </w:rPr>
            </w:pPr>
            <w:r w:rsidRPr="000847C0">
              <w:rPr>
                <w:b/>
                <w:sz w:val="22"/>
                <w:szCs w:val="22"/>
              </w:rPr>
              <w:t>3.pants.</w:t>
            </w:r>
            <w:r w:rsidRPr="000847C0">
              <w:rPr>
                <w:sz w:val="22"/>
                <w:szCs w:val="22"/>
              </w:rPr>
              <w:t xml:space="preserve"> Šā likuma sagatavošanā izmantota potenciālā iekšzemes kopprodukta prognoze 2015.gada salīdzināmajās cenās 2021.gadam 28 469 000 000 </w:t>
            </w:r>
            <w:r w:rsidRPr="000847C0">
              <w:rPr>
                <w:i/>
                <w:sz w:val="22"/>
                <w:szCs w:val="22"/>
              </w:rPr>
              <w:t>euro</w:t>
            </w:r>
            <w:r w:rsidRPr="000847C0">
              <w:rPr>
                <w:sz w:val="22"/>
                <w:szCs w:val="22"/>
              </w:rPr>
              <w:t xml:space="preserve"> apmērā, 2022.gadam 29 180 000 000 </w:t>
            </w:r>
            <w:r w:rsidRPr="000847C0">
              <w:rPr>
                <w:i/>
                <w:sz w:val="22"/>
                <w:szCs w:val="22"/>
              </w:rPr>
              <w:t>euro</w:t>
            </w:r>
            <w:r w:rsidRPr="000847C0">
              <w:rPr>
                <w:sz w:val="22"/>
                <w:szCs w:val="22"/>
              </w:rPr>
              <w:t xml:space="preserve"> apmērā un 2023.gadam 29 890 000 000 euro apmērā. Šā likuma sagatavošanā izmantota potenciālā iekšzemes kopprodukta pieauguma tempa prognoze 2021.gadam 2,5 procenti, 2022.gadam 2,5 procenti, 2023.gadam 2,4 procenti.</w:t>
            </w:r>
          </w:p>
        </w:tc>
        <w:tc>
          <w:tcPr>
            <w:tcW w:w="644" w:type="dxa"/>
          </w:tcPr>
          <w:p w:rsidR="005250DD" w:rsidRPr="00D21B94" w:rsidRDefault="005250DD" w:rsidP="00EA09BE">
            <w:pPr>
              <w:jc w:val="center"/>
              <w:rPr>
                <w:b/>
                <w:sz w:val="22"/>
                <w:szCs w:val="22"/>
              </w:rPr>
            </w:pPr>
          </w:p>
        </w:tc>
        <w:tc>
          <w:tcPr>
            <w:tcW w:w="5168" w:type="dxa"/>
          </w:tcPr>
          <w:p w:rsidR="004722F7" w:rsidRPr="004722F7" w:rsidRDefault="004722F7" w:rsidP="006474C1">
            <w:pPr>
              <w:ind w:firstLine="567"/>
              <w:jc w:val="both"/>
              <w:rPr>
                <w:b/>
                <w:sz w:val="22"/>
                <w:szCs w:val="22"/>
                <w:u w:val="single"/>
              </w:rPr>
            </w:pPr>
          </w:p>
        </w:tc>
        <w:tc>
          <w:tcPr>
            <w:tcW w:w="1451" w:type="dxa"/>
          </w:tcPr>
          <w:p w:rsidR="00600AD6" w:rsidRPr="008C4B57" w:rsidRDefault="00600AD6" w:rsidP="008C4B57">
            <w:pPr>
              <w:jc w:val="center"/>
              <w:rPr>
                <w:b/>
                <w:sz w:val="22"/>
                <w:szCs w:val="22"/>
              </w:rPr>
            </w:pPr>
          </w:p>
        </w:tc>
        <w:tc>
          <w:tcPr>
            <w:tcW w:w="1260" w:type="dxa"/>
          </w:tcPr>
          <w:p w:rsidR="004722F7" w:rsidRPr="008B6465" w:rsidRDefault="004722F7" w:rsidP="008B6465">
            <w:pPr>
              <w:jc w:val="both"/>
              <w:rPr>
                <w:b/>
                <w:sz w:val="22"/>
                <w:szCs w:val="22"/>
              </w:rPr>
            </w:pPr>
          </w:p>
        </w:tc>
      </w:tr>
      <w:tr w:rsidR="00A20E2D" w:rsidRPr="008B6465" w:rsidTr="005251F3">
        <w:tc>
          <w:tcPr>
            <w:tcW w:w="6516" w:type="dxa"/>
          </w:tcPr>
          <w:p w:rsidR="00A20E2D" w:rsidRPr="000847C0" w:rsidRDefault="004B4B33" w:rsidP="000847C0">
            <w:pPr>
              <w:ind w:firstLine="567"/>
              <w:jc w:val="both"/>
              <w:rPr>
                <w:b/>
                <w:bCs/>
                <w:color w:val="000000"/>
                <w:sz w:val="22"/>
                <w:szCs w:val="22"/>
              </w:rPr>
            </w:pPr>
            <w:r w:rsidRPr="000847C0">
              <w:rPr>
                <w:b/>
                <w:sz w:val="22"/>
                <w:szCs w:val="22"/>
              </w:rPr>
              <w:t>4.pants.</w:t>
            </w:r>
            <w:r w:rsidRPr="000847C0">
              <w:rPr>
                <w:sz w:val="22"/>
                <w:szCs w:val="22"/>
              </w:rPr>
              <w:t xml:space="preserve"> Vispārējās valdības budžeta strukturālās bilances mērķis atbilstoši Eiropas Kontu sistēmas metodoloģijai, kas noteikta saskaņā ar Eiropas Parlamenta un Padomes 2013.gada 21.maija regulu (ES) Nr. 549/2013 par Eiropas nacionālo un reģionālo kontu sistēmu Eiropas Savienībā (turpmāk — Eiropas nacionālo un reģionālo kontu sistēma Eiropas Savienībā), 2021.gadā ir -2,1 procenti no iekšzemes kopprodukta, 2022.gadā -1,1 procenti no iekšzemes kopprodukta un 2023.gadā -0,5 procenti no iekšzemes kopprodukta.</w:t>
            </w:r>
          </w:p>
        </w:tc>
        <w:tc>
          <w:tcPr>
            <w:tcW w:w="644" w:type="dxa"/>
          </w:tcPr>
          <w:p w:rsidR="003127E4" w:rsidRPr="00D21B94" w:rsidRDefault="003127E4" w:rsidP="00EA09BE">
            <w:pPr>
              <w:jc w:val="center"/>
              <w:rPr>
                <w:b/>
                <w:sz w:val="22"/>
                <w:szCs w:val="22"/>
              </w:rPr>
            </w:pPr>
          </w:p>
        </w:tc>
        <w:tc>
          <w:tcPr>
            <w:tcW w:w="5168" w:type="dxa"/>
          </w:tcPr>
          <w:p w:rsidR="00575955" w:rsidRPr="003E4E9D" w:rsidRDefault="00575955" w:rsidP="003E4E9D">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4722F7" w:rsidRPr="008B6465" w:rsidTr="005251F3">
        <w:tc>
          <w:tcPr>
            <w:tcW w:w="6516" w:type="dxa"/>
          </w:tcPr>
          <w:p w:rsidR="004722F7" w:rsidRPr="000847C0" w:rsidRDefault="004B4B33" w:rsidP="000847C0">
            <w:pPr>
              <w:ind w:firstLine="567"/>
              <w:jc w:val="both"/>
              <w:rPr>
                <w:b/>
                <w:color w:val="000000" w:themeColor="text1"/>
                <w:sz w:val="22"/>
                <w:szCs w:val="22"/>
              </w:rPr>
            </w:pPr>
            <w:r w:rsidRPr="000847C0">
              <w:rPr>
                <w:b/>
                <w:bCs/>
                <w:sz w:val="22"/>
                <w:szCs w:val="22"/>
              </w:rPr>
              <w:t>5.pants.</w:t>
            </w:r>
            <w:r w:rsidRPr="000847C0">
              <w:rPr>
                <w:sz w:val="22"/>
                <w:szCs w:val="22"/>
              </w:rPr>
              <w:t xml:space="preserve"> No vispārējās valdības budžeta strukturālās bilances mērķa izrietošā vispārējās valdības budžeta bilance atbilstoši Eiropas nacionālo un reģionālo kontu sistēmas Eiropas Savienībā metodoloģijai 2021.gadā ir -4,0 procenti no iekšzemes kopprodukta, 2022.gadā -2,9 procenti no iekšzemes kopprodukta un 2023.gadā -2,1 procenti no iekšzemes kopprodukta.</w:t>
            </w:r>
          </w:p>
        </w:tc>
        <w:tc>
          <w:tcPr>
            <w:tcW w:w="644" w:type="dxa"/>
          </w:tcPr>
          <w:p w:rsidR="004722F7" w:rsidRPr="00D21B94" w:rsidRDefault="004722F7" w:rsidP="00EA09BE">
            <w:pPr>
              <w:jc w:val="center"/>
              <w:rPr>
                <w:b/>
                <w:sz w:val="22"/>
                <w:szCs w:val="22"/>
              </w:rPr>
            </w:pPr>
          </w:p>
        </w:tc>
        <w:tc>
          <w:tcPr>
            <w:tcW w:w="5168" w:type="dxa"/>
          </w:tcPr>
          <w:p w:rsidR="004722F7" w:rsidRPr="001E02AA" w:rsidRDefault="004722F7" w:rsidP="004722F7">
            <w:pPr>
              <w:ind w:firstLine="567"/>
              <w:jc w:val="both"/>
              <w:rPr>
                <w:b/>
                <w:i/>
                <w:sz w:val="22"/>
                <w:szCs w:val="22"/>
              </w:rPr>
            </w:pPr>
          </w:p>
        </w:tc>
        <w:tc>
          <w:tcPr>
            <w:tcW w:w="1451" w:type="dxa"/>
          </w:tcPr>
          <w:p w:rsidR="004722F7" w:rsidRPr="008C4B57" w:rsidRDefault="004722F7" w:rsidP="008C4B57">
            <w:pPr>
              <w:jc w:val="center"/>
              <w:rPr>
                <w:b/>
                <w:sz w:val="22"/>
                <w:szCs w:val="22"/>
              </w:rPr>
            </w:pPr>
          </w:p>
        </w:tc>
        <w:tc>
          <w:tcPr>
            <w:tcW w:w="1260" w:type="dxa"/>
          </w:tcPr>
          <w:p w:rsidR="004722F7" w:rsidRPr="008B6465" w:rsidRDefault="004722F7" w:rsidP="008B6465">
            <w:pPr>
              <w:jc w:val="both"/>
              <w:rPr>
                <w:b/>
                <w:sz w:val="22"/>
                <w:szCs w:val="22"/>
              </w:rPr>
            </w:pPr>
          </w:p>
        </w:tc>
      </w:tr>
      <w:tr w:rsidR="005C5FDC" w:rsidRPr="008B6465" w:rsidTr="005251F3">
        <w:tc>
          <w:tcPr>
            <w:tcW w:w="6516" w:type="dxa"/>
          </w:tcPr>
          <w:p w:rsidR="005C5FDC" w:rsidRPr="000847C0" w:rsidRDefault="004B4B33" w:rsidP="000847C0">
            <w:pPr>
              <w:ind w:firstLine="567"/>
              <w:jc w:val="both"/>
              <w:rPr>
                <w:b/>
                <w:sz w:val="22"/>
                <w:szCs w:val="22"/>
              </w:rPr>
            </w:pPr>
            <w:r w:rsidRPr="000847C0">
              <w:rPr>
                <w:b/>
                <w:sz w:val="22"/>
                <w:szCs w:val="22"/>
              </w:rPr>
              <w:t>6.pants.</w:t>
            </w:r>
            <w:r w:rsidRPr="000847C0">
              <w:rPr>
                <w:sz w:val="22"/>
                <w:szCs w:val="22"/>
              </w:rPr>
              <w:t xml:space="preserve"> Noteikt valsts budžeta finansiālās bilances apjomu un maksimāli pieļaujamo valsts budžeta izdevumu kopapjomu 2021., 2022. un 2023.gadam saskaņā ar šā likuma 1.pielikumu.</w:t>
            </w:r>
          </w:p>
        </w:tc>
        <w:tc>
          <w:tcPr>
            <w:tcW w:w="644" w:type="dxa"/>
          </w:tcPr>
          <w:p w:rsidR="00CA3ADC" w:rsidRPr="00D21B94" w:rsidRDefault="00CA3ADC" w:rsidP="00EA09BE">
            <w:pPr>
              <w:jc w:val="center"/>
              <w:rPr>
                <w:b/>
                <w:sz w:val="22"/>
                <w:szCs w:val="22"/>
              </w:rPr>
            </w:pPr>
          </w:p>
        </w:tc>
        <w:tc>
          <w:tcPr>
            <w:tcW w:w="5168"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5251F3">
        <w:tc>
          <w:tcPr>
            <w:tcW w:w="6516" w:type="dxa"/>
          </w:tcPr>
          <w:p w:rsidR="00B60EDA" w:rsidRPr="000847C0" w:rsidRDefault="004B4B33" w:rsidP="000847C0">
            <w:pPr>
              <w:ind w:firstLine="567"/>
              <w:jc w:val="both"/>
              <w:rPr>
                <w:color w:val="000000"/>
                <w:sz w:val="22"/>
                <w:szCs w:val="22"/>
              </w:rPr>
            </w:pPr>
            <w:r w:rsidRPr="000847C0">
              <w:rPr>
                <w:b/>
                <w:sz w:val="22"/>
                <w:szCs w:val="22"/>
              </w:rPr>
              <w:t>7.pants.</w:t>
            </w:r>
            <w:r w:rsidRPr="000847C0">
              <w:rPr>
                <w:sz w:val="22"/>
                <w:szCs w:val="22"/>
              </w:rPr>
              <w:t xml:space="preserve"> Noteikt valsts budžeta ieņēmumu prognozes 2021., 2022. un 2023.gadam saskaņā ar šā likuma 1. un 2.pielikumu.</w:t>
            </w:r>
          </w:p>
        </w:tc>
        <w:tc>
          <w:tcPr>
            <w:tcW w:w="644" w:type="dxa"/>
          </w:tcPr>
          <w:p w:rsidR="00B60EDA" w:rsidRPr="00D21B94" w:rsidRDefault="00B60EDA" w:rsidP="00EA09BE">
            <w:pPr>
              <w:jc w:val="center"/>
              <w:rPr>
                <w:b/>
                <w:sz w:val="22"/>
                <w:szCs w:val="22"/>
              </w:rPr>
            </w:pPr>
          </w:p>
        </w:tc>
        <w:tc>
          <w:tcPr>
            <w:tcW w:w="5168"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B60EDA" w:rsidRPr="008B6465" w:rsidTr="005251F3">
        <w:tc>
          <w:tcPr>
            <w:tcW w:w="6516" w:type="dxa"/>
          </w:tcPr>
          <w:p w:rsidR="00B60EDA" w:rsidRPr="000847C0" w:rsidRDefault="004B4B33" w:rsidP="000847C0">
            <w:pPr>
              <w:ind w:firstLine="567"/>
              <w:jc w:val="both"/>
              <w:rPr>
                <w:b/>
                <w:color w:val="000000"/>
                <w:sz w:val="22"/>
                <w:szCs w:val="22"/>
              </w:rPr>
            </w:pPr>
            <w:r w:rsidRPr="000847C0">
              <w:rPr>
                <w:b/>
                <w:sz w:val="22"/>
                <w:szCs w:val="22"/>
              </w:rPr>
              <w:t>8.pants.</w:t>
            </w:r>
            <w:r w:rsidRPr="000847C0">
              <w:rPr>
                <w:sz w:val="22"/>
                <w:szCs w:val="22"/>
              </w:rPr>
              <w:t xml:space="preserve">  Noteikt izlīdzinātos izdevumus 2021.gadā 1 705 983 979 </w:t>
            </w:r>
            <w:r w:rsidRPr="000847C0">
              <w:rPr>
                <w:i/>
                <w:sz w:val="22"/>
                <w:szCs w:val="22"/>
              </w:rPr>
              <w:t>euro</w:t>
            </w:r>
            <w:r w:rsidRPr="000847C0">
              <w:rPr>
                <w:sz w:val="22"/>
                <w:szCs w:val="22"/>
              </w:rPr>
              <w:t xml:space="preserve">, tajā skaitā Eiropas Savienības struktūrfondu un Kohēzijas fonda izlīdzinātos izdevumus 823 915 327 </w:t>
            </w:r>
            <w:r w:rsidRPr="000847C0">
              <w:rPr>
                <w:i/>
                <w:sz w:val="22"/>
                <w:szCs w:val="22"/>
              </w:rPr>
              <w:t>euro</w:t>
            </w:r>
            <w:r w:rsidRPr="000847C0">
              <w:rPr>
                <w:sz w:val="22"/>
                <w:szCs w:val="22"/>
              </w:rPr>
              <w:t xml:space="preserve">, kopējās lauksaimniecības politikas un kopējās zivsaimniecības politikas izlīdzinātos izdevumus 649 991 959 </w:t>
            </w:r>
            <w:r w:rsidRPr="000847C0">
              <w:rPr>
                <w:i/>
                <w:sz w:val="22"/>
                <w:szCs w:val="22"/>
              </w:rPr>
              <w:t>euro</w:t>
            </w:r>
            <w:r w:rsidRPr="000847C0">
              <w:rPr>
                <w:sz w:val="22"/>
                <w:szCs w:val="22"/>
              </w:rPr>
              <w:t xml:space="preserve"> un valsts parāda apkalpošanas izlīdzinātos izdevumus 232 076 693 </w:t>
            </w:r>
            <w:r w:rsidRPr="000847C0">
              <w:rPr>
                <w:i/>
                <w:sz w:val="22"/>
                <w:szCs w:val="22"/>
              </w:rPr>
              <w:t>euro</w:t>
            </w:r>
            <w:r w:rsidRPr="000847C0">
              <w:rPr>
                <w:sz w:val="22"/>
                <w:szCs w:val="22"/>
              </w:rPr>
              <w:t>.</w:t>
            </w:r>
          </w:p>
        </w:tc>
        <w:tc>
          <w:tcPr>
            <w:tcW w:w="644" w:type="dxa"/>
          </w:tcPr>
          <w:p w:rsidR="00B60EDA" w:rsidRPr="00D21B94" w:rsidRDefault="00B60EDA" w:rsidP="00EA09BE">
            <w:pPr>
              <w:jc w:val="center"/>
              <w:rPr>
                <w:b/>
                <w:sz w:val="22"/>
                <w:szCs w:val="22"/>
              </w:rPr>
            </w:pPr>
          </w:p>
        </w:tc>
        <w:tc>
          <w:tcPr>
            <w:tcW w:w="5168"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5251F3">
        <w:tc>
          <w:tcPr>
            <w:tcW w:w="6516" w:type="dxa"/>
          </w:tcPr>
          <w:p w:rsidR="005C5FDC" w:rsidRPr="000847C0" w:rsidRDefault="004B4B33" w:rsidP="000847C0">
            <w:pPr>
              <w:ind w:firstLine="567"/>
              <w:jc w:val="both"/>
              <w:rPr>
                <w:sz w:val="22"/>
                <w:szCs w:val="22"/>
              </w:rPr>
            </w:pPr>
            <w:r w:rsidRPr="000847C0">
              <w:rPr>
                <w:b/>
                <w:sz w:val="22"/>
                <w:szCs w:val="22"/>
              </w:rPr>
              <w:lastRenderedPageBreak/>
              <w:t>9.pants.</w:t>
            </w:r>
            <w:r w:rsidRPr="000847C0">
              <w:rPr>
                <w:sz w:val="22"/>
                <w:szCs w:val="22"/>
              </w:rPr>
              <w:t xml:space="preserve">  Noteikt izlīdzinātos izdevumus 2022.gadā 1 809 782 426 </w:t>
            </w:r>
            <w:r w:rsidRPr="000847C0">
              <w:rPr>
                <w:i/>
                <w:sz w:val="22"/>
                <w:szCs w:val="22"/>
              </w:rPr>
              <w:t>euro</w:t>
            </w:r>
            <w:r w:rsidRPr="000847C0">
              <w:rPr>
                <w:sz w:val="22"/>
                <w:szCs w:val="22"/>
              </w:rPr>
              <w:t xml:space="preserve">, tajā skaitā Eiropas Savienības struktūrfondu un Kohēzijas fonda izlīdzinātos izdevumus 840 000 000 </w:t>
            </w:r>
            <w:r w:rsidRPr="000847C0">
              <w:rPr>
                <w:i/>
                <w:sz w:val="22"/>
                <w:szCs w:val="22"/>
              </w:rPr>
              <w:t>euro</w:t>
            </w:r>
            <w:r w:rsidRPr="000847C0">
              <w:rPr>
                <w:sz w:val="22"/>
                <w:szCs w:val="22"/>
              </w:rPr>
              <w:t xml:space="preserve">, kopējās lauksaimniecības politikas un kopējās zivsaimniecības politikas izlīdzinātos izdevumus 761 905 742 </w:t>
            </w:r>
            <w:r w:rsidRPr="000847C0">
              <w:rPr>
                <w:i/>
                <w:sz w:val="22"/>
                <w:szCs w:val="22"/>
              </w:rPr>
              <w:t>euro</w:t>
            </w:r>
            <w:r w:rsidRPr="000847C0">
              <w:rPr>
                <w:sz w:val="22"/>
                <w:szCs w:val="22"/>
              </w:rPr>
              <w:t xml:space="preserve"> un valsts parāda apkalpošanas izlīdzinātos izdevumus 207 876 684 </w:t>
            </w:r>
            <w:r w:rsidRPr="000847C0">
              <w:rPr>
                <w:i/>
                <w:sz w:val="22"/>
                <w:szCs w:val="22"/>
              </w:rPr>
              <w:t>euro</w:t>
            </w:r>
            <w:r w:rsidRPr="000847C0">
              <w:rPr>
                <w:sz w:val="22"/>
                <w:szCs w:val="22"/>
              </w:rPr>
              <w:t>.</w:t>
            </w:r>
          </w:p>
        </w:tc>
        <w:tc>
          <w:tcPr>
            <w:tcW w:w="644" w:type="dxa"/>
          </w:tcPr>
          <w:p w:rsidR="00755475" w:rsidRPr="00D21B94" w:rsidRDefault="00755475" w:rsidP="00EA09BE">
            <w:pPr>
              <w:jc w:val="center"/>
              <w:rPr>
                <w:b/>
                <w:sz w:val="22"/>
                <w:szCs w:val="22"/>
              </w:rPr>
            </w:pPr>
          </w:p>
        </w:tc>
        <w:tc>
          <w:tcPr>
            <w:tcW w:w="5168"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5251F3">
        <w:tc>
          <w:tcPr>
            <w:tcW w:w="6516" w:type="dxa"/>
          </w:tcPr>
          <w:p w:rsidR="00B60EDA" w:rsidRPr="000847C0" w:rsidRDefault="004B4B33" w:rsidP="000847C0">
            <w:pPr>
              <w:ind w:firstLine="567"/>
              <w:jc w:val="both"/>
              <w:rPr>
                <w:b/>
                <w:bCs/>
                <w:color w:val="000000"/>
                <w:sz w:val="22"/>
                <w:szCs w:val="22"/>
              </w:rPr>
            </w:pPr>
            <w:r w:rsidRPr="000847C0">
              <w:rPr>
                <w:b/>
                <w:sz w:val="22"/>
                <w:szCs w:val="22"/>
              </w:rPr>
              <w:t>10.pants.</w:t>
            </w:r>
            <w:r w:rsidRPr="000847C0">
              <w:rPr>
                <w:sz w:val="22"/>
                <w:szCs w:val="22"/>
              </w:rPr>
              <w:t xml:space="preserve">  Noteikt izlīdzinātos izdevumus 2023.gadā 1 922 176 207 </w:t>
            </w:r>
            <w:r w:rsidRPr="000847C0">
              <w:rPr>
                <w:i/>
                <w:sz w:val="22"/>
                <w:szCs w:val="22"/>
              </w:rPr>
              <w:t>euro</w:t>
            </w:r>
            <w:r w:rsidRPr="000847C0">
              <w:rPr>
                <w:sz w:val="22"/>
                <w:szCs w:val="22"/>
              </w:rPr>
              <w:t xml:space="preserve">, tajā skaitā Eiropas Savienības struktūrfondu un Kohēzijas fonda izlīdzinātos izdevumus 990 000 000 </w:t>
            </w:r>
            <w:r w:rsidRPr="000847C0">
              <w:rPr>
                <w:i/>
                <w:sz w:val="22"/>
                <w:szCs w:val="22"/>
              </w:rPr>
              <w:t>euro</w:t>
            </w:r>
            <w:r w:rsidRPr="000847C0">
              <w:rPr>
                <w:sz w:val="22"/>
                <w:szCs w:val="22"/>
              </w:rPr>
              <w:t xml:space="preserve">, kopējās lauksaimniecības politikas un kopējās zivsaimniecības politikas izlīdzinātos izdevumus 724 299 523 </w:t>
            </w:r>
            <w:r w:rsidRPr="000847C0">
              <w:rPr>
                <w:i/>
                <w:sz w:val="22"/>
                <w:szCs w:val="22"/>
              </w:rPr>
              <w:t>euro</w:t>
            </w:r>
            <w:r w:rsidRPr="000847C0">
              <w:rPr>
                <w:sz w:val="22"/>
                <w:szCs w:val="22"/>
              </w:rPr>
              <w:t xml:space="preserve"> un valsts parāda apkalpošanas izlīdzinātos izdevumus 207 876 684 </w:t>
            </w:r>
            <w:r w:rsidRPr="000847C0">
              <w:rPr>
                <w:i/>
                <w:sz w:val="22"/>
                <w:szCs w:val="22"/>
              </w:rPr>
              <w:t>euro</w:t>
            </w:r>
            <w:r w:rsidRPr="000847C0">
              <w:rPr>
                <w:sz w:val="22"/>
                <w:szCs w:val="22"/>
              </w:rPr>
              <w:t>.</w:t>
            </w:r>
          </w:p>
        </w:tc>
        <w:tc>
          <w:tcPr>
            <w:tcW w:w="644" w:type="dxa"/>
          </w:tcPr>
          <w:p w:rsidR="00B60EDA" w:rsidRPr="00D21B94" w:rsidRDefault="00B60EDA" w:rsidP="00EA09BE">
            <w:pPr>
              <w:jc w:val="center"/>
              <w:rPr>
                <w:b/>
                <w:sz w:val="22"/>
                <w:szCs w:val="22"/>
              </w:rPr>
            </w:pPr>
          </w:p>
        </w:tc>
        <w:tc>
          <w:tcPr>
            <w:tcW w:w="5168"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5251F3">
        <w:tc>
          <w:tcPr>
            <w:tcW w:w="6516" w:type="dxa"/>
          </w:tcPr>
          <w:p w:rsidR="00293B17" w:rsidRPr="000847C0" w:rsidRDefault="004B4B33" w:rsidP="000847C0">
            <w:pPr>
              <w:ind w:firstLine="567"/>
              <w:jc w:val="both"/>
              <w:rPr>
                <w:b/>
                <w:bCs/>
                <w:color w:val="000000"/>
                <w:sz w:val="22"/>
                <w:szCs w:val="22"/>
              </w:rPr>
            </w:pPr>
            <w:r w:rsidRPr="000847C0">
              <w:rPr>
                <w:b/>
                <w:sz w:val="22"/>
                <w:szCs w:val="22"/>
              </w:rPr>
              <w:t>11.pants.</w:t>
            </w:r>
            <w:r w:rsidRPr="000847C0">
              <w:rPr>
                <w:sz w:val="22"/>
                <w:szCs w:val="22"/>
              </w:rPr>
              <w:t xml:space="preserve"> Noteikt, ka fiskālā nodrošinājuma rezerve 2021., 2022. un 2023.gadam ir 0,1 procents no iekšzemes kopprodukta.</w:t>
            </w:r>
          </w:p>
        </w:tc>
        <w:tc>
          <w:tcPr>
            <w:tcW w:w="644" w:type="dxa"/>
          </w:tcPr>
          <w:p w:rsidR="00CA3ADC" w:rsidRPr="00D21B94" w:rsidRDefault="00CA3ADC" w:rsidP="00EA09BE">
            <w:pPr>
              <w:jc w:val="center"/>
              <w:rPr>
                <w:b/>
                <w:sz w:val="22"/>
                <w:szCs w:val="22"/>
              </w:rPr>
            </w:pPr>
          </w:p>
        </w:tc>
        <w:tc>
          <w:tcPr>
            <w:tcW w:w="5168"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5251F3">
        <w:tc>
          <w:tcPr>
            <w:tcW w:w="6516" w:type="dxa"/>
          </w:tcPr>
          <w:p w:rsidR="005C5FDC" w:rsidRPr="000847C0" w:rsidRDefault="004B4B33" w:rsidP="000847C0">
            <w:pPr>
              <w:ind w:firstLine="567"/>
              <w:jc w:val="both"/>
              <w:rPr>
                <w:sz w:val="22"/>
                <w:szCs w:val="22"/>
              </w:rPr>
            </w:pPr>
            <w:r w:rsidRPr="000847C0">
              <w:rPr>
                <w:b/>
                <w:sz w:val="22"/>
                <w:szCs w:val="22"/>
              </w:rPr>
              <w:t>12.pants.</w:t>
            </w:r>
            <w:r w:rsidRPr="000847C0">
              <w:rPr>
                <w:sz w:val="22"/>
                <w:szCs w:val="22"/>
              </w:rPr>
              <w:t xml:space="preserve"> Noteikt koriģētos maksimāli pieļaujamos valsts budžeta izdevumus 2021.gadā 9 082 943 848 </w:t>
            </w:r>
            <w:r w:rsidRPr="000847C0">
              <w:rPr>
                <w:i/>
                <w:sz w:val="22"/>
                <w:szCs w:val="22"/>
              </w:rPr>
              <w:t>euro</w:t>
            </w:r>
            <w:r w:rsidRPr="000847C0">
              <w:rPr>
                <w:sz w:val="22"/>
                <w:szCs w:val="22"/>
              </w:rPr>
              <w:t xml:space="preserve">, 2022.gadā 9 269 949 769 un 2023.gadā 9 167 362 989 </w:t>
            </w:r>
            <w:r w:rsidRPr="000847C0">
              <w:rPr>
                <w:i/>
                <w:sz w:val="22"/>
                <w:szCs w:val="22"/>
              </w:rPr>
              <w:t>euro</w:t>
            </w:r>
            <w:r w:rsidRPr="000847C0">
              <w:rPr>
                <w:sz w:val="22"/>
                <w:szCs w:val="22"/>
              </w:rPr>
              <w:t>.</w:t>
            </w:r>
          </w:p>
        </w:tc>
        <w:tc>
          <w:tcPr>
            <w:tcW w:w="644" w:type="dxa"/>
          </w:tcPr>
          <w:p w:rsidR="00CA3ADC" w:rsidRPr="00D21B94" w:rsidRDefault="00CA3ADC" w:rsidP="00EA09BE">
            <w:pPr>
              <w:jc w:val="center"/>
              <w:rPr>
                <w:b/>
                <w:sz w:val="22"/>
                <w:szCs w:val="22"/>
              </w:rPr>
            </w:pPr>
          </w:p>
        </w:tc>
        <w:tc>
          <w:tcPr>
            <w:tcW w:w="5168"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9E5B2C" w:rsidRPr="008B6465" w:rsidTr="005251F3">
        <w:tc>
          <w:tcPr>
            <w:tcW w:w="6516" w:type="dxa"/>
          </w:tcPr>
          <w:p w:rsidR="009E5B2C" w:rsidRPr="000847C0" w:rsidRDefault="004B4B33" w:rsidP="000847C0">
            <w:pPr>
              <w:ind w:firstLine="567"/>
              <w:jc w:val="both"/>
              <w:rPr>
                <w:b/>
                <w:bCs/>
                <w:color w:val="000000" w:themeColor="text1"/>
                <w:sz w:val="22"/>
                <w:szCs w:val="22"/>
              </w:rPr>
            </w:pPr>
            <w:r w:rsidRPr="000847C0">
              <w:rPr>
                <w:b/>
                <w:sz w:val="22"/>
                <w:szCs w:val="22"/>
              </w:rPr>
              <w:t>13.pants.</w:t>
            </w:r>
            <w:r w:rsidRPr="000847C0">
              <w:rPr>
                <w:sz w:val="22"/>
                <w:szCs w:val="22"/>
              </w:rPr>
              <w:t xml:space="preserve"> Noteikt maksimāli pieļaujamo valsts budžeta kopējo izdevumu apjomu katrai ministrijai un citai centrālajai valsts iestādei 2021., 2022. un 2023.gadam saskaņā ar šā likuma 3.pielikumu.</w:t>
            </w:r>
          </w:p>
        </w:tc>
        <w:tc>
          <w:tcPr>
            <w:tcW w:w="644" w:type="dxa"/>
          </w:tcPr>
          <w:p w:rsidR="009E5B2C" w:rsidRPr="00D21B94" w:rsidRDefault="009E5B2C" w:rsidP="00EA09BE">
            <w:pPr>
              <w:jc w:val="center"/>
              <w:rPr>
                <w:b/>
                <w:sz w:val="22"/>
                <w:szCs w:val="22"/>
              </w:rPr>
            </w:pPr>
          </w:p>
        </w:tc>
        <w:tc>
          <w:tcPr>
            <w:tcW w:w="5168" w:type="dxa"/>
          </w:tcPr>
          <w:p w:rsidR="009E5B2C" w:rsidRPr="001E02AA" w:rsidRDefault="009E5B2C" w:rsidP="001E02AA">
            <w:pPr>
              <w:ind w:firstLine="567"/>
              <w:jc w:val="both"/>
              <w:rPr>
                <w:color w:val="000000"/>
                <w:sz w:val="22"/>
                <w:szCs w:val="22"/>
              </w:rPr>
            </w:pPr>
          </w:p>
        </w:tc>
        <w:tc>
          <w:tcPr>
            <w:tcW w:w="1451" w:type="dxa"/>
          </w:tcPr>
          <w:p w:rsidR="009E5B2C" w:rsidRPr="008C4B57" w:rsidRDefault="009E5B2C" w:rsidP="002C6FAE">
            <w:pPr>
              <w:jc w:val="center"/>
              <w:rPr>
                <w:b/>
                <w:sz w:val="22"/>
                <w:szCs w:val="22"/>
              </w:rPr>
            </w:pPr>
          </w:p>
        </w:tc>
        <w:tc>
          <w:tcPr>
            <w:tcW w:w="1260" w:type="dxa"/>
          </w:tcPr>
          <w:p w:rsidR="009E5B2C" w:rsidRPr="008B6465" w:rsidRDefault="009E5B2C" w:rsidP="008B6465">
            <w:pPr>
              <w:jc w:val="both"/>
              <w:rPr>
                <w:sz w:val="22"/>
                <w:szCs w:val="22"/>
              </w:rPr>
            </w:pPr>
          </w:p>
        </w:tc>
      </w:tr>
      <w:tr w:rsidR="005C5FDC" w:rsidRPr="008B6465" w:rsidTr="005251F3">
        <w:tc>
          <w:tcPr>
            <w:tcW w:w="6516" w:type="dxa"/>
          </w:tcPr>
          <w:p w:rsidR="005C5FDC" w:rsidRPr="000847C0" w:rsidRDefault="0076177D" w:rsidP="000847C0">
            <w:pPr>
              <w:ind w:firstLine="567"/>
              <w:jc w:val="both"/>
              <w:rPr>
                <w:sz w:val="22"/>
                <w:szCs w:val="22"/>
              </w:rPr>
            </w:pPr>
            <w:r w:rsidRPr="000847C0">
              <w:rPr>
                <w:b/>
                <w:sz w:val="22"/>
                <w:szCs w:val="22"/>
              </w:rPr>
              <w:t>14.pants.</w:t>
            </w:r>
            <w:r w:rsidRPr="000847C0">
              <w:rPr>
                <w:sz w:val="22"/>
                <w:szCs w:val="22"/>
              </w:rPr>
              <w:t xml:space="preserve"> Ikgadējais pašvaldību kopējais aizņēmumu pieļaujamais palielinājums 2021.gadā ir 268  138 258 </w:t>
            </w:r>
            <w:r w:rsidRPr="000847C0">
              <w:rPr>
                <w:i/>
                <w:sz w:val="22"/>
                <w:szCs w:val="22"/>
              </w:rPr>
              <w:t>euro</w:t>
            </w:r>
            <w:r w:rsidRPr="000847C0">
              <w:rPr>
                <w:sz w:val="22"/>
                <w:szCs w:val="22"/>
              </w:rPr>
              <w:t xml:space="preserve">. 2022. un 2023.gada kopējais ikgadējais aizņēmumu pieļaujamais palielinājums ir 118 138 258 </w:t>
            </w:r>
            <w:r w:rsidRPr="000847C0">
              <w:rPr>
                <w:i/>
                <w:sz w:val="22"/>
                <w:szCs w:val="22"/>
              </w:rPr>
              <w:t>euro</w:t>
            </w:r>
            <w:r w:rsidRPr="000847C0">
              <w:rPr>
                <w:sz w:val="22"/>
                <w:szCs w:val="22"/>
              </w:rPr>
              <w:t>. Sagatavojot likumu par valsts budžetu 2022.gadam un likumu par vidēja termiņa budžeta ietvaru 2022., 2023. un 2024.gadam, kopējais aizņēmumu pieļaujamais palielinājums tiek precizēts. Noteikt, ka 2021., 2022. un 2023.gadam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pirmskolas izglītības iestādēs, aizņēmumi izglītības iestāžu investīciju projektiem, lai nodrošinātu ilgtspējīgas izglītības funkcijas izpildi.</w:t>
            </w:r>
          </w:p>
        </w:tc>
        <w:tc>
          <w:tcPr>
            <w:tcW w:w="644" w:type="dxa"/>
          </w:tcPr>
          <w:p w:rsidR="00E531A9" w:rsidRPr="00D21B94" w:rsidRDefault="00E531A9" w:rsidP="00EA09BE">
            <w:pPr>
              <w:jc w:val="center"/>
              <w:rPr>
                <w:b/>
                <w:sz w:val="22"/>
                <w:szCs w:val="22"/>
              </w:rPr>
            </w:pPr>
          </w:p>
        </w:tc>
        <w:tc>
          <w:tcPr>
            <w:tcW w:w="5168" w:type="dxa"/>
          </w:tcPr>
          <w:p w:rsidR="00E531A9" w:rsidRPr="001E02AA" w:rsidRDefault="00E531A9" w:rsidP="001E02AA">
            <w:pPr>
              <w:ind w:firstLine="567"/>
              <w:jc w:val="both"/>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5251F3">
        <w:tc>
          <w:tcPr>
            <w:tcW w:w="6516" w:type="dxa"/>
          </w:tcPr>
          <w:p w:rsidR="005C5FDC" w:rsidRPr="000847C0" w:rsidRDefault="0076177D" w:rsidP="000847C0">
            <w:pPr>
              <w:ind w:firstLine="567"/>
              <w:jc w:val="both"/>
              <w:rPr>
                <w:sz w:val="22"/>
                <w:szCs w:val="22"/>
              </w:rPr>
            </w:pPr>
            <w:r w:rsidRPr="000847C0">
              <w:rPr>
                <w:b/>
                <w:sz w:val="22"/>
                <w:szCs w:val="22"/>
              </w:rPr>
              <w:lastRenderedPageBreak/>
              <w:t>15.pants.</w:t>
            </w:r>
            <w:r w:rsidRPr="000847C0">
              <w:rPr>
                <w:sz w:val="22"/>
                <w:szCs w:val="22"/>
              </w:rPr>
              <w:t xml:space="preserve"> Noteikt, ka iedzīvotāju ienākuma nodokļa ieņēmumu sadalījums starp valsts budžetu un pašvaldību budžetiem 2021.gadam, 2022.gadam un 2023.gadam ir šāds: pašvaldību budžetiem — 75 procentu apmērā un valsts budžetam — 25 procentu apmērā.</w:t>
            </w:r>
          </w:p>
        </w:tc>
        <w:tc>
          <w:tcPr>
            <w:tcW w:w="644" w:type="dxa"/>
          </w:tcPr>
          <w:p w:rsidR="00CA3ADC" w:rsidRDefault="00410DD4" w:rsidP="00EA09BE">
            <w:pPr>
              <w:jc w:val="center"/>
              <w:rPr>
                <w:b/>
                <w:sz w:val="22"/>
                <w:szCs w:val="22"/>
              </w:rPr>
            </w:pPr>
            <w:r>
              <w:rPr>
                <w:b/>
                <w:sz w:val="22"/>
                <w:szCs w:val="22"/>
              </w:rPr>
              <w:t>1</w:t>
            </w: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Default="00410DD4" w:rsidP="00EA09BE">
            <w:pPr>
              <w:jc w:val="center"/>
              <w:rPr>
                <w:b/>
                <w:sz w:val="22"/>
                <w:szCs w:val="22"/>
              </w:rPr>
            </w:pPr>
          </w:p>
          <w:p w:rsidR="00410DD4" w:rsidRPr="00D21B94" w:rsidRDefault="00410DD4" w:rsidP="00EA09BE">
            <w:pPr>
              <w:jc w:val="center"/>
              <w:rPr>
                <w:b/>
                <w:sz w:val="22"/>
                <w:szCs w:val="22"/>
              </w:rPr>
            </w:pPr>
            <w:r>
              <w:rPr>
                <w:b/>
                <w:sz w:val="22"/>
                <w:szCs w:val="22"/>
              </w:rPr>
              <w:t>2</w:t>
            </w:r>
          </w:p>
        </w:tc>
        <w:tc>
          <w:tcPr>
            <w:tcW w:w="5168" w:type="dxa"/>
          </w:tcPr>
          <w:p w:rsidR="008462E0" w:rsidRPr="008462E0" w:rsidRDefault="008462E0" w:rsidP="008462E0">
            <w:pPr>
              <w:shd w:val="clear" w:color="auto" w:fill="FFFFFF"/>
              <w:autoSpaceDE w:val="0"/>
              <w:ind w:firstLine="567"/>
              <w:jc w:val="both"/>
              <w:rPr>
                <w:b/>
                <w:color w:val="404040"/>
                <w:sz w:val="22"/>
                <w:szCs w:val="22"/>
                <w:u w:val="single"/>
                <w:shd w:val="clear" w:color="auto" w:fill="FFFFFF"/>
              </w:rPr>
            </w:pPr>
            <w:r w:rsidRPr="008462E0">
              <w:rPr>
                <w:b/>
                <w:color w:val="404040"/>
                <w:sz w:val="22"/>
                <w:szCs w:val="22"/>
                <w:u w:val="single"/>
                <w:shd w:val="clear" w:color="auto" w:fill="FFFFFF"/>
              </w:rPr>
              <w:t>Zaļo un Zemnieku savienības frakcija</w:t>
            </w:r>
          </w:p>
          <w:p w:rsidR="00DB05AD" w:rsidRDefault="008462E0" w:rsidP="00DB05AD">
            <w:pPr>
              <w:ind w:firstLine="567"/>
              <w:jc w:val="both"/>
              <w:rPr>
                <w:sz w:val="22"/>
                <w:szCs w:val="22"/>
              </w:rPr>
            </w:pPr>
            <w:r w:rsidRPr="008462E0">
              <w:rPr>
                <w:sz w:val="22"/>
                <w:szCs w:val="22"/>
              </w:rPr>
              <w:t>Likumprojekta 15.pantu izteikt šādā redakcijā:</w:t>
            </w:r>
          </w:p>
          <w:p w:rsidR="00A37292" w:rsidRDefault="008462E0" w:rsidP="00DB05AD">
            <w:pPr>
              <w:ind w:firstLine="567"/>
              <w:jc w:val="both"/>
              <w:rPr>
                <w:color w:val="000000"/>
                <w:sz w:val="22"/>
                <w:szCs w:val="22"/>
                <w:shd w:val="clear" w:color="auto" w:fill="FFFFFF"/>
              </w:rPr>
            </w:pPr>
            <w:r w:rsidRPr="008462E0">
              <w:rPr>
                <w:sz w:val="22"/>
                <w:szCs w:val="22"/>
              </w:rPr>
              <w:t>“</w:t>
            </w:r>
            <w:r w:rsidRPr="008462E0">
              <w:rPr>
                <w:color w:val="000000"/>
                <w:sz w:val="22"/>
                <w:szCs w:val="22"/>
                <w:shd w:val="clear" w:color="auto" w:fill="FFFFFF"/>
              </w:rPr>
              <w:t>15.pants. Noteikt, ka iedzīvotāju ienākuma nodokļa ieņēmumu sadalījums starp valsts budžetu un pašvaldību budžetiem 2021.gadam, 2022.gadam un 2023.gadam ir šāds: pašvaldību budžetiem — 80 procentu apmērā un valsts budžetam — 20 procentu apmērā.”</w:t>
            </w:r>
            <w:r>
              <w:rPr>
                <w:rStyle w:val="EndnoteReference"/>
                <w:color w:val="000000"/>
                <w:sz w:val="22"/>
                <w:szCs w:val="22"/>
                <w:shd w:val="clear" w:color="auto" w:fill="FFFFFF"/>
              </w:rPr>
              <w:endnoteReference w:id="1"/>
            </w:r>
          </w:p>
          <w:p w:rsidR="00AA0F3F" w:rsidRDefault="00AA0F3F" w:rsidP="00DB05AD">
            <w:pPr>
              <w:ind w:firstLine="567"/>
              <w:jc w:val="both"/>
              <w:rPr>
                <w:color w:val="000000"/>
                <w:sz w:val="22"/>
                <w:szCs w:val="22"/>
                <w:shd w:val="clear" w:color="auto" w:fill="FFFFFF"/>
              </w:rPr>
            </w:pPr>
          </w:p>
          <w:p w:rsidR="00AA0F3F" w:rsidRPr="001114C9" w:rsidRDefault="00AA0F3F" w:rsidP="00AA0F3F">
            <w:pPr>
              <w:ind w:firstLine="567"/>
              <w:jc w:val="both"/>
              <w:rPr>
                <w:b/>
                <w:sz w:val="22"/>
                <w:szCs w:val="22"/>
                <w:u w:val="single"/>
              </w:rPr>
            </w:pPr>
            <w:r w:rsidRPr="001114C9">
              <w:rPr>
                <w:b/>
                <w:sz w:val="22"/>
                <w:szCs w:val="22"/>
                <w:u w:val="single"/>
              </w:rPr>
              <w:t>Deputāts V.Dombrovskis</w:t>
            </w:r>
          </w:p>
          <w:p w:rsidR="00AA0F3F" w:rsidRPr="001114C9" w:rsidRDefault="00AA0F3F" w:rsidP="00AA0F3F">
            <w:pPr>
              <w:ind w:firstLine="567"/>
              <w:jc w:val="both"/>
              <w:rPr>
                <w:sz w:val="22"/>
                <w:szCs w:val="22"/>
              </w:rPr>
            </w:pPr>
            <w:r w:rsidRPr="001114C9">
              <w:rPr>
                <w:sz w:val="22"/>
                <w:szCs w:val="22"/>
              </w:rPr>
              <w:t>Likumprojekta 15.pantu izteikt šādā redakcijā:</w:t>
            </w:r>
          </w:p>
          <w:p w:rsidR="00AA0F3F" w:rsidRPr="008462E0" w:rsidRDefault="00AA0F3F" w:rsidP="00AA0F3F">
            <w:pPr>
              <w:ind w:firstLine="567"/>
              <w:jc w:val="both"/>
              <w:rPr>
                <w:i/>
                <w:sz w:val="22"/>
                <w:szCs w:val="22"/>
              </w:rPr>
            </w:pPr>
            <w:r w:rsidRPr="001114C9">
              <w:rPr>
                <w:sz w:val="22"/>
                <w:szCs w:val="22"/>
              </w:rPr>
              <w:t>“15.pants. Noteikt, ka iedzīvotāju ienākuma nodokļa ieņēmumu sadalījums starp valsts budžetu un pašvaldību budžetiem 2021.gadam, 2022.gadam un 2023.gadam ir šāds: pašvaldību budžetiem — 80 procentu apmērā un valsts budžetam — 20 procentu apmērā.”</w:t>
            </w:r>
            <w:r>
              <w:rPr>
                <w:rStyle w:val="EndnoteReference"/>
                <w:sz w:val="22"/>
                <w:szCs w:val="22"/>
              </w:rPr>
              <w:endnoteReference w:id="2"/>
            </w: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5251F3">
        <w:tc>
          <w:tcPr>
            <w:tcW w:w="6516" w:type="dxa"/>
          </w:tcPr>
          <w:p w:rsidR="005C5FDC" w:rsidRPr="000847C0" w:rsidRDefault="0076177D" w:rsidP="000847C0">
            <w:pPr>
              <w:ind w:firstLine="567"/>
              <w:jc w:val="both"/>
              <w:rPr>
                <w:b/>
                <w:bCs/>
                <w:sz w:val="22"/>
                <w:szCs w:val="22"/>
              </w:rPr>
            </w:pPr>
            <w:r w:rsidRPr="000847C0">
              <w:rPr>
                <w:b/>
                <w:sz w:val="22"/>
                <w:szCs w:val="22"/>
              </w:rPr>
              <w:t>16.pants.</w:t>
            </w:r>
            <w:r w:rsidRPr="000847C0">
              <w:rPr>
                <w:sz w:val="22"/>
                <w:szCs w:val="22"/>
              </w:rPr>
              <w:t xml:space="preserve"> Noteikt, ka vispārējās valdības sektorā iekļautās valsts kapitālsabiedrības negatīvā ietekme uz vispārējās valdības budžeta bilanci, kas aprēķināta saskaņā ar šā likuma 4.pielikumu, 2022. un 2023.gadā drīkst pārsniegt 5 000 000 </w:t>
            </w:r>
            <w:r w:rsidRPr="000847C0">
              <w:rPr>
                <w:i/>
                <w:sz w:val="22"/>
                <w:szCs w:val="22"/>
              </w:rPr>
              <w:t>euro</w:t>
            </w:r>
            <w:r w:rsidRPr="000847C0">
              <w:rPr>
                <w:sz w:val="22"/>
                <w:szCs w:val="22"/>
              </w:rPr>
              <w:t xml:space="preserve"> tad, ja ir saņemta Ministru kabineta piekrišana. Kapitāla daļu turētājs nodrošina šā nosacījuma izpildi un, ja nepieciešama Ministru kabineta piekrišana, līdz likuma par valsts budžetu kārtējam gadam un vidēja termiņa budžeta ietvara likuma sagatavošanas grafikā noteiktajam termiņam iesniedz Ministru kabinetam attiecīgu ziņojumu.</w:t>
            </w:r>
          </w:p>
        </w:tc>
        <w:tc>
          <w:tcPr>
            <w:tcW w:w="644" w:type="dxa"/>
          </w:tcPr>
          <w:p w:rsidR="00CA3ADC" w:rsidRPr="00D21B94" w:rsidRDefault="00CA3ADC" w:rsidP="00EA09BE">
            <w:pPr>
              <w:jc w:val="center"/>
              <w:rPr>
                <w:b/>
                <w:bCs/>
                <w:sz w:val="22"/>
                <w:szCs w:val="22"/>
              </w:rPr>
            </w:pPr>
          </w:p>
        </w:tc>
        <w:tc>
          <w:tcPr>
            <w:tcW w:w="5168"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5251F3">
        <w:tc>
          <w:tcPr>
            <w:tcW w:w="6516" w:type="dxa"/>
          </w:tcPr>
          <w:p w:rsidR="005C5FDC" w:rsidRPr="000847C0" w:rsidRDefault="0076177D" w:rsidP="000847C0">
            <w:pPr>
              <w:ind w:firstLine="567"/>
              <w:jc w:val="both"/>
              <w:rPr>
                <w:b/>
                <w:sz w:val="22"/>
                <w:szCs w:val="22"/>
              </w:rPr>
            </w:pPr>
            <w:r w:rsidRPr="000847C0">
              <w:rPr>
                <w:b/>
                <w:sz w:val="22"/>
                <w:szCs w:val="22"/>
              </w:rPr>
              <w:t>17.pants.</w:t>
            </w:r>
            <w:r w:rsidRPr="000847C0">
              <w:rPr>
                <w:sz w:val="22"/>
                <w:szCs w:val="22"/>
              </w:rPr>
              <w:t xml:space="preserve"> Noteikt, ka vispārējās valdības sektorā iekļautās pašvaldību kapitālsabiedrības negatīvā ietekme uz vispārējās valdības budžeta bilanci, kas aprēķināta saskaņā ar šā likuma 4.pielikumu, 2022. un 2023.gadā drīkst pārsniegt 5 000 000 </w:t>
            </w:r>
            <w:r w:rsidRPr="000847C0">
              <w:rPr>
                <w:i/>
                <w:sz w:val="22"/>
                <w:szCs w:val="22"/>
              </w:rPr>
              <w:t>euro</w:t>
            </w:r>
            <w:r w:rsidRPr="000847C0">
              <w:rPr>
                <w:sz w:val="22"/>
                <w:szCs w:val="22"/>
              </w:rPr>
              <w:t xml:space="preserve"> tad, ja ir saņemta Ministru kabineta piekrišana, ja vien attiecīgā pašvaldība nenodrošina, ka tās un visu tās institūciju, kas iekļautas vispārējās valdības sektorā, kopējā ietekme uz vispārējās valdības budžeta bilanci tiek prognozēta neitrāla vai pozitīva un par to ir saņemts Finanšu ministrijas atzinums. Kapitāla daļu turētājs nodrošina šā nosacījuma izpildi un, ja nepieciešama </w:t>
            </w:r>
            <w:r w:rsidRPr="000847C0">
              <w:rPr>
                <w:sz w:val="22"/>
                <w:szCs w:val="22"/>
              </w:rPr>
              <w:lastRenderedPageBreak/>
              <w:t>Ministru kabineta piekrišana, līdz likuma par valsts budžetu kārtējam gadam un vidēja termiņa budžeta ietvara likuma sagatavošanas grafikā noteiktajam termiņam iesniedz Finanšu ministrijai attiecīgu ziņojumu, kuru Finanšu ministrija tālāk virza izskatīšanai Ministru kabinetā.</w:t>
            </w:r>
          </w:p>
        </w:tc>
        <w:tc>
          <w:tcPr>
            <w:tcW w:w="644" w:type="dxa"/>
          </w:tcPr>
          <w:p w:rsidR="00E53D11" w:rsidRPr="00D21B94" w:rsidRDefault="00E53D11" w:rsidP="00EA09BE">
            <w:pPr>
              <w:jc w:val="center"/>
              <w:rPr>
                <w:b/>
                <w:sz w:val="22"/>
                <w:szCs w:val="22"/>
              </w:rPr>
            </w:pPr>
          </w:p>
        </w:tc>
        <w:tc>
          <w:tcPr>
            <w:tcW w:w="5168"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5C5FDC" w:rsidRPr="008B6465" w:rsidTr="005251F3">
        <w:tc>
          <w:tcPr>
            <w:tcW w:w="6516" w:type="dxa"/>
          </w:tcPr>
          <w:p w:rsidR="005C5FDC" w:rsidRPr="000847C0" w:rsidRDefault="0076177D" w:rsidP="000847C0">
            <w:pPr>
              <w:ind w:firstLine="567"/>
              <w:jc w:val="both"/>
              <w:rPr>
                <w:sz w:val="22"/>
                <w:szCs w:val="22"/>
              </w:rPr>
            </w:pPr>
            <w:r w:rsidRPr="000847C0">
              <w:rPr>
                <w:b/>
                <w:sz w:val="22"/>
                <w:szCs w:val="22"/>
              </w:rPr>
              <w:t>18.pants.</w:t>
            </w:r>
            <w:r w:rsidRPr="000847C0">
              <w:rPr>
                <w:sz w:val="22"/>
                <w:szCs w:val="22"/>
              </w:rPr>
              <w:t xml:space="preserve"> Noteikt, ka informācija par vispārējās valdības sektorā iekļauto kapitālsabiedrību faktisko un prognozēto ietekmi uz vispārējās valdības izdevumiem, ieņēmumiem, budžeta bilanci un parādu ir publiski pieejama un Finanšu ministrija to iekļauj vidēja termiņa budžeta ietvara likuma projekta paskaidrojumos.</w:t>
            </w:r>
          </w:p>
        </w:tc>
        <w:tc>
          <w:tcPr>
            <w:tcW w:w="644" w:type="dxa"/>
          </w:tcPr>
          <w:p w:rsidR="009F74BB" w:rsidRPr="00D21B94" w:rsidRDefault="009F74BB" w:rsidP="00864D5D">
            <w:pPr>
              <w:jc w:val="center"/>
              <w:rPr>
                <w:b/>
                <w:sz w:val="22"/>
                <w:szCs w:val="22"/>
              </w:rPr>
            </w:pPr>
          </w:p>
        </w:tc>
        <w:tc>
          <w:tcPr>
            <w:tcW w:w="5168" w:type="dxa"/>
          </w:tcPr>
          <w:p w:rsidR="009F74BB" w:rsidRPr="001E02AA" w:rsidRDefault="009F74BB" w:rsidP="001E02AA">
            <w:pPr>
              <w:ind w:firstLine="567"/>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0435A6" w:rsidRPr="008B6465" w:rsidTr="005251F3">
        <w:tc>
          <w:tcPr>
            <w:tcW w:w="6516" w:type="dxa"/>
          </w:tcPr>
          <w:p w:rsidR="000435A6" w:rsidRPr="000847C0" w:rsidRDefault="0076177D" w:rsidP="000847C0">
            <w:pPr>
              <w:ind w:firstLine="567"/>
              <w:jc w:val="both"/>
              <w:rPr>
                <w:b/>
                <w:sz w:val="22"/>
                <w:szCs w:val="22"/>
              </w:rPr>
            </w:pPr>
            <w:bookmarkStart w:id="1" w:name="p12"/>
            <w:bookmarkStart w:id="2" w:name="p-495559"/>
            <w:bookmarkEnd w:id="1"/>
            <w:bookmarkEnd w:id="2"/>
            <w:r w:rsidRPr="000847C0">
              <w:rPr>
                <w:b/>
                <w:sz w:val="22"/>
                <w:szCs w:val="22"/>
              </w:rPr>
              <w:t>19.pants.</w:t>
            </w:r>
            <w:r w:rsidRPr="000847C0">
              <w:rPr>
                <w:sz w:val="22"/>
                <w:szCs w:val="22"/>
              </w:rPr>
              <w:t xml:space="preserve"> Lai nodrošinātu virssaistību neitrālu ietekmi uz vispārējās valdības budžeta bilanci Eiropas Savienības struktūrfondu un Kohēzijas fonda darbības programmas "Izaugsme un nodarbinātība" ietvaros, virssaistības tiek kompensētas no Eiropas Savienības fondu finansējuma līdz plānošanas perioda beigām atbilstoši Ministru kabineta lēmumam.</w:t>
            </w:r>
          </w:p>
        </w:tc>
        <w:tc>
          <w:tcPr>
            <w:tcW w:w="644" w:type="dxa"/>
          </w:tcPr>
          <w:p w:rsidR="000435A6" w:rsidRPr="00D21B94" w:rsidRDefault="000435A6" w:rsidP="00EA09BE">
            <w:pPr>
              <w:jc w:val="center"/>
              <w:rPr>
                <w:b/>
                <w:sz w:val="22"/>
                <w:szCs w:val="22"/>
              </w:rPr>
            </w:pPr>
          </w:p>
        </w:tc>
        <w:tc>
          <w:tcPr>
            <w:tcW w:w="5168"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5251F3">
        <w:tc>
          <w:tcPr>
            <w:tcW w:w="6516" w:type="dxa"/>
          </w:tcPr>
          <w:p w:rsidR="000435A6" w:rsidRPr="000847C0" w:rsidRDefault="0076177D" w:rsidP="000847C0">
            <w:pPr>
              <w:ind w:firstLine="567"/>
              <w:jc w:val="both"/>
              <w:rPr>
                <w:b/>
                <w:sz w:val="22"/>
                <w:szCs w:val="22"/>
              </w:rPr>
            </w:pPr>
            <w:r w:rsidRPr="000847C0">
              <w:rPr>
                <w:b/>
                <w:sz w:val="22"/>
                <w:szCs w:val="22"/>
              </w:rPr>
              <w:t>20.pants.</w:t>
            </w:r>
            <w:r w:rsidRPr="000847C0">
              <w:rPr>
                <w:sz w:val="22"/>
                <w:szCs w:val="22"/>
              </w:rPr>
              <w:t xml:space="preserve"> Noteikt, ka akciju sabiedrība "Latvenergo" ieskaita valsts pamatbudžeta ieņēmumos maksājumu par valsts kapitāla izmantošanu (ieņēmumus no dividendēm) 2021.gadā (par 2020.pārskata gadu) ne mazāk kā 98 246 250 </w:t>
            </w:r>
            <w:r w:rsidRPr="000847C0">
              <w:rPr>
                <w:i/>
                <w:sz w:val="22"/>
                <w:szCs w:val="22"/>
              </w:rPr>
              <w:t>euro</w:t>
            </w:r>
            <w:r w:rsidRPr="000847C0">
              <w:rPr>
                <w:sz w:val="22"/>
                <w:szCs w:val="22"/>
              </w:rPr>
              <w:t xml:space="preserve"> (ieskaitot uzņēmumu ienākuma nodokli par dividenžu izmaksu), 2022.gadā (par 2021.pārskata gadu) ne mazāk kā 87 700 000 </w:t>
            </w:r>
            <w:r w:rsidRPr="000847C0">
              <w:rPr>
                <w:i/>
                <w:sz w:val="22"/>
                <w:szCs w:val="22"/>
              </w:rPr>
              <w:t>euro</w:t>
            </w:r>
            <w:r w:rsidRPr="000847C0">
              <w:rPr>
                <w:sz w:val="22"/>
                <w:szCs w:val="22"/>
              </w:rPr>
              <w:t xml:space="preserve"> (ieskaitot uzņēmumu ienākuma nodokli par dividenžu izmaksu) un 2023.gadā (par 2022.pārskata gadu) ne mazāk kā 70 954 433 </w:t>
            </w:r>
            <w:r w:rsidRPr="000847C0">
              <w:rPr>
                <w:i/>
                <w:sz w:val="22"/>
                <w:szCs w:val="22"/>
              </w:rPr>
              <w:t>euro</w:t>
            </w:r>
            <w:r w:rsidRPr="000847C0">
              <w:rPr>
                <w:sz w:val="22"/>
                <w:szCs w:val="22"/>
              </w:rPr>
              <w:t xml:space="preserve"> (ieskaitot uzņēmumu ienākuma nodokli par dividenžu izmaksu).</w:t>
            </w:r>
          </w:p>
        </w:tc>
        <w:tc>
          <w:tcPr>
            <w:tcW w:w="644" w:type="dxa"/>
          </w:tcPr>
          <w:p w:rsidR="00431EFE" w:rsidRPr="00D21B94" w:rsidRDefault="00431EFE" w:rsidP="00EA09BE">
            <w:pPr>
              <w:jc w:val="center"/>
              <w:rPr>
                <w:b/>
                <w:sz w:val="22"/>
                <w:szCs w:val="22"/>
              </w:rPr>
            </w:pPr>
          </w:p>
        </w:tc>
        <w:tc>
          <w:tcPr>
            <w:tcW w:w="5168" w:type="dxa"/>
          </w:tcPr>
          <w:p w:rsidR="000119AE" w:rsidRPr="00B02F57" w:rsidRDefault="000119AE" w:rsidP="00881CEA">
            <w:pPr>
              <w:ind w:firstLine="567"/>
              <w:jc w:val="both"/>
              <w:rPr>
                <w:b/>
                <w:i/>
                <w:sz w:val="22"/>
                <w:szCs w:val="22"/>
                <w:u w:val="single"/>
              </w:rPr>
            </w:pPr>
          </w:p>
        </w:tc>
        <w:tc>
          <w:tcPr>
            <w:tcW w:w="1451" w:type="dxa"/>
          </w:tcPr>
          <w:p w:rsidR="00B02F57" w:rsidRPr="00B02F57" w:rsidRDefault="00B02F57"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5251F3">
        <w:tc>
          <w:tcPr>
            <w:tcW w:w="6516" w:type="dxa"/>
          </w:tcPr>
          <w:p w:rsidR="000435A6" w:rsidRPr="000847C0" w:rsidRDefault="0076177D" w:rsidP="000847C0">
            <w:pPr>
              <w:ind w:firstLine="567"/>
              <w:jc w:val="both"/>
              <w:rPr>
                <w:b/>
                <w:sz w:val="22"/>
                <w:szCs w:val="22"/>
              </w:rPr>
            </w:pPr>
            <w:bookmarkStart w:id="3" w:name="p17"/>
            <w:bookmarkStart w:id="4" w:name="p-571987"/>
            <w:bookmarkEnd w:id="3"/>
            <w:bookmarkEnd w:id="4"/>
            <w:r w:rsidRPr="000847C0">
              <w:rPr>
                <w:b/>
                <w:sz w:val="22"/>
                <w:szCs w:val="22"/>
              </w:rPr>
              <w:t>21.pants</w:t>
            </w:r>
            <w:r w:rsidRPr="000847C0">
              <w:rPr>
                <w:sz w:val="22"/>
                <w:szCs w:val="22"/>
              </w:rPr>
              <w:t xml:space="preserve">. Noteikt, ka akciju sabiedrība "Latvijas valsts meži" ieskaita valsts pamatbudžeta ieņēmumos maksājumu par valsts kapitāla izmantošanu (ieņēmumus no dividendēm) 2021.gadā (par 2020.pārskata gadu) ne mazāk kā 90 494 000 </w:t>
            </w:r>
            <w:r w:rsidRPr="000847C0">
              <w:rPr>
                <w:i/>
                <w:sz w:val="22"/>
                <w:szCs w:val="22"/>
              </w:rPr>
              <w:t>euro</w:t>
            </w:r>
            <w:r w:rsidRPr="000847C0">
              <w:rPr>
                <w:sz w:val="22"/>
                <w:szCs w:val="22"/>
              </w:rPr>
              <w:t xml:space="preserve"> (ieskaitot uzņēmumu ienākuma nodokli par dividenžu izmaksu), 2022.gadā (par 2021.pārskata gadu) ne mazāk kā 37 867 000 </w:t>
            </w:r>
            <w:r w:rsidRPr="000847C0">
              <w:rPr>
                <w:i/>
                <w:sz w:val="22"/>
                <w:szCs w:val="22"/>
              </w:rPr>
              <w:t>euro</w:t>
            </w:r>
            <w:r w:rsidRPr="000847C0">
              <w:rPr>
                <w:sz w:val="22"/>
                <w:szCs w:val="22"/>
              </w:rPr>
              <w:t xml:space="preserve"> (ieskaitot uzņēmumu ienākuma nodokli par dividenžu izmaksu) un 2023.gadā (par 2022.pārskata gadu) ne mazāk kā 38 282 000 </w:t>
            </w:r>
            <w:r w:rsidRPr="000847C0">
              <w:rPr>
                <w:i/>
                <w:sz w:val="22"/>
                <w:szCs w:val="22"/>
              </w:rPr>
              <w:t>euro</w:t>
            </w:r>
            <w:r w:rsidRPr="000847C0">
              <w:rPr>
                <w:sz w:val="22"/>
                <w:szCs w:val="22"/>
              </w:rPr>
              <w:t xml:space="preserve"> (ieskaitot uzņēmumu ienākuma nodokli par dividenžu izmaksu).</w:t>
            </w:r>
          </w:p>
        </w:tc>
        <w:tc>
          <w:tcPr>
            <w:tcW w:w="644" w:type="dxa"/>
          </w:tcPr>
          <w:p w:rsidR="00600AD6" w:rsidRPr="00D21B94" w:rsidRDefault="00600AD6" w:rsidP="00EA09BE">
            <w:pPr>
              <w:jc w:val="center"/>
              <w:rPr>
                <w:b/>
                <w:sz w:val="22"/>
                <w:szCs w:val="22"/>
              </w:rPr>
            </w:pPr>
          </w:p>
        </w:tc>
        <w:tc>
          <w:tcPr>
            <w:tcW w:w="5168" w:type="dxa"/>
          </w:tcPr>
          <w:p w:rsidR="00600AD6" w:rsidRPr="00491B19" w:rsidRDefault="00600AD6" w:rsidP="00AD07E7">
            <w:pPr>
              <w:ind w:firstLine="567"/>
              <w:jc w:val="both"/>
              <w:rPr>
                <w:b/>
                <w:sz w:val="22"/>
                <w:szCs w:val="22"/>
                <w:u w:val="single"/>
              </w:rPr>
            </w:pPr>
          </w:p>
        </w:tc>
        <w:tc>
          <w:tcPr>
            <w:tcW w:w="1451" w:type="dxa"/>
          </w:tcPr>
          <w:p w:rsidR="00600AD6" w:rsidRPr="00FF6492" w:rsidRDefault="00600AD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5251F3">
        <w:tc>
          <w:tcPr>
            <w:tcW w:w="6516" w:type="dxa"/>
          </w:tcPr>
          <w:p w:rsidR="00EF65A0" w:rsidRPr="000847C0" w:rsidRDefault="0076177D" w:rsidP="000847C0">
            <w:pPr>
              <w:ind w:firstLine="567"/>
              <w:jc w:val="both"/>
              <w:rPr>
                <w:b/>
                <w:bCs/>
                <w:sz w:val="22"/>
                <w:szCs w:val="22"/>
              </w:rPr>
            </w:pPr>
            <w:r w:rsidRPr="000847C0">
              <w:rPr>
                <w:b/>
                <w:sz w:val="22"/>
                <w:szCs w:val="22"/>
              </w:rPr>
              <w:t>22.pants.</w:t>
            </w:r>
            <w:r w:rsidRPr="000847C0">
              <w:rPr>
                <w:sz w:val="22"/>
                <w:szCs w:val="22"/>
              </w:rPr>
              <w:t xml:space="preserve"> Noteikt, ka akciju sabiedrība "Augstsprieguma tīkls" ieskaita valsts pamatbudžeta ieņēmumos maksājumu par valsts kapitāla </w:t>
            </w:r>
            <w:r w:rsidRPr="000847C0">
              <w:rPr>
                <w:sz w:val="22"/>
                <w:szCs w:val="22"/>
              </w:rPr>
              <w:lastRenderedPageBreak/>
              <w:t xml:space="preserve">izmantošanu (ieņēmumus no dividendēm) 2021.gadā (par 2020.pārskata gadu) ne mazāk kā 2 715 775 </w:t>
            </w:r>
            <w:r w:rsidRPr="000847C0">
              <w:rPr>
                <w:i/>
                <w:sz w:val="22"/>
                <w:szCs w:val="22"/>
              </w:rPr>
              <w:t>euro</w:t>
            </w:r>
            <w:r w:rsidRPr="000847C0">
              <w:rPr>
                <w:sz w:val="22"/>
                <w:szCs w:val="22"/>
              </w:rPr>
              <w:t xml:space="preserve"> (ieskaitot uzņēmumu ienākuma nodokli par dividenžu izmaksu), 2022.gadā (par 2021.pārskata gadu) ne mazāk kā 12 893 168 </w:t>
            </w:r>
            <w:r w:rsidRPr="000847C0">
              <w:rPr>
                <w:i/>
                <w:sz w:val="22"/>
                <w:szCs w:val="22"/>
              </w:rPr>
              <w:t>euro</w:t>
            </w:r>
            <w:r w:rsidRPr="000847C0">
              <w:rPr>
                <w:sz w:val="22"/>
                <w:szCs w:val="22"/>
              </w:rPr>
              <w:t xml:space="preserve"> (ieskaitot uzņēmumu ienākuma nodokli par dividenžu izmaksu) un 2023.gadā (par 2022.pārskata gadu) ne mazāk kā 14 535 696 </w:t>
            </w:r>
            <w:r w:rsidRPr="000847C0">
              <w:rPr>
                <w:i/>
                <w:sz w:val="22"/>
                <w:szCs w:val="22"/>
              </w:rPr>
              <w:t>euro</w:t>
            </w:r>
            <w:r w:rsidRPr="000847C0">
              <w:rPr>
                <w:sz w:val="22"/>
                <w:szCs w:val="22"/>
              </w:rPr>
              <w:t xml:space="preserve"> (ieskaitot uzņēmumu ienākuma nodokli par dividenžu izmaksu).</w:t>
            </w:r>
          </w:p>
        </w:tc>
        <w:tc>
          <w:tcPr>
            <w:tcW w:w="644" w:type="dxa"/>
          </w:tcPr>
          <w:p w:rsidR="00CA3ADC" w:rsidRPr="00D21B94" w:rsidRDefault="00CA3ADC" w:rsidP="005430B7">
            <w:pPr>
              <w:jc w:val="center"/>
              <w:rPr>
                <w:b/>
                <w:sz w:val="22"/>
                <w:szCs w:val="22"/>
              </w:rPr>
            </w:pPr>
          </w:p>
        </w:tc>
        <w:tc>
          <w:tcPr>
            <w:tcW w:w="5168" w:type="dxa"/>
          </w:tcPr>
          <w:p w:rsidR="00EF65A0" w:rsidRPr="00491B19" w:rsidRDefault="00EF65A0" w:rsidP="001E02AA">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641B8C" w:rsidRPr="008B6465" w:rsidTr="005251F3">
        <w:tc>
          <w:tcPr>
            <w:tcW w:w="6516" w:type="dxa"/>
          </w:tcPr>
          <w:p w:rsidR="00641B8C" w:rsidRPr="000847C0" w:rsidRDefault="00641B8C" w:rsidP="000847C0">
            <w:pPr>
              <w:ind w:firstLine="567"/>
              <w:jc w:val="both"/>
              <w:rPr>
                <w:b/>
                <w:sz w:val="22"/>
                <w:szCs w:val="22"/>
              </w:rPr>
            </w:pPr>
          </w:p>
        </w:tc>
        <w:tc>
          <w:tcPr>
            <w:tcW w:w="644" w:type="dxa"/>
          </w:tcPr>
          <w:p w:rsidR="00641B8C" w:rsidRPr="00D21B94" w:rsidRDefault="00410DD4" w:rsidP="00EA09BE">
            <w:pPr>
              <w:jc w:val="center"/>
              <w:rPr>
                <w:b/>
                <w:sz w:val="22"/>
                <w:szCs w:val="22"/>
              </w:rPr>
            </w:pPr>
            <w:r>
              <w:rPr>
                <w:b/>
                <w:sz w:val="22"/>
                <w:szCs w:val="22"/>
              </w:rPr>
              <w:t>3</w:t>
            </w:r>
          </w:p>
        </w:tc>
        <w:tc>
          <w:tcPr>
            <w:tcW w:w="5168" w:type="dxa"/>
          </w:tcPr>
          <w:p w:rsidR="00641B8C" w:rsidRPr="00641B8C" w:rsidRDefault="00641B8C" w:rsidP="00641B8C">
            <w:pPr>
              <w:suppressAutoHyphens/>
              <w:overflowPunct w:val="0"/>
              <w:autoSpaceDE w:val="0"/>
              <w:ind w:firstLine="567"/>
              <w:jc w:val="both"/>
              <w:textAlignment w:val="baseline"/>
              <w:rPr>
                <w:b/>
                <w:sz w:val="22"/>
                <w:szCs w:val="22"/>
                <w:u w:val="single"/>
                <w:lang w:eastAsia="zh-CN"/>
              </w:rPr>
            </w:pPr>
            <w:r w:rsidRPr="00641B8C">
              <w:rPr>
                <w:b/>
                <w:sz w:val="22"/>
                <w:szCs w:val="22"/>
                <w:u w:val="single"/>
                <w:lang w:eastAsia="zh-CN"/>
              </w:rPr>
              <w:t>Deputāti I.Indriksone, E.Zālīte-Grosa, I.Dūrītis, I.Ikstena, A.Skride, R.Dzintars, A.Čakša, E.Teirumnieks</w:t>
            </w:r>
          </w:p>
          <w:p w:rsidR="00641B8C" w:rsidRPr="00641B8C" w:rsidRDefault="00641B8C" w:rsidP="00641B8C">
            <w:pPr>
              <w:suppressAutoHyphens/>
              <w:overflowPunct w:val="0"/>
              <w:autoSpaceDE w:val="0"/>
              <w:ind w:firstLine="567"/>
              <w:jc w:val="both"/>
              <w:textAlignment w:val="baseline"/>
              <w:rPr>
                <w:sz w:val="22"/>
                <w:szCs w:val="22"/>
                <w:lang w:eastAsia="zh-CN"/>
              </w:rPr>
            </w:pPr>
            <w:r w:rsidRPr="00641B8C">
              <w:rPr>
                <w:sz w:val="22"/>
                <w:szCs w:val="22"/>
                <w:lang w:eastAsia="zh-CN"/>
              </w:rPr>
              <w:t xml:space="preserve">Papildināt likumprojektu ar jaunu 23.pantu šādā redakcijā, mainot turpmāko punktu numerāciju: </w:t>
            </w:r>
          </w:p>
          <w:p w:rsidR="00641B8C" w:rsidRPr="00641B8C" w:rsidRDefault="00641B8C" w:rsidP="00641B8C">
            <w:pPr>
              <w:suppressAutoHyphens/>
              <w:overflowPunct w:val="0"/>
              <w:autoSpaceDE w:val="0"/>
              <w:ind w:firstLine="567"/>
              <w:jc w:val="both"/>
              <w:textAlignment w:val="baseline"/>
              <w:rPr>
                <w:sz w:val="22"/>
                <w:szCs w:val="22"/>
              </w:rPr>
            </w:pPr>
            <w:r w:rsidRPr="00641B8C">
              <w:rPr>
                <w:sz w:val="22"/>
                <w:szCs w:val="22"/>
                <w:lang w:eastAsia="zh-CN"/>
              </w:rPr>
              <w:t>“</w:t>
            </w:r>
            <w:r w:rsidRPr="00641B8C">
              <w:rPr>
                <w:b/>
                <w:sz w:val="22"/>
                <w:szCs w:val="22"/>
                <w:lang w:eastAsia="zh-CN"/>
              </w:rPr>
              <w:t xml:space="preserve">23.pants </w:t>
            </w:r>
            <w:r w:rsidRPr="00641B8C">
              <w:rPr>
                <w:sz w:val="22"/>
                <w:szCs w:val="22"/>
              </w:rPr>
              <w:t xml:space="preserve">Ja 2021., 2022, un 2023. gadā faktiskie ieņēmumi no akcīzes nodokļa ieņēmumiem no tabakas izstrādājumiem pārsniedz attiecīgajam ceturksnim prognozētos ieņēmumus, finanšu ministram ir tiesības palielināt šajā likumā noteikto apropriāciju Veselības ministrijai onkoloģisko saslimšanu ārstēšanas nodrošināšanai sekojošās programmās: </w:t>
            </w:r>
          </w:p>
          <w:p w:rsidR="00641B8C" w:rsidRPr="00641B8C" w:rsidRDefault="00641B8C" w:rsidP="00641B8C">
            <w:pPr>
              <w:ind w:firstLine="567"/>
              <w:jc w:val="both"/>
              <w:rPr>
                <w:sz w:val="22"/>
                <w:szCs w:val="22"/>
              </w:rPr>
            </w:pPr>
            <w:r w:rsidRPr="00641B8C">
              <w:rPr>
                <w:sz w:val="22"/>
                <w:szCs w:val="22"/>
              </w:rPr>
              <w:t xml:space="preserve">1) </w:t>
            </w:r>
            <w:r w:rsidRPr="00641B8C">
              <w:rPr>
                <w:i/>
                <w:sz w:val="22"/>
                <w:szCs w:val="22"/>
              </w:rPr>
              <w:t>3.16.00 Pārējo ambulatoro aprūpes pakalpojumu nodrošināšana</w:t>
            </w:r>
            <w:r w:rsidRPr="00641B8C">
              <w:rPr>
                <w:sz w:val="22"/>
                <w:szCs w:val="22"/>
              </w:rPr>
              <w:t xml:space="preserve"> - šķidruma citoloģijas diagnostiskās metodes pielietošana dzemdes kakla vēža skrīningā un biomarķieru (gēnu mutāciju) noteikšana pacientiem ar metastātisku nesīkšūnu plaušu vēzi; </w:t>
            </w:r>
          </w:p>
          <w:p w:rsidR="00641B8C" w:rsidRPr="00641B8C" w:rsidRDefault="00641B8C" w:rsidP="00641B8C">
            <w:pPr>
              <w:ind w:firstLine="567"/>
              <w:jc w:val="both"/>
              <w:rPr>
                <w:sz w:val="22"/>
                <w:szCs w:val="22"/>
              </w:rPr>
            </w:pPr>
            <w:r w:rsidRPr="00641B8C">
              <w:rPr>
                <w:sz w:val="22"/>
                <w:szCs w:val="22"/>
              </w:rPr>
              <w:t xml:space="preserve">2) </w:t>
            </w:r>
            <w:r w:rsidRPr="00641B8C">
              <w:rPr>
                <w:i/>
                <w:sz w:val="22"/>
                <w:szCs w:val="22"/>
              </w:rPr>
              <w:t>33.15.00 Laboratorisko izmeklējumu nodrošināšana ambulatorajā aprūpē</w:t>
            </w:r>
            <w:r w:rsidRPr="00641B8C">
              <w:rPr>
                <w:sz w:val="22"/>
                <w:szCs w:val="22"/>
              </w:rPr>
              <w:t xml:space="preserve"> - prostatas vēža skrīnings, veicot valsts apmaksātu PSA noteikšanu; </w:t>
            </w:r>
          </w:p>
          <w:p w:rsidR="00641B8C" w:rsidRPr="00641B8C" w:rsidRDefault="00641B8C" w:rsidP="00641B8C">
            <w:pPr>
              <w:ind w:firstLine="567"/>
              <w:jc w:val="both"/>
              <w:rPr>
                <w:sz w:val="22"/>
                <w:szCs w:val="22"/>
              </w:rPr>
            </w:pPr>
            <w:r w:rsidRPr="00641B8C">
              <w:rPr>
                <w:sz w:val="22"/>
                <w:szCs w:val="22"/>
              </w:rPr>
              <w:t xml:space="preserve">3) </w:t>
            </w:r>
            <w:r w:rsidRPr="00641B8C">
              <w:rPr>
                <w:i/>
                <w:sz w:val="22"/>
                <w:szCs w:val="22"/>
              </w:rPr>
              <w:t>33.03.00 Kompensējamo medikamentu un materiālu apmaksāšana</w:t>
            </w:r>
            <w:r w:rsidRPr="00641B8C">
              <w:rPr>
                <w:sz w:val="22"/>
                <w:szCs w:val="22"/>
              </w:rPr>
              <w:t xml:space="preserve"> -  jaunu inovatīvo zāļu iekļaušana un kompensācijas paplašināšana onkoloģijas pacientu ārstēšanai, </w:t>
            </w:r>
          </w:p>
          <w:p w:rsidR="00641B8C" w:rsidRPr="00641B8C" w:rsidRDefault="00641B8C" w:rsidP="00641B8C">
            <w:pPr>
              <w:ind w:firstLine="567"/>
              <w:jc w:val="both"/>
              <w:rPr>
                <w:b/>
                <w:i/>
                <w:sz w:val="22"/>
                <w:szCs w:val="22"/>
                <w:u w:val="single"/>
              </w:rPr>
            </w:pPr>
            <w:r w:rsidRPr="00641B8C">
              <w:rPr>
                <w:sz w:val="22"/>
                <w:szCs w:val="22"/>
              </w:rPr>
              <w:t xml:space="preserve">ja Ministru kabinets ir pieņēmis lēmumu un Saeimas Budžeta un finanšu (nodokļu) komisija piecu darba dienu laikā no attiecīgās informācijas saņemšanas </w:t>
            </w:r>
            <w:r w:rsidRPr="00641B8C">
              <w:rPr>
                <w:sz w:val="22"/>
                <w:szCs w:val="22"/>
              </w:rPr>
              <w:lastRenderedPageBreak/>
              <w:t>dienas ir to izskatījusi un nav iebildusi pret apropriācijas palielinājumu.”</w:t>
            </w:r>
          </w:p>
        </w:tc>
        <w:tc>
          <w:tcPr>
            <w:tcW w:w="1451" w:type="dxa"/>
          </w:tcPr>
          <w:p w:rsidR="00641B8C" w:rsidRPr="00FF6492" w:rsidRDefault="00641B8C" w:rsidP="00653B73">
            <w:pPr>
              <w:jc w:val="center"/>
              <w:rPr>
                <w:b/>
                <w:sz w:val="22"/>
                <w:szCs w:val="22"/>
              </w:rPr>
            </w:pPr>
          </w:p>
        </w:tc>
        <w:tc>
          <w:tcPr>
            <w:tcW w:w="1260" w:type="dxa"/>
          </w:tcPr>
          <w:p w:rsidR="00641B8C" w:rsidRPr="008B6465" w:rsidRDefault="00641B8C" w:rsidP="008B6465">
            <w:pPr>
              <w:jc w:val="both"/>
              <w:rPr>
                <w:sz w:val="22"/>
                <w:szCs w:val="22"/>
              </w:rPr>
            </w:pPr>
          </w:p>
        </w:tc>
      </w:tr>
      <w:tr w:rsidR="00B04A56" w:rsidRPr="008B6465" w:rsidTr="005251F3">
        <w:tc>
          <w:tcPr>
            <w:tcW w:w="6516" w:type="dxa"/>
          </w:tcPr>
          <w:p w:rsidR="00B04A56" w:rsidRPr="000847C0" w:rsidRDefault="0076177D" w:rsidP="000847C0">
            <w:pPr>
              <w:ind w:firstLine="567"/>
              <w:jc w:val="both"/>
              <w:rPr>
                <w:sz w:val="22"/>
                <w:szCs w:val="22"/>
              </w:rPr>
            </w:pPr>
            <w:r w:rsidRPr="000847C0">
              <w:rPr>
                <w:b/>
                <w:sz w:val="22"/>
                <w:szCs w:val="22"/>
              </w:rPr>
              <w:t>23.pants.</w:t>
            </w:r>
            <w:r w:rsidRPr="000847C0">
              <w:rPr>
                <w:sz w:val="22"/>
                <w:szCs w:val="22"/>
              </w:rPr>
              <w:t xml:space="preserve"> Ministru kabinets, sagatavojot likumprojektu “Par valsts budžetu 2022.gadam” un likumprojektu  “Par vidējā termiņa budžeta ietvaru 2022., 2023. un 2024.gadam”, paredz nepieciešamo finansējumu atbalstītajiem demogrāfijas pasākumiem, kas saistīti ar ģimenes valsts pabalsta reformas īstenošanu un valsts atbalstu studijām Latvijas augstskolā  jauniešiem no daudzbērnu ģimenēm, vienlaikus nodrošinot likumā noteikto fiskālo nosacījumu ievērošanu.</w:t>
            </w:r>
          </w:p>
        </w:tc>
        <w:tc>
          <w:tcPr>
            <w:tcW w:w="644" w:type="dxa"/>
          </w:tcPr>
          <w:p w:rsidR="00653B73" w:rsidRPr="00D21B94" w:rsidRDefault="00653B73" w:rsidP="00EA09BE">
            <w:pPr>
              <w:jc w:val="center"/>
              <w:rPr>
                <w:b/>
                <w:sz w:val="22"/>
                <w:szCs w:val="22"/>
              </w:rPr>
            </w:pPr>
          </w:p>
        </w:tc>
        <w:tc>
          <w:tcPr>
            <w:tcW w:w="5168" w:type="dxa"/>
          </w:tcPr>
          <w:p w:rsidR="00653B73" w:rsidRPr="00491B19" w:rsidRDefault="00653B73" w:rsidP="00491B19">
            <w:pPr>
              <w:ind w:firstLine="567"/>
              <w:jc w:val="both"/>
              <w:rPr>
                <w:b/>
                <w:i/>
                <w:sz w:val="22"/>
                <w:szCs w:val="22"/>
                <w:u w:val="single"/>
              </w:rPr>
            </w:pPr>
          </w:p>
        </w:tc>
        <w:tc>
          <w:tcPr>
            <w:tcW w:w="1451" w:type="dxa"/>
          </w:tcPr>
          <w:p w:rsidR="00B04A56" w:rsidRPr="00FF6492" w:rsidRDefault="00B04A56" w:rsidP="00653B73">
            <w:pPr>
              <w:jc w:val="center"/>
              <w:rPr>
                <w:b/>
                <w:sz w:val="22"/>
                <w:szCs w:val="22"/>
              </w:rPr>
            </w:pPr>
          </w:p>
        </w:tc>
        <w:tc>
          <w:tcPr>
            <w:tcW w:w="1260" w:type="dxa"/>
          </w:tcPr>
          <w:p w:rsidR="00B04A56" w:rsidRPr="008B6465" w:rsidRDefault="00B04A56" w:rsidP="008B6465">
            <w:pPr>
              <w:jc w:val="both"/>
              <w:rPr>
                <w:sz w:val="22"/>
                <w:szCs w:val="22"/>
              </w:rPr>
            </w:pPr>
          </w:p>
        </w:tc>
      </w:tr>
      <w:tr w:rsidR="00431579" w:rsidRPr="00635E31" w:rsidTr="005251F3">
        <w:tc>
          <w:tcPr>
            <w:tcW w:w="6516" w:type="dxa"/>
          </w:tcPr>
          <w:p w:rsidR="00431579" w:rsidRPr="000847C0" w:rsidRDefault="00431579" w:rsidP="000847C0">
            <w:pPr>
              <w:ind w:firstLine="567"/>
              <w:jc w:val="both"/>
              <w:rPr>
                <w:color w:val="FF0000"/>
                <w:sz w:val="22"/>
                <w:szCs w:val="22"/>
              </w:rPr>
            </w:pPr>
          </w:p>
        </w:tc>
        <w:tc>
          <w:tcPr>
            <w:tcW w:w="644" w:type="dxa"/>
          </w:tcPr>
          <w:p w:rsidR="00431579" w:rsidRPr="00635E31" w:rsidRDefault="00410DD4" w:rsidP="00F275E3">
            <w:pPr>
              <w:jc w:val="center"/>
              <w:rPr>
                <w:b/>
                <w:color w:val="FF0000"/>
                <w:sz w:val="22"/>
                <w:szCs w:val="22"/>
              </w:rPr>
            </w:pPr>
            <w:r w:rsidRPr="00410DD4">
              <w:rPr>
                <w:b/>
                <w:sz w:val="22"/>
                <w:szCs w:val="22"/>
              </w:rPr>
              <w:t>4</w:t>
            </w:r>
          </w:p>
        </w:tc>
        <w:tc>
          <w:tcPr>
            <w:tcW w:w="5168" w:type="dxa"/>
          </w:tcPr>
          <w:p w:rsidR="00431579" w:rsidRDefault="00431579" w:rsidP="00431579">
            <w:pPr>
              <w:shd w:val="clear" w:color="auto" w:fill="FFFFFF"/>
              <w:autoSpaceDE w:val="0"/>
              <w:ind w:firstLine="567"/>
              <w:jc w:val="both"/>
              <w:rPr>
                <w:b/>
                <w:sz w:val="22"/>
                <w:szCs w:val="22"/>
                <w:u w:val="single"/>
              </w:rPr>
            </w:pPr>
            <w:r w:rsidRPr="00023E6D">
              <w:rPr>
                <w:b/>
                <w:sz w:val="22"/>
                <w:szCs w:val="22"/>
                <w:u w:val="single"/>
              </w:rPr>
              <w:t>Deputāti M.Kučinskis, D.Reizniece-Ozola, R.Bergmanis</w:t>
            </w:r>
          </w:p>
          <w:p w:rsidR="00431579" w:rsidRPr="00023E6D" w:rsidRDefault="00431579" w:rsidP="00431579">
            <w:pPr>
              <w:shd w:val="clear" w:color="auto" w:fill="FFFFFF"/>
              <w:autoSpaceDE w:val="0"/>
              <w:ind w:firstLine="567"/>
              <w:jc w:val="both"/>
              <w:rPr>
                <w:color w:val="000000" w:themeColor="text1"/>
                <w:sz w:val="22"/>
                <w:szCs w:val="22"/>
              </w:rPr>
            </w:pPr>
            <w:r w:rsidRPr="00023E6D">
              <w:rPr>
                <w:color w:val="000000" w:themeColor="text1"/>
                <w:sz w:val="22"/>
                <w:szCs w:val="22"/>
                <w:shd w:val="clear" w:color="auto" w:fill="FFFFFF"/>
              </w:rPr>
              <w:t xml:space="preserve">Papildināt likumprojektu </w:t>
            </w:r>
            <w:r w:rsidRPr="00023E6D">
              <w:rPr>
                <w:color w:val="000000" w:themeColor="text1"/>
                <w:sz w:val="22"/>
                <w:szCs w:val="22"/>
              </w:rPr>
              <w:t>ar jaunu pantu šādā redakcijā:</w:t>
            </w:r>
          </w:p>
          <w:p w:rsidR="00431579" w:rsidRPr="00635E31" w:rsidRDefault="00431579" w:rsidP="00431579">
            <w:pPr>
              <w:ind w:firstLine="567"/>
              <w:jc w:val="both"/>
              <w:rPr>
                <w:b/>
                <w:color w:val="FF0000"/>
                <w:sz w:val="22"/>
                <w:szCs w:val="22"/>
                <w:u w:val="single"/>
              </w:rPr>
            </w:pPr>
            <w:r w:rsidRPr="00023E6D">
              <w:rPr>
                <w:color w:val="000000" w:themeColor="text1"/>
                <w:sz w:val="22"/>
                <w:szCs w:val="22"/>
              </w:rPr>
              <w:t>“___.pants. Noteikt, ka Iekšlietu ministrijas budžetā papildus izdevumu segšanai uzticamības pakalpojumu infrastruktūras nodrošināšanai no valsts akciju sabiedrības “Latvijas valsts radio un televīzijas centrs” ikgadējām dividendēm tiek novirzīti resursi: 2021.gadā 1 546 386 euro, 2022.gadā 1 546 386 euro un 2023.gadā 1 546 386 euro apmērā.</w:t>
            </w:r>
          </w:p>
        </w:tc>
        <w:tc>
          <w:tcPr>
            <w:tcW w:w="1451" w:type="dxa"/>
          </w:tcPr>
          <w:p w:rsidR="00431579" w:rsidRPr="00635E31" w:rsidRDefault="00431579" w:rsidP="00F275E3">
            <w:pPr>
              <w:jc w:val="center"/>
              <w:rPr>
                <w:b/>
                <w:color w:val="FF0000"/>
                <w:sz w:val="22"/>
                <w:szCs w:val="22"/>
              </w:rPr>
            </w:pPr>
          </w:p>
        </w:tc>
        <w:tc>
          <w:tcPr>
            <w:tcW w:w="1260" w:type="dxa"/>
          </w:tcPr>
          <w:p w:rsidR="00431579" w:rsidRPr="00635E31" w:rsidRDefault="00431579" w:rsidP="00F275E3">
            <w:pPr>
              <w:jc w:val="both"/>
              <w:rPr>
                <w:color w:val="FF0000"/>
                <w:sz w:val="22"/>
                <w:szCs w:val="22"/>
              </w:rPr>
            </w:pPr>
          </w:p>
        </w:tc>
      </w:tr>
      <w:tr w:rsidR="000B7734" w:rsidRPr="008B6465" w:rsidTr="005251F3">
        <w:tc>
          <w:tcPr>
            <w:tcW w:w="6516" w:type="dxa"/>
          </w:tcPr>
          <w:p w:rsidR="000B7734" w:rsidRPr="000847C0" w:rsidRDefault="000B7734" w:rsidP="000847C0">
            <w:pPr>
              <w:ind w:firstLine="567"/>
              <w:jc w:val="both"/>
              <w:rPr>
                <w:b/>
                <w:color w:val="000000" w:themeColor="text1"/>
                <w:sz w:val="22"/>
                <w:szCs w:val="22"/>
              </w:rPr>
            </w:pPr>
          </w:p>
        </w:tc>
        <w:tc>
          <w:tcPr>
            <w:tcW w:w="644" w:type="dxa"/>
          </w:tcPr>
          <w:p w:rsidR="000B7734" w:rsidRPr="00D21B94" w:rsidRDefault="004F6F7B" w:rsidP="00EA09BE">
            <w:pPr>
              <w:jc w:val="center"/>
              <w:rPr>
                <w:b/>
                <w:sz w:val="22"/>
                <w:szCs w:val="22"/>
              </w:rPr>
            </w:pPr>
            <w:r>
              <w:rPr>
                <w:b/>
                <w:sz w:val="22"/>
                <w:szCs w:val="22"/>
              </w:rPr>
              <w:t>5</w:t>
            </w:r>
          </w:p>
        </w:tc>
        <w:tc>
          <w:tcPr>
            <w:tcW w:w="5168" w:type="dxa"/>
          </w:tcPr>
          <w:p w:rsidR="000B7734" w:rsidRPr="000B7734" w:rsidRDefault="000B7734" w:rsidP="000B7734">
            <w:pPr>
              <w:ind w:firstLine="567"/>
              <w:jc w:val="both"/>
              <w:rPr>
                <w:b/>
                <w:sz w:val="22"/>
                <w:szCs w:val="22"/>
                <w:u w:val="single"/>
                <w:shd w:val="clear" w:color="auto" w:fill="FFFFFF"/>
              </w:rPr>
            </w:pPr>
            <w:r w:rsidRPr="000B7734">
              <w:rPr>
                <w:b/>
                <w:sz w:val="22"/>
                <w:szCs w:val="22"/>
                <w:u w:val="single"/>
                <w:shd w:val="clear" w:color="auto" w:fill="FFFFFF"/>
              </w:rPr>
              <w:t>Deputāti D.Pavļuts, R.Dzintars</w:t>
            </w:r>
          </w:p>
          <w:p w:rsidR="000B7734" w:rsidRPr="000B7734" w:rsidRDefault="000B7734" w:rsidP="000B7734">
            <w:pPr>
              <w:ind w:firstLine="567"/>
              <w:jc w:val="both"/>
              <w:rPr>
                <w:sz w:val="22"/>
                <w:szCs w:val="22"/>
              </w:rPr>
            </w:pPr>
            <w:r w:rsidRPr="000B7734">
              <w:rPr>
                <w:sz w:val="22"/>
                <w:szCs w:val="22"/>
              </w:rPr>
              <w:t>Papildināt likumprojektu ar jaunu pantu šādā redakcijā:</w:t>
            </w:r>
          </w:p>
          <w:p w:rsidR="000B7734" w:rsidRDefault="000B7734" w:rsidP="000B7734">
            <w:pPr>
              <w:ind w:firstLine="567"/>
              <w:jc w:val="both"/>
              <w:rPr>
                <w:sz w:val="22"/>
                <w:szCs w:val="22"/>
                <w:shd w:val="clear" w:color="auto" w:fill="FFFFFF"/>
              </w:rPr>
            </w:pPr>
            <w:r w:rsidRPr="000B7734">
              <w:rPr>
                <w:sz w:val="22"/>
                <w:szCs w:val="22"/>
                <w:shd w:val="clear" w:color="auto" w:fill="FFFFFF"/>
              </w:rPr>
              <w:t xml:space="preserve">“_________. pants. Noteikt, ka valsts akciju sabiedrības " Latvijas valsts radio un televīzijas centrs" ieskaita valsts pamatbudžeta ieņēmumos maksājumu par valsts kapitāla izmantošanu (ieņēmumus no dividendēm) 2021. gadā (par 2020. pārskata gadu) ne mazāk kā 1 546 386 euro , 2022.gadā (par 2021. pārskata gadu) ne mazāk kā 1 546 386 euro (ieskaitot uzņēmumu ienākuma nodokli) un 2023. gadā (par 2022. pārskata gadu) ne mazāk kā 1 546 386 euro (ieskaitot uzņēmumu ienākuma nodokli). </w:t>
            </w:r>
          </w:p>
          <w:p w:rsidR="004F6F7B" w:rsidRDefault="004F6F7B" w:rsidP="000B7734">
            <w:pPr>
              <w:ind w:firstLine="567"/>
              <w:jc w:val="both"/>
              <w:rPr>
                <w:sz w:val="22"/>
                <w:szCs w:val="22"/>
                <w:shd w:val="clear" w:color="auto" w:fill="FFFFFF"/>
              </w:rPr>
            </w:pPr>
          </w:p>
          <w:p w:rsidR="004F6F7B" w:rsidRPr="000B7734" w:rsidRDefault="004F6F7B" w:rsidP="000B7734">
            <w:pPr>
              <w:ind w:firstLine="567"/>
              <w:jc w:val="both"/>
              <w:rPr>
                <w:b/>
                <w:sz w:val="22"/>
                <w:szCs w:val="22"/>
                <w:u w:val="single"/>
              </w:rPr>
            </w:pPr>
          </w:p>
        </w:tc>
        <w:tc>
          <w:tcPr>
            <w:tcW w:w="1451" w:type="dxa"/>
          </w:tcPr>
          <w:p w:rsidR="000B7734" w:rsidRPr="008C4B57" w:rsidRDefault="000B7734" w:rsidP="008C4B57">
            <w:pPr>
              <w:jc w:val="center"/>
              <w:rPr>
                <w:b/>
                <w:sz w:val="22"/>
                <w:szCs w:val="22"/>
              </w:rPr>
            </w:pPr>
          </w:p>
        </w:tc>
        <w:tc>
          <w:tcPr>
            <w:tcW w:w="1260" w:type="dxa"/>
          </w:tcPr>
          <w:p w:rsidR="000B7734" w:rsidRPr="008B6465" w:rsidRDefault="000B7734" w:rsidP="008B6465">
            <w:pPr>
              <w:jc w:val="both"/>
              <w:rPr>
                <w:sz w:val="22"/>
                <w:szCs w:val="22"/>
              </w:rPr>
            </w:pPr>
          </w:p>
        </w:tc>
      </w:tr>
      <w:tr w:rsidR="009E5B2C" w:rsidRPr="008B6465" w:rsidTr="005251F3">
        <w:tc>
          <w:tcPr>
            <w:tcW w:w="6516" w:type="dxa"/>
          </w:tcPr>
          <w:p w:rsidR="009E5B2C" w:rsidRPr="000847C0" w:rsidRDefault="009E5B2C" w:rsidP="000847C0">
            <w:pPr>
              <w:ind w:firstLine="567"/>
              <w:jc w:val="both"/>
              <w:rPr>
                <w:b/>
                <w:color w:val="000000" w:themeColor="text1"/>
                <w:sz w:val="22"/>
                <w:szCs w:val="22"/>
              </w:rPr>
            </w:pPr>
          </w:p>
        </w:tc>
        <w:tc>
          <w:tcPr>
            <w:tcW w:w="644" w:type="dxa"/>
          </w:tcPr>
          <w:p w:rsidR="009E5B2C" w:rsidRPr="00D21B94" w:rsidRDefault="004F6F7B" w:rsidP="00EA09BE">
            <w:pPr>
              <w:jc w:val="center"/>
              <w:rPr>
                <w:b/>
                <w:sz w:val="22"/>
                <w:szCs w:val="22"/>
              </w:rPr>
            </w:pPr>
            <w:r>
              <w:rPr>
                <w:b/>
                <w:sz w:val="22"/>
                <w:szCs w:val="22"/>
              </w:rPr>
              <w:t>6</w:t>
            </w:r>
          </w:p>
        </w:tc>
        <w:tc>
          <w:tcPr>
            <w:tcW w:w="5168" w:type="dxa"/>
          </w:tcPr>
          <w:p w:rsidR="009E5B2C" w:rsidRPr="00DC4CAD" w:rsidRDefault="00DC4CAD" w:rsidP="00B4547A">
            <w:pPr>
              <w:pStyle w:val="ListParagraph"/>
              <w:tabs>
                <w:tab w:val="left" w:pos="993"/>
              </w:tabs>
              <w:ind w:left="0" w:firstLine="567"/>
              <w:contextualSpacing w:val="0"/>
              <w:jc w:val="both"/>
              <w:rPr>
                <w:b/>
                <w:sz w:val="22"/>
                <w:szCs w:val="22"/>
                <w:u w:val="single"/>
              </w:rPr>
            </w:pPr>
            <w:r w:rsidRPr="00DC4CAD">
              <w:rPr>
                <w:b/>
                <w:sz w:val="22"/>
                <w:szCs w:val="22"/>
                <w:u w:val="single"/>
              </w:rPr>
              <w:t>Juridiskais birojs</w:t>
            </w:r>
          </w:p>
          <w:p w:rsidR="00DC4CAD" w:rsidRPr="00DC4CAD" w:rsidRDefault="00DC4CAD" w:rsidP="00DC4CAD">
            <w:pPr>
              <w:ind w:firstLine="567"/>
              <w:rPr>
                <w:sz w:val="22"/>
                <w:szCs w:val="22"/>
              </w:rPr>
            </w:pPr>
            <w:r w:rsidRPr="00DC4CAD">
              <w:rPr>
                <w:sz w:val="22"/>
                <w:szCs w:val="22"/>
              </w:rPr>
              <w:t>ierosinām papildināt likumprojektu ar norādi par likuma spēkā stāšanos šādā redakcijā:</w:t>
            </w:r>
          </w:p>
          <w:p w:rsidR="00DC4CAD" w:rsidRPr="00DC4CAD" w:rsidRDefault="00DC4CAD" w:rsidP="00DC4CAD">
            <w:pPr>
              <w:ind w:firstLine="567"/>
              <w:rPr>
                <w:b/>
                <w:sz w:val="22"/>
                <w:szCs w:val="22"/>
                <w:u w:val="single"/>
              </w:rPr>
            </w:pPr>
            <w:r w:rsidRPr="00DC4CAD">
              <w:rPr>
                <w:sz w:val="22"/>
                <w:szCs w:val="22"/>
              </w:rPr>
              <w:t>“Likums stājas spēkā 2021. gada 1. janvārī”.</w:t>
            </w:r>
          </w:p>
        </w:tc>
        <w:tc>
          <w:tcPr>
            <w:tcW w:w="1451" w:type="dxa"/>
          </w:tcPr>
          <w:p w:rsidR="009E5B2C" w:rsidRPr="008C4B57" w:rsidRDefault="009E5B2C" w:rsidP="008C4B57">
            <w:pPr>
              <w:jc w:val="center"/>
              <w:rPr>
                <w:b/>
                <w:sz w:val="22"/>
                <w:szCs w:val="22"/>
              </w:rPr>
            </w:pPr>
          </w:p>
        </w:tc>
        <w:tc>
          <w:tcPr>
            <w:tcW w:w="1260" w:type="dxa"/>
          </w:tcPr>
          <w:p w:rsidR="009E5B2C" w:rsidRPr="008B6465" w:rsidRDefault="009E5B2C" w:rsidP="008B6465">
            <w:pPr>
              <w:jc w:val="both"/>
              <w:rPr>
                <w:sz w:val="22"/>
                <w:szCs w:val="22"/>
              </w:rPr>
            </w:pPr>
          </w:p>
        </w:tc>
      </w:tr>
    </w:tbl>
    <w:p w:rsidR="00277743" w:rsidRDefault="00277743"/>
    <w:sectPr w:rsidR="00277743" w:rsidSect="005C5FDC">
      <w:headerReference w:type="even" r:id="rId8"/>
      <w:headerReference w:type="default" r:id="rId9"/>
      <w:footerReference w:type="even" r:id="rId10"/>
      <w:footerReference w:type="default" r:id="rId11"/>
      <w:footerReference w:type="first" r:id="rId12"/>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84" w:rsidRDefault="00EC3684">
      <w:r>
        <w:separator/>
      </w:r>
    </w:p>
  </w:endnote>
  <w:endnote w:type="continuationSeparator" w:id="0">
    <w:p w:rsidR="00EC3684" w:rsidRDefault="00EC3684">
      <w:r>
        <w:continuationSeparator/>
      </w:r>
    </w:p>
  </w:endnote>
  <w:endnote w:id="1">
    <w:p w:rsidR="008462E0" w:rsidRPr="008462E0" w:rsidRDefault="008462E0" w:rsidP="008462E0">
      <w:pPr>
        <w:ind w:firstLine="567"/>
        <w:rPr>
          <w:color w:val="000000"/>
          <w:sz w:val="20"/>
          <w:szCs w:val="20"/>
          <w:shd w:val="clear" w:color="auto" w:fill="FFFFFF"/>
        </w:rPr>
      </w:pPr>
      <w:r w:rsidRPr="008462E0">
        <w:rPr>
          <w:rStyle w:val="EndnoteReference"/>
          <w:sz w:val="20"/>
          <w:szCs w:val="20"/>
        </w:rPr>
        <w:endnoteRef/>
      </w:r>
      <w:r w:rsidRPr="008462E0">
        <w:rPr>
          <w:sz w:val="20"/>
          <w:szCs w:val="20"/>
        </w:rPr>
        <w:t xml:space="preserve"> </w:t>
      </w:r>
      <w:r w:rsidRPr="008462E0">
        <w:rPr>
          <w:color w:val="000000"/>
          <w:sz w:val="20"/>
          <w:szCs w:val="20"/>
          <w:shd w:val="clear" w:color="auto" w:fill="FFFFFF"/>
        </w:rPr>
        <w:t xml:space="preserve">Pamatojums: </w:t>
      </w:r>
    </w:p>
    <w:p w:rsidR="008462E0" w:rsidRPr="008462E0" w:rsidRDefault="008462E0" w:rsidP="008462E0">
      <w:pPr>
        <w:pStyle w:val="NormalWeb"/>
        <w:shd w:val="clear" w:color="auto" w:fill="FFFFFF"/>
        <w:spacing w:before="0" w:beforeAutospacing="0" w:after="0" w:afterAutospacing="0"/>
        <w:ind w:firstLine="567"/>
        <w:jc w:val="both"/>
        <w:rPr>
          <w:sz w:val="20"/>
          <w:szCs w:val="20"/>
        </w:rPr>
      </w:pPr>
      <w:r w:rsidRPr="008462E0">
        <w:rPr>
          <w:color w:val="000000"/>
          <w:sz w:val="20"/>
          <w:szCs w:val="20"/>
          <w:shd w:val="clear" w:color="auto" w:fill="FFFFFF"/>
        </w:rPr>
        <w:t xml:space="preserve">Likumprojekta “Par vidēja termiņa budžeta ietvaru 2021., 2022. un 2023.gadam” pavadošie likumprojekti satur jaunus uzdevumus un izdevumu palielinājumu pašvaldībām  - </w:t>
      </w:r>
      <w:r w:rsidRPr="008462E0">
        <w:rPr>
          <w:sz w:val="20"/>
          <w:szCs w:val="20"/>
        </w:rPr>
        <w:t>būtisks papildu finansējums (aptuveni 50 milj. </w:t>
      </w:r>
      <w:r w:rsidRPr="008462E0">
        <w:rPr>
          <w:i/>
          <w:iCs/>
          <w:sz w:val="20"/>
          <w:szCs w:val="20"/>
        </w:rPr>
        <w:t>euro</w:t>
      </w:r>
      <w:r w:rsidRPr="008462E0">
        <w:rPr>
          <w:sz w:val="20"/>
          <w:szCs w:val="20"/>
        </w:rPr>
        <w:t xml:space="preserve">) virknei pasākumu, </w:t>
      </w:r>
      <w:r w:rsidRPr="008462E0">
        <w:rPr>
          <w:color w:val="000000"/>
          <w:sz w:val="20"/>
          <w:szCs w:val="20"/>
          <w:shd w:val="clear" w:color="auto" w:fill="FFFFFF"/>
        </w:rPr>
        <w:t xml:space="preserve">tai skaitā </w:t>
      </w:r>
      <w:r w:rsidRPr="008462E0">
        <w:rPr>
          <w:sz w:val="20"/>
          <w:szCs w:val="20"/>
        </w:rPr>
        <w:t xml:space="preserve">lielāku garantētā minimālā ienākuma līmeņa un dzīvokļa pabalstu izmaksai, darba algas palielināšanai pašvaldību iestādēs strādājošajiem saistībā ar minimālās mēneša darba algas kāpumu, minimālās algas likmes paaugstināšanai no pašvaldības budžeta finansētajiem pirmsskolas izglītības iestāžu pedagogiem, pasākumiem saistībā ar ATR īstenošanu u.c. </w:t>
      </w:r>
    </w:p>
    <w:p w:rsidR="008462E0" w:rsidRPr="008462E0" w:rsidRDefault="008462E0" w:rsidP="008462E0">
      <w:pPr>
        <w:pStyle w:val="NormalWeb"/>
        <w:shd w:val="clear" w:color="auto" w:fill="FFFFFF"/>
        <w:spacing w:before="0" w:beforeAutospacing="0" w:after="0" w:afterAutospacing="0"/>
        <w:ind w:firstLine="567"/>
        <w:jc w:val="both"/>
        <w:rPr>
          <w:color w:val="000000" w:themeColor="text1"/>
          <w:sz w:val="20"/>
          <w:szCs w:val="20"/>
        </w:rPr>
      </w:pPr>
      <w:r w:rsidRPr="008462E0">
        <w:rPr>
          <w:color w:val="000000" w:themeColor="text1"/>
          <w:sz w:val="20"/>
          <w:szCs w:val="20"/>
        </w:rPr>
        <w:t xml:space="preserve">Eiropas vietējo pašvaldību hartas 9.pants nosaka pašvaldību finanšu resursu nodrošināšanas principus, proti, </w:t>
      </w:r>
    </w:p>
    <w:p w:rsidR="008462E0" w:rsidRPr="008462E0" w:rsidRDefault="008462E0" w:rsidP="008462E0">
      <w:pPr>
        <w:pStyle w:val="NormalWeb"/>
        <w:numPr>
          <w:ilvl w:val="0"/>
          <w:numId w:val="22"/>
        </w:numPr>
        <w:shd w:val="clear" w:color="auto" w:fill="FFFFFF"/>
        <w:spacing w:before="0" w:beforeAutospacing="0" w:after="0" w:afterAutospacing="0"/>
        <w:ind w:left="0" w:firstLine="567"/>
        <w:jc w:val="both"/>
        <w:rPr>
          <w:color w:val="000000" w:themeColor="text1"/>
          <w:sz w:val="20"/>
          <w:szCs w:val="20"/>
        </w:rPr>
      </w:pPr>
      <w:r w:rsidRPr="008462E0">
        <w:rPr>
          <w:color w:val="000000" w:themeColor="text1"/>
          <w:sz w:val="20"/>
          <w:szCs w:val="20"/>
        </w:rPr>
        <w:t xml:space="preserve">vietējām varām valsts ekonomiskās politikas ietvaros ir tiesības uz pietiekamiem pašu finanšu resursiem, ar kuriem tās drīkst brīvi rīkoties savu pilnvaru robežās. </w:t>
      </w:r>
    </w:p>
    <w:p w:rsidR="008462E0" w:rsidRPr="008462E0" w:rsidRDefault="008462E0" w:rsidP="008462E0">
      <w:pPr>
        <w:pStyle w:val="NormalWeb"/>
        <w:numPr>
          <w:ilvl w:val="0"/>
          <w:numId w:val="22"/>
        </w:numPr>
        <w:shd w:val="clear" w:color="auto" w:fill="FFFFFF"/>
        <w:spacing w:before="0" w:beforeAutospacing="0" w:after="0" w:afterAutospacing="0"/>
        <w:ind w:left="0" w:firstLine="567"/>
        <w:jc w:val="both"/>
        <w:rPr>
          <w:color w:val="000000" w:themeColor="text1"/>
          <w:sz w:val="20"/>
          <w:szCs w:val="20"/>
        </w:rPr>
      </w:pPr>
      <w:r w:rsidRPr="008462E0">
        <w:rPr>
          <w:color w:val="000000" w:themeColor="text1"/>
          <w:sz w:val="20"/>
          <w:szCs w:val="20"/>
        </w:rPr>
        <w:t>Vietējo varu finanšu resursiem ir jābūt proporcionāliem pienākumiem, kas šīm varām ir noteikti konstitūcijā un ar likumu.</w:t>
      </w:r>
    </w:p>
    <w:p w:rsidR="008462E0" w:rsidRPr="008462E0" w:rsidRDefault="008462E0" w:rsidP="008462E0">
      <w:pPr>
        <w:pStyle w:val="NormalWeb"/>
        <w:numPr>
          <w:ilvl w:val="0"/>
          <w:numId w:val="22"/>
        </w:numPr>
        <w:shd w:val="clear" w:color="auto" w:fill="FFFFFF"/>
        <w:spacing w:before="0" w:beforeAutospacing="0" w:after="0" w:afterAutospacing="0"/>
        <w:ind w:left="0" w:firstLine="567"/>
        <w:jc w:val="both"/>
        <w:rPr>
          <w:color w:val="000000" w:themeColor="text1"/>
          <w:sz w:val="20"/>
          <w:szCs w:val="20"/>
        </w:rPr>
      </w:pPr>
      <w:r w:rsidRPr="008462E0">
        <w:rPr>
          <w:color w:val="000000" w:themeColor="text1"/>
          <w:sz w:val="20"/>
          <w:szCs w:val="20"/>
        </w:rPr>
        <w:t>Vismaz daļa no vietējo varu finanšu resursiem ir jāiegūst no vietējiem nodokļiem un maksas, kuru likmes tās ir tiesīgas noteikt likumā paredzētajās robežās.</w:t>
      </w:r>
    </w:p>
    <w:p w:rsidR="008462E0" w:rsidRPr="008462E0" w:rsidRDefault="008462E0" w:rsidP="008462E0">
      <w:pPr>
        <w:pStyle w:val="NormalWeb"/>
        <w:numPr>
          <w:ilvl w:val="0"/>
          <w:numId w:val="22"/>
        </w:numPr>
        <w:shd w:val="clear" w:color="auto" w:fill="FFFFFF"/>
        <w:spacing w:before="0" w:beforeAutospacing="0" w:after="0" w:afterAutospacing="0"/>
        <w:ind w:left="0" w:firstLine="567"/>
        <w:jc w:val="both"/>
        <w:rPr>
          <w:color w:val="000000" w:themeColor="text1"/>
          <w:sz w:val="20"/>
          <w:szCs w:val="20"/>
        </w:rPr>
      </w:pPr>
      <w:r w:rsidRPr="008462E0">
        <w:rPr>
          <w:color w:val="000000" w:themeColor="text1"/>
          <w:sz w:val="20"/>
          <w:szCs w:val="20"/>
        </w:rPr>
        <w:t>Finanšu sistēmām, uz kurām ir balstīti vietējām varām pieejamie līdzekļi, ir jābūt pietiekami daudzveidīgām un elastīgām, lai tās praktiski dotu iespēju sekot izpildāmo uzdevumu izmaksu patiesajai attīstībai.</w:t>
      </w:r>
    </w:p>
    <w:p w:rsidR="008462E0" w:rsidRPr="008462E0" w:rsidRDefault="008462E0" w:rsidP="008462E0">
      <w:pPr>
        <w:pStyle w:val="NormalWeb"/>
        <w:numPr>
          <w:ilvl w:val="0"/>
          <w:numId w:val="22"/>
        </w:numPr>
        <w:shd w:val="clear" w:color="auto" w:fill="FFFFFF"/>
        <w:spacing w:before="0" w:beforeAutospacing="0" w:after="0" w:afterAutospacing="0"/>
        <w:ind w:left="0" w:firstLine="567"/>
        <w:jc w:val="both"/>
        <w:rPr>
          <w:color w:val="000000" w:themeColor="text1"/>
          <w:sz w:val="20"/>
          <w:szCs w:val="20"/>
        </w:rPr>
      </w:pPr>
      <w:r w:rsidRPr="008462E0">
        <w:rPr>
          <w:color w:val="000000" w:themeColor="text1"/>
          <w:sz w:val="20"/>
          <w:szCs w:val="20"/>
        </w:rPr>
        <w:t>Finansiāli vājāko vietējo varu aizsardzība izsauc nepieciešamību ieviest finanšu izlīdzināšanas procedūras vai līdzvērtīgus pasākumus, kuru nolūks ir izlabot vietējo varu potenciālo finansēšanas avotu un uzliktās finanšu nastas nevienādā sadalījuma radītās sekas. Šādas procedūras vai pasākumi nevar ierobežot vietējo varu rīcības brīvību savu pienākumu robežās.</w:t>
      </w:r>
    </w:p>
    <w:p w:rsidR="008462E0" w:rsidRPr="008462E0" w:rsidRDefault="008462E0" w:rsidP="008462E0">
      <w:pPr>
        <w:ind w:firstLine="567"/>
        <w:jc w:val="both"/>
        <w:rPr>
          <w:color w:val="000000" w:themeColor="text1"/>
          <w:sz w:val="20"/>
          <w:szCs w:val="20"/>
          <w:shd w:val="clear" w:color="auto" w:fill="FFFFFF"/>
        </w:rPr>
      </w:pPr>
      <w:r w:rsidRPr="008462E0">
        <w:rPr>
          <w:color w:val="000000" w:themeColor="text1"/>
          <w:sz w:val="20"/>
          <w:szCs w:val="20"/>
        </w:rPr>
        <w:t>Likumprojekts “</w:t>
      </w:r>
      <w:r w:rsidRPr="008462E0">
        <w:rPr>
          <w:color w:val="000000" w:themeColor="text1"/>
          <w:sz w:val="20"/>
          <w:szCs w:val="20"/>
          <w:shd w:val="clear" w:color="auto" w:fill="FFFFFF"/>
        </w:rPr>
        <w:t xml:space="preserve">Par vidēja termiņa budžeta ietvaru 2021., 2022. un 2023.gadam” un to pavadošie likumprojekti </w:t>
      </w:r>
      <w:r w:rsidRPr="008462E0">
        <w:rPr>
          <w:color w:val="000000" w:themeColor="text1"/>
          <w:sz w:val="20"/>
          <w:szCs w:val="20"/>
        </w:rPr>
        <w:t>pie pašvaldību ienākumu samazinājuma ievērojami vairo pašvaldību izdevumus, kas nav samērīgi un ierobežo pašvaldības rīcības brīvību savu pienākumu robežās, un  tādējādi likumprojekts ir pretrunā šim starptautiskajam līgumam un pašvaldību finanšu resursu veidošanas principiem. Iedzīvotāju ienākumu nodoklis ir iedzīvotāju samaksāts nodoklis no viņu gūtajiem ienākumiem, cerot, ka pretī varēs saņemt nepieciešamos pakalpojumus. Piedāvātais priekšlikums nodrošina to, ka</w:t>
      </w:r>
      <w:r w:rsidRPr="008462E0">
        <w:rPr>
          <w:color w:val="000000" w:themeColor="text1"/>
          <w:sz w:val="20"/>
          <w:szCs w:val="20"/>
          <w:shd w:val="clear" w:color="auto" w:fill="FFFFFF"/>
        </w:rPr>
        <w:t xml:space="preserve"> iedzīvotāju ienākuma nodokļa ieņēmumu sadalījums starp valsts budžetu un pašvaldību budžetiem 2021.gadam, 2022.gadam un 2023.gadam starp pašvaldību budžetiem — 80 procentu apmērā un valsts budžetu — 20 procentu apmērā, nodrošina nemainīgu pašvaldību ieņēmumu proporciju, lai pašvaldības varētu nodrošināt pieaugošos izdevumus.</w:t>
      </w:r>
    </w:p>
    <w:p w:rsidR="008462E0" w:rsidRPr="008462E0" w:rsidRDefault="008462E0" w:rsidP="008462E0">
      <w:pPr>
        <w:pStyle w:val="EndnoteText"/>
        <w:ind w:firstLine="567"/>
      </w:pPr>
    </w:p>
  </w:endnote>
  <w:endnote w:id="2">
    <w:p w:rsidR="00AA0F3F" w:rsidRPr="00CD3C53" w:rsidRDefault="00AA0F3F" w:rsidP="00AA0F3F">
      <w:pPr>
        <w:ind w:firstLine="567"/>
        <w:jc w:val="both"/>
        <w:rPr>
          <w:sz w:val="22"/>
          <w:szCs w:val="22"/>
        </w:rPr>
      </w:pPr>
      <w:r>
        <w:rPr>
          <w:rStyle w:val="EndnoteReference"/>
        </w:rPr>
        <w:endnoteRef/>
      </w:r>
      <w:r>
        <w:t xml:space="preserve"> </w:t>
      </w:r>
      <w:r w:rsidRPr="00CD3C53">
        <w:rPr>
          <w:sz w:val="22"/>
          <w:szCs w:val="22"/>
        </w:rPr>
        <w:t xml:space="preserve">Pamatojums: </w:t>
      </w:r>
    </w:p>
    <w:p w:rsidR="00AA0F3F" w:rsidRPr="00CD3C53" w:rsidRDefault="00AA0F3F" w:rsidP="00AA0F3F">
      <w:pPr>
        <w:ind w:firstLine="567"/>
        <w:jc w:val="both"/>
        <w:rPr>
          <w:sz w:val="22"/>
          <w:szCs w:val="22"/>
        </w:rPr>
      </w:pPr>
      <w:r w:rsidRPr="00CD3C53">
        <w:rPr>
          <w:sz w:val="22"/>
          <w:szCs w:val="22"/>
        </w:rPr>
        <w:t>Likumprojekta “Par vidēja termiņa budžeta ietvaru 2021., 2022. un 2023.gadam” pavadošie likumprojekti satur jaunus uzdevumus un izdevumu palielinājumu pašvaldībām - būtisks papildu finansējums (aptuveni 50 milj. euro) virknei pasākumu, tai skaitā lielāku garantētā minimālā ienākuma līmeņa un dzīvokļa pabalstu izmaksai, darba algas palielināšanai pašvaldību iestādēs strādājošajiem saistībā ar minimālās mēneša darba algas kāpumu, minimālās algas likmes paaugstināšanai no pašvaldības budžeta finansētajiem pirmsskolas izglītības iestāžu pedagogiem, pasākumiem saistībā ar ATR īstenošanu u.c.</w:t>
      </w:r>
    </w:p>
    <w:p w:rsidR="00AA0F3F" w:rsidRPr="00CD3C53" w:rsidRDefault="00AA0F3F" w:rsidP="00AA0F3F">
      <w:pPr>
        <w:ind w:firstLine="567"/>
        <w:jc w:val="both"/>
        <w:rPr>
          <w:sz w:val="22"/>
          <w:szCs w:val="22"/>
        </w:rPr>
      </w:pPr>
      <w:r w:rsidRPr="00CD3C53">
        <w:rPr>
          <w:sz w:val="22"/>
          <w:szCs w:val="22"/>
        </w:rPr>
        <w:t>Eiropas vietējo pašvaldību hartas 9.pants nosaka pašvaldību finanšu resursu nodrošināšanas principus, proti,</w:t>
      </w:r>
    </w:p>
    <w:p w:rsidR="00AA0F3F" w:rsidRPr="00CD3C53" w:rsidRDefault="00AA0F3F" w:rsidP="00AA0F3F">
      <w:pPr>
        <w:ind w:firstLine="567"/>
        <w:jc w:val="both"/>
        <w:rPr>
          <w:sz w:val="22"/>
          <w:szCs w:val="22"/>
        </w:rPr>
      </w:pPr>
      <w:r w:rsidRPr="00CD3C53">
        <w:rPr>
          <w:sz w:val="22"/>
          <w:szCs w:val="22"/>
        </w:rPr>
        <w:t>a) vietējām varām valsts ekonomiskās politikas ietvaros ir tiesības uz pietiekamiem pašu finanšu resursiem, ar kuriem tās drīkst brīvi rīkoties savu pilnvaru robežās.</w:t>
      </w:r>
    </w:p>
    <w:p w:rsidR="00AA0F3F" w:rsidRPr="00CD3C53" w:rsidRDefault="00AA0F3F" w:rsidP="00AA0F3F">
      <w:pPr>
        <w:ind w:firstLine="567"/>
        <w:jc w:val="both"/>
        <w:rPr>
          <w:sz w:val="22"/>
          <w:szCs w:val="22"/>
        </w:rPr>
      </w:pPr>
      <w:r w:rsidRPr="00CD3C53">
        <w:rPr>
          <w:sz w:val="22"/>
          <w:szCs w:val="22"/>
        </w:rPr>
        <w:t>b) Vietējo varu finanšu resursiem ir jābūt proporcionāliem pienākumiem, kas šīm varām ir noteikti konstitūcijā un ar likumu.</w:t>
      </w:r>
    </w:p>
    <w:p w:rsidR="00AA0F3F" w:rsidRPr="00CD3C53" w:rsidRDefault="00AA0F3F" w:rsidP="00AA0F3F">
      <w:pPr>
        <w:ind w:firstLine="567"/>
        <w:jc w:val="both"/>
        <w:rPr>
          <w:sz w:val="22"/>
          <w:szCs w:val="22"/>
        </w:rPr>
      </w:pPr>
      <w:r w:rsidRPr="00CD3C53">
        <w:rPr>
          <w:sz w:val="22"/>
          <w:szCs w:val="22"/>
        </w:rPr>
        <w:t>c) Vismaz daļa no vietējo varu finanšu resursiem ir jāiegūst no vietējiem nodokļiem un maksas, kuru likmes tās ir tiesīgas noteikt likumā paredzētajās robežās.</w:t>
      </w:r>
    </w:p>
    <w:p w:rsidR="00AA0F3F" w:rsidRPr="00CD3C53" w:rsidRDefault="00AA0F3F" w:rsidP="00AA0F3F">
      <w:pPr>
        <w:ind w:firstLine="567"/>
        <w:jc w:val="both"/>
        <w:rPr>
          <w:sz w:val="22"/>
          <w:szCs w:val="22"/>
        </w:rPr>
      </w:pPr>
      <w:r w:rsidRPr="00CD3C53">
        <w:rPr>
          <w:sz w:val="22"/>
          <w:szCs w:val="22"/>
        </w:rPr>
        <w:t>d) Finanšu sistēmām, uz kurām ir balstīti vietējām varām pieejamie līdzekļi, ir jābūt pietiekami daudzveidīgām un elastīgām, lai tās praktiski dotu iespēju sekot izpildāmo uzdevumu izmaksu patiesajai attīstībai.</w:t>
      </w:r>
    </w:p>
    <w:p w:rsidR="00AA0F3F" w:rsidRPr="00CD3C53" w:rsidRDefault="00AA0F3F" w:rsidP="00AA0F3F">
      <w:pPr>
        <w:ind w:firstLine="567"/>
        <w:jc w:val="both"/>
        <w:rPr>
          <w:sz w:val="22"/>
          <w:szCs w:val="22"/>
        </w:rPr>
      </w:pPr>
      <w:r w:rsidRPr="00CD3C53">
        <w:rPr>
          <w:sz w:val="22"/>
          <w:szCs w:val="22"/>
        </w:rPr>
        <w:t>e) Finansiāli vājāko vietējo varu aizsardzība izsauc nepieciešamību ieviest finanšu izlīdzināšanas procedūras vai līdzvērtīgus pasākumus, kuru nolūks ir izlabot vietējo varu potenciālo finansēšanas avotu un uzliktās finanšu nastas nevienādā sadalījuma radītās sekas. Šādas procedūras vai pasākumi nevar ierobežot vietējo varu rīcības brīvību savu pienākumu robežās.</w:t>
      </w:r>
    </w:p>
    <w:p w:rsidR="00AA0F3F" w:rsidRPr="00CD3C53" w:rsidRDefault="00AA0F3F" w:rsidP="00AA0F3F">
      <w:pPr>
        <w:ind w:firstLine="567"/>
        <w:jc w:val="both"/>
        <w:rPr>
          <w:sz w:val="22"/>
          <w:szCs w:val="22"/>
        </w:rPr>
      </w:pPr>
      <w:r w:rsidRPr="00CD3C53">
        <w:rPr>
          <w:sz w:val="22"/>
          <w:szCs w:val="22"/>
        </w:rPr>
        <w:t>Likumprojekts “Par vidēja termiņa budžeta ietvaru 2021., 2022. un 2023.gadam” un to pavadošie likumprojekti pie pašvaldību ienākumu samazinājuma ievērojami vairo pašvaldību izdevumus, kas nav samērīgi un ierobežo pašvaldības rīcības brīvību savu pienākumu robežās, un tādējādi likumprojekts ir pretrunā šim starptautiskajam līgumam un pašvaldību finanšu resursu veidošanas principiem. Iedzīvotāju ienākumu nodoklis ir iedzīvotāju samaksāts nodoklis no viņu gūtajiem ienākumiem, cerot, ka pretī varēs saņemt nepieciešamos pakalpojumus. Piedāvātais priekšlikums nodrošina to, ka iedzīvotāju ienākuma nodokļa ieņēmumu sadalījums starp valsts budžetu un pašvaldību budžetiem 2021.gadam, 2022.gadam un 2023.gadam starp pašvaldību budžetiem — 80 procentu apmērā un valsts budžetu — 20 procentu apmērā, nodrošina nemainīgu pašvaldību ieņēmumu proporciju, lai pašvaldības varētu nodrošināt pieaugošos izdevumus.</w:t>
      </w:r>
    </w:p>
    <w:p w:rsidR="00AA0F3F" w:rsidRDefault="00AA0F3F" w:rsidP="00AA0F3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9A07B3">
    <w:pPr>
      <w:pStyle w:val="Foot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separate"/>
    </w:r>
    <w:r w:rsidR="00BC3A25">
      <w:rPr>
        <w:rStyle w:val="PageNumber"/>
        <w:noProof/>
      </w:rPr>
      <w:t>2</w:t>
    </w:r>
    <w:r>
      <w:rPr>
        <w:rStyle w:val="PageNumber"/>
      </w:rPr>
      <w:fldChar w:fldCharType="end"/>
    </w:r>
  </w:p>
  <w:p w:rsidR="00527DEB" w:rsidRPr="00CC0F55" w:rsidRDefault="00527DEB" w:rsidP="001D282E">
    <w:pPr>
      <w:pStyle w:val="Footer"/>
      <w:ind w:right="360"/>
      <w:rPr>
        <w:sz w:val="20"/>
      </w:rPr>
    </w:pPr>
  </w:p>
  <w:p w:rsidR="00527DEB" w:rsidRPr="008B3D42" w:rsidRDefault="00527DEB"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Pr="008B3D42" w:rsidRDefault="00527DEB" w:rsidP="00BF51C1">
    <w:pPr>
      <w:pStyle w:val="Footer"/>
    </w:pPr>
  </w:p>
  <w:p w:rsidR="00527DEB" w:rsidRPr="009021A6" w:rsidRDefault="0052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84" w:rsidRDefault="00EC3684">
      <w:r>
        <w:separator/>
      </w:r>
    </w:p>
  </w:footnote>
  <w:footnote w:type="continuationSeparator" w:id="0">
    <w:p w:rsidR="00EC3684" w:rsidRDefault="00EC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AB3087" w:rsidP="00D63D38">
    <w:pPr>
      <w:pStyle w:val="Header"/>
      <w:framePr w:wrap="around" w:vAnchor="text" w:hAnchor="margin" w:xAlign="right" w:y="1"/>
      <w:rPr>
        <w:rStyle w:val="PageNumber"/>
      </w:rPr>
    </w:pPr>
    <w:r>
      <w:rPr>
        <w:rStyle w:val="PageNumber"/>
      </w:rPr>
      <w:fldChar w:fldCharType="begin"/>
    </w:r>
    <w:r w:rsidR="00527DEB">
      <w:rPr>
        <w:rStyle w:val="PageNumber"/>
      </w:rPr>
      <w:instrText xml:space="preserve">PAGE  </w:instrText>
    </w:r>
    <w:r>
      <w:rPr>
        <w:rStyle w:val="PageNumber"/>
      </w:rPr>
      <w:fldChar w:fldCharType="end"/>
    </w:r>
  </w:p>
  <w:p w:rsidR="00527DEB" w:rsidRDefault="00527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EB" w:rsidRDefault="00527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D42B9A"/>
    <w:multiLevelType w:val="hybridMultilevel"/>
    <w:tmpl w:val="85C0BC42"/>
    <w:lvl w:ilvl="0" w:tplc="E47E64C4">
      <w:start w:val="1"/>
      <w:numFmt w:val="decimal"/>
      <w:lvlText w:val="%1."/>
      <w:lvlJc w:val="left"/>
      <w:pPr>
        <w:ind w:left="790" w:hanging="430"/>
      </w:pPr>
      <w:rPr>
        <w:rFonts w:hint="default"/>
        <w:b w:val="0"/>
        <w:bCs/>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2A0194"/>
    <w:multiLevelType w:val="hybridMultilevel"/>
    <w:tmpl w:val="F796CC30"/>
    <w:lvl w:ilvl="0" w:tplc="63CE529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8" w15:restartNumberingAfterBreak="0">
    <w:nsid w:val="276A51DD"/>
    <w:multiLevelType w:val="hybridMultilevel"/>
    <w:tmpl w:val="AE6009D4"/>
    <w:lvl w:ilvl="0" w:tplc="2CB202FA">
      <w:start w:val="1"/>
      <w:numFmt w:val="lowerLetter"/>
      <w:lvlText w:val="%1)"/>
      <w:lvlJc w:val="left"/>
      <w:pPr>
        <w:ind w:left="1080" w:hanging="360"/>
      </w:pPr>
      <w:rPr>
        <w:rFonts w:ascii="Times New Roman" w:hAnsi="Times New Roman" w:cs="Times New Roman"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18" w15:restartNumberingAfterBreak="0">
    <w:nsid w:val="6E4935A2"/>
    <w:multiLevelType w:val="hybridMultilevel"/>
    <w:tmpl w:val="43F46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1D6BB4"/>
    <w:multiLevelType w:val="hybridMultilevel"/>
    <w:tmpl w:val="5622C26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0"/>
  </w:num>
  <w:num w:numId="5">
    <w:abstractNumId w:val="20"/>
  </w:num>
  <w:num w:numId="6">
    <w:abstractNumId w:val="1"/>
  </w:num>
  <w:num w:numId="7">
    <w:abstractNumId w:val="11"/>
  </w:num>
  <w:num w:numId="8">
    <w:abstractNumId w:val="12"/>
  </w:num>
  <w:num w:numId="9">
    <w:abstractNumId w:val="15"/>
  </w:num>
  <w:num w:numId="10">
    <w:abstractNumId w:val="9"/>
  </w:num>
  <w:num w:numId="11">
    <w:abstractNumId w:val="2"/>
  </w:num>
  <w:num w:numId="12">
    <w:abstractNumId w:val="21"/>
  </w:num>
  <w:num w:numId="13">
    <w:abstractNumId w:val="0"/>
  </w:num>
  <w:num w:numId="14">
    <w:abstractNumId w:val="6"/>
  </w:num>
  <w:num w:numId="15">
    <w:abstractNumId w:val="22"/>
  </w:num>
  <w:num w:numId="16">
    <w:abstractNumId w:val="16"/>
  </w:num>
  <w:num w:numId="17">
    <w:abstractNumId w:val="14"/>
  </w:num>
  <w:num w:numId="18">
    <w:abstractNumId w:val="7"/>
  </w:num>
  <w:num w:numId="19">
    <w:abstractNumId w:val="4"/>
  </w:num>
  <w:num w:numId="20">
    <w:abstractNumId w:val="19"/>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22EC"/>
    <w:rsid w:val="00003869"/>
    <w:rsid w:val="0000398E"/>
    <w:rsid w:val="00007610"/>
    <w:rsid w:val="00010DB8"/>
    <w:rsid w:val="000119AE"/>
    <w:rsid w:val="0001336C"/>
    <w:rsid w:val="00021C48"/>
    <w:rsid w:val="00022047"/>
    <w:rsid w:val="0002520B"/>
    <w:rsid w:val="00026068"/>
    <w:rsid w:val="00026CDC"/>
    <w:rsid w:val="000270C6"/>
    <w:rsid w:val="000318AF"/>
    <w:rsid w:val="000328AA"/>
    <w:rsid w:val="0003487A"/>
    <w:rsid w:val="00037303"/>
    <w:rsid w:val="00037BE8"/>
    <w:rsid w:val="00037D3C"/>
    <w:rsid w:val="000418C8"/>
    <w:rsid w:val="000435A6"/>
    <w:rsid w:val="00044152"/>
    <w:rsid w:val="00050061"/>
    <w:rsid w:val="0005529B"/>
    <w:rsid w:val="00055D5B"/>
    <w:rsid w:val="0005674A"/>
    <w:rsid w:val="00056CE7"/>
    <w:rsid w:val="0005739D"/>
    <w:rsid w:val="00060A91"/>
    <w:rsid w:val="0006218D"/>
    <w:rsid w:val="000644E8"/>
    <w:rsid w:val="00064951"/>
    <w:rsid w:val="00067790"/>
    <w:rsid w:val="00067EC5"/>
    <w:rsid w:val="00070F90"/>
    <w:rsid w:val="00071EB6"/>
    <w:rsid w:val="000743D0"/>
    <w:rsid w:val="000747EA"/>
    <w:rsid w:val="0007768E"/>
    <w:rsid w:val="00083A16"/>
    <w:rsid w:val="000847C0"/>
    <w:rsid w:val="000871FB"/>
    <w:rsid w:val="00094083"/>
    <w:rsid w:val="00095889"/>
    <w:rsid w:val="000974B9"/>
    <w:rsid w:val="000978EA"/>
    <w:rsid w:val="000A07AB"/>
    <w:rsid w:val="000B097B"/>
    <w:rsid w:val="000B37EC"/>
    <w:rsid w:val="000B3CDE"/>
    <w:rsid w:val="000B3ED1"/>
    <w:rsid w:val="000B73FF"/>
    <w:rsid w:val="000B7734"/>
    <w:rsid w:val="000B7FCE"/>
    <w:rsid w:val="000C0C37"/>
    <w:rsid w:val="000C0D67"/>
    <w:rsid w:val="000C3DE5"/>
    <w:rsid w:val="000C4DFF"/>
    <w:rsid w:val="000C4EF4"/>
    <w:rsid w:val="000C5E2A"/>
    <w:rsid w:val="000C6861"/>
    <w:rsid w:val="000C69AB"/>
    <w:rsid w:val="000C72B8"/>
    <w:rsid w:val="000D00BF"/>
    <w:rsid w:val="000D19EB"/>
    <w:rsid w:val="000D2285"/>
    <w:rsid w:val="000D5C16"/>
    <w:rsid w:val="000E1508"/>
    <w:rsid w:val="000E24A8"/>
    <w:rsid w:val="000E29B5"/>
    <w:rsid w:val="000F14A4"/>
    <w:rsid w:val="0010182C"/>
    <w:rsid w:val="00101EBF"/>
    <w:rsid w:val="00103DF1"/>
    <w:rsid w:val="00107166"/>
    <w:rsid w:val="00110BD9"/>
    <w:rsid w:val="00112419"/>
    <w:rsid w:val="0011392F"/>
    <w:rsid w:val="00116621"/>
    <w:rsid w:val="001172A3"/>
    <w:rsid w:val="00117486"/>
    <w:rsid w:val="001204FB"/>
    <w:rsid w:val="001218EB"/>
    <w:rsid w:val="00124CEB"/>
    <w:rsid w:val="001264E3"/>
    <w:rsid w:val="00134113"/>
    <w:rsid w:val="00134976"/>
    <w:rsid w:val="00141122"/>
    <w:rsid w:val="001422D2"/>
    <w:rsid w:val="00145AFE"/>
    <w:rsid w:val="0014660B"/>
    <w:rsid w:val="00147E42"/>
    <w:rsid w:val="00152FD4"/>
    <w:rsid w:val="001616C4"/>
    <w:rsid w:val="00163841"/>
    <w:rsid w:val="00165DB2"/>
    <w:rsid w:val="001715B9"/>
    <w:rsid w:val="00173A1C"/>
    <w:rsid w:val="00173A4B"/>
    <w:rsid w:val="00175270"/>
    <w:rsid w:val="00175A91"/>
    <w:rsid w:val="00176BB4"/>
    <w:rsid w:val="00177C92"/>
    <w:rsid w:val="00181C84"/>
    <w:rsid w:val="0018205A"/>
    <w:rsid w:val="00186916"/>
    <w:rsid w:val="00186DFF"/>
    <w:rsid w:val="0019525B"/>
    <w:rsid w:val="001956DD"/>
    <w:rsid w:val="00195D15"/>
    <w:rsid w:val="001A117D"/>
    <w:rsid w:val="001A130B"/>
    <w:rsid w:val="001A26FF"/>
    <w:rsid w:val="001A3879"/>
    <w:rsid w:val="001A5014"/>
    <w:rsid w:val="001B1269"/>
    <w:rsid w:val="001B35B1"/>
    <w:rsid w:val="001B73F5"/>
    <w:rsid w:val="001C168E"/>
    <w:rsid w:val="001C1705"/>
    <w:rsid w:val="001C1EFF"/>
    <w:rsid w:val="001C5AFF"/>
    <w:rsid w:val="001D0081"/>
    <w:rsid w:val="001D282E"/>
    <w:rsid w:val="001D5E04"/>
    <w:rsid w:val="001D6022"/>
    <w:rsid w:val="001D62F9"/>
    <w:rsid w:val="001E024F"/>
    <w:rsid w:val="001E02AA"/>
    <w:rsid w:val="001E4162"/>
    <w:rsid w:val="001E5F42"/>
    <w:rsid w:val="001F1103"/>
    <w:rsid w:val="001F12F0"/>
    <w:rsid w:val="001F2274"/>
    <w:rsid w:val="002011E6"/>
    <w:rsid w:val="002027DD"/>
    <w:rsid w:val="002037D3"/>
    <w:rsid w:val="00207F5B"/>
    <w:rsid w:val="00211BAA"/>
    <w:rsid w:val="002141DB"/>
    <w:rsid w:val="00216D7B"/>
    <w:rsid w:val="00224296"/>
    <w:rsid w:val="002259BE"/>
    <w:rsid w:val="00230174"/>
    <w:rsid w:val="00231C4B"/>
    <w:rsid w:val="00232D11"/>
    <w:rsid w:val="002417EA"/>
    <w:rsid w:val="00242414"/>
    <w:rsid w:val="00245D6B"/>
    <w:rsid w:val="00246100"/>
    <w:rsid w:val="0024756D"/>
    <w:rsid w:val="00253EA1"/>
    <w:rsid w:val="0025479E"/>
    <w:rsid w:val="00254E23"/>
    <w:rsid w:val="00264ED1"/>
    <w:rsid w:val="00265807"/>
    <w:rsid w:val="00273BF8"/>
    <w:rsid w:val="00273E87"/>
    <w:rsid w:val="0027592E"/>
    <w:rsid w:val="00276A32"/>
    <w:rsid w:val="00276C3D"/>
    <w:rsid w:val="00277743"/>
    <w:rsid w:val="0028119F"/>
    <w:rsid w:val="00282D3D"/>
    <w:rsid w:val="00283D92"/>
    <w:rsid w:val="00283E17"/>
    <w:rsid w:val="00284D76"/>
    <w:rsid w:val="00284E9E"/>
    <w:rsid w:val="00286D84"/>
    <w:rsid w:val="002903B2"/>
    <w:rsid w:val="0029218B"/>
    <w:rsid w:val="00293B17"/>
    <w:rsid w:val="002A01AD"/>
    <w:rsid w:val="002A0659"/>
    <w:rsid w:val="002A40A0"/>
    <w:rsid w:val="002B2C92"/>
    <w:rsid w:val="002B5ABC"/>
    <w:rsid w:val="002B6352"/>
    <w:rsid w:val="002B765F"/>
    <w:rsid w:val="002C08EF"/>
    <w:rsid w:val="002C5790"/>
    <w:rsid w:val="002C6FAE"/>
    <w:rsid w:val="002C7633"/>
    <w:rsid w:val="002C7B98"/>
    <w:rsid w:val="002D513B"/>
    <w:rsid w:val="002D73B7"/>
    <w:rsid w:val="002E6F96"/>
    <w:rsid w:val="002F16B9"/>
    <w:rsid w:val="002F2D91"/>
    <w:rsid w:val="002F4C2E"/>
    <w:rsid w:val="002F550D"/>
    <w:rsid w:val="002F726A"/>
    <w:rsid w:val="002F757B"/>
    <w:rsid w:val="00300D0D"/>
    <w:rsid w:val="0031181F"/>
    <w:rsid w:val="003127E4"/>
    <w:rsid w:val="0031688A"/>
    <w:rsid w:val="003172EB"/>
    <w:rsid w:val="0032016E"/>
    <w:rsid w:val="003306B6"/>
    <w:rsid w:val="00332B4E"/>
    <w:rsid w:val="00332BA5"/>
    <w:rsid w:val="003405B5"/>
    <w:rsid w:val="00341440"/>
    <w:rsid w:val="003422B6"/>
    <w:rsid w:val="003443CC"/>
    <w:rsid w:val="00353CE9"/>
    <w:rsid w:val="00353EB9"/>
    <w:rsid w:val="00356715"/>
    <w:rsid w:val="00362411"/>
    <w:rsid w:val="00365417"/>
    <w:rsid w:val="0036717F"/>
    <w:rsid w:val="00367BDB"/>
    <w:rsid w:val="00367FBF"/>
    <w:rsid w:val="0037073B"/>
    <w:rsid w:val="00370DBD"/>
    <w:rsid w:val="00371FFE"/>
    <w:rsid w:val="0037722C"/>
    <w:rsid w:val="00377B56"/>
    <w:rsid w:val="003814DA"/>
    <w:rsid w:val="00381566"/>
    <w:rsid w:val="00381811"/>
    <w:rsid w:val="003839FF"/>
    <w:rsid w:val="00386B9D"/>
    <w:rsid w:val="003870C7"/>
    <w:rsid w:val="0039172D"/>
    <w:rsid w:val="00395140"/>
    <w:rsid w:val="003959FA"/>
    <w:rsid w:val="003B0047"/>
    <w:rsid w:val="003B16A3"/>
    <w:rsid w:val="003B6A0C"/>
    <w:rsid w:val="003B794D"/>
    <w:rsid w:val="003C0EDA"/>
    <w:rsid w:val="003C14D7"/>
    <w:rsid w:val="003C59D5"/>
    <w:rsid w:val="003D2BB9"/>
    <w:rsid w:val="003D4677"/>
    <w:rsid w:val="003D4B1F"/>
    <w:rsid w:val="003D5C3B"/>
    <w:rsid w:val="003D6E2C"/>
    <w:rsid w:val="003E49FA"/>
    <w:rsid w:val="003E4E9D"/>
    <w:rsid w:val="003E6A2B"/>
    <w:rsid w:val="003F0CB4"/>
    <w:rsid w:val="003F10FA"/>
    <w:rsid w:val="003F3C60"/>
    <w:rsid w:val="00403899"/>
    <w:rsid w:val="00405052"/>
    <w:rsid w:val="00406F01"/>
    <w:rsid w:val="0040782C"/>
    <w:rsid w:val="00410DD4"/>
    <w:rsid w:val="0041380C"/>
    <w:rsid w:val="004171B2"/>
    <w:rsid w:val="00417407"/>
    <w:rsid w:val="00420540"/>
    <w:rsid w:val="00424890"/>
    <w:rsid w:val="00424BBA"/>
    <w:rsid w:val="00426056"/>
    <w:rsid w:val="00431579"/>
    <w:rsid w:val="00431EFE"/>
    <w:rsid w:val="0043429E"/>
    <w:rsid w:val="004346D5"/>
    <w:rsid w:val="00435E29"/>
    <w:rsid w:val="00435EA6"/>
    <w:rsid w:val="00442747"/>
    <w:rsid w:val="00442C8A"/>
    <w:rsid w:val="00442F8F"/>
    <w:rsid w:val="004454E5"/>
    <w:rsid w:val="004502DD"/>
    <w:rsid w:val="00450F3E"/>
    <w:rsid w:val="00451828"/>
    <w:rsid w:val="0045279F"/>
    <w:rsid w:val="00453723"/>
    <w:rsid w:val="00454AE9"/>
    <w:rsid w:val="00457D04"/>
    <w:rsid w:val="00461291"/>
    <w:rsid w:val="004617C5"/>
    <w:rsid w:val="00461853"/>
    <w:rsid w:val="004651B3"/>
    <w:rsid w:val="004671B2"/>
    <w:rsid w:val="00467CDD"/>
    <w:rsid w:val="00470820"/>
    <w:rsid w:val="004722F7"/>
    <w:rsid w:val="00473510"/>
    <w:rsid w:val="004751B6"/>
    <w:rsid w:val="00475B5B"/>
    <w:rsid w:val="0048108A"/>
    <w:rsid w:val="00487107"/>
    <w:rsid w:val="00490B32"/>
    <w:rsid w:val="00490BA3"/>
    <w:rsid w:val="00491B19"/>
    <w:rsid w:val="00494D88"/>
    <w:rsid w:val="004958E7"/>
    <w:rsid w:val="00496CC9"/>
    <w:rsid w:val="004A160F"/>
    <w:rsid w:val="004A3E83"/>
    <w:rsid w:val="004A4AA5"/>
    <w:rsid w:val="004A5824"/>
    <w:rsid w:val="004A62E8"/>
    <w:rsid w:val="004B4B33"/>
    <w:rsid w:val="004B73F0"/>
    <w:rsid w:val="004B76DD"/>
    <w:rsid w:val="004C1422"/>
    <w:rsid w:val="004C1532"/>
    <w:rsid w:val="004C2F5F"/>
    <w:rsid w:val="004C4B5E"/>
    <w:rsid w:val="004C4D36"/>
    <w:rsid w:val="004D116E"/>
    <w:rsid w:val="004D3133"/>
    <w:rsid w:val="004E1038"/>
    <w:rsid w:val="004E221F"/>
    <w:rsid w:val="004F49F9"/>
    <w:rsid w:val="004F4FCD"/>
    <w:rsid w:val="004F6F7B"/>
    <w:rsid w:val="005008B9"/>
    <w:rsid w:val="00501EF3"/>
    <w:rsid w:val="00505F9A"/>
    <w:rsid w:val="005104A9"/>
    <w:rsid w:val="005158E2"/>
    <w:rsid w:val="00515958"/>
    <w:rsid w:val="00516A4D"/>
    <w:rsid w:val="00516E7E"/>
    <w:rsid w:val="0052143E"/>
    <w:rsid w:val="00524401"/>
    <w:rsid w:val="00524AED"/>
    <w:rsid w:val="005250DD"/>
    <w:rsid w:val="005251F3"/>
    <w:rsid w:val="00525E5C"/>
    <w:rsid w:val="00527DEB"/>
    <w:rsid w:val="005316B9"/>
    <w:rsid w:val="00532000"/>
    <w:rsid w:val="005339AC"/>
    <w:rsid w:val="00537A31"/>
    <w:rsid w:val="00542E34"/>
    <w:rsid w:val="005430B7"/>
    <w:rsid w:val="00543C22"/>
    <w:rsid w:val="00544F0D"/>
    <w:rsid w:val="0054576A"/>
    <w:rsid w:val="00552AF1"/>
    <w:rsid w:val="00553215"/>
    <w:rsid w:val="005536D4"/>
    <w:rsid w:val="00555E2B"/>
    <w:rsid w:val="00556ABA"/>
    <w:rsid w:val="005613C3"/>
    <w:rsid w:val="0056234A"/>
    <w:rsid w:val="00562495"/>
    <w:rsid w:val="005629D2"/>
    <w:rsid w:val="005649FC"/>
    <w:rsid w:val="00564B2D"/>
    <w:rsid w:val="00566AAF"/>
    <w:rsid w:val="00567443"/>
    <w:rsid w:val="005704CC"/>
    <w:rsid w:val="0057368E"/>
    <w:rsid w:val="0057373B"/>
    <w:rsid w:val="00573742"/>
    <w:rsid w:val="00575955"/>
    <w:rsid w:val="00583A58"/>
    <w:rsid w:val="00583FB2"/>
    <w:rsid w:val="00586A22"/>
    <w:rsid w:val="005874B2"/>
    <w:rsid w:val="00587DB2"/>
    <w:rsid w:val="00590AF4"/>
    <w:rsid w:val="005928E7"/>
    <w:rsid w:val="0059297E"/>
    <w:rsid w:val="005949CF"/>
    <w:rsid w:val="00595C1D"/>
    <w:rsid w:val="005A0024"/>
    <w:rsid w:val="005A0786"/>
    <w:rsid w:val="005A3939"/>
    <w:rsid w:val="005B04F2"/>
    <w:rsid w:val="005B17B5"/>
    <w:rsid w:val="005B2F1A"/>
    <w:rsid w:val="005B353C"/>
    <w:rsid w:val="005B5D4D"/>
    <w:rsid w:val="005B62A3"/>
    <w:rsid w:val="005B6536"/>
    <w:rsid w:val="005B68C0"/>
    <w:rsid w:val="005C1E39"/>
    <w:rsid w:val="005C3363"/>
    <w:rsid w:val="005C5FDC"/>
    <w:rsid w:val="005D087C"/>
    <w:rsid w:val="005D31CF"/>
    <w:rsid w:val="005D3F1B"/>
    <w:rsid w:val="005D4C52"/>
    <w:rsid w:val="005D62F6"/>
    <w:rsid w:val="005D75FF"/>
    <w:rsid w:val="005E080B"/>
    <w:rsid w:val="005E4761"/>
    <w:rsid w:val="005E4884"/>
    <w:rsid w:val="005F0783"/>
    <w:rsid w:val="005F07FA"/>
    <w:rsid w:val="005F2678"/>
    <w:rsid w:val="005F29B7"/>
    <w:rsid w:val="005F37E1"/>
    <w:rsid w:val="005F4614"/>
    <w:rsid w:val="005F5EAF"/>
    <w:rsid w:val="005F61F6"/>
    <w:rsid w:val="005F704F"/>
    <w:rsid w:val="005F7D86"/>
    <w:rsid w:val="00600AD6"/>
    <w:rsid w:val="00601A52"/>
    <w:rsid w:val="00602C39"/>
    <w:rsid w:val="006030AD"/>
    <w:rsid w:val="00611895"/>
    <w:rsid w:val="006130F3"/>
    <w:rsid w:val="00613BA6"/>
    <w:rsid w:val="00615BC5"/>
    <w:rsid w:val="00615FC5"/>
    <w:rsid w:val="00617F91"/>
    <w:rsid w:val="00620A27"/>
    <w:rsid w:val="00625C93"/>
    <w:rsid w:val="00627C5B"/>
    <w:rsid w:val="00631130"/>
    <w:rsid w:val="00635E31"/>
    <w:rsid w:val="006404CE"/>
    <w:rsid w:val="006414EB"/>
    <w:rsid w:val="00641B8C"/>
    <w:rsid w:val="006427F7"/>
    <w:rsid w:val="006449F9"/>
    <w:rsid w:val="006474C1"/>
    <w:rsid w:val="006515D0"/>
    <w:rsid w:val="00651902"/>
    <w:rsid w:val="0065340B"/>
    <w:rsid w:val="00653B4F"/>
    <w:rsid w:val="00653B73"/>
    <w:rsid w:val="00657D26"/>
    <w:rsid w:val="00661330"/>
    <w:rsid w:val="00667D8E"/>
    <w:rsid w:val="00670722"/>
    <w:rsid w:val="006722BE"/>
    <w:rsid w:val="00673EF9"/>
    <w:rsid w:val="006747A3"/>
    <w:rsid w:val="00675BC5"/>
    <w:rsid w:val="00676BF3"/>
    <w:rsid w:val="006807D7"/>
    <w:rsid w:val="006809FB"/>
    <w:rsid w:val="006846DE"/>
    <w:rsid w:val="00685389"/>
    <w:rsid w:val="006923DE"/>
    <w:rsid w:val="0069259C"/>
    <w:rsid w:val="00692EE9"/>
    <w:rsid w:val="006940DD"/>
    <w:rsid w:val="0069561D"/>
    <w:rsid w:val="006A01C1"/>
    <w:rsid w:val="006A180E"/>
    <w:rsid w:val="006A2E95"/>
    <w:rsid w:val="006A328D"/>
    <w:rsid w:val="006A33AF"/>
    <w:rsid w:val="006A3714"/>
    <w:rsid w:val="006A421F"/>
    <w:rsid w:val="006A4C3F"/>
    <w:rsid w:val="006A63E6"/>
    <w:rsid w:val="006B26C8"/>
    <w:rsid w:val="006B2E6F"/>
    <w:rsid w:val="006B5A79"/>
    <w:rsid w:val="006B5EB3"/>
    <w:rsid w:val="006C5371"/>
    <w:rsid w:val="006C5F56"/>
    <w:rsid w:val="006E24C1"/>
    <w:rsid w:val="006E2D70"/>
    <w:rsid w:val="006F0601"/>
    <w:rsid w:val="006F073C"/>
    <w:rsid w:val="006F352C"/>
    <w:rsid w:val="006F3E4B"/>
    <w:rsid w:val="006F576C"/>
    <w:rsid w:val="006F584E"/>
    <w:rsid w:val="006F67BC"/>
    <w:rsid w:val="006F6AE1"/>
    <w:rsid w:val="006F7242"/>
    <w:rsid w:val="00701C98"/>
    <w:rsid w:val="00703740"/>
    <w:rsid w:val="00706027"/>
    <w:rsid w:val="00706DB6"/>
    <w:rsid w:val="007074E2"/>
    <w:rsid w:val="0071435C"/>
    <w:rsid w:val="007209F5"/>
    <w:rsid w:val="00721091"/>
    <w:rsid w:val="00721B79"/>
    <w:rsid w:val="00721FBC"/>
    <w:rsid w:val="0072294B"/>
    <w:rsid w:val="00723FC6"/>
    <w:rsid w:val="00727229"/>
    <w:rsid w:val="00730614"/>
    <w:rsid w:val="007332A5"/>
    <w:rsid w:val="00736A6E"/>
    <w:rsid w:val="00740CF1"/>
    <w:rsid w:val="007424A5"/>
    <w:rsid w:val="007433EC"/>
    <w:rsid w:val="00746907"/>
    <w:rsid w:val="00753923"/>
    <w:rsid w:val="00753F28"/>
    <w:rsid w:val="00754C42"/>
    <w:rsid w:val="00755475"/>
    <w:rsid w:val="00757919"/>
    <w:rsid w:val="0076177D"/>
    <w:rsid w:val="007618E1"/>
    <w:rsid w:val="00767A5F"/>
    <w:rsid w:val="00770813"/>
    <w:rsid w:val="0077105C"/>
    <w:rsid w:val="00771A4E"/>
    <w:rsid w:val="007744FD"/>
    <w:rsid w:val="00774683"/>
    <w:rsid w:val="00775A92"/>
    <w:rsid w:val="00777964"/>
    <w:rsid w:val="007806C9"/>
    <w:rsid w:val="00781160"/>
    <w:rsid w:val="0078235C"/>
    <w:rsid w:val="0079055E"/>
    <w:rsid w:val="00791457"/>
    <w:rsid w:val="007914F9"/>
    <w:rsid w:val="007922F3"/>
    <w:rsid w:val="00792ECD"/>
    <w:rsid w:val="00794BB1"/>
    <w:rsid w:val="007A185A"/>
    <w:rsid w:val="007A2AD5"/>
    <w:rsid w:val="007A3470"/>
    <w:rsid w:val="007A421F"/>
    <w:rsid w:val="007A4418"/>
    <w:rsid w:val="007B1E93"/>
    <w:rsid w:val="007B3A0A"/>
    <w:rsid w:val="007B5FD2"/>
    <w:rsid w:val="007B6F4C"/>
    <w:rsid w:val="007C4AC4"/>
    <w:rsid w:val="007D1047"/>
    <w:rsid w:val="007D1886"/>
    <w:rsid w:val="007D20A1"/>
    <w:rsid w:val="007D262D"/>
    <w:rsid w:val="007D340E"/>
    <w:rsid w:val="007D3B83"/>
    <w:rsid w:val="007E09A5"/>
    <w:rsid w:val="007E169B"/>
    <w:rsid w:val="007E2E06"/>
    <w:rsid w:val="007E592F"/>
    <w:rsid w:val="007E7DE1"/>
    <w:rsid w:val="007E7E2D"/>
    <w:rsid w:val="007F039E"/>
    <w:rsid w:val="007F4641"/>
    <w:rsid w:val="007F4938"/>
    <w:rsid w:val="007F5C3A"/>
    <w:rsid w:val="007F670E"/>
    <w:rsid w:val="007F7E84"/>
    <w:rsid w:val="00801F74"/>
    <w:rsid w:val="00802C3B"/>
    <w:rsid w:val="00804E86"/>
    <w:rsid w:val="008066F7"/>
    <w:rsid w:val="00807E43"/>
    <w:rsid w:val="00810957"/>
    <w:rsid w:val="00813407"/>
    <w:rsid w:val="0081524B"/>
    <w:rsid w:val="0081668F"/>
    <w:rsid w:val="008167DF"/>
    <w:rsid w:val="008175C9"/>
    <w:rsid w:val="00821C43"/>
    <w:rsid w:val="00822186"/>
    <w:rsid w:val="00823C09"/>
    <w:rsid w:val="00825EDC"/>
    <w:rsid w:val="0082728B"/>
    <w:rsid w:val="008279FC"/>
    <w:rsid w:val="008305BA"/>
    <w:rsid w:val="008317DD"/>
    <w:rsid w:val="00834336"/>
    <w:rsid w:val="00834B3A"/>
    <w:rsid w:val="008462E0"/>
    <w:rsid w:val="008474B2"/>
    <w:rsid w:val="00850CD0"/>
    <w:rsid w:val="008519E0"/>
    <w:rsid w:val="00852D37"/>
    <w:rsid w:val="00852ED9"/>
    <w:rsid w:val="008531BB"/>
    <w:rsid w:val="008533D0"/>
    <w:rsid w:val="00854732"/>
    <w:rsid w:val="008575BB"/>
    <w:rsid w:val="008602BD"/>
    <w:rsid w:val="00864D5D"/>
    <w:rsid w:val="008719C7"/>
    <w:rsid w:val="00872E0D"/>
    <w:rsid w:val="008803AC"/>
    <w:rsid w:val="008807F4"/>
    <w:rsid w:val="00881CEA"/>
    <w:rsid w:val="00883429"/>
    <w:rsid w:val="008838D8"/>
    <w:rsid w:val="0088399E"/>
    <w:rsid w:val="0088449E"/>
    <w:rsid w:val="00884C89"/>
    <w:rsid w:val="00887D7B"/>
    <w:rsid w:val="00891DF8"/>
    <w:rsid w:val="008924D7"/>
    <w:rsid w:val="00892B31"/>
    <w:rsid w:val="008933FA"/>
    <w:rsid w:val="0089432F"/>
    <w:rsid w:val="00896115"/>
    <w:rsid w:val="00896321"/>
    <w:rsid w:val="008965F0"/>
    <w:rsid w:val="0089724E"/>
    <w:rsid w:val="008A422F"/>
    <w:rsid w:val="008A6540"/>
    <w:rsid w:val="008B051B"/>
    <w:rsid w:val="008B137C"/>
    <w:rsid w:val="008B2B08"/>
    <w:rsid w:val="008B3274"/>
    <w:rsid w:val="008B3D42"/>
    <w:rsid w:val="008B3E1B"/>
    <w:rsid w:val="008B6465"/>
    <w:rsid w:val="008B6DE0"/>
    <w:rsid w:val="008C29C5"/>
    <w:rsid w:val="008C4239"/>
    <w:rsid w:val="008C4B57"/>
    <w:rsid w:val="008D2FC1"/>
    <w:rsid w:val="008D3F7B"/>
    <w:rsid w:val="008E2F03"/>
    <w:rsid w:val="008E6991"/>
    <w:rsid w:val="008E7550"/>
    <w:rsid w:val="008E79FE"/>
    <w:rsid w:val="008F0B9A"/>
    <w:rsid w:val="008F21AE"/>
    <w:rsid w:val="008F36D6"/>
    <w:rsid w:val="008F5F75"/>
    <w:rsid w:val="008F64DF"/>
    <w:rsid w:val="008F68A5"/>
    <w:rsid w:val="008F7738"/>
    <w:rsid w:val="0090204D"/>
    <w:rsid w:val="009021A6"/>
    <w:rsid w:val="00903280"/>
    <w:rsid w:val="00905D1A"/>
    <w:rsid w:val="00910A71"/>
    <w:rsid w:val="00912AB2"/>
    <w:rsid w:val="00914DA1"/>
    <w:rsid w:val="00920C12"/>
    <w:rsid w:val="00924689"/>
    <w:rsid w:val="0092730D"/>
    <w:rsid w:val="00932AD7"/>
    <w:rsid w:val="00934E10"/>
    <w:rsid w:val="009379BE"/>
    <w:rsid w:val="0094020D"/>
    <w:rsid w:val="00943926"/>
    <w:rsid w:val="0094730E"/>
    <w:rsid w:val="00951868"/>
    <w:rsid w:val="009557CE"/>
    <w:rsid w:val="00955B64"/>
    <w:rsid w:val="00955EAD"/>
    <w:rsid w:val="00956842"/>
    <w:rsid w:val="00960E39"/>
    <w:rsid w:val="009638D4"/>
    <w:rsid w:val="009652C9"/>
    <w:rsid w:val="00970C89"/>
    <w:rsid w:val="0097164D"/>
    <w:rsid w:val="00975B01"/>
    <w:rsid w:val="00977AAC"/>
    <w:rsid w:val="00983F68"/>
    <w:rsid w:val="0098576D"/>
    <w:rsid w:val="00986DD0"/>
    <w:rsid w:val="0099255D"/>
    <w:rsid w:val="00992912"/>
    <w:rsid w:val="00993051"/>
    <w:rsid w:val="009938A0"/>
    <w:rsid w:val="00993E63"/>
    <w:rsid w:val="0099426D"/>
    <w:rsid w:val="009959B3"/>
    <w:rsid w:val="009975FD"/>
    <w:rsid w:val="009A0566"/>
    <w:rsid w:val="009A07B3"/>
    <w:rsid w:val="009A0924"/>
    <w:rsid w:val="009A35DF"/>
    <w:rsid w:val="009A4150"/>
    <w:rsid w:val="009A5197"/>
    <w:rsid w:val="009A5F8F"/>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6902"/>
    <w:rsid w:val="009D346E"/>
    <w:rsid w:val="009E179D"/>
    <w:rsid w:val="009E3C8B"/>
    <w:rsid w:val="009E5B2C"/>
    <w:rsid w:val="009E6B8A"/>
    <w:rsid w:val="009E7780"/>
    <w:rsid w:val="009F0253"/>
    <w:rsid w:val="009F0839"/>
    <w:rsid w:val="009F1E19"/>
    <w:rsid w:val="009F4F61"/>
    <w:rsid w:val="009F6976"/>
    <w:rsid w:val="009F6EA9"/>
    <w:rsid w:val="009F74BB"/>
    <w:rsid w:val="00A00BEB"/>
    <w:rsid w:val="00A02177"/>
    <w:rsid w:val="00A02AD0"/>
    <w:rsid w:val="00A07F1B"/>
    <w:rsid w:val="00A118B5"/>
    <w:rsid w:val="00A13253"/>
    <w:rsid w:val="00A16CFC"/>
    <w:rsid w:val="00A17D5D"/>
    <w:rsid w:val="00A20E2D"/>
    <w:rsid w:val="00A234C1"/>
    <w:rsid w:val="00A23571"/>
    <w:rsid w:val="00A264FE"/>
    <w:rsid w:val="00A310E2"/>
    <w:rsid w:val="00A3282B"/>
    <w:rsid w:val="00A32987"/>
    <w:rsid w:val="00A336C4"/>
    <w:rsid w:val="00A35945"/>
    <w:rsid w:val="00A36900"/>
    <w:rsid w:val="00A37292"/>
    <w:rsid w:val="00A375E2"/>
    <w:rsid w:val="00A377F5"/>
    <w:rsid w:val="00A41557"/>
    <w:rsid w:val="00A43311"/>
    <w:rsid w:val="00A454B1"/>
    <w:rsid w:val="00A52702"/>
    <w:rsid w:val="00A560AD"/>
    <w:rsid w:val="00A57D76"/>
    <w:rsid w:val="00A67603"/>
    <w:rsid w:val="00A72DCF"/>
    <w:rsid w:val="00A73BAD"/>
    <w:rsid w:val="00A75A36"/>
    <w:rsid w:val="00A75C0D"/>
    <w:rsid w:val="00A804BC"/>
    <w:rsid w:val="00A81BAC"/>
    <w:rsid w:val="00A82E77"/>
    <w:rsid w:val="00A84A67"/>
    <w:rsid w:val="00A859C7"/>
    <w:rsid w:val="00A8634F"/>
    <w:rsid w:val="00A903B2"/>
    <w:rsid w:val="00A92B11"/>
    <w:rsid w:val="00A93957"/>
    <w:rsid w:val="00A950EE"/>
    <w:rsid w:val="00A95CFA"/>
    <w:rsid w:val="00A95FBA"/>
    <w:rsid w:val="00A979C4"/>
    <w:rsid w:val="00A97F2B"/>
    <w:rsid w:val="00AA0C46"/>
    <w:rsid w:val="00AA0F3F"/>
    <w:rsid w:val="00AA1E3F"/>
    <w:rsid w:val="00AA5211"/>
    <w:rsid w:val="00AB04B5"/>
    <w:rsid w:val="00AB171A"/>
    <w:rsid w:val="00AB175B"/>
    <w:rsid w:val="00AB2091"/>
    <w:rsid w:val="00AB3087"/>
    <w:rsid w:val="00AB334C"/>
    <w:rsid w:val="00AB6218"/>
    <w:rsid w:val="00AB63E6"/>
    <w:rsid w:val="00AB7CC9"/>
    <w:rsid w:val="00AC06B9"/>
    <w:rsid w:val="00AC6656"/>
    <w:rsid w:val="00AC668C"/>
    <w:rsid w:val="00AD07E7"/>
    <w:rsid w:val="00AD1003"/>
    <w:rsid w:val="00AD3A09"/>
    <w:rsid w:val="00AD6BB0"/>
    <w:rsid w:val="00AE051C"/>
    <w:rsid w:val="00AE4810"/>
    <w:rsid w:val="00AE4D92"/>
    <w:rsid w:val="00AE50FC"/>
    <w:rsid w:val="00AF1459"/>
    <w:rsid w:val="00AF2A73"/>
    <w:rsid w:val="00AF319A"/>
    <w:rsid w:val="00AF3DE2"/>
    <w:rsid w:val="00AF3E9D"/>
    <w:rsid w:val="00B02ECC"/>
    <w:rsid w:val="00B02F57"/>
    <w:rsid w:val="00B04A56"/>
    <w:rsid w:val="00B10440"/>
    <w:rsid w:val="00B10A2B"/>
    <w:rsid w:val="00B12199"/>
    <w:rsid w:val="00B12F09"/>
    <w:rsid w:val="00B138A9"/>
    <w:rsid w:val="00B155FB"/>
    <w:rsid w:val="00B15F07"/>
    <w:rsid w:val="00B261C4"/>
    <w:rsid w:val="00B30078"/>
    <w:rsid w:val="00B31164"/>
    <w:rsid w:val="00B33EAF"/>
    <w:rsid w:val="00B340C3"/>
    <w:rsid w:val="00B35076"/>
    <w:rsid w:val="00B40BF3"/>
    <w:rsid w:val="00B41893"/>
    <w:rsid w:val="00B41949"/>
    <w:rsid w:val="00B439A8"/>
    <w:rsid w:val="00B45031"/>
    <w:rsid w:val="00B4547A"/>
    <w:rsid w:val="00B460F4"/>
    <w:rsid w:val="00B50B2B"/>
    <w:rsid w:val="00B516B7"/>
    <w:rsid w:val="00B537F2"/>
    <w:rsid w:val="00B60EDA"/>
    <w:rsid w:val="00B61A16"/>
    <w:rsid w:val="00B626FF"/>
    <w:rsid w:val="00B66EBB"/>
    <w:rsid w:val="00B7082C"/>
    <w:rsid w:val="00B7092A"/>
    <w:rsid w:val="00B70CAB"/>
    <w:rsid w:val="00B7413C"/>
    <w:rsid w:val="00B75711"/>
    <w:rsid w:val="00B76A09"/>
    <w:rsid w:val="00B76F4D"/>
    <w:rsid w:val="00B779F3"/>
    <w:rsid w:val="00B802F9"/>
    <w:rsid w:val="00B82608"/>
    <w:rsid w:val="00B90086"/>
    <w:rsid w:val="00B922B7"/>
    <w:rsid w:val="00B9539C"/>
    <w:rsid w:val="00B95EFB"/>
    <w:rsid w:val="00BA0064"/>
    <w:rsid w:val="00BA02D5"/>
    <w:rsid w:val="00BA10CD"/>
    <w:rsid w:val="00BA7EAB"/>
    <w:rsid w:val="00BB08BE"/>
    <w:rsid w:val="00BB3ED9"/>
    <w:rsid w:val="00BB5AE7"/>
    <w:rsid w:val="00BB6DFA"/>
    <w:rsid w:val="00BC2151"/>
    <w:rsid w:val="00BC27BB"/>
    <w:rsid w:val="00BC3A25"/>
    <w:rsid w:val="00BC4985"/>
    <w:rsid w:val="00BC4A4D"/>
    <w:rsid w:val="00BC5317"/>
    <w:rsid w:val="00BC68ED"/>
    <w:rsid w:val="00BD0872"/>
    <w:rsid w:val="00BD12B5"/>
    <w:rsid w:val="00BD7419"/>
    <w:rsid w:val="00BD7A6C"/>
    <w:rsid w:val="00BE302B"/>
    <w:rsid w:val="00BE600F"/>
    <w:rsid w:val="00BF1E1D"/>
    <w:rsid w:val="00BF471D"/>
    <w:rsid w:val="00BF51C1"/>
    <w:rsid w:val="00BF6FBD"/>
    <w:rsid w:val="00C02C40"/>
    <w:rsid w:val="00C113C5"/>
    <w:rsid w:val="00C1325A"/>
    <w:rsid w:val="00C20A5F"/>
    <w:rsid w:val="00C22C19"/>
    <w:rsid w:val="00C33C2A"/>
    <w:rsid w:val="00C34032"/>
    <w:rsid w:val="00C35D8B"/>
    <w:rsid w:val="00C42B52"/>
    <w:rsid w:val="00C50A8B"/>
    <w:rsid w:val="00C544D9"/>
    <w:rsid w:val="00C54DA2"/>
    <w:rsid w:val="00C568B1"/>
    <w:rsid w:val="00C56FC1"/>
    <w:rsid w:val="00C61170"/>
    <w:rsid w:val="00C62254"/>
    <w:rsid w:val="00C65DBB"/>
    <w:rsid w:val="00C661F3"/>
    <w:rsid w:val="00C664E7"/>
    <w:rsid w:val="00C67DA5"/>
    <w:rsid w:val="00C7015D"/>
    <w:rsid w:val="00C75595"/>
    <w:rsid w:val="00C778E8"/>
    <w:rsid w:val="00C803DD"/>
    <w:rsid w:val="00C806C9"/>
    <w:rsid w:val="00C82639"/>
    <w:rsid w:val="00C852C4"/>
    <w:rsid w:val="00C9049D"/>
    <w:rsid w:val="00C91D23"/>
    <w:rsid w:val="00C93A5E"/>
    <w:rsid w:val="00C940ED"/>
    <w:rsid w:val="00C97710"/>
    <w:rsid w:val="00CA090F"/>
    <w:rsid w:val="00CA0E65"/>
    <w:rsid w:val="00CA2E02"/>
    <w:rsid w:val="00CA2E10"/>
    <w:rsid w:val="00CA3ADC"/>
    <w:rsid w:val="00CA3D4D"/>
    <w:rsid w:val="00CA6FE9"/>
    <w:rsid w:val="00CB0726"/>
    <w:rsid w:val="00CB1E15"/>
    <w:rsid w:val="00CB47A2"/>
    <w:rsid w:val="00CB5435"/>
    <w:rsid w:val="00CB7B71"/>
    <w:rsid w:val="00CC0242"/>
    <w:rsid w:val="00CC0F55"/>
    <w:rsid w:val="00CC2A8B"/>
    <w:rsid w:val="00CC2E12"/>
    <w:rsid w:val="00CC350C"/>
    <w:rsid w:val="00CC407E"/>
    <w:rsid w:val="00CC53BC"/>
    <w:rsid w:val="00CC6C54"/>
    <w:rsid w:val="00CC7C62"/>
    <w:rsid w:val="00CD0C46"/>
    <w:rsid w:val="00CD123E"/>
    <w:rsid w:val="00CD3347"/>
    <w:rsid w:val="00CD39B6"/>
    <w:rsid w:val="00CD3CA9"/>
    <w:rsid w:val="00CD5F10"/>
    <w:rsid w:val="00CD7DC9"/>
    <w:rsid w:val="00CE00ED"/>
    <w:rsid w:val="00CE074B"/>
    <w:rsid w:val="00CE160C"/>
    <w:rsid w:val="00CE5ADE"/>
    <w:rsid w:val="00CE69F8"/>
    <w:rsid w:val="00CF1B51"/>
    <w:rsid w:val="00CF2D08"/>
    <w:rsid w:val="00CF53BB"/>
    <w:rsid w:val="00CF551A"/>
    <w:rsid w:val="00CF6A4F"/>
    <w:rsid w:val="00CF79D1"/>
    <w:rsid w:val="00D0157E"/>
    <w:rsid w:val="00D0252F"/>
    <w:rsid w:val="00D06926"/>
    <w:rsid w:val="00D07229"/>
    <w:rsid w:val="00D10469"/>
    <w:rsid w:val="00D115CC"/>
    <w:rsid w:val="00D131C8"/>
    <w:rsid w:val="00D134E4"/>
    <w:rsid w:val="00D137D7"/>
    <w:rsid w:val="00D148B4"/>
    <w:rsid w:val="00D149DD"/>
    <w:rsid w:val="00D15C30"/>
    <w:rsid w:val="00D210C7"/>
    <w:rsid w:val="00D219E1"/>
    <w:rsid w:val="00D21A93"/>
    <w:rsid w:val="00D21B94"/>
    <w:rsid w:val="00D25CD3"/>
    <w:rsid w:val="00D31F78"/>
    <w:rsid w:val="00D336F5"/>
    <w:rsid w:val="00D42BEE"/>
    <w:rsid w:val="00D43659"/>
    <w:rsid w:val="00D44B35"/>
    <w:rsid w:val="00D507D8"/>
    <w:rsid w:val="00D53E53"/>
    <w:rsid w:val="00D576FD"/>
    <w:rsid w:val="00D5792B"/>
    <w:rsid w:val="00D57ACE"/>
    <w:rsid w:val="00D6125D"/>
    <w:rsid w:val="00D630F4"/>
    <w:rsid w:val="00D63D38"/>
    <w:rsid w:val="00D64C9D"/>
    <w:rsid w:val="00D66695"/>
    <w:rsid w:val="00D66D85"/>
    <w:rsid w:val="00D678F4"/>
    <w:rsid w:val="00D72D90"/>
    <w:rsid w:val="00D74718"/>
    <w:rsid w:val="00D75CBD"/>
    <w:rsid w:val="00D77144"/>
    <w:rsid w:val="00D82DEF"/>
    <w:rsid w:val="00D834CD"/>
    <w:rsid w:val="00D8356D"/>
    <w:rsid w:val="00D844D2"/>
    <w:rsid w:val="00D85FF8"/>
    <w:rsid w:val="00D86CFD"/>
    <w:rsid w:val="00D874CD"/>
    <w:rsid w:val="00D9522E"/>
    <w:rsid w:val="00DA04AE"/>
    <w:rsid w:val="00DA409B"/>
    <w:rsid w:val="00DB05AD"/>
    <w:rsid w:val="00DB168D"/>
    <w:rsid w:val="00DB1EFA"/>
    <w:rsid w:val="00DB22DA"/>
    <w:rsid w:val="00DB62B6"/>
    <w:rsid w:val="00DB752F"/>
    <w:rsid w:val="00DC01C5"/>
    <w:rsid w:val="00DC1606"/>
    <w:rsid w:val="00DC4CAD"/>
    <w:rsid w:val="00DC5D2A"/>
    <w:rsid w:val="00DD396E"/>
    <w:rsid w:val="00DD5730"/>
    <w:rsid w:val="00DE0312"/>
    <w:rsid w:val="00DE1132"/>
    <w:rsid w:val="00DE3A9F"/>
    <w:rsid w:val="00DE51C3"/>
    <w:rsid w:val="00DF06BA"/>
    <w:rsid w:val="00DF1ABE"/>
    <w:rsid w:val="00DF744B"/>
    <w:rsid w:val="00E002BC"/>
    <w:rsid w:val="00E029DB"/>
    <w:rsid w:val="00E04C7C"/>
    <w:rsid w:val="00E04FCA"/>
    <w:rsid w:val="00E077BA"/>
    <w:rsid w:val="00E122F2"/>
    <w:rsid w:val="00E13612"/>
    <w:rsid w:val="00E1494C"/>
    <w:rsid w:val="00E1610E"/>
    <w:rsid w:val="00E17947"/>
    <w:rsid w:val="00E17A07"/>
    <w:rsid w:val="00E17B99"/>
    <w:rsid w:val="00E20E99"/>
    <w:rsid w:val="00E23BFE"/>
    <w:rsid w:val="00E23CB1"/>
    <w:rsid w:val="00E24A68"/>
    <w:rsid w:val="00E321BF"/>
    <w:rsid w:val="00E36BDD"/>
    <w:rsid w:val="00E41A3D"/>
    <w:rsid w:val="00E45CF6"/>
    <w:rsid w:val="00E50DBD"/>
    <w:rsid w:val="00E519D3"/>
    <w:rsid w:val="00E52C70"/>
    <w:rsid w:val="00E531A9"/>
    <w:rsid w:val="00E53D11"/>
    <w:rsid w:val="00E54AB1"/>
    <w:rsid w:val="00E550DE"/>
    <w:rsid w:val="00E562E7"/>
    <w:rsid w:val="00E602C8"/>
    <w:rsid w:val="00E614E6"/>
    <w:rsid w:val="00E61A25"/>
    <w:rsid w:val="00E63728"/>
    <w:rsid w:val="00E657F3"/>
    <w:rsid w:val="00E66B62"/>
    <w:rsid w:val="00E70E99"/>
    <w:rsid w:val="00E74409"/>
    <w:rsid w:val="00E75B6E"/>
    <w:rsid w:val="00E766A7"/>
    <w:rsid w:val="00E907F5"/>
    <w:rsid w:val="00EA09BE"/>
    <w:rsid w:val="00EA137A"/>
    <w:rsid w:val="00EA3FAD"/>
    <w:rsid w:val="00EA52E7"/>
    <w:rsid w:val="00EA6843"/>
    <w:rsid w:val="00EA7864"/>
    <w:rsid w:val="00EB01D6"/>
    <w:rsid w:val="00EB160D"/>
    <w:rsid w:val="00EB1EC6"/>
    <w:rsid w:val="00EB22D0"/>
    <w:rsid w:val="00EB3002"/>
    <w:rsid w:val="00EC262E"/>
    <w:rsid w:val="00EC35FF"/>
    <w:rsid w:val="00EC3684"/>
    <w:rsid w:val="00EC4C80"/>
    <w:rsid w:val="00EC77CB"/>
    <w:rsid w:val="00EC7897"/>
    <w:rsid w:val="00ED07B2"/>
    <w:rsid w:val="00ED0FF3"/>
    <w:rsid w:val="00ED1248"/>
    <w:rsid w:val="00ED272F"/>
    <w:rsid w:val="00ED34DF"/>
    <w:rsid w:val="00ED4320"/>
    <w:rsid w:val="00EE3157"/>
    <w:rsid w:val="00EE39E9"/>
    <w:rsid w:val="00EE3EAB"/>
    <w:rsid w:val="00EE61B7"/>
    <w:rsid w:val="00EE73AF"/>
    <w:rsid w:val="00EE77EA"/>
    <w:rsid w:val="00EF65A0"/>
    <w:rsid w:val="00EF79CD"/>
    <w:rsid w:val="00F00090"/>
    <w:rsid w:val="00F0184D"/>
    <w:rsid w:val="00F02BCB"/>
    <w:rsid w:val="00F03282"/>
    <w:rsid w:val="00F053C6"/>
    <w:rsid w:val="00F054E3"/>
    <w:rsid w:val="00F0574B"/>
    <w:rsid w:val="00F0637F"/>
    <w:rsid w:val="00F064EB"/>
    <w:rsid w:val="00F107A7"/>
    <w:rsid w:val="00F1457C"/>
    <w:rsid w:val="00F175C1"/>
    <w:rsid w:val="00F175DD"/>
    <w:rsid w:val="00F20558"/>
    <w:rsid w:val="00F20BF5"/>
    <w:rsid w:val="00F22916"/>
    <w:rsid w:val="00F23BFD"/>
    <w:rsid w:val="00F275E3"/>
    <w:rsid w:val="00F30AD3"/>
    <w:rsid w:val="00F32733"/>
    <w:rsid w:val="00F34770"/>
    <w:rsid w:val="00F439DC"/>
    <w:rsid w:val="00F43DED"/>
    <w:rsid w:val="00F44494"/>
    <w:rsid w:val="00F451F3"/>
    <w:rsid w:val="00F46CCB"/>
    <w:rsid w:val="00F540E3"/>
    <w:rsid w:val="00F554E6"/>
    <w:rsid w:val="00F60F38"/>
    <w:rsid w:val="00F61D1E"/>
    <w:rsid w:val="00F642C8"/>
    <w:rsid w:val="00F70BCE"/>
    <w:rsid w:val="00F72A9A"/>
    <w:rsid w:val="00F75002"/>
    <w:rsid w:val="00F774A8"/>
    <w:rsid w:val="00F77E83"/>
    <w:rsid w:val="00F810EF"/>
    <w:rsid w:val="00F83552"/>
    <w:rsid w:val="00F83775"/>
    <w:rsid w:val="00F84B51"/>
    <w:rsid w:val="00F86406"/>
    <w:rsid w:val="00F90A28"/>
    <w:rsid w:val="00F91B8D"/>
    <w:rsid w:val="00F92C20"/>
    <w:rsid w:val="00F9361B"/>
    <w:rsid w:val="00F93E3D"/>
    <w:rsid w:val="00FA1FD0"/>
    <w:rsid w:val="00FB2B6B"/>
    <w:rsid w:val="00FC13A1"/>
    <w:rsid w:val="00FC5650"/>
    <w:rsid w:val="00FC56E8"/>
    <w:rsid w:val="00FC60A3"/>
    <w:rsid w:val="00FC6A16"/>
    <w:rsid w:val="00FD0F59"/>
    <w:rsid w:val="00FD1257"/>
    <w:rsid w:val="00FD2FFF"/>
    <w:rsid w:val="00FD4AED"/>
    <w:rsid w:val="00FD6493"/>
    <w:rsid w:val="00FE11F5"/>
    <w:rsid w:val="00FE336C"/>
    <w:rsid w:val="00FE347F"/>
    <w:rsid w:val="00FE3759"/>
    <w:rsid w:val="00FE3F65"/>
    <w:rsid w:val="00FE5ED7"/>
    <w:rsid w:val="00FE6C21"/>
    <w:rsid w:val="00FE72D3"/>
    <w:rsid w:val="00FE7EAA"/>
    <w:rsid w:val="00FF0529"/>
    <w:rsid w:val="00FF0CA4"/>
    <w:rsid w:val="00FF3C93"/>
    <w:rsid w:val="00FF3E5B"/>
    <w:rsid w:val="00FF47D5"/>
    <w:rsid w:val="00FF6492"/>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C"/>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0318AF"/>
    <w:rPr>
      <w:sz w:val="24"/>
      <w:szCs w:val="24"/>
      <w:lang w:eastAsia="en-US"/>
    </w:rPr>
  </w:style>
  <w:style w:type="character" w:customStyle="1" w:styleId="spelle">
    <w:name w:val="spelle"/>
    <w:basedOn w:val="DefaultParagraphFont"/>
    <w:rsid w:val="00AA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337002620">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359501281">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F96C-48D4-4A0A-8623-422A2AE8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1711</Words>
  <Characters>11928</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13612</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2</cp:revision>
  <cp:lastPrinted>2020-11-02T08:15:00Z</cp:lastPrinted>
  <dcterms:created xsi:type="dcterms:W3CDTF">2020-11-02T08:15:00Z</dcterms:created>
  <dcterms:modified xsi:type="dcterms:W3CDTF">2020-11-02T08:15:00Z</dcterms:modified>
</cp:coreProperties>
</file>