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2BEB3" w14:textId="77777777" w:rsidR="00831266" w:rsidRPr="00371588" w:rsidRDefault="000A531F" w:rsidP="00831266">
      <w:pPr>
        <w:jc w:val="center"/>
        <w:rPr>
          <w:b/>
          <w:sz w:val="28"/>
          <w:szCs w:val="28"/>
        </w:rPr>
      </w:pPr>
      <w:bookmarkStart w:id="0" w:name="_GoBack"/>
      <w:bookmarkEnd w:id="0"/>
      <w:r w:rsidRPr="00371588">
        <w:rPr>
          <w:b/>
          <w:sz w:val="28"/>
          <w:szCs w:val="28"/>
        </w:rPr>
        <w:t>Izziņa par atzinumos sniegtajiem iebildumiem</w:t>
      </w:r>
      <w:r w:rsidR="00831266" w:rsidRPr="00371588">
        <w:rPr>
          <w:b/>
          <w:sz w:val="28"/>
          <w:szCs w:val="28"/>
        </w:rPr>
        <w:t xml:space="preserve"> </w:t>
      </w:r>
    </w:p>
    <w:p w14:paraId="0ACC26B4" w14:textId="0E9E9F10" w:rsidR="00985C29" w:rsidRPr="00371588" w:rsidRDefault="008857B7" w:rsidP="00985C29">
      <w:pPr>
        <w:jc w:val="center"/>
        <w:rPr>
          <w:b/>
          <w:sz w:val="28"/>
          <w:szCs w:val="28"/>
        </w:rPr>
      </w:pPr>
      <w:r>
        <w:rPr>
          <w:b/>
          <w:sz w:val="28"/>
          <w:szCs w:val="28"/>
        </w:rPr>
        <w:t>Likumprojektam</w:t>
      </w:r>
      <w:r w:rsidRPr="008857B7">
        <w:rPr>
          <w:b/>
          <w:sz w:val="28"/>
          <w:szCs w:val="28"/>
        </w:rPr>
        <w:t xml:space="preserve"> "Grozījumi Ķīmisko vielu likumā"</w:t>
      </w:r>
    </w:p>
    <w:p w14:paraId="6C8F2033" w14:textId="0D652A7E" w:rsidR="004D1569" w:rsidRPr="00371588" w:rsidRDefault="009B1EEA" w:rsidP="004021B9">
      <w:pPr>
        <w:jc w:val="center"/>
        <w:rPr>
          <w:b/>
          <w:sz w:val="28"/>
          <w:szCs w:val="28"/>
          <w:lang w:eastAsia="en-US"/>
        </w:rPr>
      </w:pPr>
      <w:r w:rsidRPr="00371588">
        <w:rPr>
          <w:b/>
          <w:sz w:val="28"/>
          <w:szCs w:val="28"/>
        </w:rPr>
        <w:t xml:space="preserve"> </w:t>
      </w:r>
      <w:r w:rsidR="004D1569" w:rsidRPr="00371588">
        <w:rPr>
          <w:b/>
          <w:sz w:val="28"/>
          <w:szCs w:val="28"/>
        </w:rPr>
        <w:t>(VSS</w:t>
      </w:r>
      <w:r w:rsidR="001A67DB" w:rsidRPr="00371588">
        <w:rPr>
          <w:b/>
          <w:sz w:val="28"/>
          <w:szCs w:val="28"/>
        </w:rPr>
        <w:t xml:space="preserve"> </w:t>
      </w:r>
      <w:r w:rsidR="004D1569" w:rsidRPr="00371588">
        <w:rPr>
          <w:b/>
          <w:sz w:val="28"/>
          <w:szCs w:val="28"/>
        </w:rPr>
        <w:t xml:space="preserve">- </w:t>
      </w:r>
      <w:r w:rsidR="00A76D70">
        <w:rPr>
          <w:b/>
          <w:sz w:val="28"/>
          <w:szCs w:val="28"/>
        </w:rPr>
        <w:t>556</w:t>
      </w:r>
      <w:r w:rsidR="004D1569" w:rsidRPr="00371588">
        <w:rPr>
          <w:b/>
          <w:sz w:val="28"/>
          <w:szCs w:val="28"/>
        </w:rPr>
        <w:t xml:space="preserve">) </w:t>
      </w:r>
    </w:p>
    <w:p w14:paraId="527F9148" w14:textId="77777777" w:rsidR="00B31214" w:rsidRDefault="00B31214" w:rsidP="000A531F">
      <w:pPr>
        <w:jc w:val="center"/>
        <w:rPr>
          <w:b/>
        </w:rPr>
      </w:pPr>
    </w:p>
    <w:p w14:paraId="45771458" w14:textId="33EE27F4" w:rsidR="000A531F" w:rsidRPr="00371588" w:rsidRDefault="000A531F" w:rsidP="000A531F">
      <w:pPr>
        <w:jc w:val="center"/>
        <w:rPr>
          <w:b/>
        </w:rPr>
      </w:pPr>
      <w:r w:rsidRPr="00371588">
        <w:rPr>
          <w:b/>
        </w:rPr>
        <w:t>I.</w:t>
      </w:r>
      <w:r w:rsidR="00EA4FB1" w:rsidRPr="00371588">
        <w:rPr>
          <w:b/>
        </w:rPr>
        <w:t xml:space="preserve"> </w:t>
      </w:r>
      <w:r w:rsidRPr="00371588">
        <w:rPr>
          <w:b/>
        </w:rPr>
        <w:t>Jautājumi, par kuriem saskaņošanā vienošanās nav panākta</w:t>
      </w:r>
    </w:p>
    <w:tbl>
      <w:tblPr>
        <w:tblStyle w:val="TableGrid"/>
        <w:tblW w:w="15021" w:type="dxa"/>
        <w:tblLayout w:type="fixed"/>
        <w:tblLook w:val="01E0" w:firstRow="1" w:lastRow="1" w:firstColumn="1" w:lastColumn="1" w:noHBand="0" w:noVBand="0"/>
      </w:tblPr>
      <w:tblGrid>
        <w:gridCol w:w="648"/>
        <w:gridCol w:w="1757"/>
        <w:gridCol w:w="3827"/>
        <w:gridCol w:w="4136"/>
        <w:gridCol w:w="1620"/>
        <w:gridCol w:w="3033"/>
      </w:tblGrid>
      <w:tr w:rsidR="00F21F58" w:rsidRPr="00371588" w14:paraId="2DA0C375" w14:textId="77777777" w:rsidTr="006678C2">
        <w:tc>
          <w:tcPr>
            <w:tcW w:w="648" w:type="dxa"/>
            <w:vAlign w:val="center"/>
          </w:tcPr>
          <w:p w14:paraId="04544725" w14:textId="77777777" w:rsidR="000A531F" w:rsidRPr="00371588" w:rsidRDefault="000A531F" w:rsidP="0016680D">
            <w:pPr>
              <w:jc w:val="center"/>
            </w:pPr>
            <w:r w:rsidRPr="00371588">
              <w:t>Nr.p.k.</w:t>
            </w:r>
          </w:p>
        </w:tc>
        <w:tc>
          <w:tcPr>
            <w:tcW w:w="1757" w:type="dxa"/>
            <w:vAlign w:val="center"/>
          </w:tcPr>
          <w:p w14:paraId="3039FB62" w14:textId="77777777" w:rsidR="000A531F" w:rsidRPr="00371588" w:rsidRDefault="000A531F" w:rsidP="0016680D">
            <w:pPr>
              <w:jc w:val="center"/>
            </w:pPr>
            <w:r w:rsidRPr="00371588">
              <w:t>Saskaņošanai nosūtītā projekta redakcija (konkrēta punkta (panta) redakcija)</w:t>
            </w:r>
          </w:p>
        </w:tc>
        <w:tc>
          <w:tcPr>
            <w:tcW w:w="3827" w:type="dxa"/>
            <w:vAlign w:val="center"/>
          </w:tcPr>
          <w:p w14:paraId="3B6DA722" w14:textId="77777777" w:rsidR="000A531F" w:rsidRPr="00371588" w:rsidRDefault="000A531F" w:rsidP="0016680D">
            <w:pPr>
              <w:jc w:val="center"/>
            </w:pPr>
            <w:r w:rsidRPr="00371588">
              <w:t>Atzinumā norādītais ministrijas (citas institūcijas) iebildums, kā arī saskaņošanā papildus izteiktais iebildums par projekta konkrēto punktu (pantu)</w:t>
            </w:r>
          </w:p>
        </w:tc>
        <w:tc>
          <w:tcPr>
            <w:tcW w:w="4136" w:type="dxa"/>
            <w:vAlign w:val="center"/>
          </w:tcPr>
          <w:p w14:paraId="78B19698" w14:textId="77777777" w:rsidR="000A531F" w:rsidRPr="00371588" w:rsidRDefault="000A531F" w:rsidP="0016680D">
            <w:pPr>
              <w:jc w:val="center"/>
            </w:pPr>
            <w:r w:rsidRPr="00371588">
              <w:t>Atbildīgās ministrijas pamatojums iebilduma noraidījumam</w:t>
            </w:r>
          </w:p>
        </w:tc>
        <w:tc>
          <w:tcPr>
            <w:tcW w:w="1620" w:type="dxa"/>
            <w:vAlign w:val="center"/>
          </w:tcPr>
          <w:p w14:paraId="4FEB3DDA" w14:textId="77777777" w:rsidR="000A531F" w:rsidRPr="00371588" w:rsidRDefault="000A531F" w:rsidP="0016680D">
            <w:pPr>
              <w:jc w:val="center"/>
            </w:pPr>
            <w:r w:rsidRPr="00371588">
              <w:t>Atzinuma sniedzēja uzturētais iebildums, ja tas atšķiras no atzinumā norādītā iebilduma pamatojuma</w:t>
            </w:r>
          </w:p>
        </w:tc>
        <w:tc>
          <w:tcPr>
            <w:tcW w:w="3033" w:type="dxa"/>
            <w:vAlign w:val="center"/>
          </w:tcPr>
          <w:p w14:paraId="0EB0BF1F" w14:textId="77777777" w:rsidR="000A531F" w:rsidRPr="00371588" w:rsidRDefault="000A531F" w:rsidP="0016680D">
            <w:pPr>
              <w:jc w:val="center"/>
            </w:pPr>
            <w:r w:rsidRPr="00371588">
              <w:t>Projekta attiecīgā punkta (panta) galīgā redakcija</w:t>
            </w:r>
          </w:p>
        </w:tc>
      </w:tr>
      <w:tr w:rsidR="00F21F58" w:rsidRPr="00371588" w14:paraId="0C29CA32" w14:textId="77777777" w:rsidTr="006678C2">
        <w:tc>
          <w:tcPr>
            <w:tcW w:w="648" w:type="dxa"/>
          </w:tcPr>
          <w:p w14:paraId="0B772604" w14:textId="77777777" w:rsidR="000A531F" w:rsidRPr="00371588" w:rsidRDefault="000A531F" w:rsidP="0016680D">
            <w:pPr>
              <w:jc w:val="center"/>
            </w:pPr>
            <w:r w:rsidRPr="00371588">
              <w:t>1.</w:t>
            </w:r>
          </w:p>
        </w:tc>
        <w:tc>
          <w:tcPr>
            <w:tcW w:w="1757" w:type="dxa"/>
          </w:tcPr>
          <w:p w14:paraId="74FA1801" w14:textId="77777777" w:rsidR="000A531F" w:rsidRPr="00371588" w:rsidRDefault="000A531F" w:rsidP="0016680D">
            <w:pPr>
              <w:jc w:val="center"/>
            </w:pPr>
            <w:r w:rsidRPr="00371588">
              <w:t>2.</w:t>
            </w:r>
          </w:p>
        </w:tc>
        <w:tc>
          <w:tcPr>
            <w:tcW w:w="3827" w:type="dxa"/>
          </w:tcPr>
          <w:p w14:paraId="3977D32D" w14:textId="77777777" w:rsidR="000A531F" w:rsidRPr="00371588" w:rsidRDefault="000A531F" w:rsidP="0016680D">
            <w:pPr>
              <w:jc w:val="center"/>
            </w:pPr>
            <w:r w:rsidRPr="00371588">
              <w:t>3.</w:t>
            </w:r>
          </w:p>
        </w:tc>
        <w:tc>
          <w:tcPr>
            <w:tcW w:w="4136" w:type="dxa"/>
          </w:tcPr>
          <w:p w14:paraId="44ED4615" w14:textId="77777777" w:rsidR="000A531F" w:rsidRPr="00371588" w:rsidRDefault="000A531F" w:rsidP="0016680D">
            <w:pPr>
              <w:jc w:val="center"/>
            </w:pPr>
            <w:r w:rsidRPr="00371588">
              <w:t>4.</w:t>
            </w:r>
          </w:p>
        </w:tc>
        <w:tc>
          <w:tcPr>
            <w:tcW w:w="1620" w:type="dxa"/>
          </w:tcPr>
          <w:p w14:paraId="5DA65A36" w14:textId="77777777" w:rsidR="000A531F" w:rsidRPr="00371588" w:rsidRDefault="000A531F" w:rsidP="0016680D">
            <w:pPr>
              <w:jc w:val="center"/>
            </w:pPr>
            <w:r w:rsidRPr="00371588">
              <w:t>5.</w:t>
            </w:r>
          </w:p>
        </w:tc>
        <w:tc>
          <w:tcPr>
            <w:tcW w:w="3033" w:type="dxa"/>
          </w:tcPr>
          <w:p w14:paraId="51DFA780" w14:textId="77777777" w:rsidR="000A531F" w:rsidRPr="00371588" w:rsidRDefault="000A531F" w:rsidP="0016680D">
            <w:pPr>
              <w:jc w:val="center"/>
            </w:pPr>
            <w:r w:rsidRPr="00371588">
              <w:t>6.</w:t>
            </w:r>
          </w:p>
        </w:tc>
      </w:tr>
      <w:tr w:rsidR="00DA4101" w:rsidRPr="00371588" w14:paraId="3FAABAE6" w14:textId="77777777" w:rsidTr="006678C2">
        <w:tc>
          <w:tcPr>
            <w:tcW w:w="648" w:type="dxa"/>
          </w:tcPr>
          <w:p w14:paraId="5935A510" w14:textId="200BB490" w:rsidR="00DA4101" w:rsidRPr="00371588" w:rsidRDefault="00DA4101" w:rsidP="00197014">
            <w:pPr>
              <w:jc w:val="center"/>
            </w:pPr>
          </w:p>
        </w:tc>
        <w:tc>
          <w:tcPr>
            <w:tcW w:w="1757" w:type="dxa"/>
          </w:tcPr>
          <w:p w14:paraId="7A0A4A20" w14:textId="77777777" w:rsidR="00DA4101" w:rsidRPr="00371588" w:rsidRDefault="00DA4101" w:rsidP="00197014">
            <w:pPr>
              <w:jc w:val="center"/>
            </w:pPr>
          </w:p>
        </w:tc>
        <w:tc>
          <w:tcPr>
            <w:tcW w:w="3827" w:type="dxa"/>
          </w:tcPr>
          <w:p w14:paraId="39158EED" w14:textId="0AD171E9" w:rsidR="003D5212" w:rsidRPr="00371588" w:rsidRDefault="003D5212" w:rsidP="00C735DF">
            <w:pPr>
              <w:pStyle w:val="ListParagraph"/>
              <w:ind w:left="0"/>
            </w:pPr>
          </w:p>
        </w:tc>
        <w:tc>
          <w:tcPr>
            <w:tcW w:w="4136" w:type="dxa"/>
          </w:tcPr>
          <w:p w14:paraId="3E6E14FE" w14:textId="55FC510B" w:rsidR="00037EAC" w:rsidRPr="00371588" w:rsidRDefault="00037EAC" w:rsidP="00037EAC">
            <w:pPr>
              <w:tabs>
                <w:tab w:val="left" w:pos="0"/>
                <w:tab w:val="left" w:pos="5529"/>
              </w:tabs>
              <w:jc w:val="both"/>
            </w:pPr>
          </w:p>
        </w:tc>
        <w:tc>
          <w:tcPr>
            <w:tcW w:w="1620" w:type="dxa"/>
          </w:tcPr>
          <w:p w14:paraId="202838E8" w14:textId="77777777" w:rsidR="00DA4101" w:rsidRPr="00371588" w:rsidRDefault="00DA4101" w:rsidP="00197014">
            <w:pPr>
              <w:jc w:val="center"/>
            </w:pPr>
          </w:p>
        </w:tc>
        <w:tc>
          <w:tcPr>
            <w:tcW w:w="3033" w:type="dxa"/>
          </w:tcPr>
          <w:p w14:paraId="421BCD96" w14:textId="77777777" w:rsidR="00DA4101" w:rsidRPr="00DD6C9D" w:rsidRDefault="00DA4101" w:rsidP="00197014">
            <w:pPr>
              <w:rPr>
                <w:highlight w:val="yellow"/>
              </w:rPr>
            </w:pPr>
          </w:p>
        </w:tc>
      </w:tr>
    </w:tbl>
    <w:p w14:paraId="59BBA0F7" w14:textId="38CEB597" w:rsidR="00AA6CE9" w:rsidRDefault="00AA6CE9" w:rsidP="0053729A">
      <w:pPr>
        <w:jc w:val="center"/>
        <w:rPr>
          <w:b/>
        </w:rPr>
      </w:pPr>
    </w:p>
    <w:p w14:paraId="303ADE27" w14:textId="77777777" w:rsidR="00B623BC" w:rsidRPr="00371588" w:rsidRDefault="00B623BC" w:rsidP="00B623BC">
      <w:pPr>
        <w:pStyle w:val="naisf"/>
        <w:spacing w:before="0" w:after="0"/>
        <w:ind w:firstLine="0"/>
        <w:rPr>
          <w:b/>
        </w:rPr>
      </w:pPr>
      <w:r w:rsidRPr="00371588">
        <w:rPr>
          <w:b/>
        </w:rPr>
        <w:t>Informācija par starpministriju (starpinstitūciju) sanāksmi vai elektronisko saskaņošanu</w:t>
      </w:r>
    </w:p>
    <w:p w14:paraId="5D694832" w14:textId="77777777" w:rsidR="00B623BC" w:rsidRPr="00371588" w:rsidRDefault="00B623BC" w:rsidP="00B623BC">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B623BC" w:rsidRPr="00371588" w14:paraId="5FBD68DB" w14:textId="77777777" w:rsidTr="000A5EF6">
        <w:trPr>
          <w:trHeight w:val="391"/>
        </w:trPr>
        <w:tc>
          <w:tcPr>
            <w:tcW w:w="6345" w:type="dxa"/>
          </w:tcPr>
          <w:p w14:paraId="2B0391B0" w14:textId="77777777" w:rsidR="00B623BC" w:rsidRPr="00371588" w:rsidRDefault="00B623BC" w:rsidP="0016680D">
            <w:pPr>
              <w:pStyle w:val="naisf"/>
              <w:spacing w:before="0" w:after="0"/>
              <w:ind w:firstLine="0"/>
            </w:pPr>
            <w:r w:rsidRPr="00371588">
              <w:t>Datums</w:t>
            </w:r>
          </w:p>
        </w:tc>
        <w:tc>
          <w:tcPr>
            <w:tcW w:w="6237" w:type="dxa"/>
            <w:gridSpan w:val="2"/>
            <w:tcBorders>
              <w:bottom w:val="single" w:sz="4" w:space="0" w:color="auto"/>
            </w:tcBorders>
          </w:tcPr>
          <w:p w14:paraId="675C8D4F" w14:textId="76030ED9" w:rsidR="00A321C8" w:rsidRDefault="00A321C8" w:rsidP="00183ED1">
            <w:pPr>
              <w:pStyle w:val="NormalWeb"/>
              <w:spacing w:before="0" w:after="0"/>
            </w:pPr>
            <w:r w:rsidRPr="00A23E0C">
              <w:t xml:space="preserve">2020. </w:t>
            </w:r>
            <w:r w:rsidR="0010688A">
              <w:rPr>
                <w:color w:val="000000" w:themeColor="text1"/>
              </w:rPr>
              <w:t>gada 19</w:t>
            </w:r>
            <w:r w:rsidR="00926D97" w:rsidRPr="00A23E0C">
              <w:rPr>
                <w:color w:val="000000" w:themeColor="text1"/>
              </w:rPr>
              <w:t xml:space="preserve">. </w:t>
            </w:r>
            <w:r w:rsidR="00A227DF" w:rsidRPr="00A23E0C">
              <w:rPr>
                <w:color w:val="000000" w:themeColor="text1"/>
              </w:rPr>
              <w:t>augusta</w:t>
            </w:r>
            <w:r w:rsidRPr="00A23E0C">
              <w:rPr>
                <w:color w:val="000000" w:themeColor="text1"/>
              </w:rPr>
              <w:t xml:space="preserve"> </w:t>
            </w:r>
            <w:r w:rsidRPr="00A23E0C">
              <w:t>elektroniskā saskaņošana</w:t>
            </w:r>
            <w:r w:rsidR="00F27FE9">
              <w:t>,</w:t>
            </w:r>
            <w:r w:rsidR="00C25ECC" w:rsidRPr="00A23E0C">
              <w:t xml:space="preserve"> </w:t>
            </w:r>
          </w:p>
          <w:p w14:paraId="29127F1E" w14:textId="77685009" w:rsidR="00F27FE9" w:rsidRDefault="00F27FE9" w:rsidP="0010688A">
            <w:pPr>
              <w:pStyle w:val="NormalWeb"/>
              <w:spacing w:before="0" w:after="0"/>
            </w:pPr>
            <w:r w:rsidRPr="00A23E0C">
              <w:t xml:space="preserve">2020. </w:t>
            </w:r>
            <w:r>
              <w:rPr>
                <w:color w:val="000000" w:themeColor="text1"/>
              </w:rPr>
              <w:t xml:space="preserve">gada </w:t>
            </w:r>
            <w:r w:rsidRPr="00C35209">
              <w:rPr>
                <w:color w:val="000000" w:themeColor="text1"/>
              </w:rPr>
              <w:t>7. </w:t>
            </w:r>
            <w:r>
              <w:rPr>
                <w:color w:val="000000" w:themeColor="text1"/>
              </w:rPr>
              <w:t xml:space="preserve">septembra </w:t>
            </w:r>
            <w:r w:rsidRPr="00A23E0C">
              <w:t>elektroniskā saskaņošana</w:t>
            </w:r>
            <w:r w:rsidR="00F12B92">
              <w:t>,</w:t>
            </w:r>
            <w:r w:rsidRPr="00A23E0C">
              <w:t xml:space="preserve"> </w:t>
            </w:r>
          </w:p>
          <w:p w14:paraId="1C14F7F6" w14:textId="623DD1DA" w:rsidR="00C153BD" w:rsidRDefault="00C153BD" w:rsidP="00C153BD">
            <w:pPr>
              <w:pStyle w:val="NormalWeb"/>
              <w:spacing w:before="0" w:after="0"/>
            </w:pPr>
            <w:r w:rsidRPr="00A23E0C">
              <w:t xml:space="preserve">2020. </w:t>
            </w:r>
            <w:r w:rsidRPr="00F34DA2">
              <w:rPr>
                <w:color w:val="000000" w:themeColor="text1"/>
              </w:rPr>
              <w:t xml:space="preserve">gada 29. septembra </w:t>
            </w:r>
            <w:r w:rsidRPr="00F34DA2">
              <w:t xml:space="preserve">starpministriju </w:t>
            </w:r>
            <w:r w:rsidR="00F12B92" w:rsidRPr="00F12B92">
              <w:t xml:space="preserve">(starpinstitūciju) </w:t>
            </w:r>
            <w:r w:rsidRPr="00F34DA2">
              <w:t>sanāksme</w:t>
            </w:r>
            <w:r w:rsidR="00BD40F8">
              <w:t>,</w:t>
            </w:r>
          </w:p>
          <w:p w14:paraId="42F8D984" w14:textId="78A89147" w:rsidR="00BD40F8" w:rsidRPr="00A23E0C" w:rsidRDefault="00BD40F8" w:rsidP="00BD40F8">
            <w:pPr>
              <w:pStyle w:val="NormalWeb"/>
              <w:spacing w:before="0" w:after="0"/>
            </w:pPr>
            <w:r w:rsidRPr="00A23E0C">
              <w:t xml:space="preserve">2020. </w:t>
            </w:r>
            <w:r>
              <w:rPr>
                <w:color w:val="000000" w:themeColor="text1"/>
              </w:rPr>
              <w:t>gada 1</w:t>
            </w:r>
            <w:r w:rsidRPr="00C35209">
              <w:rPr>
                <w:color w:val="000000" w:themeColor="text1"/>
              </w:rPr>
              <w:t>. </w:t>
            </w:r>
            <w:r>
              <w:rPr>
                <w:color w:val="000000" w:themeColor="text1"/>
              </w:rPr>
              <w:t xml:space="preserve">oktobra </w:t>
            </w:r>
            <w:r w:rsidRPr="00A23E0C">
              <w:t>elektroniskā saskaņošana</w:t>
            </w:r>
            <w:r>
              <w:t>.</w:t>
            </w:r>
          </w:p>
        </w:tc>
      </w:tr>
      <w:tr w:rsidR="00B623BC" w:rsidRPr="00371588" w14:paraId="6C513EAF" w14:textId="77777777" w:rsidTr="00926D97">
        <w:tc>
          <w:tcPr>
            <w:tcW w:w="6345" w:type="dxa"/>
          </w:tcPr>
          <w:p w14:paraId="1E83BE67" w14:textId="77777777" w:rsidR="00BD40F8" w:rsidRDefault="00BD40F8" w:rsidP="0016680D">
            <w:pPr>
              <w:pStyle w:val="naiskr"/>
              <w:spacing w:before="0" w:after="0"/>
            </w:pPr>
          </w:p>
          <w:p w14:paraId="7AD18841" w14:textId="77777777" w:rsidR="00B623BC" w:rsidRPr="00371588" w:rsidRDefault="00B623BC" w:rsidP="0016680D">
            <w:pPr>
              <w:pStyle w:val="naiskr"/>
              <w:spacing w:before="0" w:after="0"/>
            </w:pPr>
            <w:r w:rsidRPr="00371588">
              <w:t>Saskaņošanas dalībnieki</w:t>
            </w:r>
          </w:p>
        </w:tc>
        <w:tc>
          <w:tcPr>
            <w:tcW w:w="6237" w:type="dxa"/>
            <w:gridSpan w:val="2"/>
          </w:tcPr>
          <w:p w14:paraId="3F2C2659" w14:textId="77777777" w:rsidR="00BD40F8" w:rsidRDefault="00BD40F8" w:rsidP="00A227DF">
            <w:pPr>
              <w:pStyle w:val="NormalWeb"/>
              <w:spacing w:before="0" w:after="0"/>
              <w:jc w:val="both"/>
              <w:rPr>
                <w:u w:val="single"/>
              </w:rPr>
            </w:pPr>
          </w:p>
          <w:p w14:paraId="5365328D" w14:textId="43651AC4" w:rsidR="00B623BC" w:rsidRPr="00776F75" w:rsidRDefault="23C17F04" w:rsidP="00A227DF">
            <w:pPr>
              <w:pStyle w:val="NormalWeb"/>
              <w:spacing w:before="0" w:after="0"/>
              <w:jc w:val="both"/>
              <w:rPr>
                <w:b/>
                <w:bCs/>
                <w:u w:val="single"/>
              </w:rPr>
            </w:pPr>
            <w:r w:rsidRPr="00776F75">
              <w:rPr>
                <w:u w:val="single"/>
              </w:rPr>
              <w:t>Tieslietu ministrija, Finanšu ministrija, Ekonomikas ministrija, Labklājības ministrija, Veselības ministrija, Zemkopības ministrija, Latvijas Darba devēju konfederācija</w:t>
            </w:r>
            <w:r w:rsidR="00A227DF" w:rsidRPr="00776F75">
              <w:rPr>
                <w:u w:val="single"/>
              </w:rPr>
              <w:t>, Latvijas ķīmijas un farmācijas asociācija, Latvijas tirdzniecības un Rūpniecības kamera</w:t>
            </w:r>
          </w:p>
        </w:tc>
      </w:tr>
      <w:tr w:rsidR="00B623BC" w:rsidRPr="00371588" w14:paraId="25F92B6C" w14:textId="77777777" w:rsidTr="3C1063B5">
        <w:trPr>
          <w:trHeight w:val="285"/>
        </w:trPr>
        <w:tc>
          <w:tcPr>
            <w:tcW w:w="6345" w:type="dxa"/>
          </w:tcPr>
          <w:p w14:paraId="395CB8F5" w14:textId="77777777" w:rsidR="00B623BC" w:rsidRPr="00371588" w:rsidRDefault="00B623BC" w:rsidP="0016680D">
            <w:pPr>
              <w:pStyle w:val="naiskr"/>
              <w:spacing w:before="0" w:after="0"/>
            </w:pPr>
          </w:p>
        </w:tc>
        <w:tc>
          <w:tcPr>
            <w:tcW w:w="1203" w:type="dxa"/>
          </w:tcPr>
          <w:p w14:paraId="353066D2" w14:textId="77777777" w:rsidR="00B623BC" w:rsidRPr="00371588" w:rsidRDefault="00B623BC" w:rsidP="0016680D">
            <w:pPr>
              <w:pStyle w:val="naiskr"/>
              <w:spacing w:before="0" w:after="0"/>
              <w:ind w:firstLine="720"/>
            </w:pPr>
          </w:p>
        </w:tc>
        <w:tc>
          <w:tcPr>
            <w:tcW w:w="5034" w:type="dxa"/>
          </w:tcPr>
          <w:p w14:paraId="1CE55BA3" w14:textId="77777777" w:rsidR="00B623BC" w:rsidRPr="00371588" w:rsidRDefault="00B623BC" w:rsidP="0016680D">
            <w:pPr>
              <w:pStyle w:val="naiskr"/>
              <w:spacing w:before="0" w:after="0"/>
              <w:ind w:firstLine="12"/>
            </w:pPr>
          </w:p>
        </w:tc>
      </w:tr>
    </w:tbl>
    <w:p w14:paraId="63039258" w14:textId="3ECAA762" w:rsidR="00B623BC" w:rsidRPr="00371588" w:rsidRDefault="00B623BC" w:rsidP="00B623BC"/>
    <w:tbl>
      <w:tblPr>
        <w:tblW w:w="17900" w:type="dxa"/>
        <w:tblLook w:val="00A0" w:firstRow="1" w:lastRow="0" w:firstColumn="1" w:lastColumn="0" w:noHBand="0" w:noVBand="0"/>
      </w:tblPr>
      <w:tblGrid>
        <w:gridCol w:w="6708"/>
        <w:gridCol w:w="6089"/>
        <w:gridCol w:w="69"/>
        <w:gridCol w:w="5034"/>
      </w:tblGrid>
      <w:tr w:rsidR="00B623BC" w:rsidRPr="00371588" w14:paraId="409C3233" w14:textId="77777777" w:rsidTr="00776F75">
        <w:trPr>
          <w:trHeight w:val="285"/>
        </w:trPr>
        <w:tc>
          <w:tcPr>
            <w:tcW w:w="6708" w:type="dxa"/>
          </w:tcPr>
          <w:p w14:paraId="1B121815" w14:textId="77777777" w:rsidR="00B623BC" w:rsidRPr="00371588" w:rsidRDefault="00B623BC" w:rsidP="0016680D">
            <w:pPr>
              <w:pStyle w:val="naiskr"/>
              <w:spacing w:before="0" w:after="0"/>
            </w:pPr>
            <w:r w:rsidRPr="00371588">
              <w:lastRenderedPageBreak/>
              <w:t>Saskaņošanas dalībnieki izskatīja šādu ministriju (citu institūciju) iebildumus</w:t>
            </w:r>
          </w:p>
        </w:tc>
        <w:tc>
          <w:tcPr>
            <w:tcW w:w="6158" w:type="dxa"/>
            <w:gridSpan w:val="2"/>
            <w:tcBorders>
              <w:bottom w:val="single" w:sz="4" w:space="0" w:color="auto"/>
            </w:tcBorders>
          </w:tcPr>
          <w:p w14:paraId="20329680" w14:textId="18D2116E" w:rsidR="00B623BC" w:rsidRPr="00F12B92" w:rsidRDefault="0010688A" w:rsidP="00A227DF">
            <w:pPr>
              <w:pStyle w:val="naiskr"/>
              <w:spacing w:before="0" w:after="0"/>
              <w:rPr>
                <w:u w:val="single"/>
              </w:rPr>
            </w:pPr>
            <w:r w:rsidRPr="00F12B92">
              <w:rPr>
                <w:u w:val="single"/>
              </w:rPr>
              <w:t xml:space="preserve">Tieslietu ministrijas, </w:t>
            </w:r>
            <w:r w:rsidR="00F27FE9" w:rsidRPr="00F12B92">
              <w:rPr>
                <w:u w:val="single"/>
              </w:rPr>
              <w:t>Finanšu</w:t>
            </w:r>
            <w:r w:rsidR="008857B7" w:rsidRPr="00F12B92">
              <w:rPr>
                <w:u w:val="single"/>
              </w:rPr>
              <w:t xml:space="preserve"> ministrija</w:t>
            </w:r>
            <w:r w:rsidR="00776F75" w:rsidRPr="00F12B92">
              <w:rPr>
                <w:u w:val="single"/>
              </w:rPr>
              <w:t>s</w:t>
            </w:r>
          </w:p>
        </w:tc>
        <w:tc>
          <w:tcPr>
            <w:tcW w:w="5034" w:type="dxa"/>
          </w:tcPr>
          <w:p w14:paraId="4FC4812B" w14:textId="77777777" w:rsidR="00B623BC" w:rsidRPr="00371588" w:rsidRDefault="00B623BC" w:rsidP="009D25BC">
            <w:pPr>
              <w:pStyle w:val="naiskr"/>
              <w:spacing w:before="0" w:after="0"/>
              <w:ind w:firstLine="720"/>
            </w:pPr>
          </w:p>
        </w:tc>
      </w:tr>
      <w:tr w:rsidR="00A321C8" w:rsidRPr="00371588" w14:paraId="0C96785B" w14:textId="77777777" w:rsidTr="009D25BC">
        <w:trPr>
          <w:gridAfter w:val="2"/>
          <w:wAfter w:w="5103" w:type="dxa"/>
        </w:trPr>
        <w:tc>
          <w:tcPr>
            <w:tcW w:w="6708" w:type="dxa"/>
          </w:tcPr>
          <w:p w14:paraId="44A7D091" w14:textId="77777777" w:rsidR="0010688A" w:rsidRDefault="0010688A" w:rsidP="00A321C8">
            <w:pPr>
              <w:pStyle w:val="naiskr"/>
              <w:spacing w:before="0" w:after="0"/>
            </w:pPr>
          </w:p>
          <w:p w14:paraId="1BC7FCE6" w14:textId="77777777" w:rsidR="00BD40F8" w:rsidRDefault="00BD40F8" w:rsidP="00A321C8">
            <w:pPr>
              <w:pStyle w:val="naiskr"/>
              <w:spacing w:before="0" w:after="0"/>
            </w:pPr>
          </w:p>
          <w:p w14:paraId="69CA6FD9" w14:textId="77777777" w:rsidR="00A321C8" w:rsidRPr="00371588" w:rsidRDefault="00A321C8" w:rsidP="00A321C8">
            <w:pPr>
              <w:pStyle w:val="naiskr"/>
              <w:spacing w:before="0" w:after="0"/>
            </w:pPr>
            <w:r w:rsidRPr="00371588">
              <w:t>Ministrijas (citas institūcijas), kuras nav ieradušās uz sanāksmi vai kuras nav atbildējušas uz uzaicinājumu piedalīties elektroniskajā saskaņošanā</w:t>
            </w:r>
          </w:p>
        </w:tc>
        <w:tc>
          <w:tcPr>
            <w:tcW w:w="6089" w:type="dxa"/>
          </w:tcPr>
          <w:p w14:paraId="1631B918" w14:textId="632C5272" w:rsidR="00A321C8" w:rsidRPr="00371588" w:rsidRDefault="00A321C8" w:rsidP="00005B63">
            <w:pPr>
              <w:pStyle w:val="naiskr"/>
              <w:spacing w:before="0" w:after="0"/>
            </w:pPr>
          </w:p>
        </w:tc>
      </w:tr>
      <w:tr w:rsidR="00A321C8" w:rsidRPr="00371588" w14:paraId="7915D9A6" w14:textId="77777777" w:rsidTr="009D25BC">
        <w:trPr>
          <w:gridAfter w:val="2"/>
          <w:wAfter w:w="5103" w:type="dxa"/>
        </w:trPr>
        <w:tc>
          <w:tcPr>
            <w:tcW w:w="6708" w:type="dxa"/>
          </w:tcPr>
          <w:p w14:paraId="0393FC1A" w14:textId="1986EB93" w:rsidR="00A321C8" w:rsidRPr="00371588" w:rsidRDefault="00A321C8" w:rsidP="00F12B92">
            <w:pPr>
              <w:pStyle w:val="naiskr"/>
              <w:spacing w:before="0" w:after="0"/>
            </w:pPr>
          </w:p>
        </w:tc>
        <w:tc>
          <w:tcPr>
            <w:tcW w:w="6089" w:type="dxa"/>
            <w:tcBorders>
              <w:top w:val="single" w:sz="6" w:space="0" w:color="000000"/>
              <w:bottom w:val="single" w:sz="6" w:space="0" w:color="000000"/>
            </w:tcBorders>
          </w:tcPr>
          <w:p w14:paraId="5F3B1808" w14:textId="3FD95B46" w:rsidR="00A321C8" w:rsidRPr="00371588" w:rsidRDefault="00A321C8" w:rsidP="00A321C8">
            <w:pPr>
              <w:pStyle w:val="naiskr"/>
              <w:spacing w:before="0" w:after="0"/>
              <w:ind w:firstLine="720"/>
            </w:pPr>
          </w:p>
        </w:tc>
      </w:tr>
    </w:tbl>
    <w:p w14:paraId="16909902" w14:textId="77777777" w:rsidR="00B623BC" w:rsidRDefault="00B623BC" w:rsidP="00C73711">
      <w:pPr>
        <w:pStyle w:val="naisf"/>
        <w:spacing w:before="0" w:after="0"/>
        <w:ind w:firstLine="0"/>
        <w:jc w:val="center"/>
        <w:rPr>
          <w:b/>
          <w:sz w:val="28"/>
          <w:szCs w:val="28"/>
        </w:rPr>
      </w:pPr>
    </w:p>
    <w:p w14:paraId="483A7FE7" w14:textId="6D32785B" w:rsidR="00C73711" w:rsidRPr="00371588" w:rsidRDefault="000A531F" w:rsidP="00C73711">
      <w:pPr>
        <w:pStyle w:val="naisf"/>
        <w:spacing w:before="0" w:after="0"/>
        <w:ind w:firstLine="0"/>
        <w:jc w:val="center"/>
        <w:rPr>
          <w:b/>
        </w:rPr>
      </w:pPr>
      <w:r w:rsidRPr="00371588">
        <w:rPr>
          <w:b/>
          <w:sz w:val="28"/>
          <w:szCs w:val="28"/>
        </w:rPr>
        <w:t>II.</w:t>
      </w:r>
      <w:r w:rsidR="000A7B5B">
        <w:rPr>
          <w:b/>
          <w:sz w:val="28"/>
          <w:szCs w:val="28"/>
        </w:rPr>
        <w:t> </w:t>
      </w:r>
      <w:r w:rsidR="00930695" w:rsidRPr="00371588">
        <w:rPr>
          <w:b/>
        </w:rPr>
        <w:t>Jautājumi, par kuriem saskaņošanā vienošanās ir panākta</w:t>
      </w:r>
    </w:p>
    <w:tbl>
      <w:tblPr>
        <w:tblStyle w:val="TableGrid"/>
        <w:tblW w:w="14596" w:type="dxa"/>
        <w:tblLayout w:type="fixed"/>
        <w:tblLook w:val="04A0" w:firstRow="1" w:lastRow="0" w:firstColumn="1" w:lastColumn="0" w:noHBand="0" w:noVBand="1"/>
      </w:tblPr>
      <w:tblGrid>
        <w:gridCol w:w="846"/>
        <w:gridCol w:w="2410"/>
        <w:gridCol w:w="4110"/>
        <w:gridCol w:w="3799"/>
        <w:gridCol w:w="3431"/>
      </w:tblGrid>
      <w:tr w:rsidR="00F21F58" w:rsidRPr="00371588" w14:paraId="0595D7DB" w14:textId="40B9FCAF" w:rsidTr="65362092">
        <w:tc>
          <w:tcPr>
            <w:tcW w:w="846" w:type="dxa"/>
          </w:tcPr>
          <w:p w14:paraId="0D648B00" w14:textId="77777777" w:rsidR="00A76D70" w:rsidRPr="008E660F" w:rsidRDefault="00A76D70" w:rsidP="00A76D70">
            <w:pPr>
              <w:pStyle w:val="naisf"/>
              <w:spacing w:before="0" w:after="0"/>
              <w:ind w:firstLine="0"/>
              <w:jc w:val="center"/>
            </w:pPr>
            <w:r w:rsidRPr="008E660F">
              <w:t>Nr.</w:t>
            </w:r>
          </w:p>
          <w:p w14:paraId="088DC59F" w14:textId="65353C37" w:rsidR="00E23947" w:rsidRPr="008E660F" w:rsidRDefault="00A76D70" w:rsidP="00A76D70">
            <w:pPr>
              <w:pStyle w:val="naisf"/>
              <w:spacing w:before="0" w:after="0"/>
              <w:ind w:firstLine="0"/>
              <w:jc w:val="center"/>
            </w:pPr>
            <w:r w:rsidRPr="008E660F">
              <w:t>p.k.</w:t>
            </w:r>
          </w:p>
        </w:tc>
        <w:tc>
          <w:tcPr>
            <w:tcW w:w="2410" w:type="dxa"/>
          </w:tcPr>
          <w:p w14:paraId="41E30F2C" w14:textId="77777777" w:rsidR="00E23947" w:rsidRPr="00371588" w:rsidRDefault="00E23947" w:rsidP="0016680D">
            <w:pPr>
              <w:pStyle w:val="naisf"/>
              <w:spacing w:before="0" w:after="0"/>
              <w:ind w:firstLine="0"/>
              <w:jc w:val="center"/>
            </w:pPr>
            <w:r w:rsidRPr="00371588">
              <w:t>Saskaņošanai nosūtītā projekta redakcija (konkrēta punkta (panta) redakcija)</w:t>
            </w:r>
          </w:p>
        </w:tc>
        <w:tc>
          <w:tcPr>
            <w:tcW w:w="4110" w:type="dxa"/>
          </w:tcPr>
          <w:p w14:paraId="3EC9DD7B" w14:textId="77777777" w:rsidR="00E23947" w:rsidRPr="00371588" w:rsidRDefault="00E23947" w:rsidP="0016680D">
            <w:pPr>
              <w:pStyle w:val="naisf"/>
              <w:spacing w:before="0" w:after="0"/>
              <w:ind w:firstLine="0"/>
              <w:jc w:val="center"/>
            </w:pPr>
            <w:r w:rsidRPr="00371588">
              <w:t>Atzinumā norādītais ministrijas (citas institūcijas) iebildums, kā arī saskaņošanā papildus izteiktais iebildums par projekta konkrēto punktu (pantu)</w:t>
            </w:r>
          </w:p>
        </w:tc>
        <w:tc>
          <w:tcPr>
            <w:tcW w:w="3799" w:type="dxa"/>
          </w:tcPr>
          <w:p w14:paraId="614290FF" w14:textId="77777777" w:rsidR="00E23947" w:rsidRPr="00371588" w:rsidRDefault="00E23947" w:rsidP="0016680D">
            <w:pPr>
              <w:pStyle w:val="naisf"/>
              <w:spacing w:before="0" w:after="0"/>
              <w:ind w:firstLine="0"/>
              <w:jc w:val="center"/>
            </w:pPr>
            <w:r w:rsidRPr="00371588">
              <w:t>Atbildīgās ministrijas norāde par to, ka iebildums ir ņemts vērā, vai informācija par saskaņošanā panākto alternatīvo risinājumu</w:t>
            </w:r>
          </w:p>
        </w:tc>
        <w:tc>
          <w:tcPr>
            <w:tcW w:w="3431" w:type="dxa"/>
          </w:tcPr>
          <w:p w14:paraId="3A1FA110" w14:textId="571BB516" w:rsidR="00E23947" w:rsidRPr="00371588" w:rsidRDefault="00E23947" w:rsidP="0016680D">
            <w:pPr>
              <w:pStyle w:val="naisf"/>
              <w:spacing w:before="0" w:after="0"/>
              <w:ind w:firstLine="0"/>
              <w:jc w:val="center"/>
            </w:pPr>
            <w:r w:rsidRPr="00371588">
              <w:t>Projekta attiecīgā punkta (panta) galīgā redakcija</w:t>
            </w:r>
          </w:p>
        </w:tc>
      </w:tr>
      <w:tr w:rsidR="00EA5AA9" w:rsidRPr="00371588" w14:paraId="47C66A8B" w14:textId="77777777" w:rsidTr="65362092">
        <w:tc>
          <w:tcPr>
            <w:tcW w:w="846" w:type="dxa"/>
          </w:tcPr>
          <w:p w14:paraId="4494BB1C" w14:textId="34746EEA" w:rsidR="00EA5AA9" w:rsidRPr="008E660F" w:rsidRDefault="00EA5AA9" w:rsidP="00EA5AA9">
            <w:pPr>
              <w:pStyle w:val="naisf"/>
              <w:spacing w:before="0" w:after="0"/>
              <w:ind w:firstLine="0"/>
              <w:jc w:val="center"/>
            </w:pPr>
            <w:r>
              <w:t>1.</w:t>
            </w:r>
          </w:p>
        </w:tc>
        <w:tc>
          <w:tcPr>
            <w:tcW w:w="2410" w:type="dxa"/>
          </w:tcPr>
          <w:p w14:paraId="5F51F55A" w14:textId="00D963F4" w:rsidR="00EA5AA9" w:rsidRPr="002471DF" w:rsidRDefault="00EA5AA9" w:rsidP="00EA5AA9">
            <w:pPr>
              <w:ind w:firstLine="34"/>
              <w:jc w:val="both"/>
            </w:pPr>
            <w:r>
              <w:t xml:space="preserve">4. </w:t>
            </w:r>
            <w:r w:rsidRPr="002471DF">
              <w:t>17. pantā:</w:t>
            </w:r>
          </w:p>
          <w:p w14:paraId="663E767A" w14:textId="77777777" w:rsidR="00EA5AA9" w:rsidRPr="002471DF" w:rsidRDefault="00EA5AA9" w:rsidP="00EA5AA9">
            <w:pPr>
              <w:spacing w:before="100" w:beforeAutospacing="1"/>
              <w:jc w:val="both"/>
            </w:pPr>
            <w:r w:rsidRPr="002471DF">
              <w:t>izslēgt otrās daļas 1. punktā vārdus “un adresi”;</w:t>
            </w:r>
          </w:p>
          <w:p w14:paraId="05541F09" w14:textId="77777777" w:rsidR="00EA5AA9" w:rsidRPr="002471DF" w:rsidRDefault="00EA5AA9" w:rsidP="00EA5AA9">
            <w:pPr>
              <w:spacing w:before="100" w:beforeAutospacing="1"/>
              <w:jc w:val="both"/>
            </w:pPr>
            <w:r w:rsidRPr="002471DF">
              <w:t xml:space="preserve">papildināt trešā daļā aiz vārda “dokumentus” ar vārdiem un skaitļiem “uzglabā 10 gadus un”. </w:t>
            </w:r>
          </w:p>
          <w:p w14:paraId="0737414A" w14:textId="77777777" w:rsidR="00EA5AA9" w:rsidRPr="002471DF" w:rsidRDefault="00EA5AA9" w:rsidP="00EA5AA9">
            <w:pPr>
              <w:spacing w:before="100" w:beforeAutospacing="1"/>
              <w:jc w:val="both"/>
            </w:pPr>
            <w:r w:rsidRPr="002471DF">
              <w:t>papildināt ar ceturto daļu šādā redakcijā:</w:t>
            </w:r>
          </w:p>
          <w:p w14:paraId="18DB0102" w14:textId="62738B32" w:rsidR="00EA5AA9" w:rsidRPr="002471DF" w:rsidRDefault="00EA5AA9" w:rsidP="00EA5AA9">
            <w:pPr>
              <w:spacing w:before="100" w:beforeAutospacing="1"/>
              <w:jc w:val="both"/>
            </w:pPr>
            <w:r w:rsidRPr="002471DF">
              <w:lastRenderedPageBreak/>
              <w:t>“(4) Personu datu apstrādi veic ievērojot normatīvo aktu prasības fizisko personu datu aizsardzības jomā.”</w:t>
            </w:r>
          </w:p>
        </w:tc>
        <w:tc>
          <w:tcPr>
            <w:tcW w:w="4110" w:type="dxa"/>
          </w:tcPr>
          <w:p w14:paraId="24C2696B" w14:textId="1CA20A97" w:rsidR="00EA5AA9" w:rsidRPr="002471DF" w:rsidRDefault="00EA5AA9" w:rsidP="00EA5AA9">
            <w:pPr>
              <w:pStyle w:val="ListParagraph"/>
              <w:ind w:left="0"/>
              <w:jc w:val="both"/>
              <w:rPr>
                <w:b/>
                <w:bCs/>
              </w:rPr>
            </w:pPr>
            <w:r w:rsidRPr="002471DF">
              <w:rPr>
                <w:b/>
                <w:bCs/>
              </w:rPr>
              <w:lastRenderedPageBreak/>
              <w:t>Tieslietu ministrijas 2020. gada 23. jūlija atzinums Nr. 1-9.1/796</w:t>
            </w:r>
          </w:p>
          <w:p w14:paraId="3E4D1618" w14:textId="77777777" w:rsidR="00EA5AA9" w:rsidRPr="002471DF" w:rsidRDefault="00EA5AA9" w:rsidP="00EA5AA9">
            <w:pPr>
              <w:pStyle w:val="ListParagraph"/>
              <w:ind w:left="0"/>
              <w:jc w:val="both"/>
              <w:rPr>
                <w:b/>
                <w:bCs/>
              </w:rPr>
            </w:pPr>
          </w:p>
          <w:p w14:paraId="7ECE3455" w14:textId="77777777" w:rsidR="00EA5AA9" w:rsidRPr="002471DF" w:rsidRDefault="00EA5AA9" w:rsidP="00EA5AA9">
            <w:pPr>
              <w:pStyle w:val="NormalWeb"/>
              <w:numPr>
                <w:ilvl w:val="0"/>
                <w:numId w:val="29"/>
              </w:numPr>
              <w:tabs>
                <w:tab w:val="left" w:pos="993"/>
              </w:tabs>
              <w:spacing w:before="0" w:after="0"/>
              <w:ind w:left="0" w:right="11" w:firstLine="709"/>
              <w:jc w:val="both"/>
            </w:pPr>
            <w:r w:rsidRPr="002471DF">
              <w:rPr>
                <w:bCs/>
                <w:iCs/>
              </w:rPr>
              <w:t>Projekta 4. pants likuma 17. panta trešajā daļā paredz noteikt, ka</w:t>
            </w:r>
            <w:r w:rsidRPr="002471DF">
              <w:t xml:space="preserve"> </w:t>
            </w:r>
            <w:r w:rsidRPr="002471DF">
              <w:rPr>
                <w:bCs/>
                <w:iCs/>
              </w:rPr>
              <w:t xml:space="preserve">pircēju uzskaites dokumentus </w:t>
            </w:r>
            <w:r w:rsidRPr="002471DF">
              <w:rPr>
                <w:bCs/>
                <w:iCs/>
                <w:u w:val="single"/>
              </w:rPr>
              <w:t>uzglabā 10 gadus</w:t>
            </w:r>
            <w:r w:rsidRPr="002471DF">
              <w:rPr>
                <w:bCs/>
                <w:iCs/>
              </w:rPr>
              <w:t xml:space="preserve"> un uzrāda uzraudzības un kontroles iestādēm pēc to pieprasījuma. Norādām, ka atbilstoši projekta anotācijas I sadaļas 2. punktam, “ņemot vērā regulas 1907/2006 36. panta un regulas 1272/</w:t>
            </w:r>
            <w:r w:rsidRPr="002471DF">
              <w:rPr>
                <w:bCs/>
                <w:iCs/>
                <w:u w:val="single"/>
              </w:rPr>
              <w:t>2012</w:t>
            </w:r>
            <w:r w:rsidRPr="002471DF">
              <w:rPr>
                <w:bCs/>
                <w:iCs/>
              </w:rPr>
              <w:t xml:space="preserve"> 49.panta prasību piegādātājam uzglabāt informāciju vismaz 10 gadus, likumprojekts nosaka pienākumu juridiskajām </w:t>
            </w:r>
            <w:r w:rsidRPr="002471DF">
              <w:rPr>
                <w:bCs/>
                <w:iCs/>
                <w:u w:val="single"/>
              </w:rPr>
              <w:t>personām, kas pārdod</w:t>
            </w:r>
            <w:r w:rsidRPr="002471DF">
              <w:rPr>
                <w:bCs/>
                <w:iCs/>
              </w:rPr>
              <w:t xml:space="preserve"> toksiskas un ļoti toksiskas ķīmiskas vielas un maisījumus, veikto </w:t>
            </w:r>
            <w:r w:rsidRPr="002471DF">
              <w:rPr>
                <w:bCs/>
                <w:iCs/>
              </w:rPr>
              <w:lastRenderedPageBreak/>
              <w:t>pircēju uzskaiti uzglabāt 10 gadus, papildinot likuma 17. panta trešo daļu”.</w:t>
            </w:r>
          </w:p>
          <w:p w14:paraId="47BA964B" w14:textId="77777777" w:rsidR="00EA5AA9" w:rsidRPr="002471DF" w:rsidRDefault="00EA5AA9" w:rsidP="00EA5AA9">
            <w:pPr>
              <w:pStyle w:val="NormalWeb"/>
              <w:tabs>
                <w:tab w:val="left" w:pos="993"/>
              </w:tabs>
              <w:spacing w:before="0" w:after="0"/>
              <w:ind w:right="11" w:firstLine="709"/>
              <w:jc w:val="both"/>
            </w:pPr>
            <w:r w:rsidRPr="002471DF">
              <w:rPr>
                <w:bCs/>
                <w:iCs/>
              </w:rPr>
              <w:t xml:space="preserve">Vēršam uzmanību, ka atbilstoši likuma 17. panta otrajai daļai pienākums veikt ķīmisko vielu vai maisījumu pircēju uzskaiti ir attiecināts uz </w:t>
            </w:r>
            <w:r w:rsidRPr="002471DF">
              <w:rPr>
                <w:bCs/>
                <w:iCs/>
                <w:u w:val="single"/>
              </w:rPr>
              <w:t>juridiskām personām, kas pārdod toksiskas vai ļoti toksiskas ķīmiskās vielas vai maisījumus</w:t>
            </w:r>
            <w:r w:rsidRPr="002471DF">
              <w:rPr>
                <w:bCs/>
                <w:iCs/>
              </w:rPr>
              <w:t>.</w:t>
            </w:r>
            <w:r w:rsidRPr="002471DF">
              <w:t xml:space="preserve"> </w:t>
            </w:r>
            <w:r w:rsidRPr="002471DF">
              <w:rPr>
                <w:bCs/>
                <w:iCs/>
              </w:rPr>
              <w:t xml:space="preserve">Savukārt projekta anotācijas II sadaļas 1. punktā norādīts, ka “likumprojektā ietvertais regulējums attiecas uz </w:t>
            </w:r>
            <w:r w:rsidRPr="002471DF">
              <w:rPr>
                <w:bCs/>
                <w:iCs/>
                <w:u w:val="single"/>
              </w:rPr>
              <w:t>juridiskām un fiziskām personām, kas veic darbības ar ķīmiskām vielām, maisījumiem, biocīdiem un izstrādājumiem,</w:t>
            </w:r>
            <w:r w:rsidRPr="002471DF">
              <w:rPr>
                <w:bCs/>
                <w:iCs/>
              </w:rPr>
              <w:t xml:space="preserve"> uz kuriem attiecās regulas 1907/2006 33. panta 1. punkta prasības”.</w:t>
            </w:r>
          </w:p>
          <w:p w14:paraId="5C2486FF" w14:textId="77777777" w:rsidR="00EA5AA9" w:rsidRPr="002471DF" w:rsidRDefault="00EA5AA9" w:rsidP="00EA5AA9">
            <w:pPr>
              <w:pStyle w:val="NormalWeb"/>
              <w:tabs>
                <w:tab w:val="left" w:pos="993"/>
              </w:tabs>
              <w:spacing w:before="0" w:after="0"/>
              <w:ind w:right="11" w:firstLine="709"/>
              <w:jc w:val="both"/>
              <w:rPr>
                <w:bCs/>
                <w:iCs/>
              </w:rPr>
            </w:pPr>
            <w:r w:rsidRPr="002471DF">
              <w:rPr>
                <w:bCs/>
                <w:iCs/>
              </w:rPr>
              <w:t xml:space="preserve">Atbilstoši likuma 1. panta 1. punktam “darbības ar ķīmiskajām vielām vai maisījumiem” ir ķīmisko vielu vai maisījumu [Eiropas Parlamenta un Padomes 2008. gada 16. decembra regulas (EK) Nr. 1272/2008 par vielu un maisījumu klasificēšanu, marķēšanu un iepakošanu un ar ko groza un atceļ direktīvas 67/548/EEK un 1999/45/EK un groza regulu (EK) Nr. 1907/2006 (dokuments attiecas uz EEZ), izpratnē] ražošana, imports, apstrāde, iepakošana, uzglabāšana, pārvietošana, lietošana, savākšana, iznīcināšana, pārstrāde, laišana tirgū vai izplatīšana, kā arī </w:t>
            </w:r>
            <w:r w:rsidRPr="002471DF">
              <w:rPr>
                <w:bCs/>
                <w:iCs/>
              </w:rPr>
              <w:lastRenderedPageBreak/>
              <w:t>darbības, kurās ķīmiskās vielas vai maisījumi tiek lietoti ķīmiskajā procesā kā izejvielas vai piedevas vai tiek radīti kā starpprodukti, vai jebkuras citas līdzīgas darbības.</w:t>
            </w:r>
          </w:p>
          <w:p w14:paraId="75E08AE1" w14:textId="5E5315B3" w:rsidR="00EA5AA9" w:rsidRPr="002471DF" w:rsidRDefault="00EA5AA9" w:rsidP="00EA5AA9">
            <w:pPr>
              <w:pStyle w:val="NormalWeb"/>
              <w:tabs>
                <w:tab w:val="left" w:pos="993"/>
              </w:tabs>
              <w:spacing w:before="0" w:after="0"/>
              <w:ind w:right="11" w:firstLine="709"/>
              <w:jc w:val="both"/>
              <w:rPr>
                <w:bCs/>
                <w:iCs/>
              </w:rPr>
            </w:pPr>
            <w:r w:rsidRPr="002471DF">
              <w:rPr>
                <w:bCs/>
                <w:iCs/>
              </w:rPr>
              <w:t xml:space="preserve">Tādējādi lūdzam izvērtēt nepieciešamību paredzēt projektā, ka spēkā esošā likuma 17. panta otrajā daļā un projekta 4. pantā izteiktais pienākums būtu attiecināms ne tikai uz juridiskajām </w:t>
            </w:r>
            <w:r w:rsidRPr="002471DF">
              <w:rPr>
                <w:bCs/>
                <w:iCs/>
                <w:u w:val="single"/>
              </w:rPr>
              <w:t>personām, kas pārdod</w:t>
            </w:r>
            <w:r w:rsidRPr="002471DF">
              <w:rPr>
                <w:bCs/>
                <w:iCs/>
              </w:rPr>
              <w:t xml:space="preserve"> toksiskas un ļoti toksiskas ķīmiskas vielas un maisījumus, bet arī uz spēkā esošā likuma 1. panta 2. punktā noteiktajiem “darbību veicējiem” - jebkuru fizisko vai juridisko personu, kas </w:t>
            </w:r>
            <w:r w:rsidRPr="002471DF">
              <w:rPr>
                <w:bCs/>
                <w:iCs/>
                <w:u w:val="single"/>
              </w:rPr>
              <w:t>veic darbības</w:t>
            </w:r>
            <w:r w:rsidRPr="002471DF">
              <w:rPr>
                <w:bCs/>
                <w:iCs/>
              </w:rPr>
              <w:t xml:space="preserve"> ar ķīmiskajām vielām vai maisījumiem.</w:t>
            </w:r>
          </w:p>
        </w:tc>
        <w:tc>
          <w:tcPr>
            <w:tcW w:w="3799" w:type="dxa"/>
          </w:tcPr>
          <w:p w14:paraId="79DA6354" w14:textId="7A26A363" w:rsidR="00EA5AA9" w:rsidRPr="00926D97" w:rsidRDefault="00EA5AA9" w:rsidP="00EA5AA9">
            <w:pPr>
              <w:pStyle w:val="BodyText"/>
              <w:spacing w:after="0"/>
              <w:jc w:val="both"/>
              <w:rPr>
                <w:rFonts w:eastAsia="Calibri"/>
                <w:b/>
                <w:bCs/>
                <w:lang w:eastAsia="en-US"/>
              </w:rPr>
            </w:pPr>
            <w:r w:rsidRPr="00926D97">
              <w:rPr>
                <w:rFonts w:eastAsia="Calibri"/>
                <w:b/>
                <w:bCs/>
                <w:lang w:eastAsia="en-US"/>
              </w:rPr>
              <w:lastRenderedPageBreak/>
              <w:t xml:space="preserve">Iebildums ņemts vērā. </w:t>
            </w:r>
          </w:p>
          <w:p w14:paraId="4835E7C4" w14:textId="5A68ED11" w:rsidR="00EA5AA9" w:rsidRPr="00926D97" w:rsidRDefault="00EA5AA9" w:rsidP="00EA5AA9">
            <w:pPr>
              <w:jc w:val="both"/>
              <w:rPr>
                <w:strike/>
              </w:rPr>
            </w:pPr>
          </w:p>
        </w:tc>
        <w:tc>
          <w:tcPr>
            <w:tcW w:w="3431" w:type="dxa"/>
          </w:tcPr>
          <w:p w14:paraId="08392228" w14:textId="77777777" w:rsidR="00EA5AA9" w:rsidRPr="00EA5AA9" w:rsidRDefault="00EA5AA9" w:rsidP="00EA5AA9">
            <w:pPr>
              <w:tabs>
                <w:tab w:val="left" w:pos="1260"/>
              </w:tabs>
              <w:spacing w:before="100" w:beforeAutospacing="1"/>
              <w:jc w:val="both"/>
              <w:rPr>
                <w:szCs w:val="28"/>
              </w:rPr>
            </w:pPr>
            <w:r w:rsidRPr="00EA5AA9">
              <w:rPr>
                <w:szCs w:val="28"/>
              </w:rPr>
              <w:t>4. 17. pantā:</w:t>
            </w:r>
          </w:p>
          <w:p w14:paraId="12E01C7F" w14:textId="77777777" w:rsidR="00EA5AA9" w:rsidRPr="00EA5AA9" w:rsidRDefault="00EA5AA9" w:rsidP="00EA5AA9">
            <w:pPr>
              <w:spacing w:before="100" w:beforeAutospacing="1"/>
              <w:jc w:val="both"/>
              <w:textAlignment w:val="baseline"/>
              <w:rPr>
                <w:szCs w:val="28"/>
              </w:rPr>
            </w:pPr>
            <w:r w:rsidRPr="00EA5AA9">
              <w:rPr>
                <w:szCs w:val="28"/>
              </w:rPr>
              <w:t>aizstāt otrā daļā vārdus “Juridiskās personas” ar vārdiem “Darbību veicēji”;</w:t>
            </w:r>
          </w:p>
          <w:p w14:paraId="3AB1DDF3" w14:textId="77777777" w:rsidR="00EA5AA9" w:rsidRPr="00EA5AA9" w:rsidRDefault="00EA5AA9" w:rsidP="00EA5AA9">
            <w:pPr>
              <w:spacing w:before="100" w:beforeAutospacing="1"/>
              <w:jc w:val="both"/>
              <w:rPr>
                <w:szCs w:val="28"/>
              </w:rPr>
            </w:pPr>
            <w:r w:rsidRPr="00EA5AA9">
              <w:rPr>
                <w:szCs w:val="28"/>
              </w:rPr>
              <w:t>izslēgt otrās daļas 1. punktā vārdus “un adresi”;</w:t>
            </w:r>
          </w:p>
          <w:p w14:paraId="549C7464" w14:textId="77777777" w:rsidR="00EA5AA9" w:rsidRPr="00EA5AA9" w:rsidRDefault="00EA5AA9" w:rsidP="00EA5AA9">
            <w:pPr>
              <w:spacing w:before="100" w:beforeAutospacing="1"/>
              <w:jc w:val="both"/>
              <w:rPr>
                <w:szCs w:val="28"/>
              </w:rPr>
            </w:pPr>
            <w:r w:rsidRPr="00EA5AA9">
              <w:rPr>
                <w:szCs w:val="28"/>
              </w:rPr>
              <w:t xml:space="preserve">papildināt trešā daļā aiz vārda “dokumentus” ar vārdiem un skaitļiem “uzglabā 10 gadus atbilstoši regulas 1907/2006 36. panta un regulas 1272/2008 49. panta prasībām un”. </w:t>
            </w:r>
          </w:p>
          <w:p w14:paraId="1129F440" w14:textId="77777777" w:rsidR="00EA5AA9" w:rsidRPr="00EA5AA9" w:rsidRDefault="00EA5AA9" w:rsidP="00EA5AA9">
            <w:pPr>
              <w:spacing w:before="100" w:beforeAutospacing="1"/>
              <w:jc w:val="both"/>
              <w:rPr>
                <w:szCs w:val="28"/>
              </w:rPr>
            </w:pPr>
            <w:r w:rsidRPr="00EA5AA9">
              <w:rPr>
                <w:szCs w:val="28"/>
              </w:rPr>
              <w:lastRenderedPageBreak/>
              <w:t>papildināt ar ceturto daļu šādā redakcijā:</w:t>
            </w:r>
          </w:p>
          <w:p w14:paraId="118BFF83" w14:textId="77777777" w:rsidR="00EA5AA9" w:rsidRPr="00EA5AA9" w:rsidRDefault="00EA5AA9" w:rsidP="00EA5AA9">
            <w:pPr>
              <w:spacing w:before="100" w:beforeAutospacing="1"/>
              <w:jc w:val="both"/>
              <w:rPr>
                <w:szCs w:val="28"/>
              </w:rPr>
            </w:pPr>
            <w:r w:rsidRPr="00EA5AA9">
              <w:rPr>
                <w:szCs w:val="28"/>
              </w:rPr>
              <w:t>“(4) Personu datu apstrādi veic ievērojot normatīvo aktu prasības fizisko personu datu aizsardzības jomā.”</w:t>
            </w:r>
          </w:p>
          <w:p w14:paraId="14EC4958" w14:textId="127F3684" w:rsidR="00EA5AA9" w:rsidRPr="00EA5AA9" w:rsidRDefault="00EA5AA9" w:rsidP="00EA5AA9">
            <w:pPr>
              <w:jc w:val="both"/>
            </w:pPr>
          </w:p>
        </w:tc>
      </w:tr>
      <w:tr w:rsidR="00C153BD" w:rsidRPr="00371588" w14:paraId="7E5FA519" w14:textId="77777777" w:rsidTr="00197014">
        <w:tc>
          <w:tcPr>
            <w:tcW w:w="846" w:type="dxa"/>
          </w:tcPr>
          <w:p w14:paraId="3ABB2C11" w14:textId="77777777" w:rsidR="00C153BD" w:rsidRPr="008E660F" w:rsidRDefault="00C153BD" w:rsidP="00197014">
            <w:pPr>
              <w:pStyle w:val="naisf"/>
              <w:spacing w:before="0" w:after="0"/>
              <w:ind w:firstLine="0"/>
              <w:jc w:val="center"/>
            </w:pPr>
            <w:r>
              <w:lastRenderedPageBreak/>
              <w:t>2.</w:t>
            </w:r>
          </w:p>
        </w:tc>
        <w:tc>
          <w:tcPr>
            <w:tcW w:w="2410" w:type="dxa"/>
          </w:tcPr>
          <w:p w14:paraId="39966D08" w14:textId="77777777" w:rsidR="00C153BD" w:rsidRPr="002471DF" w:rsidRDefault="00C153BD" w:rsidP="00197014">
            <w:pPr>
              <w:ind w:firstLine="34"/>
              <w:jc w:val="both"/>
            </w:pPr>
            <w:r>
              <w:t xml:space="preserve">4. </w:t>
            </w:r>
            <w:r w:rsidRPr="002471DF">
              <w:t>17. pantā:</w:t>
            </w:r>
          </w:p>
          <w:p w14:paraId="5AE1921D" w14:textId="77777777" w:rsidR="00C153BD" w:rsidRPr="002471DF" w:rsidRDefault="00C153BD" w:rsidP="00197014">
            <w:pPr>
              <w:spacing w:before="100" w:beforeAutospacing="1"/>
              <w:jc w:val="both"/>
            </w:pPr>
            <w:r w:rsidRPr="002471DF">
              <w:t>izslēgt otrās daļas 1. punktā vārdus “un adresi”;</w:t>
            </w:r>
          </w:p>
          <w:p w14:paraId="1AAF43F2" w14:textId="77777777" w:rsidR="00C153BD" w:rsidRPr="002471DF" w:rsidRDefault="00C153BD" w:rsidP="00197014">
            <w:pPr>
              <w:spacing w:before="100" w:beforeAutospacing="1"/>
              <w:jc w:val="both"/>
            </w:pPr>
            <w:r w:rsidRPr="002471DF">
              <w:t xml:space="preserve">papildināt trešā daļā aiz vārda “dokumentus” ar vārdiem un skaitļiem “uzglabā 10 gadus un”. </w:t>
            </w:r>
          </w:p>
          <w:p w14:paraId="50CE537C" w14:textId="77777777" w:rsidR="00C153BD" w:rsidRPr="002471DF" w:rsidRDefault="00C153BD" w:rsidP="00197014">
            <w:pPr>
              <w:spacing w:before="100" w:beforeAutospacing="1"/>
              <w:jc w:val="both"/>
            </w:pPr>
            <w:r w:rsidRPr="002471DF">
              <w:t>papildināt ar ceturto daļu šādā redakcijā:</w:t>
            </w:r>
          </w:p>
          <w:p w14:paraId="16659B35" w14:textId="77777777" w:rsidR="00C153BD" w:rsidRPr="0066749A" w:rsidRDefault="00C153BD" w:rsidP="00197014">
            <w:pPr>
              <w:jc w:val="both"/>
              <w:rPr>
                <w:color w:val="A6A6A6" w:themeColor="background1" w:themeShade="A6"/>
              </w:rPr>
            </w:pPr>
            <w:r w:rsidRPr="002471DF">
              <w:lastRenderedPageBreak/>
              <w:t>“(4) Personu datu apstrādi veic ievērojot normatīvo aktu prasības fizisko personu datu aizsardzības jomā.”</w:t>
            </w:r>
          </w:p>
        </w:tc>
        <w:tc>
          <w:tcPr>
            <w:tcW w:w="4110" w:type="dxa"/>
          </w:tcPr>
          <w:p w14:paraId="53000DF4" w14:textId="77777777" w:rsidR="00C153BD" w:rsidRPr="00490D4A" w:rsidRDefault="00C153BD" w:rsidP="00197014">
            <w:pPr>
              <w:pStyle w:val="ListParagraph"/>
              <w:ind w:left="0"/>
              <w:jc w:val="both"/>
              <w:rPr>
                <w:b/>
                <w:bCs/>
              </w:rPr>
            </w:pPr>
            <w:r w:rsidRPr="00490D4A">
              <w:rPr>
                <w:b/>
                <w:bCs/>
              </w:rPr>
              <w:lastRenderedPageBreak/>
              <w:t>Tieslietu ministrijas 2020. gada 23. jūlija atzinums Nr. 1-9.1/796</w:t>
            </w:r>
          </w:p>
          <w:p w14:paraId="44243157" w14:textId="77777777" w:rsidR="00C153BD" w:rsidRPr="00490D4A" w:rsidRDefault="00C153BD" w:rsidP="00197014">
            <w:pPr>
              <w:pStyle w:val="ListParagraph"/>
              <w:ind w:left="0"/>
              <w:jc w:val="both"/>
              <w:rPr>
                <w:b/>
                <w:bCs/>
              </w:rPr>
            </w:pPr>
          </w:p>
          <w:p w14:paraId="3B85BF6E" w14:textId="77777777" w:rsidR="00C153BD" w:rsidRPr="00490D4A" w:rsidRDefault="00C153BD" w:rsidP="00197014">
            <w:pPr>
              <w:pStyle w:val="NormalWeb"/>
              <w:tabs>
                <w:tab w:val="left" w:pos="993"/>
              </w:tabs>
              <w:spacing w:before="0" w:after="0"/>
              <w:ind w:right="11"/>
              <w:jc w:val="both"/>
              <w:rPr>
                <w:bCs/>
                <w:iCs/>
              </w:rPr>
            </w:pPr>
            <w:r>
              <w:rPr>
                <w:bCs/>
                <w:iCs/>
              </w:rPr>
              <w:t xml:space="preserve">2. </w:t>
            </w:r>
            <w:r w:rsidRPr="00490D4A">
              <w:rPr>
                <w:bCs/>
                <w:iCs/>
              </w:rPr>
              <w:t>Ņemot vērā, ka projekta 4. pantā izteiktajā grozījumā likuma 17. panta trešajā daļā tiek ieviestas regulas 1907/2006 36. panta un regulas 1272/</w:t>
            </w:r>
            <w:r w:rsidRPr="00490D4A">
              <w:rPr>
                <w:bCs/>
                <w:iCs/>
                <w:u w:val="single"/>
              </w:rPr>
              <w:t>2008</w:t>
            </w:r>
            <w:r w:rsidRPr="00490D4A">
              <w:rPr>
                <w:bCs/>
                <w:iCs/>
              </w:rPr>
              <w:t xml:space="preserve"> 49.panta prasības, lūdzam projekta 4. pantā aizstāt vārdus “uzglabā 10 gadus un” ar vārdiem un skaitļiem “uzglabā 10 gadus atbilstoši regulas 1907/2006 36. panta un regulas 1272/2008 49. panta prasībām”.</w:t>
            </w:r>
          </w:p>
          <w:p w14:paraId="150DBD39" w14:textId="77777777" w:rsidR="00C153BD" w:rsidRPr="00490D4A" w:rsidRDefault="00C153BD" w:rsidP="00197014">
            <w:pPr>
              <w:pStyle w:val="NormalWeb"/>
              <w:tabs>
                <w:tab w:val="left" w:pos="993"/>
              </w:tabs>
              <w:spacing w:before="0" w:after="0"/>
              <w:ind w:right="11" w:firstLine="709"/>
              <w:jc w:val="both"/>
              <w:rPr>
                <w:bCs/>
                <w:iCs/>
              </w:rPr>
            </w:pPr>
            <w:r w:rsidRPr="00490D4A">
              <w:rPr>
                <w:bCs/>
                <w:iCs/>
              </w:rPr>
              <w:t xml:space="preserve">Regulas 1907/2006 36. panta 1. punkts cita starpā noteic, ka “katrs </w:t>
            </w:r>
            <w:r w:rsidRPr="00490D4A">
              <w:rPr>
                <w:bCs/>
                <w:iCs/>
              </w:rPr>
              <w:lastRenderedPageBreak/>
              <w:t xml:space="preserve">ražotājs, importētājs, pakārtots lietotājs un izplatītājs vāc un glabā pieejamu visu informāciju, kas vajadzīga, lai pildītu ar šo regulu uzliktos pienākumus, </w:t>
            </w:r>
            <w:r w:rsidRPr="00490D4A">
              <w:rPr>
                <w:bCs/>
                <w:iCs/>
                <w:u w:val="single"/>
              </w:rPr>
              <w:t>vismaz 10 gadus pēc tam, kad viņš beidzis ražot, importēt, piegādāt vai lietot attiecīgo vielu vai  maisījumu.”</w:t>
            </w:r>
          </w:p>
          <w:p w14:paraId="4B20FA84" w14:textId="77777777" w:rsidR="00C153BD" w:rsidRPr="00490D4A" w:rsidRDefault="00C153BD" w:rsidP="00197014">
            <w:pPr>
              <w:pStyle w:val="NormalWeb"/>
              <w:tabs>
                <w:tab w:val="left" w:pos="993"/>
              </w:tabs>
              <w:spacing w:before="0" w:after="0"/>
              <w:ind w:right="11" w:firstLine="709"/>
              <w:jc w:val="both"/>
              <w:rPr>
                <w:bCs/>
                <w:iCs/>
              </w:rPr>
            </w:pPr>
            <w:r w:rsidRPr="00490D4A">
              <w:rPr>
                <w:bCs/>
                <w:iCs/>
              </w:rPr>
              <w:t xml:space="preserve">Regulas 1272/2008 49. panta 1. punkts cita starpā noteic, ka “piegādātājs apkopo un </w:t>
            </w:r>
            <w:r w:rsidRPr="00490D4A">
              <w:rPr>
                <w:bCs/>
                <w:iCs/>
                <w:u w:val="single"/>
              </w:rPr>
              <w:t>vismaz 10 gadus pēc vielas vai maisījuma pēdējās piegādes nodrošina pieeju visai informācijai, ko izmantojis, lai to klasificētu un marķētu saskaņā ar šo regulu</w:t>
            </w:r>
            <w:r w:rsidRPr="00490D4A">
              <w:rPr>
                <w:bCs/>
                <w:iCs/>
              </w:rPr>
              <w:t>.”</w:t>
            </w:r>
          </w:p>
          <w:p w14:paraId="4B376661" w14:textId="77777777" w:rsidR="00C153BD" w:rsidRPr="00490D4A" w:rsidRDefault="00C153BD" w:rsidP="00197014">
            <w:pPr>
              <w:pStyle w:val="NormalWeb"/>
              <w:tabs>
                <w:tab w:val="left" w:pos="993"/>
              </w:tabs>
              <w:spacing w:before="0" w:after="0"/>
              <w:ind w:right="11" w:firstLine="709"/>
              <w:jc w:val="both"/>
              <w:rPr>
                <w:bCs/>
                <w:iCs/>
              </w:rPr>
            </w:pPr>
            <w:r w:rsidRPr="00490D4A">
              <w:rPr>
                <w:bCs/>
                <w:iCs/>
              </w:rPr>
              <w:t>Vēršam uzmanību, ka regulas 1907/2006 36. pantā un regulas 1272/</w:t>
            </w:r>
            <w:r w:rsidRPr="00490D4A">
              <w:rPr>
                <w:bCs/>
                <w:iCs/>
                <w:u w:val="single"/>
              </w:rPr>
              <w:t>2008</w:t>
            </w:r>
            <w:r w:rsidRPr="00490D4A">
              <w:rPr>
                <w:bCs/>
                <w:iCs/>
              </w:rPr>
              <w:t xml:space="preserve"> 49. pantā ir noteikti nosacījumi, no kura brīža personai ir pienākums glabāt informāciju vismaz 10 gadus, kā arī ir noteikts pienākums glabāt informāciju personas saistību pārņemšanas gadījumā.</w:t>
            </w:r>
          </w:p>
          <w:p w14:paraId="275F7B92" w14:textId="77777777" w:rsidR="00C153BD" w:rsidRPr="00C35209" w:rsidRDefault="00C153BD" w:rsidP="00197014">
            <w:pPr>
              <w:pStyle w:val="NormalWeb"/>
              <w:tabs>
                <w:tab w:val="left" w:pos="993"/>
              </w:tabs>
              <w:spacing w:before="0" w:after="0"/>
              <w:ind w:right="11" w:firstLine="709"/>
              <w:jc w:val="both"/>
            </w:pPr>
            <w:r w:rsidRPr="00490D4A">
              <w:rPr>
                <w:bCs/>
                <w:iCs/>
              </w:rPr>
              <w:t>Vienlaikus aicinām precizēt projekta anotācijas V sadaļas 1. tabulu, ietverot tajā atsauces uz regulas 1907/2006 36. panta un regulas 1272/</w:t>
            </w:r>
            <w:r w:rsidRPr="00490D4A">
              <w:rPr>
                <w:bCs/>
                <w:iCs/>
                <w:u w:val="single"/>
              </w:rPr>
              <w:t>2008</w:t>
            </w:r>
            <w:r w:rsidRPr="00490D4A">
              <w:rPr>
                <w:bCs/>
                <w:iCs/>
              </w:rPr>
              <w:t xml:space="preserve"> 49. panta prasībām, kas tiek ieviestas projekta 4. pantā.</w:t>
            </w:r>
          </w:p>
        </w:tc>
        <w:tc>
          <w:tcPr>
            <w:tcW w:w="3799" w:type="dxa"/>
          </w:tcPr>
          <w:p w14:paraId="15144BD6" w14:textId="77777777" w:rsidR="00C153BD" w:rsidRPr="00926D97" w:rsidRDefault="00C153BD" w:rsidP="00197014">
            <w:pPr>
              <w:pStyle w:val="BodyText"/>
              <w:spacing w:after="0"/>
              <w:jc w:val="both"/>
              <w:rPr>
                <w:rFonts w:eastAsia="Calibri"/>
                <w:b/>
                <w:bCs/>
                <w:lang w:eastAsia="en-US"/>
              </w:rPr>
            </w:pPr>
            <w:r w:rsidRPr="00926D97">
              <w:rPr>
                <w:rFonts w:eastAsia="Calibri"/>
                <w:b/>
                <w:bCs/>
                <w:lang w:eastAsia="en-US"/>
              </w:rPr>
              <w:lastRenderedPageBreak/>
              <w:t xml:space="preserve">Iebildums ņemts vērā. </w:t>
            </w:r>
          </w:p>
          <w:p w14:paraId="46AE0245" w14:textId="77777777" w:rsidR="00C153BD" w:rsidRPr="0066749A" w:rsidRDefault="00C153BD" w:rsidP="00197014">
            <w:pPr>
              <w:jc w:val="both"/>
              <w:rPr>
                <w:rStyle w:val="normaltextrun"/>
              </w:rPr>
            </w:pPr>
          </w:p>
        </w:tc>
        <w:tc>
          <w:tcPr>
            <w:tcW w:w="3431" w:type="dxa"/>
          </w:tcPr>
          <w:p w14:paraId="1C99ED61" w14:textId="77777777" w:rsidR="00C153BD" w:rsidRPr="00EA5AA9" w:rsidRDefault="00C153BD" w:rsidP="00197014">
            <w:pPr>
              <w:tabs>
                <w:tab w:val="left" w:pos="1260"/>
              </w:tabs>
              <w:spacing w:before="100" w:beforeAutospacing="1"/>
              <w:jc w:val="both"/>
              <w:rPr>
                <w:szCs w:val="28"/>
              </w:rPr>
            </w:pPr>
            <w:r w:rsidRPr="00EA5AA9">
              <w:rPr>
                <w:szCs w:val="28"/>
              </w:rPr>
              <w:t>4. 17. pantā:</w:t>
            </w:r>
          </w:p>
          <w:p w14:paraId="583473AF" w14:textId="77777777" w:rsidR="00C153BD" w:rsidRPr="00EA5AA9" w:rsidRDefault="00C153BD" w:rsidP="00197014">
            <w:pPr>
              <w:spacing w:before="100" w:beforeAutospacing="1"/>
              <w:jc w:val="both"/>
              <w:textAlignment w:val="baseline"/>
              <w:rPr>
                <w:szCs w:val="28"/>
              </w:rPr>
            </w:pPr>
            <w:r w:rsidRPr="00EA5AA9">
              <w:rPr>
                <w:szCs w:val="28"/>
              </w:rPr>
              <w:t>aizstāt otrā daļā vārdus “Juridiskās personas” ar vārdiem “Darbību veicēji”;</w:t>
            </w:r>
          </w:p>
          <w:p w14:paraId="6F46EB6B" w14:textId="77777777" w:rsidR="00C153BD" w:rsidRPr="00EA5AA9" w:rsidRDefault="00C153BD" w:rsidP="00197014">
            <w:pPr>
              <w:spacing w:before="100" w:beforeAutospacing="1"/>
              <w:jc w:val="both"/>
              <w:rPr>
                <w:szCs w:val="28"/>
              </w:rPr>
            </w:pPr>
            <w:r w:rsidRPr="00EA5AA9">
              <w:rPr>
                <w:szCs w:val="28"/>
              </w:rPr>
              <w:t>izslēgt otrās daļas 1. punktā vārdus “un adresi”;</w:t>
            </w:r>
          </w:p>
          <w:p w14:paraId="0EC268D3" w14:textId="77777777" w:rsidR="00C153BD" w:rsidRPr="00EA5AA9" w:rsidRDefault="00C153BD" w:rsidP="00197014">
            <w:pPr>
              <w:spacing w:before="100" w:beforeAutospacing="1"/>
              <w:jc w:val="both"/>
              <w:rPr>
                <w:szCs w:val="28"/>
              </w:rPr>
            </w:pPr>
            <w:r w:rsidRPr="00EA5AA9">
              <w:rPr>
                <w:szCs w:val="28"/>
              </w:rPr>
              <w:t xml:space="preserve">papildināt trešā daļā aiz vārda “dokumentus” ar vārdiem un skaitļiem “uzglabā 10 gadus atbilstoši regulas 1907/2006 36. panta un regulas 1272/2008 49. panta prasībām un”. </w:t>
            </w:r>
          </w:p>
          <w:p w14:paraId="533C315B" w14:textId="77777777" w:rsidR="00C153BD" w:rsidRPr="00EA5AA9" w:rsidRDefault="00C153BD" w:rsidP="00197014">
            <w:pPr>
              <w:spacing w:before="100" w:beforeAutospacing="1"/>
              <w:jc w:val="both"/>
              <w:rPr>
                <w:szCs w:val="28"/>
              </w:rPr>
            </w:pPr>
            <w:r w:rsidRPr="00EA5AA9">
              <w:rPr>
                <w:szCs w:val="28"/>
              </w:rPr>
              <w:lastRenderedPageBreak/>
              <w:t>papildināt ar ceturto daļu šādā redakcijā:</w:t>
            </w:r>
          </w:p>
          <w:p w14:paraId="473E4D92" w14:textId="77777777" w:rsidR="00C153BD" w:rsidRPr="00EA5AA9" w:rsidRDefault="00C153BD" w:rsidP="00197014">
            <w:pPr>
              <w:spacing w:before="100" w:beforeAutospacing="1"/>
              <w:jc w:val="both"/>
              <w:rPr>
                <w:szCs w:val="28"/>
              </w:rPr>
            </w:pPr>
            <w:r w:rsidRPr="00EA5AA9">
              <w:rPr>
                <w:szCs w:val="28"/>
              </w:rPr>
              <w:t>“(4) Personu datu apstrādi veic ievērojot normatīvo aktu prasības fizisko personu datu aizsardzības jomā.”</w:t>
            </w:r>
          </w:p>
          <w:p w14:paraId="3C32A7E4" w14:textId="77777777" w:rsidR="00C153BD" w:rsidRPr="0080770A" w:rsidRDefault="00C153BD" w:rsidP="00197014">
            <w:pPr>
              <w:spacing w:before="120"/>
              <w:jc w:val="both"/>
              <w:rPr>
                <w:rFonts w:eastAsia="Calibri"/>
                <w:lang w:eastAsia="en-US"/>
              </w:rPr>
            </w:pPr>
          </w:p>
        </w:tc>
      </w:tr>
      <w:tr w:rsidR="00FB4FE0" w:rsidRPr="00371588" w14:paraId="315C934F" w14:textId="77777777" w:rsidTr="0026576A">
        <w:tc>
          <w:tcPr>
            <w:tcW w:w="846" w:type="dxa"/>
          </w:tcPr>
          <w:p w14:paraId="5DC023E9" w14:textId="77777777" w:rsidR="00FB4FE0" w:rsidRPr="008E660F" w:rsidRDefault="00FB4FE0" w:rsidP="0026576A">
            <w:pPr>
              <w:pStyle w:val="naisf"/>
              <w:spacing w:before="0" w:after="0"/>
              <w:ind w:firstLine="0"/>
              <w:jc w:val="center"/>
            </w:pPr>
            <w:r>
              <w:lastRenderedPageBreak/>
              <w:t>3.</w:t>
            </w:r>
          </w:p>
        </w:tc>
        <w:tc>
          <w:tcPr>
            <w:tcW w:w="2410" w:type="dxa"/>
          </w:tcPr>
          <w:p w14:paraId="2F2E92B6" w14:textId="77777777" w:rsidR="00FB4FE0" w:rsidRPr="0066749A" w:rsidRDefault="00FB4FE0" w:rsidP="0026576A">
            <w:pPr>
              <w:jc w:val="both"/>
              <w:rPr>
                <w:color w:val="A6A6A6" w:themeColor="background1" w:themeShade="A6"/>
              </w:rPr>
            </w:pPr>
            <w:r>
              <w:t>Likumprojekta anotācijas IV sadaļa.</w:t>
            </w:r>
          </w:p>
        </w:tc>
        <w:tc>
          <w:tcPr>
            <w:tcW w:w="4110" w:type="dxa"/>
          </w:tcPr>
          <w:p w14:paraId="28BF2DA1" w14:textId="77777777" w:rsidR="00FB4FE0" w:rsidRPr="002471DF" w:rsidRDefault="00FB4FE0" w:rsidP="0026576A">
            <w:pPr>
              <w:pStyle w:val="ListParagraph"/>
              <w:ind w:left="0"/>
              <w:jc w:val="both"/>
              <w:rPr>
                <w:b/>
                <w:bCs/>
              </w:rPr>
            </w:pPr>
            <w:r>
              <w:rPr>
                <w:b/>
                <w:bCs/>
              </w:rPr>
              <w:t>Finanšu</w:t>
            </w:r>
            <w:r w:rsidRPr="002471DF">
              <w:rPr>
                <w:b/>
                <w:bCs/>
              </w:rPr>
              <w:t xml:space="preserve"> ministrijas 2020. gada 2</w:t>
            </w:r>
            <w:r>
              <w:rPr>
                <w:b/>
                <w:bCs/>
              </w:rPr>
              <w:t>7</w:t>
            </w:r>
            <w:r w:rsidRPr="008D084C">
              <w:rPr>
                <w:b/>
                <w:bCs/>
              </w:rPr>
              <w:t>. augusta atzinums Nr. </w:t>
            </w:r>
            <w:r w:rsidRPr="008D084C">
              <w:rPr>
                <w:b/>
              </w:rPr>
              <w:t>10.1-6/7-1/789</w:t>
            </w:r>
          </w:p>
          <w:p w14:paraId="49464757" w14:textId="77777777" w:rsidR="00FB4FE0" w:rsidRDefault="00FB4FE0" w:rsidP="0026576A">
            <w:r>
              <w:lastRenderedPageBreak/>
              <w:t>2. Anotācijas IV. sadaļā “Tiesību akta projekta ietekme uz spēkā esošo tiesību normu sistēmu” norādīts, ka likumprojekts šo jomu neskar. Savukārt Ministru kabineta 2011.gada 12.jūlija noteikumi Nr.563 “Noteikumi par īpašiem ierobežojumiem un aizliegumiem attiecībā uz darbībām ar ozona slāni noārdošām vielām un fluorētām siltumnīcefekta gāzēm” (turpmāk - MK noteikumi Nr.563), kas izdoti saskaņā ar Ķīmisko vielu likuma 16. pantu, satur atsauces uz Eiropas Parlamenta un Padomes 2006.gada 17.maija Regulu (EK) Nr. 842/2006 par dažām fluorētām siltumnīcefekta gāzēm, kas nav spēkā no 2014.gada 31.decembra.</w:t>
            </w:r>
          </w:p>
          <w:p w14:paraId="282BA3E2" w14:textId="77777777" w:rsidR="00FB4FE0" w:rsidRDefault="00FB4FE0" w:rsidP="0026576A">
            <w:r>
              <w:t>Likumprojekta 2. panta trešā daļa paredz izteikt Ķīmisko vielu likuma 4.panta 3.</w:t>
            </w:r>
            <w:r>
              <w:rPr>
                <w:vertAlign w:val="superscript"/>
              </w:rPr>
              <w:t>1</w:t>
            </w:r>
            <w:r>
              <w:t xml:space="preserve"> daļu citā redakcijā, paplašinot valsts sabiedrības ar ierobežotu atbildību "Latvijas Vides, ģeoloģijas un meteoroloģijas centrs" funkcijas, nosakot konkrētu starptautisko normu prasību izpildi, tādējādi vienlaicīgi ar grozījumiem Ķīmisko vielu likumā nepieciešams izdarīt atbilstošus grozījumus arī MK noteikumos Nr.563. </w:t>
            </w:r>
          </w:p>
          <w:p w14:paraId="2D3ACF53" w14:textId="77777777" w:rsidR="00FB4FE0" w:rsidRDefault="00FB4FE0" w:rsidP="0026576A">
            <w:r>
              <w:t xml:space="preserve">MK noteikumu Nr.563 5.punkts nosaka, ka Valsts ieņēmumu dienests kontrolē </w:t>
            </w:r>
            <w:r>
              <w:lastRenderedPageBreak/>
              <w:t xml:space="preserve">regulas Nr. 1005/2009 15.panta 1., 2. un 3.punktā, 17.panta 1., 2. un 4.punktā un 20.panta 1.punktā noteikto prasību izpildi un katru gadu līdz 1.martam iesniedz Vides aizsardzības un reģionālās attīstības ministrijā pārskatu par veiktajiem kontroles pasākumiem un to rezultātiem. </w:t>
            </w:r>
          </w:p>
          <w:p w14:paraId="44305BCC" w14:textId="77777777" w:rsidR="00FB4FE0" w:rsidRDefault="00FB4FE0" w:rsidP="0026576A">
            <w:r>
              <w:t>Savukārt kompetence un veicamās darbības attiecībā par fluorētām siltumnīcefekta gāzēm nav ietvertas MK noteikumos Nr. 563.</w:t>
            </w:r>
          </w:p>
          <w:p w14:paraId="0E3E873D" w14:textId="77777777" w:rsidR="00FB4FE0" w:rsidRDefault="00FB4FE0" w:rsidP="0026576A">
            <w:r>
              <w:t>Lai VID īstenotu jebkādu ķīmisko vielu kontroli uz valsts (muitas) robežas atbilstoši minētajiem normatīvajiem aktiem, ir jānosaka kompetentās iestādes tieši minēto vielu identificēšanai un attiecīgu atzinumu sniegšanai.</w:t>
            </w:r>
          </w:p>
          <w:p w14:paraId="0FD6F8BE" w14:textId="77777777" w:rsidR="00FB4FE0" w:rsidRDefault="00FB4FE0" w:rsidP="0026576A">
            <w:pPr>
              <w:pStyle w:val="NormalWeb"/>
              <w:tabs>
                <w:tab w:val="left" w:pos="993"/>
              </w:tabs>
              <w:spacing w:before="0" w:after="0"/>
              <w:ind w:right="11"/>
              <w:jc w:val="both"/>
            </w:pPr>
          </w:p>
          <w:p w14:paraId="451152BC" w14:textId="77777777" w:rsidR="00FB4FE0" w:rsidRPr="00C35209" w:rsidRDefault="00FB4FE0" w:rsidP="0026576A">
            <w:pPr>
              <w:pStyle w:val="NormalWeb"/>
              <w:tabs>
                <w:tab w:val="left" w:pos="993"/>
              </w:tabs>
              <w:spacing w:before="0" w:after="0"/>
              <w:ind w:right="11"/>
              <w:jc w:val="both"/>
            </w:pPr>
            <w:r>
              <w:t>Pamatojoties uz minēto, lūdzam papildināt likumprojektu “Grozījumi Ķīmisko vielu likumā” ar jaunu pantu, nosakot pārejas noteikumos konkrētu datumu, līdz kuram jāveic grozījumi MK noteikumos Nr.563, kuri izdoti saskaņā ar Ķīmisko vielu likuma 16.panta trešajā daļā ietverto pilnvarojumu, vienlaicīgi papildinot anotācijas IV. sadaļu ar atbilstošu pamatojumu grozījumu veikšanas nepieciešamībai.</w:t>
            </w:r>
          </w:p>
        </w:tc>
        <w:tc>
          <w:tcPr>
            <w:tcW w:w="3799" w:type="dxa"/>
          </w:tcPr>
          <w:p w14:paraId="449FDB9A" w14:textId="77777777" w:rsidR="00FB4FE0" w:rsidRPr="00712B56" w:rsidRDefault="00FB4FE0" w:rsidP="002E6037">
            <w:pPr>
              <w:pStyle w:val="naisc"/>
              <w:spacing w:before="0" w:after="0"/>
              <w:ind w:firstLine="23"/>
              <w:rPr>
                <w:b/>
              </w:rPr>
            </w:pPr>
            <w:r>
              <w:rPr>
                <w:b/>
              </w:rPr>
              <w:lastRenderedPageBreak/>
              <w:t>Panākta vienošanās saskaņošanas procesā</w:t>
            </w:r>
          </w:p>
          <w:p w14:paraId="43B86C9A" w14:textId="47CB5C4B" w:rsidR="00FB4FE0" w:rsidRPr="0066749A" w:rsidRDefault="0016539A" w:rsidP="0044529D">
            <w:pPr>
              <w:jc w:val="both"/>
              <w:rPr>
                <w:rStyle w:val="normaltextrun"/>
              </w:rPr>
            </w:pPr>
            <w:r>
              <w:t>Likumprojektā ir noteikta valsts sabiedrības ar ierobežotu atbildību</w:t>
            </w:r>
            <w:r w:rsidR="00FB4FE0" w:rsidRPr="00C35209">
              <w:t xml:space="preserve"> </w:t>
            </w:r>
            <w:r w:rsidR="00951D03">
              <w:lastRenderedPageBreak/>
              <w:t>“</w:t>
            </w:r>
            <w:r w:rsidR="00FB4FE0" w:rsidRPr="00C35209">
              <w:t>Latvijas Vides, ģeoloģijas un meteoroloģijas centrs</w:t>
            </w:r>
            <w:r w:rsidR="00951D03">
              <w:t>” (turpmāk – LVĢMC)</w:t>
            </w:r>
            <w:r w:rsidR="00FB4FE0" w:rsidRPr="00C35209">
              <w:t xml:space="preserve"> kompetence fluorēto siltumnīcefekta gāzu jomā (Eiropas Parlamenta un Padomes 2014.</w:t>
            </w:r>
            <w:r w:rsidR="00F96D40">
              <w:t> </w:t>
            </w:r>
            <w:r w:rsidR="00FB4FE0" w:rsidRPr="00C35209">
              <w:t>gada 16.</w:t>
            </w:r>
            <w:r w:rsidR="00F96D40">
              <w:t> </w:t>
            </w:r>
            <w:r w:rsidR="00FB4FE0" w:rsidRPr="00C35209">
              <w:t>aprīļa regula Nr.</w:t>
            </w:r>
            <w:r w:rsidR="00F96D40">
              <w:t> </w:t>
            </w:r>
            <w:r w:rsidR="00FB4FE0" w:rsidRPr="00C35209">
              <w:t xml:space="preserve">517/2014 par fluorētām siltumnīcefekta gāzēm un ar ko atceļ Regulu (EK) Nr. 842/2006), līdz ar to Ministru kabineta noteikumos šī funkcija netiek dublēta. Vienlaikus informējam, ka </w:t>
            </w:r>
            <w:r w:rsidR="00E103EB">
              <w:t>Vides aizsardzības un reģionālās attīstības ministrija</w:t>
            </w:r>
            <w:r w:rsidR="0044529D">
              <w:t xml:space="preserve"> (turpmāk – VARAM)</w:t>
            </w:r>
            <w:r w:rsidR="00E103EB">
              <w:t xml:space="preserve"> izstrādāja un virzīja izsludināšana</w:t>
            </w:r>
            <w:r w:rsidR="002E624E">
              <w:t>i</w:t>
            </w:r>
            <w:r w:rsidR="00E103EB">
              <w:t xml:space="preserve"> Valsts sekretāru 2020. gada 10. septembra sanāksmē Ministru kabineta noteikumu projektu “</w:t>
            </w:r>
            <w:r w:rsidR="00E103EB" w:rsidRPr="002E624E">
              <w:t>Noteikumi par īpašiem ierobežojumiem attiecībā uz darbībām ar ozona slāni noārdošām vielām un fluorētām siltumnīcefekta gāzēm</w:t>
            </w:r>
            <w:r w:rsidR="00E103EB">
              <w:t xml:space="preserve">” </w:t>
            </w:r>
            <w:r w:rsidR="0044529D">
              <w:t>(VSS-755). Projekts šobrīd atrodas starpinstitūciju saskaņošanas procesā.</w:t>
            </w:r>
          </w:p>
        </w:tc>
        <w:tc>
          <w:tcPr>
            <w:tcW w:w="3431" w:type="dxa"/>
          </w:tcPr>
          <w:p w14:paraId="152B18A1" w14:textId="77777777" w:rsidR="00FB4FE0" w:rsidRPr="0080770A" w:rsidRDefault="00FB4FE0" w:rsidP="0026576A">
            <w:pPr>
              <w:spacing w:before="120"/>
              <w:jc w:val="both"/>
              <w:rPr>
                <w:rFonts w:eastAsia="Calibri"/>
                <w:lang w:eastAsia="en-US"/>
              </w:rPr>
            </w:pPr>
            <w:r>
              <w:lastRenderedPageBreak/>
              <w:t>Likumprojekta anotācijas IV sadaļa netiek mainīta.</w:t>
            </w:r>
          </w:p>
        </w:tc>
      </w:tr>
      <w:tr w:rsidR="00FB4FE0" w:rsidRPr="00371588" w14:paraId="12F6F33F" w14:textId="77777777" w:rsidTr="65362092">
        <w:tc>
          <w:tcPr>
            <w:tcW w:w="846" w:type="dxa"/>
          </w:tcPr>
          <w:p w14:paraId="5640636E" w14:textId="62115617" w:rsidR="00FB4FE0" w:rsidRPr="008E660F" w:rsidRDefault="00FB4FE0" w:rsidP="00FB4FE0">
            <w:pPr>
              <w:pStyle w:val="naisf"/>
              <w:spacing w:before="0" w:after="0"/>
              <w:ind w:firstLine="0"/>
              <w:jc w:val="center"/>
            </w:pPr>
            <w:r>
              <w:lastRenderedPageBreak/>
              <w:t>4.</w:t>
            </w:r>
          </w:p>
        </w:tc>
        <w:tc>
          <w:tcPr>
            <w:tcW w:w="2410" w:type="dxa"/>
          </w:tcPr>
          <w:p w14:paraId="7F334C0C" w14:textId="4E20A34C" w:rsidR="00FB4FE0" w:rsidRPr="0066749A" w:rsidRDefault="00FB4FE0" w:rsidP="00FB4FE0">
            <w:pPr>
              <w:jc w:val="both"/>
              <w:rPr>
                <w:color w:val="A6A6A6" w:themeColor="background1" w:themeShade="A6"/>
              </w:rPr>
            </w:pPr>
          </w:p>
        </w:tc>
        <w:tc>
          <w:tcPr>
            <w:tcW w:w="4110" w:type="dxa"/>
          </w:tcPr>
          <w:p w14:paraId="358E3375" w14:textId="77777777" w:rsidR="00FB4FE0" w:rsidRPr="002471DF" w:rsidRDefault="00FB4FE0" w:rsidP="00FB4FE0">
            <w:pPr>
              <w:pStyle w:val="ListParagraph"/>
              <w:ind w:left="0"/>
              <w:jc w:val="both"/>
              <w:rPr>
                <w:b/>
                <w:bCs/>
              </w:rPr>
            </w:pPr>
            <w:r>
              <w:rPr>
                <w:b/>
                <w:bCs/>
              </w:rPr>
              <w:t>Finanšu</w:t>
            </w:r>
            <w:r w:rsidRPr="002471DF">
              <w:rPr>
                <w:b/>
                <w:bCs/>
              </w:rPr>
              <w:t xml:space="preserve"> ministrijas 2020. gada 2</w:t>
            </w:r>
            <w:r>
              <w:rPr>
                <w:b/>
                <w:bCs/>
              </w:rPr>
              <w:t>7</w:t>
            </w:r>
            <w:r w:rsidRPr="008D084C">
              <w:rPr>
                <w:b/>
                <w:bCs/>
              </w:rPr>
              <w:t>. augusta atzinums Nr. </w:t>
            </w:r>
            <w:r w:rsidRPr="008D084C">
              <w:rPr>
                <w:b/>
              </w:rPr>
              <w:t>10.1-6/7-1/789</w:t>
            </w:r>
          </w:p>
          <w:p w14:paraId="2B58E90B" w14:textId="77777777" w:rsidR="00FB4FE0" w:rsidRDefault="00FB4FE0" w:rsidP="00FB4FE0">
            <w:r>
              <w:t xml:space="preserve">1. Saskaņā ar likumu “Par Valsts ieņēmumu dienestu” 2.panta 2.punktu viens no Valsts ieņēmumu dienesta galvenajiem uzdevumiem ir piedalīties muitas lietu, nodokļu un nodevu administrēšanas un likumpārkāpumu atklāšanas valsts ieņēmumu jomā politikas izstrādāšanā un īstenot šo politiku. Izstrādāt atbilstošās jomas attīstības plānošanas dokumentu, informatīvo ziņojumu un tiesību aktu projektus. </w:t>
            </w:r>
          </w:p>
          <w:p w14:paraId="0CF12729" w14:textId="77777777" w:rsidR="00FB4FE0" w:rsidRDefault="00FB4FE0" w:rsidP="00FB4FE0">
            <w:r>
              <w:t xml:space="preserve">Tādejādi tiesību aktos ir noteikts, ka Valsts ieņēmumu dienests (turpmāk – VID) īsteno valsts muitas politiku un kārto muitas lietas. </w:t>
            </w:r>
          </w:p>
          <w:p w14:paraId="1A781368" w14:textId="77777777" w:rsidR="00FB4FE0" w:rsidRDefault="00FB4FE0" w:rsidP="00FB4FE0">
            <w:r>
              <w:t xml:space="preserve">Muitas kontroles pasākumu īstenošana ir īpašu darbību kopums, ko veic muitas dienesti, lai nodrošinātu preču ievešanas, izvešanas, tranzīta, pārvietošanas, uzglabāšanas un galapatēriņa, kuras pārvietotas starp Savienības muitas teritoriju un valstīm vai teritorijām ārpus minētās teritorijas, kā arī ārpussavienības preču un galapatēriņa procedūrai pakļauto preču atrašanos un pārvietošanu Savienības muitas teritorijā atbilstību tiesību aktiem muitas un citās jomās. </w:t>
            </w:r>
          </w:p>
          <w:p w14:paraId="0B8D4983" w14:textId="77777777" w:rsidR="00FB4FE0" w:rsidRDefault="00FB4FE0" w:rsidP="00FB4FE0">
            <w:r>
              <w:lastRenderedPageBreak/>
              <w:t>Tādējādi, lai nodrošinātu ar likumu deleģēto uzdevumu izpildi, VID, īstenojot muitas kontroles pasākumus, šaubu par kāda aizlieguma vai ierobežojuma piemērojamību gadījumā kompetences ietvaros sadarbojas ar attiecīgo jomu kompetentajām iestādēm.</w:t>
            </w:r>
          </w:p>
          <w:p w14:paraId="4649DA11" w14:textId="77777777" w:rsidR="00FB4FE0" w:rsidRDefault="00FB4FE0" w:rsidP="00FB4FE0">
            <w:r>
              <w:t>Ņemot vērā minēto, tiesiskās noteiktības nolūkos lūdzam papildināt likumprojektu ar jaunu pantu, paredzot izteikt Ķīmisko vielu likuma 4.panta sesto daļu šādā redakcijā:</w:t>
            </w:r>
          </w:p>
          <w:p w14:paraId="1A3F8FDA" w14:textId="77777777" w:rsidR="00FB4FE0" w:rsidRDefault="00FB4FE0" w:rsidP="00FB4FE0">
            <w:r>
              <w:t>“(6) Valsts ieņēmumu dienests sadarbībā ar kompetento iestādi īsteno muitas kontroles pasākumus attiecībā uz ķīmiskajam vielām, to maisījumiem un ķīmisku vielu saturošiem būvizstrādājumiem, kuriem noteikti īpaši ierobežojumi vai aizliegumi un kas tiek ievesti Latvijā no trešās valsts vai izvesti no Latvijas uz trešo valsti.”</w:t>
            </w:r>
          </w:p>
          <w:p w14:paraId="137E5139" w14:textId="77777777" w:rsidR="00FB4FE0" w:rsidRDefault="00FB4FE0" w:rsidP="00FB4FE0"/>
          <w:p w14:paraId="6FFEC5EE" w14:textId="77777777" w:rsidR="00FB4FE0" w:rsidRPr="000D0570" w:rsidRDefault="00FB4FE0" w:rsidP="00FB4FE0">
            <w:pPr>
              <w:pStyle w:val="ListParagraph"/>
              <w:ind w:left="0"/>
              <w:rPr>
                <w:b/>
                <w:bCs/>
              </w:rPr>
            </w:pPr>
            <w:r w:rsidRPr="000D0570">
              <w:rPr>
                <w:b/>
                <w:bCs/>
              </w:rPr>
              <w:t xml:space="preserve">Papildināta iebilduma argumentācija saņemta no </w:t>
            </w:r>
          </w:p>
          <w:p w14:paraId="1BFC2D94" w14:textId="77777777" w:rsidR="00FB4FE0" w:rsidRDefault="00FB4FE0" w:rsidP="00FB4FE0">
            <w:pPr>
              <w:pStyle w:val="ListParagraph"/>
              <w:ind w:left="0"/>
              <w:jc w:val="both"/>
              <w:rPr>
                <w:b/>
                <w:bCs/>
              </w:rPr>
            </w:pPr>
            <w:r>
              <w:rPr>
                <w:b/>
                <w:bCs/>
              </w:rPr>
              <w:t>Finanšu</w:t>
            </w:r>
            <w:r w:rsidRPr="002471DF">
              <w:rPr>
                <w:b/>
                <w:bCs/>
              </w:rPr>
              <w:t xml:space="preserve"> ministrijas 2020. gada </w:t>
            </w:r>
            <w:r>
              <w:rPr>
                <w:b/>
                <w:bCs/>
              </w:rPr>
              <w:t>14. septembra atzinumā</w:t>
            </w:r>
            <w:r w:rsidRPr="008D084C">
              <w:rPr>
                <w:b/>
                <w:bCs/>
              </w:rPr>
              <w:t xml:space="preserve"> Nr. </w:t>
            </w:r>
            <w:r w:rsidRPr="000D0570">
              <w:rPr>
                <w:b/>
                <w:bCs/>
              </w:rPr>
              <w:t>10.1-6/7-1/</w:t>
            </w:r>
            <w:r>
              <w:rPr>
                <w:b/>
                <w:bCs/>
              </w:rPr>
              <w:t>842</w:t>
            </w:r>
          </w:p>
          <w:p w14:paraId="346D52D2" w14:textId="77777777" w:rsidR="00FB4FE0" w:rsidRDefault="00FB4FE0" w:rsidP="00FB4FE0">
            <w:pPr>
              <w:jc w:val="both"/>
            </w:pPr>
            <w:r>
              <w:t xml:space="preserve">Uzturam Finanšu ministrijas 2020. gada 27. augusta atzinumā Nr. 10.1-6/7-1/789 izteikto 1. iebildumu un atkārtoti norādām, ka saskaņā ar likumu “Par Valsts ieņēmumu dienestu” 2. panta 2. </w:t>
            </w:r>
            <w:r>
              <w:lastRenderedPageBreak/>
              <w:t xml:space="preserve">punktu viens no Valsts ieņēmumu dienesta (VID) galvenajiem uzdevumiem ir piedalīties muitas lietu, nodokļu un nodevu administrēšanas un likumpārkāpumu atklāšanas valsts ieņēmumu jomā politikas izstrādāšanā un īstenot šo politiku. Izstrādāt atbilstošās jomas attīstības plānošanas dokumentu, informatīvo ziņojumu un tiesību aktu projektus. </w:t>
            </w:r>
          </w:p>
          <w:p w14:paraId="610F03C6" w14:textId="77777777" w:rsidR="00FB4FE0" w:rsidRDefault="00FB4FE0" w:rsidP="00FB4FE0">
            <w:pPr>
              <w:jc w:val="both"/>
            </w:pPr>
          </w:p>
          <w:p w14:paraId="1810B9B2" w14:textId="77777777" w:rsidR="00FB4FE0" w:rsidRDefault="00FB4FE0" w:rsidP="00FB4FE0">
            <w:pPr>
              <w:jc w:val="both"/>
            </w:pPr>
            <w:r>
              <w:t xml:space="preserve">Tādejādi tiesību aktos ir noteikts, ka VID īsteno valsts muitas politiku un kārto muitas lietas. </w:t>
            </w:r>
          </w:p>
          <w:p w14:paraId="54B09151" w14:textId="77777777" w:rsidR="00FB4FE0" w:rsidRDefault="00FB4FE0" w:rsidP="00FB4FE0">
            <w:pPr>
              <w:pStyle w:val="NormalWeb"/>
              <w:spacing w:before="0" w:after="0"/>
              <w:jc w:val="both"/>
            </w:pPr>
          </w:p>
          <w:p w14:paraId="14C3BE59" w14:textId="77777777" w:rsidR="00FB4FE0" w:rsidRDefault="00FB4FE0" w:rsidP="00FB4FE0">
            <w:pPr>
              <w:pStyle w:val="NormalWeb"/>
              <w:spacing w:before="0" w:after="0"/>
              <w:jc w:val="both"/>
            </w:pPr>
            <w:r>
              <w:t xml:space="preserve">Likuma “Par Valsts ieņēmumu dienestu” 11. panta 2. punkts nosaka muitas iestāžu uzdevumus īstenojot muitas politiku, kur viens no uzdevumiem ir preču paraugu izpēte un atzinumu sniegšana par veikto preču paraugu izpēti, taču tas saistīts ar muitas pamatuzdevumiem, jo saskaņā ar Eiropas Parlamenta un Padomes 2013. gada 9. oktobra Regulas (ES) Nr. 952/2013, ar ko izveido Savienības Muitas kodeksu, 188. pantu muitas dienesti, lai pārbaudītu pieņemtajā muitas deklarācijā </w:t>
            </w:r>
            <w:r>
              <w:rPr>
                <w:u w:val="single"/>
              </w:rPr>
              <w:t>iekļauto datu pareizību</w:t>
            </w:r>
            <w:r>
              <w:t xml:space="preserve">, proti, noteiktu vai pārbaudītu muitas maksājumu apmēru un preču tarifa klasifikāciju saskaņā ar Eiropas Savienības Kombinēto nomenklatūru, </w:t>
            </w:r>
            <w:r>
              <w:lastRenderedPageBreak/>
              <w:t xml:space="preserve">var ņemt paraugus preču analīzei vai sīkākai pārbaudei. </w:t>
            </w:r>
          </w:p>
          <w:p w14:paraId="346A21B7" w14:textId="77777777" w:rsidR="00FB4FE0" w:rsidRDefault="00FB4FE0" w:rsidP="00FB4FE0">
            <w:pPr>
              <w:jc w:val="both"/>
            </w:pPr>
          </w:p>
          <w:p w14:paraId="669C4AF6" w14:textId="77777777" w:rsidR="00FB4FE0" w:rsidRDefault="00FB4FE0" w:rsidP="00FB4FE0">
            <w:pPr>
              <w:jc w:val="both"/>
            </w:pPr>
            <w:r>
              <w:t xml:space="preserve">Muitas kontroles pasākumu īstenošana ir īpašu darbību kopums, ko veic muitas dienesti, lai nodrošinātu preču ievešanas, izvešanas, tranzīta, pārvietošanas, uzglabāšanas un galapatēriņa, kuras pārvietotas starp Savienības muitas teritoriju un valstīm vai teritorijām ārpus minētās teritorijas, kā arī ārpussavienības preču un galapatēriņa procedūrai pakļauto preču atrašanos un pārvietošanu Savienības muitas teritorijā atbilstību tiesību aktiem muitas un citās jomās. </w:t>
            </w:r>
          </w:p>
          <w:p w14:paraId="14F4A546" w14:textId="77777777" w:rsidR="00FB4FE0" w:rsidRDefault="00FB4FE0" w:rsidP="00FB4FE0">
            <w:pPr>
              <w:pStyle w:val="NormalWeb"/>
              <w:spacing w:before="0" w:after="0"/>
              <w:jc w:val="both"/>
            </w:pPr>
          </w:p>
          <w:p w14:paraId="0875231C" w14:textId="77777777" w:rsidR="00FB4FE0" w:rsidRDefault="00FB4FE0" w:rsidP="00FB4FE0">
            <w:pPr>
              <w:pStyle w:val="NormalWeb"/>
              <w:spacing w:before="0" w:after="0"/>
              <w:jc w:val="both"/>
            </w:pPr>
            <w:r>
              <w:t xml:space="preserve">Muitas amatpersonas nav kompetentas ķīmisko vielu identificēšanā un līdz ar to nevar izvērtēt apdraudējuma riskus to dzīvībai vai veselībai preču paraugu ņemšanas procesā, pārzināt un līdz ar to ievērot paraugu ņemšanas tehniskos aspektus, kā arī pieņemt lēmumu par aizliegumu ievest vai izvest konstatēto ķīmisko vielu, savienojumu vai produktu, un lemt par turpmāko pieļaujamo rīcību ar konkrētajām precēm. </w:t>
            </w:r>
          </w:p>
          <w:p w14:paraId="10D090E3" w14:textId="77777777" w:rsidR="00FB4FE0" w:rsidRDefault="00FB4FE0" w:rsidP="00FB4FE0">
            <w:pPr>
              <w:jc w:val="both"/>
            </w:pPr>
          </w:p>
          <w:p w14:paraId="2C531248" w14:textId="77777777" w:rsidR="00FB4FE0" w:rsidRDefault="00FB4FE0" w:rsidP="00FB4FE0">
            <w:pPr>
              <w:jc w:val="both"/>
            </w:pPr>
            <w:r>
              <w:t xml:space="preserve">Tādējādi, lai nodrošinātu ar likumu deleģēto uzdevumu izpildi, VID, </w:t>
            </w:r>
            <w:r>
              <w:lastRenderedPageBreak/>
              <w:t>īstenojot muitas kontroles pasākumus, šaubu par kāda aizlieguma vai ierobežojuma piemērojamību gadījumā kompetences ietvaros nepieciešams sadarboties ar attiecīgo jomu kompetentajām iestādēm. Proti, muitas kontroles pasākumu īstenošanu nodrošina muita, bet kompetenta iestāde, nepieciešamības gadījumā, saņemot pieprasījumu, sniedz atzinumu, kas ir pamats turpmākai rīcībai ar preci. VID ieskatā šāda abu pušu (muitas un kompetentas iestādes) sadarbība nenozīmē, ka muitas kontrole jāveic arī kompetentajai iestādei.</w:t>
            </w:r>
          </w:p>
          <w:p w14:paraId="09F12861" w14:textId="77777777" w:rsidR="00FB4FE0" w:rsidRDefault="00FB4FE0" w:rsidP="00FB4FE0">
            <w:pPr>
              <w:pStyle w:val="NormalWeb"/>
              <w:spacing w:before="0" w:after="0"/>
              <w:jc w:val="both"/>
            </w:pPr>
          </w:p>
          <w:p w14:paraId="03A6CB03" w14:textId="77777777" w:rsidR="00FB4FE0" w:rsidRDefault="00FB4FE0" w:rsidP="00FB4FE0">
            <w:pPr>
              <w:pStyle w:val="NormalWeb"/>
              <w:spacing w:before="0" w:after="0"/>
              <w:jc w:val="both"/>
            </w:pPr>
            <w:r>
              <w:t>Kompetentai iestādei, sniedzot atbalstu muitas iestādei gadījumos, kad aizturēts ķīmiskas vielas sūtījums, jāspēj nodrošināt:</w:t>
            </w:r>
          </w:p>
          <w:p w14:paraId="30C6E74A" w14:textId="77777777" w:rsidR="00FB4FE0" w:rsidRDefault="00FB4FE0" w:rsidP="00FB4FE0">
            <w:pPr>
              <w:pStyle w:val="NormalWeb"/>
              <w:numPr>
                <w:ilvl w:val="0"/>
                <w:numId w:val="32"/>
              </w:numPr>
              <w:spacing w:before="0" w:after="0"/>
              <w:jc w:val="both"/>
            </w:pPr>
            <w:r>
              <w:t>ķīmisko vielu identificēšanu (paraugu ņemšanu, to pārvietošanu uz laboratoriju, kas var veikt šo ķīmisko vielu ekspertīzes, ekspertīžu rezultātu izvērtēšanu);</w:t>
            </w:r>
          </w:p>
          <w:p w14:paraId="59A3DA5F" w14:textId="77777777" w:rsidR="00FB4FE0" w:rsidRDefault="00FB4FE0" w:rsidP="00FB4FE0">
            <w:pPr>
              <w:pStyle w:val="NormalWeb"/>
              <w:numPr>
                <w:ilvl w:val="0"/>
                <w:numId w:val="32"/>
              </w:numPr>
              <w:spacing w:before="0" w:after="0"/>
              <w:jc w:val="both"/>
            </w:pPr>
            <w:r>
              <w:t>atzinumu sniegšanu muitas iestādēm par dokumentu - importētāja dalībvalsts rakstisko piekrišanu, atbilstību normatīvo aktu prasībām un neatbilstību gadījumā, norādot turpmāko rīcību ar konkrētajām precēm;</w:t>
            </w:r>
          </w:p>
          <w:p w14:paraId="7DFD5C34" w14:textId="77777777" w:rsidR="00FB4FE0" w:rsidRDefault="00FB4FE0" w:rsidP="00FB4FE0">
            <w:pPr>
              <w:pStyle w:val="NormalWeb"/>
              <w:numPr>
                <w:ilvl w:val="0"/>
                <w:numId w:val="32"/>
              </w:numPr>
              <w:spacing w:before="0" w:after="0"/>
              <w:jc w:val="both"/>
            </w:pPr>
            <w:r>
              <w:lastRenderedPageBreak/>
              <w:t>atzinumu sniegšanu muitas iestādēm par aizliegumu ievest vai izvest konstatēto ķīmisko vielu, savienojumu vai produktu un turpmāko rīcību ar šīm precēm.</w:t>
            </w:r>
          </w:p>
          <w:p w14:paraId="7BC73418" w14:textId="77777777" w:rsidR="00FB4FE0" w:rsidRDefault="00FB4FE0" w:rsidP="00FB4FE0">
            <w:pPr>
              <w:pStyle w:val="NormalWeb"/>
              <w:spacing w:before="0" w:after="0"/>
              <w:jc w:val="both"/>
            </w:pPr>
          </w:p>
          <w:p w14:paraId="24266AA4" w14:textId="77777777" w:rsidR="00FB4FE0" w:rsidRDefault="00FB4FE0" w:rsidP="00FB4FE0">
            <w:pPr>
              <w:pStyle w:val="NormalWeb"/>
              <w:spacing w:before="0" w:after="0"/>
              <w:jc w:val="both"/>
            </w:pPr>
            <w:r>
              <w:t>Ņemot vērā minēto, tiesiskās noteiktības nolūkos atkārtoti lūdzam papildināt likumprojektu ar jaunu pantu, paredzot izteikt Ķīmisko vielu likuma 4. panta sesto daļu šādā redakcijā:</w:t>
            </w:r>
          </w:p>
          <w:p w14:paraId="70D5DB09" w14:textId="77777777" w:rsidR="00FB4FE0" w:rsidRDefault="00FB4FE0" w:rsidP="00FB4FE0">
            <w:pPr>
              <w:jc w:val="both"/>
            </w:pPr>
            <w:r>
              <w:t>“(6) Valsts ieņēmumu dienests sadarbībā ar kompetento iestādi īsteno muitas kontroles pasākumus attiecībā uz ķīmiskajam vielām, to maisījumiem un ķīmisku vielu saturošiem būvizstrādājumiem, kuriem noteikti īpaši ierobežojumi vai aizliegumi un kas tiek ievesti Latvijā no trešās valsts vai izvesti no Latvijas uz trešo valsti.”</w:t>
            </w:r>
          </w:p>
          <w:p w14:paraId="5740D0B8" w14:textId="77777777" w:rsidR="00FB4FE0" w:rsidRDefault="00FB4FE0" w:rsidP="00FB4FE0">
            <w:pPr>
              <w:jc w:val="both"/>
            </w:pPr>
          </w:p>
          <w:p w14:paraId="59790AA7" w14:textId="77777777" w:rsidR="00FB4FE0" w:rsidRDefault="00FB4FE0" w:rsidP="00FB4FE0">
            <w:pPr>
              <w:rPr>
                <w:b/>
              </w:rPr>
            </w:pPr>
            <w:r>
              <w:rPr>
                <w:b/>
                <w:bCs/>
              </w:rPr>
              <w:t>Ekonomikas  ministrija</w:t>
            </w:r>
            <w:r w:rsidRPr="002471DF">
              <w:rPr>
                <w:b/>
                <w:bCs/>
              </w:rPr>
              <w:t xml:space="preserve"> 2020. gada </w:t>
            </w:r>
            <w:r>
              <w:rPr>
                <w:b/>
                <w:bCs/>
              </w:rPr>
              <w:t>14. septembra</w:t>
            </w:r>
            <w:r w:rsidRPr="008D084C">
              <w:rPr>
                <w:b/>
                <w:bCs/>
              </w:rPr>
              <w:t xml:space="preserve"> atzinum</w:t>
            </w:r>
            <w:r>
              <w:rPr>
                <w:b/>
                <w:bCs/>
              </w:rPr>
              <w:t>ā</w:t>
            </w:r>
            <w:r w:rsidRPr="008D084C">
              <w:rPr>
                <w:b/>
                <w:bCs/>
              </w:rPr>
              <w:t xml:space="preserve"> Nr. </w:t>
            </w:r>
            <w:r>
              <w:rPr>
                <w:b/>
                <w:bCs/>
              </w:rPr>
              <w:t>3.1</w:t>
            </w:r>
            <w:r w:rsidRPr="008D084C">
              <w:rPr>
                <w:b/>
              </w:rPr>
              <w:t>-</w:t>
            </w:r>
            <w:r>
              <w:rPr>
                <w:b/>
              </w:rPr>
              <w:t>20</w:t>
            </w:r>
            <w:r w:rsidRPr="008D084C">
              <w:rPr>
                <w:b/>
              </w:rPr>
              <w:t>/</w:t>
            </w:r>
            <w:r>
              <w:rPr>
                <w:b/>
              </w:rPr>
              <w:t>2020</w:t>
            </w:r>
            <w:r w:rsidRPr="008D084C">
              <w:rPr>
                <w:b/>
              </w:rPr>
              <w:t>/</w:t>
            </w:r>
            <w:r>
              <w:rPr>
                <w:b/>
              </w:rPr>
              <w:t>249 informē, ka pievienojas Finanšu ministrijas argumentiem un izteiktajiem iebildumiem.</w:t>
            </w:r>
          </w:p>
          <w:p w14:paraId="29094CD9" w14:textId="77777777" w:rsidR="00B3304B" w:rsidRDefault="00B3304B" w:rsidP="00FB4FE0">
            <w:pPr>
              <w:rPr>
                <w:b/>
              </w:rPr>
            </w:pPr>
          </w:p>
          <w:p w14:paraId="6DF9676F" w14:textId="64191003" w:rsidR="00B3304B" w:rsidRPr="00C35209" w:rsidRDefault="00B3304B" w:rsidP="00377FBD">
            <w:r>
              <w:rPr>
                <w:b/>
                <w:bCs/>
              </w:rPr>
              <w:t>Finanšu</w:t>
            </w:r>
            <w:r w:rsidRPr="002471DF">
              <w:rPr>
                <w:b/>
                <w:bCs/>
              </w:rPr>
              <w:t xml:space="preserve"> ministrija 2020. gada </w:t>
            </w:r>
            <w:r>
              <w:rPr>
                <w:b/>
                <w:bCs/>
              </w:rPr>
              <w:t>10.</w:t>
            </w:r>
            <w:r w:rsidR="00377FBD">
              <w:rPr>
                <w:b/>
                <w:bCs/>
              </w:rPr>
              <w:t> </w:t>
            </w:r>
            <w:r>
              <w:rPr>
                <w:b/>
                <w:bCs/>
              </w:rPr>
              <w:t>oktobra atzinumā</w:t>
            </w:r>
            <w:r w:rsidRPr="008D084C">
              <w:rPr>
                <w:b/>
                <w:bCs/>
              </w:rPr>
              <w:t xml:space="preserve"> Nr. </w:t>
            </w:r>
            <w:r w:rsidR="00823C27" w:rsidRPr="00823C27">
              <w:rPr>
                <w:b/>
                <w:bCs/>
              </w:rPr>
              <w:t>10.1-6/7-1/925</w:t>
            </w:r>
            <w:r w:rsidR="00823C27">
              <w:rPr>
                <w:b/>
                <w:bCs/>
              </w:rPr>
              <w:t xml:space="preserve"> </w:t>
            </w:r>
            <w:r w:rsidR="00377FBD" w:rsidRPr="00377FBD">
              <w:t>informē, ka atbalsta</w:t>
            </w:r>
            <w:r w:rsidR="00377FBD">
              <w:t xml:space="preserve"> tālāko virzību bez iebildumiem.</w:t>
            </w:r>
          </w:p>
        </w:tc>
        <w:tc>
          <w:tcPr>
            <w:tcW w:w="3799" w:type="dxa"/>
          </w:tcPr>
          <w:p w14:paraId="15723B0F" w14:textId="77777777" w:rsidR="00FB4FE0" w:rsidRPr="00712B56" w:rsidRDefault="00FB4FE0" w:rsidP="002E6037">
            <w:pPr>
              <w:pStyle w:val="naisc"/>
              <w:spacing w:before="0" w:after="0"/>
              <w:jc w:val="left"/>
              <w:rPr>
                <w:b/>
              </w:rPr>
            </w:pPr>
            <w:r>
              <w:rPr>
                <w:b/>
              </w:rPr>
              <w:lastRenderedPageBreak/>
              <w:t>Panākta vienošanās saskaņošanas procesā</w:t>
            </w:r>
          </w:p>
          <w:p w14:paraId="6EEE78A8" w14:textId="77777777" w:rsidR="00FB4FE0" w:rsidRDefault="00FB4FE0" w:rsidP="002E6037">
            <w:pPr>
              <w:tabs>
                <w:tab w:val="left" w:pos="0"/>
                <w:tab w:val="left" w:pos="5529"/>
              </w:tabs>
              <w:jc w:val="both"/>
            </w:pPr>
            <w:r>
              <w:t xml:space="preserve">Ķīmisko vielu likuma 4. pants nosaka valsts institūciju kompetences ķīmisko vielu pārvaldībā, ņemot vērā valsts iestāžu darbības jomas, piemēram, valsts (muitas) robežas kontrole, vides aizsardzība, ķīmisko vielu, maisījumu, biocīdu vai izstrādājumu tirgus uzraudzība, pārtikas aprite, darba vides aizsardzība. </w:t>
            </w:r>
          </w:p>
          <w:p w14:paraId="4D97B234" w14:textId="77777777" w:rsidR="00FB4FE0" w:rsidRDefault="00FB4FE0" w:rsidP="002E6037">
            <w:pPr>
              <w:tabs>
                <w:tab w:val="left" w:pos="0"/>
                <w:tab w:val="left" w:pos="5529"/>
              </w:tabs>
            </w:pPr>
          </w:p>
          <w:p w14:paraId="4F9C4164" w14:textId="77777777" w:rsidR="00FB4FE0" w:rsidRDefault="00FB4FE0" w:rsidP="002E6037">
            <w:pPr>
              <w:tabs>
                <w:tab w:val="left" w:pos="0"/>
                <w:tab w:val="left" w:pos="5529"/>
              </w:tabs>
              <w:jc w:val="both"/>
            </w:pPr>
            <w:r>
              <w:t>Ņemot vērā, ka L</w:t>
            </w:r>
            <w:r w:rsidRPr="003C35B2">
              <w:t>ikuma “Par Valsts ieņēmu</w:t>
            </w:r>
            <w:r>
              <w:t>mu dienestu" 11. panta “</w:t>
            </w:r>
            <w:r w:rsidRPr="00397039">
              <w:t>Valsts ieņēmumu dienesta uzdevumi muitas politikas īstenošanā”</w:t>
            </w:r>
            <w:r>
              <w:t xml:space="preserve"> 1. punkts nosaka: </w:t>
            </w:r>
            <w:r w:rsidRPr="00397039">
              <w:t>“</w:t>
            </w:r>
            <w:r w:rsidRPr="000512ED">
              <w:rPr>
                <w:u w:val="single"/>
              </w:rPr>
              <w:t>Preču un citu priekšmetu muitas kontrole</w:t>
            </w:r>
            <w:r w:rsidRPr="00397039">
              <w:t xml:space="preserve">, to aplikšana ar ievedmuitas nodokli un izvedmuitas nodokli (turpmāk — muitas nodoklis), tā iekasēšana un muitas kontroles noformēšana, kā arī valsts ekonomiskās robežas aizsardzība </w:t>
            </w:r>
            <w:r w:rsidRPr="00397039">
              <w:rPr>
                <w:u w:val="single"/>
              </w:rPr>
              <w:t>ir tikai muitas lieta.</w:t>
            </w:r>
            <w:r w:rsidRPr="00397039">
              <w:t>”</w:t>
            </w:r>
            <w:r>
              <w:t xml:space="preserve">, nav pamata veikt grozījumus Ķīmisko vielu likuma 4. panta sestā daļā. </w:t>
            </w:r>
          </w:p>
          <w:p w14:paraId="388584A0" w14:textId="77777777" w:rsidR="00FB4FE0" w:rsidRDefault="00FB4FE0" w:rsidP="002E6037">
            <w:pPr>
              <w:tabs>
                <w:tab w:val="left" w:pos="0"/>
                <w:tab w:val="left" w:pos="5529"/>
              </w:tabs>
              <w:jc w:val="both"/>
            </w:pPr>
          </w:p>
          <w:p w14:paraId="753DCC28" w14:textId="119C174F" w:rsidR="00FB4FE0" w:rsidRDefault="00FB4FE0" w:rsidP="002E6037">
            <w:pPr>
              <w:tabs>
                <w:tab w:val="left" w:pos="0"/>
                <w:tab w:val="left" w:pos="5529"/>
              </w:tabs>
              <w:jc w:val="both"/>
            </w:pPr>
            <w:r>
              <w:t>Paužam arī viedokli, ka piedāvātā teksta redakcija jaunai Ķīmisko vielu likuma 4. panta sesta</w:t>
            </w:r>
            <w:r w:rsidR="0044529D">
              <w:t>ja</w:t>
            </w:r>
            <w:r>
              <w:t xml:space="preserve">i daļai ir pretrunā ar </w:t>
            </w:r>
            <w:r w:rsidR="0044529D">
              <w:t>l</w:t>
            </w:r>
            <w:r w:rsidRPr="003C35B2">
              <w:t xml:space="preserve">ikuma “Par Valsts </w:t>
            </w:r>
            <w:r w:rsidRPr="003C35B2">
              <w:lastRenderedPageBreak/>
              <w:t>ieņēmu</w:t>
            </w:r>
            <w:r>
              <w:t>mu dienestu</w:t>
            </w:r>
            <w:r w:rsidR="00951D03">
              <w:t>”</w:t>
            </w:r>
            <w:r>
              <w:t xml:space="preserve"> 11. panta 1. punktu, jo no</w:t>
            </w:r>
            <w:r w:rsidR="0044529D">
              <w:t>teic</w:t>
            </w:r>
            <w:r>
              <w:t xml:space="preserve">, ka muitas kontroli veiks ne tikai Valsts ieņēmumu dienests, bet arī kompetentā iestāde. </w:t>
            </w:r>
          </w:p>
          <w:p w14:paraId="5ECE1929" w14:textId="77777777" w:rsidR="00FB4FE0" w:rsidRDefault="00FB4FE0" w:rsidP="002E6037">
            <w:pPr>
              <w:tabs>
                <w:tab w:val="left" w:pos="0"/>
                <w:tab w:val="left" w:pos="5529"/>
              </w:tabs>
              <w:jc w:val="both"/>
            </w:pPr>
          </w:p>
          <w:p w14:paraId="23A812D6" w14:textId="078C3525" w:rsidR="00FB4FE0" w:rsidRDefault="00FB4FE0" w:rsidP="002E6037">
            <w:pPr>
              <w:tabs>
                <w:tab w:val="left" w:pos="0"/>
                <w:tab w:val="left" w:pos="5529"/>
              </w:tabs>
              <w:jc w:val="both"/>
            </w:pPr>
            <w:r>
              <w:t>L</w:t>
            </w:r>
            <w:r w:rsidRPr="003C35B2">
              <w:t>ikuma “Par Valsts ieņēmu</w:t>
            </w:r>
            <w:r>
              <w:t>mu dienestu</w:t>
            </w:r>
            <w:r w:rsidR="00CF19C7">
              <w:t>”</w:t>
            </w:r>
            <w:r>
              <w:t xml:space="preserve"> 11. panta 2. punkts nosaka muitas iestāžu uzdevumus, īstenojot muitas politiku, un citu starpā kā viens no tiem ir arī</w:t>
            </w:r>
            <w:r w:rsidRPr="00FB19C3">
              <w:t xml:space="preserve"> preču paraugu izpēt</w:t>
            </w:r>
            <w:r>
              <w:t>e</w:t>
            </w:r>
            <w:r w:rsidRPr="00FB19C3">
              <w:t xml:space="preserve"> un atzinumu</w:t>
            </w:r>
            <w:r>
              <w:t xml:space="preserve"> sniegšana </w:t>
            </w:r>
            <w:r w:rsidRPr="00FB19C3">
              <w:t>p</w:t>
            </w:r>
            <w:r>
              <w:t xml:space="preserve">ar veikto preču paraugu izpēti. </w:t>
            </w:r>
          </w:p>
          <w:p w14:paraId="01E76686" w14:textId="77777777" w:rsidR="00FB4FE0" w:rsidRDefault="00FB4FE0" w:rsidP="002E6037">
            <w:pPr>
              <w:tabs>
                <w:tab w:val="left" w:pos="0"/>
                <w:tab w:val="left" w:pos="5529"/>
              </w:tabs>
              <w:jc w:val="both"/>
            </w:pPr>
          </w:p>
          <w:p w14:paraId="2554E0CC" w14:textId="77777777" w:rsidR="00FB4FE0" w:rsidRDefault="00FB4FE0" w:rsidP="002E6037">
            <w:pPr>
              <w:tabs>
                <w:tab w:val="left" w:pos="0"/>
                <w:tab w:val="left" w:pos="5529"/>
              </w:tabs>
              <w:jc w:val="both"/>
            </w:pPr>
            <w:r>
              <w:t xml:space="preserve">Ķīmisko vielu likuma 4. panta sestā daļa, pamatojoties uz riska pieeju, nosaka Valsts ieņēmuma dienesta kompetenci kontrolēt uz valsts (muitas) robežas bīstamās ķīmiskās vielas un bīstamos maisījumus, kuriem </w:t>
            </w:r>
            <w:r w:rsidRPr="00DD6C9D">
              <w:rPr>
                <w:u w:val="single"/>
              </w:rPr>
              <w:t>ir n</w:t>
            </w:r>
            <w:r>
              <w:rPr>
                <w:u w:val="single"/>
              </w:rPr>
              <w:t>oteikti</w:t>
            </w:r>
            <w:r w:rsidRPr="00DD6C9D">
              <w:t xml:space="preserve"> </w:t>
            </w:r>
            <w:r>
              <w:t xml:space="preserve">īpaši ierobežojumi vai aizliegumi, kā arī būvizstrādājumus, kas satur bīstamās ķīmiskās vielas. Attiecīgi deleģējums nosaka ietvaru uz noteiktām preču grupām, ja tās tiek ievestas Latvijā no trešās valsts vai izvestas no Latvijas uz trešo valsti. Jāņem vērā, ka Valsts ieņēmuma dienests ir vienīgā institūcija valstī, kas kontrolē bīstamo ķīmisko vielu vai bīstamo </w:t>
            </w:r>
            <w:r>
              <w:lastRenderedPageBreak/>
              <w:t xml:space="preserve">maisījumu eksportu, t.i.  izvešanu no Latvijas uz trešo valsti. </w:t>
            </w:r>
          </w:p>
          <w:p w14:paraId="4440BBD7" w14:textId="77777777" w:rsidR="00FB4FE0" w:rsidRDefault="00FB4FE0" w:rsidP="002E6037">
            <w:pPr>
              <w:tabs>
                <w:tab w:val="left" w:pos="0"/>
                <w:tab w:val="left" w:pos="5529"/>
              </w:tabs>
              <w:jc w:val="both"/>
            </w:pPr>
          </w:p>
          <w:p w14:paraId="02730DC3" w14:textId="4687F253" w:rsidR="00FB4FE0" w:rsidRDefault="00FB4FE0" w:rsidP="002E6037">
            <w:pPr>
              <w:tabs>
                <w:tab w:val="left" w:pos="0"/>
                <w:tab w:val="left" w:pos="5529"/>
              </w:tabs>
              <w:jc w:val="both"/>
            </w:pPr>
            <w:r>
              <w:t xml:space="preserve">Informējam, ka </w:t>
            </w:r>
            <w:r w:rsidRPr="00233C57">
              <w:t>LVĢMC</w:t>
            </w:r>
            <w:r w:rsidR="00951D03">
              <w:t xml:space="preserve"> </w:t>
            </w:r>
            <w:r>
              <w:t xml:space="preserve">piemēro praksi savas kompetences ietvaros sniegt informāciju uzraudzības un kontroles iestādēm pēc to pieprasījuma, ja ir šaubas par kāda aizlieguma vai ierobežojuma piemērojamību (piemēram, par regulas Nr. 1907/2006 XVII  pielikumu “Ierobežojumi attiecībā uz dažu bīstamu vielu, maisījumu un izstrādājumu izgatavošanu, laišanu tirgū un lietošanu”), kā arī informē par aktualitātēm. LVĢMC ir piedalījies semināros, kuru laikā sniedzis informāciju uzraudzības un kontroles amatpersonām par normatīvo aktu prasībām ķīmisko vielu jomā, lai celtu amatpersonu zināšanu līmeni. </w:t>
            </w:r>
          </w:p>
          <w:p w14:paraId="12E39F79" w14:textId="77777777" w:rsidR="00FB4FE0" w:rsidRDefault="00FB4FE0" w:rsidP="002E6037">
            <w:pPr>
              <w:tabs>
                <w:tab w:val="left" w:pos="0"/>
                <w:tab w:val="left" w:pos="5529"/>
              </w:tabs>
              <w:jc w:val="both"/>
              <w:rPr>
                <w:b/>
                <w:bCs/>
                <w:color w:val="76923C" w:themeColor="accent3" w:themeShade="BF"/>
              </w:rPr>
            </w:pPr>
          </w:p>
          <w:p w14:paraId="4169B030" w14:textId="77777777" w:rsidR="00FB4FE0" w:rsidRPr="006A5409" w:rsidRDefault="00FB4FE0" w:rsidP="002E6037">
            <w:pPr>
              <w:tabs>
                <w:tab w:val="left" w:pos="0"/>
                <w:tab w:val="left" w:pos="5529"/>
              </w:tabs>
              <w:jc w:val="both"/>
            </w:pPr>
            <w:r w:rsidRPr="006A5409">
              <w:rPr>
                <w:b/>
                <w:bCs/>
              </w:rPr>
              <w:t>Papildināts pamatojums pēc starpministriju (starpinstitūciju) 2020. gada 29. septembra sanāksmes (turpmāk – Sanāksme)</w:t>
            </w:r>
          </w:p>
          <w:p w14:paraId="0E98FA02" w14:textId="77777777" w:rsidR="00FB4FE0" w:rsidRPr="006A5409" w:rsidRDefault="00FB4FE0" w:rsidP="002E6037">
            <w:pPr>
              <w:jc w:val="both"/>
              <w:rPr>
                <w:shd w:val="clear" w:color="auto" w:fill="FFFFFF"/>
              </w:rPr>
            </w:pPr>
            <w:r w:rsidRPr="006A5409">
              <w:rPr>
                <w:shd w:val="clear" w:color="auto" w:fill="FFFFFF"/>
              </w:rPr>
              <w:t xml:space="preserve">VARAM nepiekrīt izteiktajam iebildumam, jo iestāžu sadarbība ir noteikta Valsts pārvaldes iekārtas likuma (turpmāk – VPIE) 54. pantā, un </w:t>
            </w:r>
            <w:r w:rsidRPr="006A5409">
              <w:rPr>
                <w:b/>
                <w:bCs/>
                <w:shd w:val="clear" w:color="auto" w:fill="FFFFFF"/>
              </w:rPr>
              <w:t xml:space="preserve">valsts pārvaldes iestādēm ir </w:t>
            </w:r>
            <w:r w:rsidRPr="006A5409">
              <w:rPr>
                <w:b/>
                <w:bCs/>
                <w:shd w:val="clear" w:color="auto" w:fill="FFFFFF"/>
              </w:rPr>
              <w:lastRenderedPageBreak/>
              <w:t>pienākums, veicot savus uzdevumus un funkcijas, sadarboties.</w:t>
            </w:r>
            <w:r w:rsidRPr="006A5409">
              <w:rPr>
                <w:shd w:val="clear" w:color="auto" w:fill="FFFFFF"/>
              </w:rPr>
              <w:t xml:space="preserve"> Iestādes var arī sadarboties, nenosakot šādu pienākumu speciālā ārējā normatīvajā aktā. Kā arī iestāžu sadarbību nosaka Eiropas Savienības tiesību akti, piemēram, Eiropas Parlamenta un Padomes Regula (EK) Nr. 765/2008 (2008. gada 9. jūlija), ar ko nosaka akreditācijas un tirgus uzraudzības prasības attiecībā uz produktu tirdzniecību un atceļ Regulu (EEK) Nr. 339/93. </w:t>
            </w:r>
          </w:p>
          <w:p w14:paraId="1DBBC6AA" w14:textId="77777777" w:rsidR="00FB4FE0" w:rsidRPr="004503EA" w:rsidRDefault="00FB4FE0" w:rsidP="002E6037">
            <w:pPr>
              <w:jc w:val="both"/>
              <w:rPr>
                <w:color w:val="76923C" w:themeColor="accent3" w:themeShade="BF"/>
                <w:u w:val="single"/>
                <w:shd w:val="clear" w:color="auto" w:fill="FFFFFF"/>
              </w:rPr>
            </w:pPr>
          </w:p>
          <w:p w14:paraId="47C13A7A" w14:textId="77777777" w:rsidR="00FB4FE0" w:rsidRPr="006A5409" w:rsidRDefault="00FB4FE0" w:rsidP="002E6037">
            <w:pPr>
              <w:jc w:val="both"/>
              <w:rPr>
                <w:shd w:val="clear" w:color="auto" w:fill="FFFFFF"/>
              </w:rPr>
            </w:pPr>
            <w:r w:rsidRPr="006A5409">
              <w:rPr>
                <w:shd w:val="clear" w:color="auto" w:fill="FFFFFF"/>
              </w:rPr>
              <w:t xml:space="preserve">VPIE 58. pants nosaka, ka, lai nodrošinātu pastāvīgu sadarbību, iestādes, kas atrodas dažādu Ministru kabineta locekļu padotībā, rakstveidā var slēgt starpresoru vienošanos. Valsts ieņēmumu dienests (turpmāk – VID) ir noslēdzis starpresoru vienošanos, piemēram, ar Valsts vides dienestu, Veselības inspekciju, Patērētāju tiesību aizsardzības centru, un līdz šim nav konstatēti šķēršļi, kas liegtu papildināt starpresoru vienošanos ar ķīmisko vielu jomas jautājumiem. Sanāksmē netika sniegta informācija par konstatētiem problēmjautājumiem, kas norādītu, ka starp iestādēm kā sadarbības </w:t>
            </w:r>
            <w:r w:rsidRPr="006A5409">
              <w:rPr>
                <w:shd w:val="clear" w:color="auto" w:fill="FFFFFF"/>
              </w:rPr>
              <w:lastRenderedPageBreak/>
              <w:t xml:space="preserve">mehānismu nevarētu izmantot starpresoru vienošanos. </w:t>
            </w:r>
          </w:p>
          <w:p w14:paraId="5AED488A" w14:textId="77777777" w:rsidR="00FB4FE0" w:rsidRDefault="00FB4FE0" w:rsidP="002E6037">
            <w:pPr>
              <w:jc w:val="both"/>
              <w:rPr>
                <w:color w:val="76923C" w:themeColor="accent3" w:themeShade="BF"/>
                <w:u w:val="single"/>
                <w:shd w:val="clear" w:color="auto" w:fill="FFFFFF"/>
              </w:rPr>
            </w:pPr>
          </w:p>
          <w:p w14:paraId="5C04B763" w14:textId="77777777" w:rsidR="00FB4FE0" w:rsidRDefault="00FB4FE0" w:rsidP="002E6037">
            <w:pPr>
              <w:jc w:val="both"/>
              <w:rPr>
                <w:color w:val="76923C" w:themeColor="accent3" w:themeShade="BF"/>
                <w:u w:val="single"/>
                <w:shd w:val="clear" w:color="auto" w:fill="FFFFFF"/>
              </w:rPr>
            </w:pPr>
            <w:r w:rsidRPr="006A5409">
              <w:rPr>
                <w:shd w:val="clear" w:color="auto" w:fill="FFFFFF"/>
              </w:rPr>
              <w:t xml:space="preserve">Iestādes </w:t>
            </w:r>
            <w:r>
              <w:rPr>
                <w:shd w:val="clear" w:color="auto" w:fill="FFFFFF"/>
              </w:rPr>
              <w:t xml:space="preserve">var </w:t>
            </w:r>
            <w:r w:rsidRPr="006A5409">
              <w:rPr>
                <w:shd w:val="clear" w:color="auto" w:fill="FFFFFF"/>
              </w:rPr>
              <w:t>lemt arī par citu sadarbības mehānismu</w:t>
            </w:r>
            <w:r>
              <w:rPr>
                <w:shd w:val="clear" w:color="auto" w:fill="FFFFFF"/>
              </w:rPr>
              <w:t xml:space="preserve">, </w:t>
            </w:r>
            <w:r w:rsidRPr="006A5409">
              <w:rPr>
                <w:shd w:val="clear" w:color="auto" w:fill="FFFFFF"/>
              </w:rPr>
              <w:t>piemēram, kopīgi organizēti uzraudzības un kontroles pasākumi, kopīgi īstenoti pieredzes apmaiņas projekti, kopīgi izstrādāti atbalsta dokumenti u</w:t>
            </w:r>
            <w:r>
              <w:rPr>
                <w:shd w:val="clear" w:color="auto" w:fill="FFFFFF"/>
              </w:rPr>
              <w:t>.c</w:t>
            </w:r>
            <w:r w:rsidRPr="006A5409">
              <w:rPr>
                <w:shd w:val="clear" w:color="auto" w:fill="FFFFFF"/>
              </w:rPr>
              <w:t>.</w:t>
            </w:r>
            <w:r>
              <w:rPr>
                <w:shd w:val="clear" w:color="auto" w:fill="FFFFFF"/>
              </w:rPr>
              <w:t xml:space="preserve"> pasākumi savstarpēji vienojoties.</w:t>
            </w:r>
          </w:p>
          <w:p w14:paraId="3BFC4854" w14:textId="77777777" w:rsidR="00FB4FE0" w:rsidRPr="006A5409" w:rsidRDefault="00FB4FE0" w:rsidP="002E6037">
            <w:pPr>
              <w:jc w:val="both"/>
              <w:rPr>
                <w:shd w:val="clear" w:color="auto" w:fill="FFFFFF"/>
              </w:rPr>
            </w:pPr>
          </w:p>
          <w:p w14:paraId="586F7F8D" w14:textId="77777777" w:rsidR="00FB4FE0" w:rsidRPr="006A5409" w:rsidRDefault="00FB4FE0" w:rsidP="002E6037">
            <w:pPr>
              <w:jc w:val="both"/>
              <w:rPr>
                <w:shd w:val="clear" w:color="auto" w:fill="FFFFFF"/>
              </w:rPr>
            </w:pPr>
            <w:r w:rsidRPr="006A5409">
              <w:rPr>
                <w:shd w:val="clear" w:color="auto" w:fill="FFFFFF"/>
              </w:rPr>
              <w:t>VARAM vērš uzmanību, ka termins “kompetentā iestāde” Likuma ietvarā tiek lietots attiecībā uz noteiktu regulu prasību ieviešanu Latvijā, deleģējot funkcijas LVĢMC, piemēram, regulas Nr. 1907/2006 un regulas Nr. 1272/2008 Palīdzības dienesta funkciju nodrošināšanu. Saskaņā ar Sanāksmē sniegto informāciju, VID pauž nepieciešamību stiprināt sadarbību tieši ar uzraudzības un kontroles iestādēm, kuru kompetences jomas ir noteiktas Likuma 4. pantā “Valsts institūciju kompetence”.  Līdz ar to jāturpina diskusija par VID redzējumu sadarbības attīstībai, balstoties uz konstatētajiem problēmjautājumiem.</w:t>
            </w:r>
          </w:p>
          <w:p w14:paraId="487D3789" w14:textId="77777777" w:rsidR="00FB4FE0" w:rsidRDefault="00FB4FE0" w:rsidP="002E6037">
            <w:pPr>
              <w:jc w:val="both"/>
              <w:rPr>
                <w:color w:val="76923C" w:themeColor="accent3" w:themeShade="BF"/>
                <w:u w:val="single"/>
                <w:shd w:val="clear" w:color="auto" w:fill="FFFFFF"/>
              </w:rPr>
            </w:pPr>
          </w:p>
          <w:p w14:paraId="06C87184" w14:textId="77777777" w:rsidR="00FB4FE0" w:rsidRPr="006A5409" w:rsidRDefault="00FB4FE0" w:rsidP="002E6037">
            <w:pPr>
              <w:jc w:val="both"/>
              <w:rPr>
                <w:shd w:val="clear" w:color="auto" w:fill="FFFFFF"/>
              </w:rPr>
            </w:pPr>
            <w:r w:rsidRPr="006A5409">
              <w:rPr>
                <w:shd w:val="clear" w:color="auto" w:fill="FFFFFF"/>
              </w:rPr>
              <w:lastRenderedPageBreak/>
              <w:t>Iebildumā minētajai 4. panta sestās daļas teksta redakcijai nav atsauces uz vielām un maisījumiem, kas tiek klasificēti kā bīstami, saskaņā ar regulas 1272/2008 prasībām, t.i. “bīstamām vielām” un “bīstamiem maisījumiem”.</w:t>
            </w:r>
          </w:p>
          <w:p w14:paraId="52B79A43" w14:textId="77777777" w:rsidR="00FB4FE0" w:rsidRDefault="00FB4FE0" w:rsidP="002E6037">
            <w:pPr>
              <w:tabs>
                <w:tab w:val="left" w:pos="0"/>
                <w:tab w:val="left" w:pos="5529"/>
              </w:tabs>
              <w:jc w:val="both"/>
              <w:rPr>
                <w:color w:val="76923C" w:themeColor="accent3" w:themeShade="BF"/>
                <w:u w:val="single"/>
                <w:shd w:val="clear" w:color="auto" w:fill="FFFFFF"/>
              </w:rPr>
            </w:pPr>
          </w:p>
          <w:p w14:paraId="68A5D6DA" w14:textId="47DF8CD0" w:rsidR="00FB4FE0" w:rsidRPr="00BD40F8" w:rsidRDefault="00FB4FE0" w:rsidP="002E6037">
            <w:pPr>
              <w:tabs>
                <w:tab w:val="left" w:pos="0"/>
                <w:tab w:val="left" w:pos="5529"/>
              </w:tabs>
              <w:jc w:val="both"/>
              <w:rPr>
                <w:shd w:val="clear" w:color="auto" w:fill="FFFFFF"/>
              </w:rPr>
            </w:pPr>
            <w:r w:rsidRPr="00BD40F8">
              <w:rPr>
                <w:shd w:val="clear" w:color="auto" w:fill="FFFFFF"/>
              </w:rPr>
              <w:t>VARAM ieskatā</w:t>
            </w:r>
            <w:r w:rsidR="00CF19C7">
              <w:rPr>
                <w:shd w:val="clear" w:color="auto" w:fill="FFFFFF"/>
              </w:rPr>
              <w:t>,</w:t>
            </w:r>
            <w:r w:rsidRPr="00BD40F8">
              <w:rPr>
                <w:shd w:val="clear" w:color="auto" w:fill="FFFFFF"/>
              </w:rPr>
              <w:t xml:space="preserve"> ir nepieciešams izvērtēt esošo situāciju un VID iesniegtos risināmos problēmjautājumus, kontrolējot </w:t>
            </w:r>
            <w:r>
              <w:rPr>
                <w:shd w:val="clear" w:color="auto" w:fill="FFFFFF"/>
              </w:rPr>
              <w:t xml:space="preserve">uz valsts (muitas) robežas </w:t>
            </w:r>
            <w:r w:rsidRPr="00BD40F8">
              <w:rPr>
                <w:shd w:val="clear" w:color="auto" w:fill="FFFFFF"/>
              </w:rPr>
              <w:t xml:space="preserve">bīstamās ķīmiskās vielas un bīstamos maisījumus, kuriem ir noteikti ierobežojumi vai aizliegumi. </w:t>
            </w:r>
          </w:p>
          <w:p w14:paraId="3D305338" w14:textId="77777777" w:rsidR="00FB4FE0" w:rsidRDefault="00FB4FE0" w:rsidP="002E6037">
            <w:pPr>
              <w:tabs>
                <w:tab w:val="left" w:pos="0"/>
                <w:tab w:val="left" w:pos="5529"/>
              </w:tabs>
              <w:jc w:val="both"/>
              <w:rPr>
                <w:color w:val="76923C" w:themeColor="accent3" w:themeShade="BF"/>
                <w:u w:val="single"/>
                <w:shd w:val="clear" w:color="auto" w:fill="FFFFFF"/>
              </w:rPr>
            </w:pPr>
          </w:p>
          <w:p w14:paraId="01F56603" w14:textId="2F3551D2" w:rsidR="00FB4FE0" w:rsidRPr="006A5409" w:rsidRDefault="00FB4FE0" w:rsidP="002E6037">
            <w:pPr>
              <w:tabs>
                <w:tab w:val="left" w:pos="0"/>
                <w:tab w:val="left" w:pos="5529"/>
              </w:tabs>
              <w:jc w:val="both"/>
              <w:rPr>
                <w:shd w:val="clear" w:color="auto" w:fill="FFFFFF"/>
              </w:rPr>
            </w:pPr>
            <w:r w:rsidRPr="006A5409">
              <w:rPr>
                <w:iCs/>
              </w:rPr>
              <w:t xml:space="preserve">Ņemot vērā, ka Likumprojekts negroza 4. panta sesto daļu, VARAM </w:t>
            </w:r>
            <w:r w:rsidRPr="006A5409">
              <w:rPr>
                <w:shd w:val="clear" w:color="auto" w:fill="FFFFFF"/>
              </w:rPr>
              <w:t xml:space="preserve">Sanāksmē sniedzis priekšlikumu izskatīt atsevišķi Finanšu ministrijas sniegto iebildumu. Jo viens no Likumprojekta mērķiem ir pārņemt Eiropas Parlamenta un Padomes 2018. gada 30. maija direktīvas (ES) 2018/851, ar ko groza Direktīvu 2008/98 par atkritumiem, prasību nacionālajos normatīvajos aktos, kurai jāstājas spēkā </w:t>
            </w:r>
            <w:r w:rsidRPr="00F06646">
              <w:rPr>
                <w:b/>
                <w:shd w:val="clear" w:color="auto" w:fill="FFFFFF"/>
              </w:rPr>
              <w:t>2021.</w:t>
            </w:r>
            <w:r w:rsidR="00F46CCC">
              <w:rPr>
                <w:b/>
                <w:shd w:val="clear" w:color="auto" w:fill="FFFFFF"/>
              </w:rPr>
              <w:t> </w:t>
            </w:r>
            <w:r w:rsidRPr="00F06646">
              <w:rPr>
                <w:b/>
                <w:shd w:val="clear" w:color="auto" w:fill="FFFFFF"/>
              </w:rPr>
              <w:t>gada 5.</w:t>
            </w:r>
            <w:r w:rsidR="00F46CCC">
              <w:rPr>
                <w:b/>
                <w:shd w:val="clear" w:color="auto" w:fill="FFFFFF"/>
              </w:rPr>
              <w:t> </w:t>
            </w:r>
            <w:r w:rsidRPr="00F06646">
              <w:rPr>
                <w:b/>
                <w:shd w:val="clear" w:color="auto" w:fill="FFFFFF"/>
              </w:rPr>
              <w:t>janvārī.</w:t>
            </w:r>
            <w:r w:rsidRPr="006A5409">
              <w:rPr>
                <w:shd w:val="clear" w:color="auto" w:fill="FFFFFF"/>
              </w:rPr>
              <w:t xml:space="preserve"> </w:t>
            </w:r>
          </w:p>
          <w:p w14:paraId="3E572C53" w14:textId="77777777" w:rsidR="00FB4FE0" w:rsidRDefault="00FB4FE0" w:rsidP="002E6037">
            <w:pPr>
              <w:tabs>
                <w:tab w:val="left" w:pos="0"/>
                <w:tab w:val="left" w:pos="5529"/>
              </w:tabs>
              <w:jc w:val="both"/>
              <w:rPr>
                <w:color w:val="76923C" w:themeColor="accent3" w:themeShade="BF"/>
                <w:u w:val="single"/>
                <w:shd w:val="clear" w:color="auto" w:fill="FFFFFF"/>
              </w:rPr>
            </w:pPr>
          </w:p>
          <w:p w14:paraId="314C3E94" w14:textId="77777777" w:rsidR="00FB4FE0" w:rsidRDefault="00FB4FE0" w:rsidP="002E6037">
            <w:pPr>
              <w:tabs>
                <w:tab w:val="left" w:pos="0"/>
                <w:tab w:val="left" w:pos="5529"/>
              </w:tabs>
              <w:jc w:val="both"/>
            </w:pPr>
            <w:r w:rsidRPr="00D60BF3">
              <w:rPr>
                <w:shd w:val="clear" w:color="auto" w:fill="FFFFFF"/>
              </w:rPr>
              <w:lastRenderedPageBreak/>
              <w:t xml:space="preserve">VARAM atbalsta VID un citu uzraudzības un kontroles iestāžu sadarbības mehānisma apspriešanu Tirgus uzraudzības padomē, kā arī šī jautājuma iekļaušanu VARAM izveidotajā </w:t>
            </w:r>
            <w:r w:rsidRPr="00D60BF3">
              <w:t xml:space="preserve">Ķīmisko vielu, maisījumu un biocīdu regulējuma jomas starpinstitucionālās sadarbības grupā, lai izvērtētu nepieciešamību veikt grozījumus Likuma 4. panta sestā daļā. </w:t>
            </w:r>
          </w:p>
          <w:p w14:paraId="568DE51D" w14:textId="77777777" w:rsidR="00FB4FE0" w:rsidRDefault="00FB4FE0" w:rsidP="002E6037">
            <w:pPr>
              <w:tabs>
                <w:tab w:val="left" w:pos="0"/>
                <w:tab w:val="left" w:pos="5529"/>
              </w:tabs>
              <w:jc w:val="both"/>
              <w:rPr>
                <w:shd w:val="clear" w:color="auto" w:fill="FFFFFF"/>
              </w:rPr>
            </w:pPr>
            <w:r w:rsidRPr="00D60BF3">
              <w:rPr>
                <w:shd w:val="clear" w:color="auto" w:fill="FFFFFF"/>
              </w:rPr>
              <w:t>Kā arī VARAM atbalsta pārskatīt esošos sadarbības mehānismus starp VID un uzraudzības un kontroles iestādēm, t.i. noslēgtās starpresoru vienošanās, izvērtēt citu Eiropas Savienības dalībvalstu praksi un nepieciešamību izstrādāt vadlīnijas VID amatpersonām, kas būtu jāaprobē pilotprojekta ietvarā praksē. Jāņem vērā arī dažādi institūciju sadarbības aspekti, t.sk. tie, kas var potenciāli radīt papildus administratīvo slogu uzņēmējiem, kā arī uzraudzības un kontroles iestāžu pieejamie resursi, piemēram, attiecībā uz kopīgu kontroļu veikšanu klātienē.</w:t>
            </w:r>
          </w:p>
          <w:p w14:paraId="14020FED" w14:textId="4B462768" w:rsidR="00D7590F" w:rsidRPr="0066749A" w:rsidRDefault="00D7590F" w:rsidP="002E6037">
            <w:pPr>
              <w:tabs>
                <w:tab w:val="left" w:pos="0"/>
                <w:tab w:val="left" w:pos="5529"/>
              </w:tabs>
              <w:jc w:val="both"/>
              <w:rPr>
                <w:rStyle w:val="normaltextrun"/>
              </w:rPr>
            </w:pPr>
            <w:r>
              <w:rPr>
                <w:b/>
                <w:bCs/>
              </w:rPr>
              <w:t>Veselības</w:t>
            </w:r>
            <w:r w:rsidRPr="002471DF">
              <w:rPr>
                <w:b/>
                <w:bCs/>
              </w:rPr>
              <w:t xml:space="preserve"> ministrija 2020. gada </w:t>
            </w:r>
            <w:r w:rsidR="00321249">
              <w:rPr>
                <w:b/>
                <w:bCs/>
              </w:rPr>
              <w:t>2</w:t>
            </w:r>
            <w:r>
              <w:rPr>
                <w:b/>
                <w:bCs/>
              </w:rPr>
              <w:t xml:space="preserve">. oktobra </w:t>
            </w:r>
            <w:r w:rsidR="00321249">
              <w:rPr>
                <w:b/>
                <w:bCs/>
              </w:rPr>
              <w:t xml:space="preserve">elektroniskajā </w:t>
            </w:r>
            <w:r w:rsidR="007550D7">
              <w:rPr>
                <w:b/>
                <w:bCs/>
              </w:rPr>
              <w:t xml:space="preserve">saskaņojumā </w:t>
            </w:r>
            <w:r w:rsidR="008A7E6F">
              <w:t xml:space="preserve">papildus </w:t>
            </w:r>
            <w:r w:rsidRPr="00377FBD">
              <w:t>informē, ka atbalsta</w:t>
            </w:r>
            <w:r>
              <w:t xml:space="preserve"> </w:t>
            </w:r>
            <w:r w:rsidR="007550D7">
              <w:t xml:space="preserve">VARAM viedokli. </w:t>
            </w:r>
          </w:p>
        </w:tc>
        <w:tc>
          <w:tcPr>
            <w:tcW w:w="3431" w:type="dxa"/>
          </w:tcPr>
          <w:p w14:paraId="2E29C1A7" w14:textId="55256683" w:rsidR="00FB4FE0" w:rsidRPr="0080770A" w:rsidRDefault="00FB4FE0" w:rsidP="00FB4FE0">
            <w:pPr>
              <w:pStyle w:val="naisc"/>
              <w:spacing w:before="120" w:after="0"/>
              <w:ind w:firstLine="23"/>
              <w:rPr>
                <w:rFonts w:eastAsia="Calibri"/>
                <w:lang w:eastAsia="en-US"/>
              </w:rPr>
            </w:pPr>
          </w:p>
        </w:tc>
      </w:tr>
    </w:tbl>
    <w:p w14:paraId="38ADC35F" w14:textId="5741AEEF" w:rsidR="004C332C" w:rsidRPr="00371588" w:rsidRDefault="004C332C" w:rsidP="000A531F">
      <w:pPr>
        <w:jc w:val="both"/>
        <w:rPr>
          <w:sz w:val="20"/>
          <w:szCs w:val="20"/>
        </w:rPr>
      </w:pPr>
    </w:p>
    <w:tbl>
      <w:tblPr>
        <w:tblW w:w="13884" w:type="dxa"/>
        <w:tblLayout w:type="fixed"/>
        <w:tblLook w:val="00A0" w:firstRow="1" w:lastRow="0" w:firstColumn="1" w:lastColumn="0" w:noHBand="0" w:noVBand="0"/>
      </w:tblPr>
      <w:tblGrid>
        <w:gridCol w:w="4649"/>
        <w:gridCol w:w="9235"/>
      </w:tblGrid>
      <w:tr w:rsidR="004C4960" w:rsidRPr="00371588" w14:paraId="7CBB31F2" w14:textId="77777777" w:rsidTr="006C29E1">
        <w:tc>
          <w:tcPr>
            <w:tcW w:w="4649" w:type="dxa"/>
          </w:tcPr>
          <w:p w14:paraId="43F061E0" w14:textId="77777777" w:rsidR="004C4960" w:rsidRPr="00371588" w:rsidRDefault="004C4960" w:rsidP="0016680D">
            <w:pPr>
              <w:pStyle w:val="naiskr"/>
              <w:spacing w:before="0" w:after="0"/>
            </w:pPr>
            <w:r w:rsidRPr="00371588">
              <w:t>Atbildīgā amatpersona</w:t>
            </w:r>
          </w:p>
        </w:tc>
        <w:tc>
          <w:tcPr>
            <w:tcW w:w="9235" w:type="dxa"/>
          </w:tcPr>
          <w:p w14:paraId="0AD7328E" w14:textId="72910301" w:rsidR="004C4960" w:rsidRPr="00371588" w:rsidRDefault="004C4960" w:rsidP="004C4960">
            <w:pPr>
              <w:jc w:val="center"/>
            </w:pPr>
            <w:r w:rsidRPr="00371588">
              <w:t>Kristīne Kazerovska</w:t>
            </w:r>
          </w:p>
        </w:tc>
      </w:tr>
      <w:tr w:rsidR="004C4960" w:rsidRPr="00371588" w14:paraId="7E451787" w14:textId="77777777" w:rsidTr="006C29E1">
        <w:tc>
          <w:tcPr>
            <w:tcW w:w="4649" w:type="dxa"/>
          </w:tcPr>
          <w:p w14:paraId="3478123E" w14:textId="77777777" w:rsidR="004C4960" w:rsidRPr="00371588" w:rsidRDefault="004C4960" w:rsidP="0016680D">
            <w:pPr>
              <w:pStyle w:val="naiskr"/>
              <w:spacing w:before="0" w:after="0"/>
              <w:ind w:firstLine="720"/>
            </w:pPr>
          </w:p>
        </w:tc>
        <w:tc>
          <w:tcPr>
            <w:tcW w:w="9235" w:type="dxa"/>
            <w:tcBorders>
              <w:top w:val="single" w:sz="6" w:space="0" w:color="000000"/>
            </w:tcBorders>
          </w:tcPr>
          <w:p w14:paraId="7D609BC7" w14:textId="77777777" w:rsidR="004C4960" w:rsidRPr="00371588" w:rsidRDefault="004C4960" w:rsidP="0016680D">
            <w:pPr>
              <w:pStyle w:val="naisc"/>
              <w:spacing w:before="0" w:after="0"/>
              <w:ind w:firstLine="720"/>
            </w:pPr>
            <w:r w:rsidRPr="00371588">
              <w:t>(paraksts*)</w:t>
            </w:r>
          </w:p>
        </w:tc>
      </w:tr>
    </w:tbl>
    <w:p w14:paraId="3BA48829" w14:textId="77777777" w:rsidR="004C4960" w:rsidRPr="00371588" w:rsidRDefault="004C4960" w:rsidP="004C4960">
      <w:pPr>
        <w:pStyle w:val="naisf"/>
        <w:spacing w:before="0" w:after="0"/>
        <w:ind w:firstLine="0"/>
        <w:rPr>
          <w:sz w:val="16"/>
          <w:szCs w:val="16"/>
        </w:rPr>
      </w:pPr>
    </w:p>
    <w:p w14:paraId="320858F3" w14:textId="77777777" w:rsidR="004C4960" w:rsidRPr="00371588" w:rsidRDefault="004C4960" w:rsidP="004C4960">
      <w:pPr>
        <w:pStyle w:val="naisf"/>
        <w:spacing w:before="0" w:after="0"/>
        <w:ind w:firstLine="720"/>
      </w:pPr>
      <w:r w:rsidRPr="00371588">
        <w:t>Piezīme. * Dokumenta rekvizītu "paraksts" neaizpilda, ja elektroniskais dokuments ir sagatavots atbilstoši normatīvajiem aktiem par elektronisko dokumentu noformēšanu.</w:t>
      </w:r>
    </w:p>
    <w:p w14:paraId="751353CE" w14:textId="77777777" w:rsidR="00196EEE" w:rsidRPr="00371588" w:rsidRDefault="00196EEE" w:rsidP="004C4960">
      <w:pPr>
        <w:pStyle w:val="naisf"/>
        <w:spacing w:before="0" w:after="0"/>
        <w:ind w:firstLine="720"/>
      </w:pPr>
    </w:p>
    <w:p w14:paraId="56EF8A78" w14:textId="77777777" w:rsidR="000B7F94" w:rsidRDefault="000B7F94" w:rsidP="00196EEE">
      <w:pPr>
        <w:pStyle w:val="naisf"/>
        <w:spacing w:before="0" w:after="0"/>
        <w:ind w:left="2160" w:firstLine="720"/>
        <w:jc w:val="left"/>
      </w:pPr>
    </w:p>
    <w:p w14:paraId="0C2FEC02" w14:textId="326A8A73" w:rsidR="00196EEE" w:rsidRPr="00371588" w:rsidRDefault="00196EEE" w:rsidP="00196EEE">
      <w:pPr>
        <w:pStyle w:val="naisf"/>
        <w:spacing w:before="0" w:after="0"/>
        <w:ind w:left="2160" w:firstLine="720"/>
        <w:jc w:val="left"/>
      </w:pPr>
      <w:r w:rsidRPr="00371588">
        <w:t>Kristīne Kazerovska</w:t>
      </w:r>
    </w:p>
    <w:tbl>
      <w:tblPr>
        <w:tblW w:w="0" w:type="auto"/>
        <w:tblLook w:val="00A0" w:firstRow="1" w:lastRow="0" w:firstColumn="1" w:lastColumn="0" w:noHBand="0" w:noVBand="0"/>
      </w:tblPr>
      <w:tblGrid>
        <w:gridCol w:w="8268"/>
      </w:tblGrid>
      <w:tr w:rsidR="00196EEE" w:rsidRPr="00371588" w14:paraId="656324B6" w14:textId="77777777" w:rsidTr="0016680D">
        <w:tc>
          <w:tcPr>
            <w:tcW w:w="8268" w:type="dxa"/>
            <w:tcBorders>
              <w:top w:val="single" w:sz="4" w:space="0" w:color="000000"/>
            </w:tcBorders>
          </w:tcPr>
          <w:p w14:paraId="257DC7B5" w14:textId="3ABAABBE" w:rsidR="00196EEE" w:rsidRPr="00371588" w:rsidRDefault="00196EEE" w:rsidP="007A434D">
            <w:pPr>
              <w:jc w:val="center"/>
            </w:pPr>
            <w:r w:rsidRPr="00371588">
              <w:t>(par projektu atbildīgās amatpersonas vārds un uzvārds)</w:t>
            </w:r>
          </w:p>
        </w:tc>
      </w:tr>
      <w:tr w:rsidR="00196EEE" w:rsidRPr="00371588" w14:paraId="15C89FC8" w14:textId="77777777" w:rsidTr="0016680D">
        <w:tc>
          <w:tcPr>
            <w:tcW w:w="8268" w:type="dxa"/>
            <w:tcBorders>
              <w:bottom w:val="single" w:sz="4" w:space="0" w:color="000000"/>
            </w:tcBorders>
          </w:tcPr>
          <w:p w14:paraId="278433EC" w14:textId="194E9D5A" w:rsidR="00196EEE" w:rsidRPr="00371588" w:rsidRDefault="00196EEE" w:rsidP="00196EEE">
            <w:pPr>
              <w:pStyle w:val="naisf"/>
              <w:spacing w:before="0" w:after="0"/>
              <w:ind w:left="2160" w:hanging="2126"/>
              <w:jc w:val="center"/>
            </w:pPr>
            <w:r w:rsidRPr="00371588">
              <w:t>Vides aizsardzības departamenta Piesārņojuma novēršanas nodaļas vecākā eksperte</w:t>
            </w:r>
          </w:p>
        </w:tc>
      </w:tr>
      <w:tr w:rsidR="00196EEE" w:rsidRPr="00371588" w14:paraId="28C5B43B" w14:textId="77777777" w:rsidTr="0016680D">
        <w:tc>
          <w:tcPr>
            <w:tcW w:w="8268" w:type="dxa"/>
            <w:tcBorders>
              <w:top w:val="single" w:sz="4" w:space="0" w:color="000000"/>
            </w:tcBorders>
          </w:tcPr>
          <w:p w14:paraId="4CA6743A" w14:textId="1636EDB6" w:rsidR="00196EEE" w:rsidRPr="00371588" w:rsidRDefault="00196EEE" w:rsidP="007A434D">
            <w:pPr>
              <w:jc w:val="center"/>
            </w:pPr>
            <w:r w:rsidRPr="00371588">
              <w:t>(amats)</w:t>
            </w:r>
          </w:p>
        </w:tc>
      </w:tr>
      <w:tr w:rsidR="00196EEE" w:rsidRPr="00371588" w14:paraId="6D8B450D" w14:textId="77777777" w:rsidTr="0016680D">
        <w:tc>
          <w:tcPr>
            <w:tcW w:w="8268" w:type="dxa"/>
            <w:tcBorders>
              <w:bottom w:val="single" w:sz="4" w:space="0" w:color="000000"/>
            </w:tcBorders>
          </w:tcPr>
          <w:p w14:paraId="43A00922" w14:textId="3B9DB6D4" w:rsidR="00196EEE" w:rsidRPr="00371588" w:rsidRDefault="00196EEE" w:rsidP="00196EEE">
            <w:pPr>
              <w:pStyle w:val="naisf"/>
              <w:spacing w:before="0" w:after="0"/>
              <w:ind w:left="2160" w:hanging="425"/>
              <w:jc w:val="left"/>
            </w:pPr>
            <w:r w:rsidRPr="00371588">
              <w:t>tālr. nr.: 67026516</w:t>
            </w:r>
          </w:p>
        </w:tc>
      </w:tr>
      <w:tr w:rsidR="00196EEE" w:rsidRPr="00371588" w14:paraId="73539531" w14:textId="77777777" w:rsidTr="0016680D">
        <w:tc>
          <w:tcPr>
            <w:tcW w:w="8268" w:type="dxa"/>
            <w:tcBorders>
              <w:top w:val="single" w:sz="4" w:space="0" w:color="000000"/>
            </w:tcBorders>
          </w:tcPr>
          <w:p w14:paraId="12E4EC8D" w14:textId="3217A69A" w:rsidR="00196EEE" w:rsidRPr="00371588" w:rsidRDefault="00196EEE" w:rsidP="007A434D">
            <w:pPr>
              <w:jc w:val="center"/>
            </w:pPr>
            <w:r w:rsidRPr="00371588">
              <w:t>(</w:t>
            </w:r>
            <w:r w:rsidR="006D564A" w:rsidRPr="00371588">
              <w:t>tālruņa numurs</w:t>
            </w:r>
            <w:r w:rsidRPr="00371588">
              <w:t>)</w:t>
            </w:r>
          </w:p>
        </w:tc>
      </w:tr>
      <w:tr w:rsidR="00196EEE" w:rsidRPr="00371588" w14:paraId="61532201" w14:textId="77777777" w:rsidTr="0016680D">
        <w:tc>
          <w:tcPr>
            <w:tcW w:w="8268" w:type="dxa"/>
            <w:tcBorders>
              <w:bottom w:val="single" w:sz="4" w:space="0" w:color="000000"/>
            </w:tcBorders>
          </w:tcPr>
          <w:p w14:paraId="688F6CF0" w14:textId="1FBE899D" w:rsidR="00196EEE" w:rsidRPr="00371588" w:rsidRDefault="000A7B5B" w:rsidP="00196EEE">
            <w:pPr>
              <w:jc w:val="center"/>
            </w:pPr>
            <w:r>
              <w:t>K</w:t>
            </w:r>
            <w:r w:rsidR="00196EEE" w:rsidRPr="00371588">
              <w:t>ristine.</w:t>
            </w:r>
            <w:r>
              <w:t>K</w:t>
            </w:r>
            <w:r w:rsidR="00196EEE" w:rsidRPr="00371588">
              <w:t>azerovska@varam.gov.lv</w:t>
            </w:r>
          </w:p>
        </w:tc>
      </w:tr>
      <w:tr w:rsidR="00196EEE" w:rsidRPr="00371588" w14:paraId="08E4C3C2" w14:textId="77777777" w:rsidTr="0016680D">
        <w:tc>
          <w:tcPr>
            <w:tcW w:w="8268" w:type="dxa"/>
            <w:tcBorders>
              <w:top w:val="single" w:sz="4" w:space="0" w:color="000000"/>
            </w:tcBorders>
          </w:tcPr>
          <w:p w14:paraId="4D4C7301" w14:textId="77777777" w:rsidR="00196EEE" w:rsidRPr="00371588" w:rsidRDefault="00196EEE" w:rsidP="0016680D">
            <w:pPr>
              <w:jc w:val="center"/>
            </w:pPr>
            <w:r w:rsidRPr="00371588">
              <w:t>(e-pasta adrese)</w:t>
            </w:r>
          </w:p>
        </w:tc>
      </w:tr>
    </w:tbl>
    <w:p w14:paraId="1AFF1E24" w14:textId="67865F5B" w:rsidR="00D40FF7" w:rsidRPr="00371588" w:rsidRDefault="00D40FF7" w:rsidP="000A531F">
      <w:pPr>
        <w:jc w:val="both"/>
        <w:rPr>
          <w:sz w:val="20"/>
          <w:szCs w:val="20"/>
        </w:rPr>
      </w:pPr>
    </w:p>
    <w:sectPr w:rsidR="00D40FF7" w:rsidRPr="00371588" w:rsidSect="0016680D">
      <w:headerReference w:type="even" r:id="rId8"/>
      <w:headerReference w:type="default" r:id="rId9"/>
      <w:footerReference w:type="default" r:id="rId10"/>
      <w:footerReference w:type="first" r:id="rId11"/>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14035" w14:textId="77777777" w:rsidR="00574B3F" w:rsidRDefault="00574B3F" w:rsidP="000A531F">
      <w:r>
        <w:separator/>
      </w:r>
    </w:p>
  </w:endnote>
  <w:endnote w:type="continuationSeparator" w:id="0">
    <w:p w14:paraId="440A8B97" w14:textId="77777777" w:rsidR="00574B3F" w:rsidRDefault="00574B3F" w:rsidP="000A531F">
      <w:r>
        <w:continuationSeparator/>
      </w:r>
    </w:p>
  </w:endnote>
  <w:endnote w:type="continuationNotice" w:id="1">
    <w:p w14:paraId="23FBDFA0" w14:textId="77777777" w:rsidR="00574B3F" w:rsidRDefault="00574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3C159" w14:textId="28DF7761" w:rsidR="00005B63" w:rsidRPr="005B2325" w:rsidRDefault="00A76D70" w:rsidP="005B2325">
    <w:pPr>
      <w:pStyle w:val="Footer"/>
      <w:rPr>
        <w:bCs/>
        <w:sz w:val="20"/>
        <w:szCs w:val="20"/>
        <w:lang w:eastAsia="ko-KR"/>
      </w:rPr>
    </w:pPr>
    <w:r>
      <w:rPr>
        <w:bCs/>
        <w:sz w:val="20"/>
        <w:szCs w:val="20"/>
        <w:lang w:eastAsia="ko-KR"/>
      </w:rPr>
      <w:t>VARAMIzz</w:t>
    </w:r>
    <w:r w:rsidR="00F773C5">
      <w:rPr>
        <w:bCs/>
        <w:sz w:val="20"/>
        <w:szCs w:val="20"/>
        <w:lang w:eastAsia="ko-KR"/>
      </w:rPr>
      <w:t>_</w:t>
    </w:r>
    <w:r w:rsidR="00EE6CA7">
      <w:rPr>
        <w:bCs/>
        <w:sz w:val="20"/>
        <w:szCs w:val="20"/>
        <w:lang w:eastAsia="ko-KR"/>
      </w:rPr>
      <w:t>14</w:t>
    </w:r>
    <w:r w:rsidR="00C51AAD">
      <w:rPr>
        <w:bCs/>
        <w:sz w:val="20"/>
        <w:szCs w:val="20"/>
        <w:lang w:eastAsia="ko-KR"/>
      </w:rPr>
      <w:t>10</w:t>
    </w:r>
    <w:r w:rsidR="00005B63">
      <w:rPr>
        <w:bCs/>
        <w:sz w:val="20"/>
        <w:szCs w:val="20"/>
        <w:lang w:eastAsia="ko-KR"/>
      </w:rPr>
      <w:t>20_</w:t>
    </w:r>
    <w:r w:rsidR="00005B63" w:rsidRPr="005B2325">
      <w:rPr>
        <w:bCs/>
        <w:sz w:val="20"/>
        <w:szCs w:val="20"/>
        <w:lang w:eastAsia="ko-KR"/>
      </w:rPr>
      <w:t>groz ĶVL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9B15" w14:textId="1FF37ACA" w:rsidR="00005B63" w:rsidRPr="005B2325" w:rsidRDefault="00C51AAD" w:rsidP="005B2325">
    <w:pPr>
      <w:pStyle w:val="Footer"/>
      <w:rPr>
        <w:bCs/>
        <w:sz w:val="20"/>
        <w:szCs w:val="20"/>
        <w:lang w:eastAsia="ko-KR"/>
      </w:rPr>
    </w:pPr>
    <w:r>
      <w:rPr>
        <w:bCs/>
        <w:sz w:val="20"/>
        <w:szCs w:val="20"/>
        <w:lang w:eastAsia="ko-KR"/>
      </w:rPr>
      <w:t>VARAMIzz_</w:t>
    </w:r>
    <w:r w:rsidR="00EE6CA7">
      <w:rPr>
        <w:bCs/>
        <w:sz w:val="20"/>
        <w:szCs w:val="20"/>
        <w:lang w:eastAsia="ko-KR"/>
      </w:rPr>
      <w:t>14</w:t>
    </w:r>
    <w:r>
      <w:rPr>
        <w:bCs/>
        <w:sz w:val="20"/>
        <w:szCs w:val="20"/>
        <w:lang w:eastAsia="ko-KR"/>
      </w:rPr>
      <w:t>10</w:t>
    </w:r>
    <w:r w:rsidR="00005B63">
      <w:rPr>
        <w:bCs/>
        <w:sz w:val="20"/>
        <w:szCs w:val="20"/>
        <w:lang w:eastAsia="ko-KR"/>
      </w:rPr>
      <w:t>20_</w:t>
    </w:r>
    <w:r w:rsidR="00005B63" w:rsidRPr="005B2325">
      <w:rPr>
        <w:bCs/>
        <w:sz w:val="20"/>
        <w:szCs w:val="20"/>
        <w:lang w:eastAsia="ko-KR"/>
      </w:rPr>
      <w:t>groz ĶVL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4C42E" w14:textId="77777777" w:rsidR="00574B3F" w:rsidRDefault="00574B3F" w:rsidP="000A531F">
      <w:r>
        <w:separator/>
      </w:r>
    </w:p>
  </w:footnote>
  <w:footnote w:type="continuationSeparator" w:id="0">
    <w:p w14:paraId="08C330C2" w14:textId="77777777" w:rsidR="00574B3F" w:rsidRDefault="00574B3F" w:rsidP="000A531F">
      <w:r>
        <w:continuationSeparator/>
      </w:r>
    </w:p>
  </w:footnote>
  <w:footnote w:type="continuationNotice" w:id="1">
    <w:p w14:paraId="78AB7F0B" w14:textId="77777777" w:rsidR="00574B3F" w:rsidRDefault="00574B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A5D9C" w14:textId="77777777" w:rsidR="00005B63" w:rsidRDefault="00005B63" w:rsidP="001668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F5FE32" w14:textId="77777777" w:rsidR="00005B63" w:rsidRDefault="00005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D1FCB" w14:textId="74D7BED3" w:rsidR="00005B63" w:rsidRDefault="00005B63" w:rsidP="001668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5CE7">
      <w:rPr>
        <w:rStyle w:val="PageNumber"/>
        <w:noProof/>
      </w:rPr>
      <w:t>9</w:t>
    </w:r>
    <w:r>
      <w:rPr>
        <w:rStyle w:val="PageNumber"/>
      </w:rPr>
      <w:fldChar w:fldCharType="end"/>
    </w:r>
  </w:p>
  <w:p w14:paraId="11F96333" w14:textId="77777777" w:rsidR="00005B63" w:rsidRDefault="00005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53A"/>
    <w:multiLevelType w:val="hybridMultilevel"/>
    <w:tmpl w:val="647EB772"/>
    <w:lvl w:ilvl="0" w:tplc="FF782D38">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3587439"/>
    <w:multiLevelType w:val="hybridMultilevel"/>
    <w:tmpl w:val="E96452EE"/>
    <w:lvl w:ilvl="0" w:tplc="83C82280">
      <w:start w:val="1"/>
      <w:numFmt w:val="lowerLetter"/>
      <w:lvlText w:val="%1)"/>
      <w:lvlJc w:val="left"/>
      <w:pPr>
        <w:ind w:left="375" w:hanging="37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3B60D9B"/>
    <w:multiLevelType w:val="hybridMultilevel"/>
    <w:tmpl w:val="27403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1D4515"/>
    <w:multiLevelType w:val="hybridMultilevel"/>
    <w:tmpl w:val="4FB67036"/>
    <w:lvl w:ilvl="0" w:tplc="613EF0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C066B3C"/>
    <w:multiLevelType w:val="hybridMultilevel"/>
    <w:tmpl w:val="D0DAD8C0"/>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0E2B2AA0"/>
    <w:multiLevelType w:val="hybridMultilevel"/>
    <w:tmpl w:val="092C3518"/>
    <w:lvl w:ilvl="0" w:tplc="9A7CEE44">
      <w:start w:val="1"/>
      <w:numFmt w:val="decimal"/>
      <w:lvlText w:val="%1."/>
      <w:lvlJc w:val="left"/>
      <w:pPr>
        <w:tabs>
          <w:tab w:val="num" w:pos="360"/>
        </w:tabs>
        <w:ind w:left="360" w:hanging="360"/>
      </w:pPr>
    </w:lvl>
    <w:lvl w:ilvl="1" w:tplc="6C207B92" w:tentative="1">
      <w:start w:val="1"/>
      <w:numFmt w:val="decimal"/>
      <w:lvlText w:val="%2."/>
      <w:lvlJc w:val="left"/>
      <w:pPr>
        <w:tabs>
          <w:tab w:val="num" w:pos="1080"/>
        </w:tabs>
        <w:ind w:left="1080" w:hanging="360"/>
      </w:pPr>
    </w:lvl>
    <w:lvl w:ilvl="2" w:tplc="23283B88" w:tentative="1">
      <w:start w:val="1"/>
      <w:numFmt w:val="decimal"/>
      <w:lvlText w:val="%3."/>
      <w:lvlJc w:val="left"/>
      <w:pPr>
        <w:tabs>
          <w:tab w:val="num" w:pos="1800"/>
        </w:tabs>
        <w:ind w:left="1800" w:hanging="360"/>
      </w:pPr>
    </w:lvl>
    <w:lvl w:ilvl="3" w:tplc="18F01A8A" w:tentative="1">
      <w:start w:val="1"/>
      <w:numFmt w:val="decimal"/>
      <w:lvlText w:val="%4."/>
      <w:lvlJc w:val="left"/>
      <w:pPr>
        <w:tabs>
          <w:tab w:val="num" w:pos="2520"/>
        </w:tabs>
        <w:ind w:left="2520" w:hanging="360"/>
      </w:pPr>
    </w:lvl>
    <w:lvl w:ilvl="4" w:tplc="896696D6" w:tentative="1">
      <w:start w:val="1"/>
      <w:numFmt w:val="decimal"/>
      <w:lvlText w:val="%5."/>
      <w:lvlJc w:val="left"/>
      <w:pPr>
        <w:tabs>
          <w:tab w:val="num" w:pos="3240"/>
        </w:tabs>
        <w:ind w:left="3240" w:hanging="360"/>
      </w:pPr>
    </w:lvl>
    <w:lvl w:ilvl="5" w:tplc="05DE8288" w:tentative="1">
      <w:start w:val="1"/>
      <w:numFmt w:val="decimal"/>
      <w:lvlText w:val="%6."/>
      <w:lvlJc w:val="left"/>
      <w:pPr>
        <w:tabs>
          <w:tab w:val="num" w:pos="3960"/>
        </w:tabs>
        <w:ind w:left="3960" w:hanging="360"/>
      </w:pPr>
    </w:lvl>
    <w:lvl w:ilvl="6" w:tplc="2F66AAD2" w:tentative="1">
      <w:start w:val="1"/>
      <w:numFmt w:val="decimal"/>
      <w:lvlText w:val="%7."/>
      <w:lvlJc w:val="left"/>
      <w:pPr>
        <w:tabs>
          <w:tab w:val="num" w:pos="4680"/>
        </w:tabs>
        <w:ind w:left="4680" w:hanging="360"/>
      </w:pPr>
    </w:lvl>
    <w:lvl w:ilvl="7" w:tplc="D122A294" w:tentative="1">
      <w:start w:val="1"/>
      <w:numFmt w:val="decimal"/>
      <w:lvlText w:val="%8."/>
      <w:lvlJc w:val="left"/>
      <w:pPr>
        <w:tabs>
          <w:tab w:val="num" w:pos="5400"/>
        </w:tabs>
        <w:ind w:left="5400" w:hanging="360"/>
      </w:pPr>
    </w:lvl>
    <w:lvl w:ilvl="8" w:tplc="A10E0ECE" w:tentative="1">
      <w:start w:val="1"/>
      <w:numFmt w:val="decimal"/>
      <w:lvlText w:val="%9."/>
      <w:lvlJc w:val="left"/>
      <w:pPr>
        <w:tabs>
          <w:tab w:val="num" w:pos="6120"/>
        </w:tabs>
        <w:ind w:left="6120" w:hanging="360"/>
      </w:pPr>
    </w:lvl>
  </w:abstractNum>
  <w:abstractNum w:abstractNumId="6" w15:restartNumberingAfterBreak="0">
    <w:nsid w:val="155E6F76"/>
    <w:multiLevelType w:val="hybridMultilevel"/>
    <w:tmpl w:val="9BE072A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1B43D13"/>
    <w:multiLevelType w:val="hybridMultilevel"/>
    <w:tmpl w:val="E5EAC866"/>
    <w:lvl w:ilvl="0" w:tplc="EB8AC24E">
      <w:start w:val="1"/>
      <w:numFmt w:val="decimal"/>
      <w:lvlText w:val="%1."/>
      <w:lvlJc w:val="left"/>
      <w:pPr>
        <w:ind w:left="360" w:hanging="360"/>
      </w:pPr>
      <w:rPr>
        <w:rFonts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23495CB7"/>
    <w:multiLevelType w:val="hybridMultilevel"/>
    <w:tmpl w:val="83B2BEB0"/>
    <w:lvl w:ilvl="0" w:tplc="C76E3938">
      <w:start w:val="3"/>
      <w:numFmt w:val="decimal"/>
      <w:lvlText w:val="%1."/>
      <w:lvlJc w:val="left"/>
      <w:pPr>
        <w:ind w:left="360" w:hanging="360"/>
      </w:pPr>
      <w:rPr>
        <w:rFonts w:ascii="Times New Roman" w:hAnsi="Times New Roman" w:cs="Times New Roman"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252705DD"/>
    <w:multiLevelType w:val="hybridMultilevel"/>
    <w:tmpl w:val="1968EB22"/>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0" w15:restartNumberingAfterBreak="0">
    <w:nsid w:val="269738C8"/>
    <w:multiLevelType w:val="hybridMultilevel"/>
    <w:tmpl w:val="B17A426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AE42DD9"/>
    <w:multiLevelType w:val="hybridMultilevel"/>
    <w:tmpl w:val="1C5EA4BA"/>
    <w:lvl w:ilvl="0" w:tplc="B8AC57E4">
      <w:start w:val="1"/>
      <w:numFmt w:val="decimal"/>
      <w:lvlText w:val="%1."/>
      <w:lvlJc w:val="left"/>
      <w:pPr>
        <w:ind w:left="1000" w:hanging="10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D37AD0"/>
    <w:multiLevelType w:val="hybridMultilevel"/>
    <w:tmpl w:val="1C5EA4BA"/>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A23FB4"/>
    <w:multiLevelType w:val="hybridMultilevel"/>
    <w:tmpl w:val="E062A0B2"/>
    <w:lvl w:ilvl="0" w:tplc="905EF7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4100F7B"/>
    <w:multiLevelType w:val="hybridMultilevel"/>
    <w:tmpl w:val="0B12FCF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6761C76"/>
    <w:multiLevelType w:val="hybridMultilevel"/>
    <w:tmpl w:val="CE3453D2"/>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45D24A0E"/>
    <w:multiLevelType w:val="hybridMultilevel"/>
    <w:tmpl w:val="AC863114"/>
    <w:lvl w:ilvl="0" w:tplc="452E7018">
      <w:start w:val="2"/>
      <w:numFmt w:val="decimal"/>
      <w:lvlText w:val="%1."/>
      <w:lvlJc w:val="left"/>
      <w:pPr>
        <w:ind w:left="360" w:hanging="360"/>
      </w:pPr>
      <w:rPr>
        <w:rFonts w:ascii="Times New Roman" w:hAnsi="Times New Roman" w:cs="Times New Roman"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C940C6A"/>
    <w:multiLevelType w:val="hybridMultilevel"/>
    <w:tmpl w:val="9B024C16"/>
    <w:lvl w:ilvl="0" w:tplc="39DC077C">
      <w:start w:val="1"/>
      <w:numFmt w:val="decimal"/>
      <w:lvlText w:val="%1."/>
      <w:lvlJc w:val="left"/>
      <w:pPr>
        <w:ind w:left="360" w:hanging="360"/>
      </w:pPr>
      <w:rPr>
        <w:rFonts w:ascii="Times New Roman" w:hAnsi="Times New Roman" w:cs="Times New Roman"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4F344F50"/>
    <w:multiLevelType w:val="hybridMultilevel"/>
    <w:tmpl w:val="C68C957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53D670BE"/>
    <w:multiLevelType w:val="hybridMultilevel"/>
    <w:tmpl w:val="86B097B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0" w15:restartNumberingAfterBreak="0">
    <w:nsid w:val="567B79DE"/>
    <w:multiLevelType w:val="hybridMultilevel"/>
    <w:tmpl w:val="8FC271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EF682D"/>
    <w:multiLevelType w:val="hybridMultilevel"/>
    <w:tmpl w:val="4ABC5E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2372047"/>
    <w:multiLevelType w:val="hybridMultilevel"/>
    <w:tmpl w:val="32821D5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522999"/>
    <w:multiLevelType w:val="hybridMultilevel"/>
    <w:tmpl w:val="256C2C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3B090F"/>
    <w:multiLevelType w:val="hybridMultilevel"/>
    <w:tmpl w:val="122EF44E"/>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6E3F444B"/>
    <w:multiLevelType w:val="hybridMultilevel"/>
    <w:tmpl w:val="7CA6492A"/>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6" w15:restartNumberingAfterBreak="0">
    <w:nsid w:val="6E770A5A"/>
    <w:multiLevelType w:val="hybridMultilevel"/>
    <w:tmpl w:val="26DC356E"/>
    <w:lvl w:ilvl="0" w:tplc="E73A61E6">
      <w:start w:val="1"/>
      <w:numFmt w:val="decimal"/>
      <w:suff w:val="space"/>
      <w:lvlText w:val="%1."/>
      <w:lvlJc w:val="left"/>
      <w:pPr>
        <w:ind w:left="0" w:firstLine="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0DD15BA"/>
    <w:multiLevelType w:val="hybridMultilevel"/>
    <w:tmpl w:val="8E3E4BF6"/>
    <w:lvl w:ilvl="0" w:tplc="A050A14A">
      <w:start w:val="1"/>
      <w:numFmt w:val="decimal"/>
      <w:lvlText w:val="%1."/>
      <w:lvlJc w:val="left"/>
      <w:pPr>
        <w:tabs>
          <w:tab w:val="num" w:pos="720"/>
        </w:tabs>
        <w:ind w:left="720" w:hanging="360"/>
      </w:pPr>
    </w:lvl>
    <w:lvl w:ilvl="1" w:tplc="00447544" w:tentative="1">
      <w:start w:val="1"/>
      <w:numFmt w:val="decimal"/>
      <w:lvlText w:val="%2."/>
      <w:lvlJc w:val="left"/>
      <w:pPr>
        <w:tabs>
          <w:tab w:val="num" w:pos="1440"/>
        </w:tabs>
        <w:ind w:left="1440" w:hanging="360"/>
      </w:pPr>
    </w:lvl>
    <w:lvl w:ilvl="2" w:tplc="56D0DCE6" w:tentative="1">
      <w:start w:val="1"/>
      <w:numFmt w:val="decimal"/>
      <w:lvlText w:val="%3."/>
      <w:lvlJc w:val="left"/>
      <w:pPr>
        <w:tabs>
          <w:tab w:val="num" w:pos="2160"/>
        </w:tabs>
        <w:ind w:left="2160" w:hanging="360"/>
      </w:pPr>
    </w:lvl>
    <w:lvl w:ilvl="3" w:tplc="1FD6B0AA" w:tentative="1">
      <w:start w:val="1"/>
      <w:numFmt w:val="decimal"/>
      <w:lvlText w:val="%4."/>
      <w:lvlJc w:val="left"/>
      <w:pPr>
        <w:tabs>
          <w:tab w:val="num" w:pos="2880"/>
        </w:tabs>
        <w:ind w:left="2880" w:hanging="360"/>
      </w:pPr>
    </w:lvl>
    <w:lvl w:ilvl="4" w:tplc="1FC88078" w:tentative="1">
      <w:start w:val="1"/>
      <w:numFmt w:val="decimal"/>
      <w:lvlText w:val="%5."/>
      <w:lvlJc w:val="left"/>
      <w:pPr>
        <w:tabs>
          <w:tab w:val="num" w:pos="3600"/>
        </w:tabs>
        <w:ind w:left="3600" w:hanging="360"/>
      </w:pPr>
    </w:lvl>
    <w:lvl w:ilvl="5" w:tplc="21AAE9D4" w:tentative="1">
      <w:start w:val="1"/>
      <w:numFmt w:val="decimal"/>
      <w:lvlText w:val="%6."/>
      <w:lvlJc w:val="left"/>
      <w:pPr>
        <w:tabs>
          <w:tab w:val="num" w:pos="4320"/>
        </w:tabs>
        <w:ind w:left="4320" w:hanging="360"/>
      </w:pPr>
    </w:lvl>
    <w:lvl w:ilvl="6" w:tplc="1ECE289E" w:tentative="1">
      <w:start w:val="1"/>
      <w:numFmt w:val="decimal"/>
      <w:lvlText w:val="%7."/>
      <w:lvlJc w:val="left"/>
      <w:pPr>
        <w:tabs>
          <w:tab w:val="num" w:pos="5040"/>
        </w:tabs>
        <w:ind w:left="5040" w:hanging="360"/>
      </w:pPr>
    </w:lvl>
    <w:lvl w:ilvl="7" w:tplc="B5F87134" w:tentative="1">
      <w:start w:val="1"/>
      <w:numFmt w:val="decimal"/>
      <w:lvlText w:val="%8."/>
      <w:lvlJc w:val="left"/>
      <w:pPr>
        <w:tabs>
          <w:tab w:val="num" w:pos="5760"/>
        </w:tabs>
        <w:ind w:left="5760" w:hanging="360"/>
      </w:pPr>
    </w:lvl>
    <w:lvl w:ilvl="8" w:tplc="6DEEDC42" w:tentative="1">
      <w:start w:val="1"/>
      <w:numFmt w:val="decimal"/>
      <w:lvlText w:val="%9."/>
      <w:lvlJc w:val="left"/>
      <w:pPr>
        <w:tabs>
          <w:tab w:val="num" w:pos="6480"/>
        </w:tabs>
        <w:ind w:left="6480" w:hanging="360"/>
      </w:pPr>
    </w:lvl>
  </w:abstractNum>
  <w:abstractNum w:abstractNumId="28" w15:restartNumberingAfterBreak="0">
    <w:nsid w:val="78621F26"/>
    <w:multiLevelType w:val="hybridMultilevel"/>
    <w:tmpl w:val="B44405FC"/>
    <w:lvl w:ilvl="0" w:tplc="F10AA54A">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A4C0E7B"/>
    <w:multiLevelType w:val="hybridMultilevel"/>
    <w:tmpl w:val="27403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C843004"/>
    <w:multiLevelType w:val="hybridMultilevel"/>
    <w:tmpl w:val="2202E718"/>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7CC6171D"/>
    <w:multiLevelType w:val="hybridMultilevel"/>
    <w:tmpl w:val="B74699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2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9"/>
  </w:num>
  <w:num w:numId="6">
    <w:abstractNumId w:val="13"/>
  </w:num>
  <w:num w:numId="7">
    <w:abstractNumId w:val="3"/>
  </w:num>
  <w:num w:numId="8">
    <w:abstractNumId w:val="0"/>
  </w:num>
  <w:num w:numId="9">
    <w:abstractNumId w:val="23"/>
  </w:num>
  <w:num w:numId="10">
    <w:abstractNumId w:val="2"/>
  </w:num>
  <w:num w:numId="11">
    <w:abstractNumId w:val="2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0"/>
  </w:num>
  <w:num w:numId="15">
    <w:abstractNumId w:val="27"/>
  </w:num>
  <w:num w:numId="16">
    <w:abstractNumId w:val="7"/>
  </w:num>
  <w:num w:numId="17">
    <w:abstractNumId w:val="28"/>
  </w:num>
  <w:num w:numId="18">
    <w:abstractNumId w:val="14"/>
  </w:num>
  <w:num w:numId="19">
    <w:abstractNumId w:val="24"/>
  </w:num>
  <w:num w:numId="20">
    <w:abstractNumId w:val="10"/>
  </w:num>
  <w:num w:numId="21">
    <w:abstractNumId w:val="4"/>
  </w:num>
  <w:num w:numId="22">
    <w:abstractNumId w:val="15"/>
  </w:num>
  <w:num w:numId="23">
    <w:abstractNumId w:val="30"/>
  </w:num>
  <w:num w:numId="24">
    <w:abstractNumId w:val="6"/>
  </w:num>
  <w:num w:numId="25">
    <w:abstractNumId w:val="5"/>
  </w:num>
  <w:num w:numId="26">
    <w:abstractNumId w:val="16"/>
  </w:num>
  <w:num w:numId="27">
    <w:abstractNumId w:val="17"/>
  </w:num>
  <w:num w:numId="28">
    <w:abstractNumId w:val="8"/>
  </w:num>
  <w:num w:numId="29">
    <w:abstractNumId w:val="12"/>
  </w:num>
  <w:num w:numId="30">
    <w:abstractNumId w:val="11"/>
  </w:num>
  <w:num w:numId="31">
    <w:abstractNumId w:val="31"/>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1F"/>
    <w:rsid w:val="00001C90"/>
    <w:rsid w:val="00002398"/>
    <w:rsid w:val="00005311"/>
    <w:rsid w:val="00005B63"/>
    <w:rsid w:val="00007A39"/>
    <w:rsid w:val="00021AE9"/>
    <w:rsid w:val="000226A5"/>
    <w:rsid w:val="00023C08"/>
    <w:rsid w:val="00025F0E"/>
    <w:rsid w:val="0003114C"/>
    <w:rsid w:val="00033F4A"/>
    <w:rsid w:val="00036659"/>
    <w:rsid w:val="00037EAC"/>
    <w:rsid w:val="000400C2"/>
    <w:rsid w:val="00041F13"/>
    <w:rsid w:val="00043ADA"/>
    <w:rsid w:val="00044F89"/>
    <w:rsid w:val="00050DDA"/>
    <w:rsid w:val="000512ED"/>
    <w:rsid w:val="00054FE8"/>
    <w:rsid w:val="000560FE"/>
    <w:rsid w:val="000575DA"/>
    <w:rsid w:val="00061A88"/>
    <w:rsid w:val="0006523D"/>
    <w:rsid w:val="000678AF"/>
    <w:rsid w:val="0007105B"/>
    <w:rsid w:val="00074204"/>
    <w:rsid w:val="000826D6"/>
    <w:rsid w:val="00086745"/>
    <w:rsid w:val="00095AB0"/>
    <w:rsid w:val="00097479"/>
    <w:rsid w:val="000A15ED"/>
    <w:rsid w:val="000A39DD"/>
    <w:rsid w:val="000A3C85"/>
    <w:rsid w:val="000A531F"/>
    <w:rsid w:val="000A5EF6"/>
    <w:rsid w:val="000A7B5B"/>
    <w:rsid w:val="000B04B0"/>
    <w:rsid w:val="000B2D23"/>
    <w:rsid w:val="000B50E0"/>
    <w:rsid w:val="000B6D4A"/>
    <w:rsid w:val="000B7F94"/>
    <w:rsid w:val="000C1828"/>
    <w:rsid w:val="000C7113"/>
    <w:rsid w:val="000D0570"/>
    <w:rsid w:val="000D437A"/>
    <w:rsid w:val="000D4EBC"/>
    <w:rsid w:val="000D64E2"/>
    <w:rsid w:val="000E063D"/>
    <w:rsid w:val="000E4DC3"/>
    <w:rsid w:val="000F11BD"/>
    <w:rsid w:val="000F5B82"/>
    <w:rsid w:val="000F613F"/>
    <w:rsid w:val="000F75EF"/>
    <w:rsid w:val="00101436"/>
    <w:rsid w:val="00102478"/>
    <w:rsid w:val="0010688A"/>
    <w:rsid w:val="00107248"/>
    <w:rsid w:val="00110CFA"/>
    <w:rsid w:val="001201D3"/>
    <w:rsid w:val="00120513"/>
    <w:rsid w:val="0012349D"/>
    <w:rsid w:val="0013263E"/>
    <w:rsid w:val="00132B60"/>
    <w:rsid w:val="00133030"/>
    <w:rsid w:val="0013486B"/>
    <w:rsid w:val="00134F5B"/>
    <w:rsid w:val="00147E12"/>
    <w:rsid w:val="001535A2"/>
    <w:rsid w:val="00154002"/>
    <w:rsid w:val="00161C98"/>
    <w:rsid w:val="0016507F"/>
    <w:rsid w:val="0016539A"/>
    <w:rsid w:val="0016680D"/>
    <w:rsid w:val="00167DA4"/>
    <w:rsid w:val="00170F0D"/>
    <w:rsid w:val="00170F4C"/>
    <w:rsid w:val="001758DD"/>
    <w:rsid w:val="00175CE7"/>
    <w:rsid w:val="00183ED1"/>
    <w:rsid w:val="00185761"/>
    <w:rsid w:val="00185895"/>
    <w:rsid w:val="00185BB1"/>
    <w:rsid w:val="00191230"/>
    <w:rsid w:val="001914B9"/>
    <w:rsid w:val="00193677"/>
    <w:rsid w:val="001963EB"/>
    <w:rsid w:val="00196EEE"/>
    <w:rsid w:val="001A216E"/>
    <w:rsid w:val="001A4F3B"/>
    <w:rsid w:val="001A67DB"/>
    <w:rsid w:val="001B03C1"/>
    <w:rsid w:val="001B0C1E"/>
    <w:rsid w:val="001B36DE"/>
    <w:rsid w:val="001B3F46"/>
    <w:rsid w:val="001B49DA"/>
    <w:rsid w:val="001B4D43"/>
    <w:rsid w:val="001B4F15"/>
    <w:rsid w:val="001B729A"/>
    <w:rsid w:val="001C06FB"/>
    <w:rsid w:val="001C1732"/>
    <w:rsid w:val="001C3F79"/>
    <w:rsid w:val="001C678F"/>
    <w:rsid w:val="001D4B43"/>
    <w:rsid w:val="001E053E"/>
    <w:rsid w:val="001E1A14"/>
    <w:rsid w:val="001E427E"/>
    <w:rsid w:val="001F0FA3"/>
    <w:rsid w:val="001F380D"/>
    <w:rsid w:val="001F5395"/>
    <w:rsid w:val="001F7B5C"/>
    <w:rsid w:val="00212D1C"/>
    <w:rsid w:val="00222D22"/>
    <w:rsid w:val="00227B20"/>
    <w:rsid w:val="0023013A"/>
    <w:rsid w:val="00230B7D"/>
    <w:rsid w:val="00231D99"/>
    <w:rsid w:val="00233C57"/>
    <w:rsid w:val="00234DD8"/>
    <w:rsid w:val="002372E1"/>
    <w:rsid w:val="00237CCA"/>
    <w:rsid w:val="00241D47"/>
    <w:rsid w:val="002425CC"/>
    <w:rsid w:val="00244313"/>
    <w:rsid w:val="002471DF"/>
    <w:rsid w:val="00251198"/>
    <w:rsid w:val="00252790"/>
    <w:rsid w:val="002571A4"/>
    <w:rsid w:val="002621FB"/>
    <w:rsid w:val="00262EC0"/>
    <w:rsid w:val="00264C2F"/>
    <w:rsid w:val="002707BC"/>
    <w:rsid w:val="00270D5D"/>
    <w:rsid w:val="002710B5"/>
    <w:rsid w:val="00280C7A"/>
    <w:rsid w:val="00281A6B"/>
    <w:rsid w:val="00281C2E"/>
    <w:rsid w:val="00283C11"/>
    <w:rsid w:val="00283C70"/>
    <w:rsid w:val="00284F78"/>
    <w:rsid w:val="002854E2"/>
    <w:rsid w:val="00286100"/>
    <w:rsid w:val="00286231"/>
    <w:rsid w:val="002903CF"/>
    <w:rsid w:val="00290A9B"/>
    <w:rsid w:val="00291914"/>
    <w:rsid w:val="002940FE"/>
    <w:rsid w:val="00294AD8"/>
    <w:rsid w:val="00297AF9"/>
    <w:rsid w:val="002A1B5E"/>
    <w:rsid w:val="002B10BE"/>
    <w:rsid w:val="002B1353"/>
    <w:rsid w:val="002B2349"/>
    <w:rsid w:val="002B2A46"/>
    <w:rsid w:val="002C1442"/>
    <w:rsid w:val="002C2D51"/>
    <w:rsid w:val="002C3FE8"/>
    <w:rsid w:val="002C47D9"/>
    <w:rsid w:val="002D30ED"/>
    <w:rsid w:val="002E39BD"/>
    <w:rsid w:val="002E6037"/>
    <w:rsid w:val="002E624E"/>
    <w:rsid w:val="002F6526"/>
    <w:rsid w:val="002F753C"/>
    <w:rsid w:val="002F7765"/>
    <w:rsid w:val="00302611"/>
    <w:rsid w:val="0031323B"/>
    <w:rsid w:val="00313BC9"/>
    <w:rsid w:val="00317ABB"/>
    <w:rsid w:val="00321249"/>
    <w:rsid w:val="00324915"/>
    <w:rsid w:val="00324C5C"/>
    <w:rsid w:val="003370F8"/>
    <w:rsid w:val="00337A02"/>
    <w:rsid w:val="00337FE1"/>
    <w:rsid w:val="00347F65"/>
    <w:rsid w:val="00355B7C"/>
    <w:rsid w:val="003657D6"/>
    <w:rsid w:val="00371588"/>
    <w:rsid w:val="003748AB"/>
    <w:rsid w:val="0037776F"/>
    <w:rsid w:val="00377FBD"/>
    <w:rsid w:val="003802BC"/>
    <w:rsid w:val="00381217"/>
    <w:rsid w:val="00383E2C"/>
    <w:rsid w:val="0038406D"/>
    <w:rsid w:val="0038429E"/>
    <w:rsid w:val="003848CA"/>
    <w:rsid w:val="003859EB"/>
    <w:rsid w:val="0039489D"/>
    <w:rsid w:val="00397039"/>
    <w:rsid w:val="003A2F11"/>
    <w:rsid w:val="003A2FDD"/>
    <w:rsid w:val="003A49FB"/>
    <w:rsid w:val="003A50FD"/>
    <w:rsid w:val="003B04B9"/>
    <w:rsid w:val="003B0A82"/>
    <w:rsid w:val="003B3586"/>
    <w:rsid w:val="003B3735"/>
    <w:rsid w:val="003B616E"/>
    <w:rsid w:val="003C0103"/>
    <w:rsid w:val="003C1E3D"/>
    <w:rsid w:val="003C35B2"/>
    <w:rsid w:val="003D2373"/>
    <w:rsid w:val="003D2F25"/>
    <w:rsid w:val="003D3ECF"/>
    <w:rsid w:val="003D5212"/>
    <w:rsid w:val="003D6C8B"/>
    <w:rsid w:val="003D6DB2"/>
    <w:rsid w:val="003E0266"/>
    <w:rsid w:val="003E03CD"/>
    <w:rsid w:val="003E112E"/>
    <w:rsid w:val="003F29D2"/>
    <w:rsid w:val="003F44FD"/>
    <w:rsid w:val="003F67B6"/>
    <w:rsid w:val="004017D5"/>
    <w:rsid w:val="004021B9"/>
    <w:rsid w:val="00405454"/>
    <w:rsid w:val="004065F7"/>
    <w:rsid w:val="00406875"/>
    <w:rsid w:val="00407039"/>
    <w:rsid w:val="00410D7B"/>
    <w:rsid w:val="00411CA9"/>
    <w:rsid w:val="0041482A"/>
    <w:rsid w:val="00415170"/>
    <w:rsid w:val="00417F60"/>
    <w:rsid w:val="00421540"/>
    <w:rsid w:val="004227B4"/>
    <w:rsid w:val="0042550B"/>
    <w:rsid w:val="00432102"/>
    <w:rsid w:val="00432C41"/>
    <w:rsid w:val="00434E76"/>
    <w:rsid w:val="004401DB"/>
    <w:rsid w:val="0044280F"/>
    <w:rsid w:val="00443E8B"/>
    <w:rsid w:val="0044529D"/>
    <w:rsid w:val="00447FFB"/>
    <w:rsid w:val="004503EA"/>
    <w:rsid w:val="00452567"/>
    <w:rsid w:val="00452E1D"/>
    <w:rsid w:val="00456B92"/>
    <w:rsid w:val="00457251"/>
    <w:rsid w:val="00457893"/>
    <w:rsid w:val="00460F2C"/>
    <w:rsid w:val="004615D6"/>
    <w:rsid w:val="00464625"/>
    <w:rsid w:val="004658EA"/>
    <w:rsid w:val="0046705B"/>
    <w:rsid w:val="00467813"/>
    <w:rsid w:val="00474825"/>
    <w:rsid w:val="004760F2"/>
    <w:rsid w:val="00476BE9"/>
    <w:rsid w:val="00477000"/>
    <w:rsid w:val="00482746"/>
    <w:rsid w:val="00483078"/>
    <w:rsid w:val="0048344E"/>
    <w:rsid w:val="00483870"/>
    <w:rsid w:val="00483F00"/>
    <w:rsid w:val="00485BEE"/>
    <w:rsid w:val="00486CEF"/>
    <w:rsid w:val="00490D4A"/>
    <w:rsid w:val="004911C0"/>
    <w:rsid w:val="00494E04"/>
    <w:rsid w:val="004A2001"/>
    <w:rsid w:val="004A3325"/>
    <w:rsid w:val="004A3BC3"/>
    <w:rsid w:val="004A3F4F"/>
    <w:rsid w:val="004A483E"/>
    <w:rsid w:val="004B1F71"/>
    <w:rsid w:val="004B4A96"/>
    <w:rsid w:val="004B6C00"/>
    <w:rsid w:val="004C2F02"/>
    <w:rsid w:val="004C332C"/>
    <w:rsid w:val="004C4960"/>
    <w:rsid w:val="004C5878"/>
    <w:rsid w:val="004D1569"/>
    <w:rsid w:val="004D362F"/>
    <w:rsid w:val="004E0AEA"/>
    <w:rsid w:val="004E2E1C"/>
    <w:rsid w:val="004E4583"/>
    <w:rsid w:val="004E5E34"/>
    <w:rsid w:val="004F47FC"/>
    <w:rsid w:val="004F565F"/>
    <w:rsid w:val="004F65A9"/>
    <w:rsid w:val="004F6786"/>
    <w:rsid w:val="004F6A63"/>
    <w:rsid w:val="004F7FBB"/>
    <w:rsid w:val="005023AC"/>
    <w:rsid w:val="005030C5"/>
    <w:rsid w:val="00503CDB"/>
    <w:rsid w:val="005107C9"/>
    <w:rsid w:val="00510B47"/>
    <w:rsid w:val="005113F4"/>
    <w:rsid w:val="00511A74"/>
    <w:rsid w:val="00513BEE"/>
    <w:rsid w:val="00516BF5"/>
    <w:rsid w:val="00523477"/>
    <w:rsid w:val="005250AD"/>
    <w:rsid w:val="0052606E"/>
    <w:rsid w:val="00530C74"/>
    <w:rsid w:val="0053729A"/>
    <w:rsid w:val="00540B85"/>
    <w:rsid w:val="00541E90"/>
    <w:rsid w:val="00542631"/>
    <w:rsid w:val="005432DD"/>
    <w:rsid w:val="00545484"/>
    <w:rsid w:val="00546049"/>
    <w:rsid w:val="00554FBA"/>
    <w:rsid w:val="00560B51"/>
    <w:rsid w:val="00562EF2"/>
    <w:rsid w:val="0057302D"/>
    <w:rsid w:val="00574B3F"/>
    <w:rsid w:val="0057682B"/>
    <w:rsid w:val="00577BAD"/>
    <w:rsid w:val="00581232"/>
    <w:rsid w:val="00581364"/>
    <w:rsid w:val="00591880"/>
    <w:rsid w:val="005A0464"/>
    <w:rsid w:val="005A45C2"/>
    <w:rsid w:val="005A4608"/>
    <w:rsid w:val="005A5CE7"/>
    <w:rsid w:val="005B2325"/>
    <w:rsid w:val="005B5C10"/>
    <w:rsid w:val="005C28F5"/>
    <w:rsid w:val="005D2E6D"/>
    <w:rsid w:val="005D403F"/>
    <w:rsid w:val="005D5906"/>
    <w:rsid w:val="005E222B"/>
    <w:rsid w:val="005E344F"/>
    <w:rsid w:val="005E5404"/>
    <w:rsid w:val="005F07E7"/>
    <w:rsid w:val="005F27B2"/>
    <w:rsid w:val="005F3723"/>
    <w:rsid w:val="005F3F49"/>
    <w:rsid w:val="005F437F"/>
    <w:rsid w:val="005F4B79"/>
    <w:rsid w:val="00601285"/>
    <w:rsid w:val="00602FC3"/>
    <w:rsid w:val="006037FB"/>
    <w:rsid w:val="00606571"/>
    <w:rsid w:val="00613483"/>
    <w:rsid w:val="00613D45"/>
    <w:rsid w:val="006147C9"/>
    <w:rsid w:val="006173FD"/>
    <w:rsid w:val="00617EB2"/>
    <w:rsid w:val="00620A19"/>
    <w:rsid w:val="0062597E"/>
    <w:rsid w:val="00625D42"/>
    <w:rsid w:val="00632495"/>
    <w:rsid w:val="0063295E"/>
    <w:rsid w:val="00632CC6"/>
    <w:rsid w:val="006404DA"/>
    <w:rsid w:val="00641E6D"/>
    <w:rsid w:val="006421BF"/>
    <w:rsid w:val="00644E11"/>
    <w:rsid w:val="006630CC"/>
    <w:rsid w:val="00665642"/>
    <w:rsid w:val="00666C2C"/>
    <w:rsid w:val="0066749A"/>
    <w:rsid w:val="006678C2"/>
    <w:rsid w:val="006753E2"/>
    <w:rsid w:val="00675FCC"/>
    <w:rsid w:val="00680FFE"/>
    <w:rsid w:val="00682FD1"/>
    <w:rsid w:val="00685222"/>
    <w:rsid w:val="006854E4"/>
    <w:rsid w:val="00690C70"/>
    <w:rsid w:val="006921B7"/>
    <w:rsid w:val="00693260"/>
    <w:rsid w:val="00695E48"/>
    <w:rsid w:val="00696693"/>
    <w:rsid w:val="006A5409"/>
    <w:rsid w:val="006A6289"/>
    <w:rsid w:val="006A7FBD"/>
    <w:rsid w:val="006B04E7"/>
    <w:rsid w:val="006B3F7D"/>
    <w:rsid w:val="006B642F"/>
    <w:rsid w:val="006C196E"/>
    <w:rsid w:val="006C29E1"/>
    <w:rsid w:val="006C3195"/>
    <w:rsid w:val="006C703C"/>
    <w:rsid w:val="006D2B28"/>
    <w:rsid w:val="006D534A"/>
    <w:rsid w:val="006D564A"/>
    <w:rsid w:val="006D7258"/>
    <w:rsid w:val="006E5508"/>
    <w:rsid w:val="006F5359"/>
    <w:rsid w:val="006F702B"/>
    <w:rsid w:val="006F7823"/>
    <w:rsid w:val="00700431"/>
    <w:rsid w:val="00700890"/>
    <w:rsid w:val="007030D1"/>
    <w:rsid w:val="00705631"/>
    <w:rsid w:val="00705DBC"/>
    <w:rsid w:val="0071258B"/>
    <w:rsid w:val="00712958"/>
    <w:rsid w:val="00714F34"/>
    <w:rsid w:val="00716D77"/>
    <w:rsid w:val="007210AF"/>
    <w:rsid w:val="00721F70"/>
    <w:rsid w:val="0072704D"/>
    <w:rsid w:val="007379D3"/>
    <w:rsid w:val="0074161B"/>
    <w:rsid w:val="0074204F"/>
    <w:rsid w:val="0074211A"/>
    <w:rsid w:val="0074595F"/>
    <w:rsid w:val="00745E51"/>
    <w:rsid w:val="0074733F"/>
    <w:rsid w:val="00747D95"/>
    <w:rsid w:val="00750089"/>
    <w:rsid w:val="00751C53"/>
    <w:rsid w:val="00754944"/>
    <w:rsid w:val="007550D7"/>
    <w:rsid w:val="00760E6F"/>
    <w:rsid w:val="00761A24"/>
    <w:rsid w:val="007621AC"/>
    <w:rsid w:val="00770AD8"/>
    <w:rsid w:val="00775522"/>
    <w:rsid w:val="00775886"/>
    <w:rsid w:val="00776F75"/>
    <w:rsid w:val="00777983"/>
    <w:rsid w:val="0078264A"/>
    <w:rsid w:val="00782A51"/>
    <w:rsid w:val="00783E6E"/>
    <w:rsid w:val="00785B07"/>
    <w:rsid w:val="00791D75"/>
    <w:rsid w:val="00794030"/>
    <w:rsid w:val="007950BB"/>
    <w:rsid w:val="007A38FD"/>
    <w:rsid w:val="007A434D"/>
    <w:rsid w:val="007A6A63"/>
    <w:rsid w:val="007A6AAA"/>
    <w:rsid w:val="007B0258"/>
    <w:rsid w:val="007B204E"/>
    <w:rsid w:val="007B28B3"/>
    <w:rsid w:val="007B693D"/>
    <w:rsid w:val="007C24D1"/>
    <w:rsid w:val="007C5CC1"/>
    <w:rsid w:val="007C711E"/>
    <w:rsid w:val="007D01EA"/>
    <w:rsid w:val="007D1A15"/>
    <w:rsid w:val="007D2A73"/>
    <w:rsid w:val="007D3819"/>
    <w:rsid w:val="007D5F5E"/>
    <w:rsid w:val="007E28D4"/>
    <w:rsid w:val="007E3D6E"/>
    <w:rsid w:val="007E4C13"/>
    <w:rsid w:val="007E52FD"/>
    <w:rsid w:val="007E6055"/>
    <w:rsid w:val="007E6A78"/>
    <w:rsid w:val="007E7A02"/>
    <w:rsid w:val="007F01CB"/>
    <w:rsid w:val="007F227C"/>
    <w:rsid w:val="007F26A7"/>
    <w:rsid w:val="007F39E0"/>
    <w:rsid w:val="007F44F9"/>
    <w:rsid w:val="007F4D58"/>
    <w:rsid w:val="007F5214"/>
    <w:rsid w:val="007F5790"/>
    <w:rsid w:val="007F7005"/>
    <w:rsid w:val="0080163F"/>
    <w:rsid w:val="00803BC8"/>
    <w:rsid w:val="00804B1D"/>
    <w:rsid w:val="0080747B"/>
    <w:rsid w:val="0080770A"/>
    <w:rsid w:val="00811CF3"/>
    <w:rsid w:val="00823C27"/>
    <w:rsid w:val="008268A6"/>
    <w:rsid w:val="008275EF"/>
    <w:rsid w:val="00831266"/>
    <w:rsid w:val="00840AC1"/>
    <w:rsid w:val="008418F3"/>
    <w:rsid w:val="00842CBC"/>
    <w:rsid w:val="00845C31"/>
    <w:rsid w:val="00846E46"/>
    <w:rsid w:val="00850727"/>
    <w:rsid w:val="008575D8"/>
    <w:rsid w:val="0085764F"/>
    <w:rsid w:val="00857BEB"/>
    <w:rsid w:val="008638F3"/>
    <w:rsid w:val="008655DA"/>
    <w:rsid w:val="00865CAC"/>
    <w:rsid w:val="00870B38"/>
    <w:rsid w:val="00871647"/>
    <w:rsid w:val="0087276F"/>
    <w:rsid w:val="00882470"/>
    <w:rsid w:val="008824BD"/>
    <w:rsid w:val="008841ED"/>
    <w:rsid w:val="008857B7"/>
    <w:rsid w:val="00886BF3"/>
    <w:rsid w:val="00887A13"/>
    <w:rsid w:val="00887CCD"/>
    <w:rsid w:val="00892943"/>
    <w:rsid w:val="008973CB"/>
    <w:rsid w:val="008A3BA3"/>
    <w:rsid w:val="008A7E6F"/>
    <w:rsid w:val="008B1C21"/>
    <w:rsid w:val="008B1CF5"/>
    <w:rsid w:val="008C1A96"/>
    <w:rsid w:val="008C2198"/>
    <w:rsid w:val="008C36CC"/>
    <w:rsid w:val="008C4B72"/>
    <w:rsid w:val="008C7596"/>
    <w:rsid w:val="008D04D3"/>
    <w:rsid w:val="008D084C"/>
    <w:rsid w:val="008D3595"/>
    <w:rsid w:val="008D4230"/>
    <w:rsid w:val="008D74D3"/>
    <w:rsid w:val="008D7795"/>
    <w:rsid w:val="008E0F6F"/>
    <w:rsid w:val="008E1CEB"/>
    <w:rsid w:val="008E4190"/>
    <w:rsid w:val="008E5699"/>
    <w:rsid w:val="008E660F"/>
    <w:rsid w:val="008E7AC5"/>
    <w:rsid w:val="008F2092"/>
    <w:rsid w:val="008F374B"/>
    <w:rsid w:val="008F545C"/>
    <w:rsid w:val="008F7246"/>
    <w:rsid w:val="0090000D"/>
    <w:rsid w:val="00901F2D"/>
    <w:rsid w:val="0090310B"/>
    <w:rsid w:val="00903F17"/>
    <w:rsid w:val="009042B3"/>
    <w:rsid w:val="009046FD"/>
    <w:rsid w:val="009110ED"/>
    <w:rsid w:val="00911FA2"/>
    <w:rsid w:val="0091303B"/>
    <w:rsid w:val="00914C61"/>
    <w:rsid w:val="00917181"/>
    <w:rsid w:val="009232ED"/>
    <w:rsid w:val="00925DA5"/>
    <w:rsid w:val="00926D97"/>
    <w:rsid w:val="00930695"/>
    <w:rsid w:val="0093162D"/>
    <w:rsid w:val="0093613D"/>
    <w:rsid w:val="009375E7"/>
    <w:rsid w:val="00940E87"/>
    <w:rsid w:val="009426A5"/>
    <w:rsid w:val="009447C7"/>
    <w:rsid w:val="009475FB"/>
    <w:rsid w:val="0095091F"/>
    <w:rsid w:val="00951D03"/>
    <w:rsid w:val="0095422F"/>
    <w:rsid w:val="00954F73"/>
    <w:rsid w:val="0095734B"/>
    <w:rsid w:val="00960FDF"/>
    <w:rsid w:val="009637BC"/>
    <w:rsid w:val="009639CF"/>
    <w:rsid w:val="009678D7"/>
    <w:rsid w:val="009702A1"/>
    <w:rsid w:val="00971B02"/>
    <w:rsid w:val="009724A9"/>
    <w:rsid w:val="00974FA1"/>
    <w:rsid w:val="00975DE2"/>
    <w:rsid w:val="00977DFB"/>
    <w:rsid w:val="0098513E"/>
    <w:rsid w:val="00985C29"/>
    <w:rsid w:val="009871B0"/>
    <w:rsid w:val="00995CD2"/>
    <w:rsid w:val="00996179"/>
    <w:rsid w:val="009A0032"/>
    <w:rsid w:val="009B1EEA"/>
    <w:rsid w:val="009B36E2"/>
    <w:rsid w:val="009B7432"/>
    <w:rsid w:val="009C1960"/>
    <w:rsid w:val="009C318E"/>
    <w:rsid w:val="009C6D45"/>
    <w:rsid w:val="009C7974"/>
    <w:rsid w:val="009D25BC"/>
    <w:rsid w:val="009D295E"/>
    <w:rsid w:val="009D56D7"/>
    <w:rsid w:val="009D6A37"/>
    <w:rsid w:val="009D6B36"/>
    <w:rsid w:val="009D7D8E"/>
    <w:rsid w:val="009E356F"/>
    <w:rsid w:val="009E765A"/>
    <w:rsid w:val="009F0A10"/>
    <w:rsid w:val="009F0B2A"/>
    <w:rsid w:val="009F7A0C"/>
    <w:rsid w:val="009F7E9F"/>
    <w:rsid w:val="00A00C25"/>
    <w:rsid w:val="00A01451"/>
    <w:rsid w:val="00A10E39"/>
    <w:rsid w:val="00A12079"/>
    <w:rsid w:val="00A14F52"/>
    <w:rsid w:val="00A21186"/>
    <w:rsid w:val="00A22044"/>
    <w:rsid w:val="00A227DF"/>
    <w:rsid w:val="00A23E0C"/>
    <w:rsid w:val="00A2552A"/>
    <w:rsid w:val="00A26C3C"/>
    <w:rsid w:val="00A31A6E"/>
    <w:rsid w:val="00A321C8"/>
    <w:rsid w:val="00A33FB6"/>
    <w:rsid w:val="00A34347"/>
    <w:rsid w:val="00A34C31"/>
    <w:rsid w:val="00A35DD1"/>
    <w:rsid w:val="00A3675A"/>
    <w:rsid w:val="00A36F3C"/>
    <w:rsid w:val="00A550D9"/>
    <w:rsid w:val="00A61710"/>
    <w:rsid w:val="00A674CE"/>
    <w:rsid w:val="00A67E47"/>
    <w:rsid w:val="00A67E5B"/>
    <w:rsid w:val="00A721D1"/>
    <w:rsid w:val="00A76045"/>
    <w:rsid w:val="00A76D70"/>
    <w:rsid w:val="00A86E54"/>
    <w:rsid w:val="00A95868"/>
    <w:rsid w:val="00AA30C8"/>
    <w:rsid w:val="00AA3C61"/>
    <w:rsid w:val="00AA6CE9"/>
    <w:rsid w:val="00AA7ED2"/>
    <w:rsid w:val="00AA7FE1"/>
    <w:rsid w:val="00AB1A5B"/>
    <w:rsid w:val="00AB1F69"/>
    <w:rsid w:val="00AB2D31"/>
    <w:rsid w:val="00AC1DC6"/>
    <w:rsid w:val="00AC3DD5"/>
    <w:rsid w:val="00AC5873"/>
    <w:rsid w:val="00AC5909"/>
    <w:rsid w:val="00AC59EC"/>
    <w:rsid w:val="00AD080E"/>
    <w:rsid w:val="00AD3969"/>
    <w:rsid w:val="00AD4EC1"/>
    <w:rsid w:val="00AD5259"/>
    <w:rsid w:val="00AD5458"/>
    <w:rsid w:val="00AD784A"/>
    <w:rsid w:val="00AF7C82"/>
    <w:rsid w:val="00AF7D61"/>
    <w:rsid w:val="00B02AB2"/>
    <w:rsid w:val="00B0578A"/>
    <w:rsid w:val="00B06EE6"/>
    <w:rsid w:val="00B10071"/>
    <w:rsid w:val="00B13F24"/>
    <w:rsid w:val="00B15143"/>
    <w:rsid w:val="00B31214"/>
    <w:rsid w:val="00B324B0"/>
    <w:rsid w:val="00B32C74"/>
    <w:rsid w:val="00B3304B"/>
    <w:rsid w:val="00B36791"/>
    <w:rsid w:val="00B440BA"/>
    <w:rsid w:val="00B44F89"/>
    <w:rsid w:val="00B47224"/>
    <w:rsid w:val="00B47869"/>
    <w:rsid w:val="00B52EE6"/>
    <w:rsid w:val="00B52FAB"/>
    <w:rsid w:val="00B53840"/>
    <w:rsid w:val="00B55E1F"/>
    <w:rsid w:val="00B56D57"/>
    <w:rsid w:val="00B57360"/>
    <w:rsid w:val="00B623BC"/>
    <w:rsid w:val="00B641E0"/>
    <w:rsid w:val="00B7329D"/>
    <w:rsid w:val="00B74466"/>
    <w:rsid w:val="00B77DA9"/>
    <w:rsid w:val="00B77FAB"/>
    <w:rsid w:val="00B8032B"/>
    <w:rsid w:val="00B841E5"/>
    <w:rsid w:val="00B86B8E"/>
    <w:rsid w:val="00B87422"/>
    <w:rsid w:val="00B90B64"/>
    <w:rsid w:val="00B93C0B"/>
    <w:rsid w:val="00B93C32"/>
    <w:rsid w:val="00BA0A6B"/>
    <w:rsid w:val="00BA14EB"/>
    <w:rsid w:val="00BA5B5C"/>
    <w:rsid w:val="00BA788D"/>
    <w:rsid w:val="00BB07A5"/>
    <w:rsid w:val="00BB23CC"/>
    <w:rsid w:val="00BB5CE6"/>
    <w:rsid w:val="00BC0E1F"/>
    <w:rsid w:val="00BC3BD1"/>
    <w:rsid w:val="00BC4967"/>
    <w:rsid w:val="00BD29BC"/>
    <w:rsid w:val="00BD40F8"/>
    <w:rsid w:val="00BD6289"/>
    <w:rsid w:val="00BE12EB"/>
    <w:rsid w:val="00BE26A8"/>
    <w:rsid w:val="00BE5546"/>
    <w:rsid w:val="00BF07EA"/>
    <w:rsid w:val="00BF1B43"/>
    <w:rsid w:val="00BF2137"/>
    <w:rsid w:val="00BF56C6"/>
    <w:rsid w:val="00BF6398"/>
    <w:rsid w:val="00BF7E77"/>
    <w:rsid w:val="00C07D5B"/>
    <w:rsid w:val="00C07F74"/>
    <w:rsid w:val="00C10334"/>
    <w:rsid w:val="00C153BD"/>
    <w:rsid w:val="00C16A76"/>
    <w:rsid w:val="00C16BDF"/>
    <w:rsid w:val="00C17ABB"/>
    <w:rsid w:val="00C20100"/>
    <w:rsid w:val="00C20BDC"/>
    <w:rsid w:val="00C24317"/>
    <w:rsid w:val="00C25ECC"/>
    <w:rsid w:val="00C263B2"/>
    <w:rsid w:val="00C27578"/>
    <w:rsid w:val="00C318A8"/>
    <w:rsid w:val="00C319A3"/>
    <w:rsid w:val="00C35209"/>
    <w:rsid w:val="00C35E9A"/>
    <w:rsid w:val="00C36355"/>
    <w:rsid w:val="00C3780B"/>
    <w:rsid w:val="00C405D9"/>
    <w:rsid w:val="00C41A24"/>
    <w:rsid w:val="00C50CA6"/>
    <w:rsid w:val="00C51AAD"/>
    <w:rsid w:val="00C52DFA"/>
    <w:rsid w:val="00C549F2"/>
    <w:rsid w:val="00C567D8"/>
    <w:rsid w:val="00C60534"/>
    <w:rsid w:val="00C70060"/>
    <w:rsid w:val="00C735DF"/>
    <w:rsid w:val="00C73711"/>
    <w:rsid w:val="00C759D4"/>
    <w:rsid w:val="00C80664"/>
    <w:rsid w:val="00C80A32"/>
    <w:rsid w:val="00C83C8A"/>
    <w:rsid w:val="00C85E6E"/>
    <w:rsid w:val="00C86642"/>
    <w:rsid w:val="00C93BFD"/>
    <w:rsid w:val="00C95002"/>
    <w:rsid w:val="00CA3294"/>
    <w:rsid w:val="00CA3D07"/>
    <w:rsid w:val="00CA57D8"/>
    <w:rsid w:val="00CB016A"/>
    <w:rsid w:val="00CB2577"/>
    <w:rsid w:val="00CB61B3"/>
    <w:rsid w:val="00CC260B"/>
    <w:rsid w:val="00CC3C90"/>
    <w:rsid w:val="00CC5295"/>
    <w:rsid w:val="00CC5969"/>
    <w:rsid w:val="00CD3D34"/>
    <w:rsid w:val="00CD59D2"/>
    <w:rsid w:val="00CE0B71"/>
    <w:rsid w:val="00CE39EB"/>
    <w:rsid w:val="00CE3F17"/>
    <w:rsid w:val="00CE574F"/>
    <w:rsid w:val="00CE6807"/>
    <w:rsid w:val="00CF051F"/>
    <w:rsid w:val="00CF08F6"/>
    <w:rsid w:val="00CF19C7"/>
    <w:rsid w:val="00CF228A"/>
    <w:rsid w:val="00CF29E2"/>
    <w:rsid w:val="00CF6F6A"/>
    <w:rsid w:val="00CF7598"/>
    <w:rsid w:val="00D000DF"/>
    <w:rsid w:val="00D11993"/>
    <w:rsid w:val="00D13C51"/>
    <w:rsid w:val="00D1510D"/>
    <w:rsid w:val="00D17B1F"/>
    <w:rsid w:val="00D2267D"/>
    <w:rsid w:val="00D244BD"/>
    <w:rsid w:val="00D2721C"/>
    <w:rsid w:val="00D27241"/>
    <w:rsid w:val="00D3259B"/>
    <w:rsid w:val="00D32769"/>
    <w:rsid w:val="00D35773"/>
    <w:rsid w:val="00D36992"/>
    <w:rsid w:val="00D40D7D"/>
    <w:rsid w:val="00D40FF7"/>
    <w:rsid w:val="00D56DC4"/>
    <w:rsid w:val="00D602ED"/>
    <w:rsid w:val="00D60BF3"/>
    <w:rsid w:val="00D6413A"/>
    <w:rsid w:val="00D644D4"/>
    <w:rsid w:val="00D666CF"/>
    <w:rsid w:val="00D66F4C"/>
    <w:rsid w:val="00D70B41"/>
    <w:rsid w:val="00D7338F"/>
    <w:rsid w:val="00D746A9"/>
    <w:rsid w:val="00D748D7"/>
    <w:rsid w:val="00D7590F"/>
    <w:rsid w:val="00D7674A"/>
    <w:rsid w:val="00D8294B"/>
    <w:rsid w:val="00D836ED"/>
    <w:rsid w:val="00D84BD2"/>
    <w:rsid w:val="00D852C1"/>
    <w:rsid w:val="00D92F94"/>
    <w:rsid w:val="00D95160"/>
    <w:rsid w:val="00D95337"/>
    <w:rsid w:val="00D957E6"/>
    <w:rsid w:val="00D95CB0"/>
    <w:rsid w:val="00DA1201"/>
    <w:rsid w:val="00DA2FA4"/>
    <w:rsid w:val="00DA3496"/>
    <w:rsid w:val="00DA4101"/>
    <w:rsid w:val="00DA5A2A"/>
    <w:rsid w:val="00DA6FFD"/>
    <w:rsid w:val="00DB2B70"/>
    <w:rsid w:val="00DB66A8"/>
    <w:rsid w:val="00DB7F86"/>
    <w:rsid w:val="00DC28A7"/>
    <w:rsid w:val="00DC516A"/>
    <w:rsid w:val="00DD665F"/>
    <w:rsid w:val="00DD6C9D"/>
    <w:rsid w:val="00DD7A3F"/>
    <w:rsid w:val="00DE2BE7"/>
    <w:rsid w:val="00DE2ECE"/>
    <w:rsid w:val="00DE44CF"/>
    <w:rsid w:val="00DE6D14"/>
    <w:rsid w:val="00DF3A83"/>
    <w:rsid w:val="00DF3EEC"/>
    <w:rsid w:val="00DF528D"/>
    <w:rsid w:val="00DF59E7"/>
    <w:rsid w:val="00DF5CFC"/>
    <w:rsid w:val="00E01F2D"/>
    <w:rsid w:val="00E064A2"/>
    <w:rsid w:val="00E06B4A"/>
    <w:rsid w:val="00E0715E"/>
    <w:rsid w:val="00E103EB"/>
    <w:rsid w:val="00E13779"/>
    <w:rsid w:val="00E15A76"/>
    <w:rsid w:val="00E22206"/>
    <w:rsid w:val="00E23947"/>
    <w:rsid w:val="00E253A0"/>
    <w:rsid w:val="00E30093"/>
    <w:rsid w:val="00E326A9"/>
    <w:rsid w:val="00E360B5"/>
    <w:rsid w:val="00E45941"/>
    <w:rsid w:val="00E47736"/>
    <w:rsid w:val="00E51E46"/>
    <w:rsid w:val="00E51EB0"/>
    <w:rsid w:val="00E63407"/>
    <w:rsid w:val="00E63FE0"/>
    <w:rsid w:val="00E659E5"/>
    <w:rsid w:val="00E65AF3"/>
    <w:rsid w:val="00E66E47"/>
    <w:rsid w:val="00E765F7"/>
    <w:rsid w:val="00E7682C"/>
    <w:rsid w:val="00E76C21"/>
    <w:rsid w:val="00E83435"/>
    <w:rsid w:val="00E90C3C"/>
    <w:rsid w:val="00E9372F"/>
    <w:rsid w:val="00E9389D"/>
    <w:rsid w:val="00E95585"/>
    <w:rsid w:val="00E95EAB"/>
    <w:rsid w:val="00E97484"/>
    <w:rsid w:val="00E97C36"/>
    <w:rsid w:val="00E97E10"/>
    <w:rsid w:val="00EA0FF1"/>
    <w:rsid w:val="00EA19C2"/>
    <w:rsid w:val="00EA35D7"/>
    <w:rsid w:val="00EA3FDF"/>
    <w:rsid w:val="00EA4FB1"/>
    <w:rsid w:val="00EA5070"/>
    <w:rsid w:val="00EA50D3"/>
    <w:rsid w:val="00EA5AA9"/>
    <w:rsid w:val="00EA671E"/>
    <w:rsid w:val="00EB5DFF"/>
    <w:rsid w:val="00EC5EBD"/>
    <w:rsid w:val="00EC6AA0"/>
    <w:rsid w:val="00ED020A"/>
    <w:rsid w:val="00ED17F2"/>
    <w:rsid w:val="00ED6F60"/>
    <w:rsid w:val="00ED6F7D"/>
    <w:rsid w:val="00EE0A85"/>
    <w:rsid w:val="00EE57C5"/>
    <w:rsid w:val="00EE5A92"/>
    <w:rsid w:val="00EE6CA7"/>
    <w:rsid w:val="00EF0205"/>
    <w:rsid w:val="00EF0B8D"/>
    <w:rsid w:val="00EF21E1"/>
    <w:rsid w:val="00F00E1B"/>
    <w:rsid w:val="00F03E64"/>
    <w:rsid w:val="00F06646"/>
    <w:rsid w:val="00F07B97"/>
    <w:rsid w:val="00F12B92"/>
    <w:rsid w:val="00F1401E"/>
    <w:rsid w:val="00F21F58"/>
    <w:rsid w:val="00F25974"/>
    <w:rsid w:val="00F25DE6"/>
    <w:rsid w:val="00F27FE9"/>
    <w:rsid w:val="00F326FC"/>
    <w:rsid w:val="00F33C40"/>
    <w:rsid w:val="00F34DA2"/>
    <w:rsid w:val="00F353E5"/>
    <w:rsid w:val="00F40BE3"/>
    <w:rsid w:val="00F42841"/>
    <w:rsid w:val="00F46CCC"/>
    <w:rsid w:val="00F472DC"/>
    <w:rsid w:val="00F50312"/>
    <w:rsid w:val="00F5086B"/>
    <w:rsid w:val="00F6740A"/>
    <w:rsid w:val="00F72633"/>
    <w:rsid w:val="00F7288D"/>
    <w:rsid w:val="00F75399"/>
    <w:rsid w:val="00F773C5"/>
    <w:rsid w:val="00F77C0F"/>
    <w:rsid w:val="00F81962"/>
    <w:rsid w:val="00F823E5"/>
    <w:rsid w:val="00F90E24"/>
    <w:rsid w:val="00F95EE5"/>
    <w:rsid w:val="00F96D40"/>
    <w:rsid w:val="00FA01EA"/>
    <w:rsid w:val="00FA1E64"/>
    <w:rsid w:val="00FA2A57"/>
    <w:rsid w:val="00FA3E05"/>
    <w:rsid w:val="00FB0795"/>
    <w:rsid w:val="00FB19C3"/>
    <w:rsid w:val="00FB4FE0"/>
    <w:rsid w:val="00FB5C4F"/>
    <w:rsid w:val="00FC00C8"/>
    <w:rsid w:val="00FC0F37"/>
    <w:rsid w:val="00FC16C2"/>
    <w:rsid w:val="00FC23EC"/>
    <w:rsid w:val="00FC4191"/>
    <w:rsid w:val="00FC456A"/>
    <w:rsid w:val="00FC51C5"/>
    <w:rsid w:val="00FC767A"/>
    <w:rsid w:val="00FD1118"/>
    <w:rsid w:val="00FD50B6"/>
    <w:rsid w:val="00FE5A22"/>
    <w:rsid w:val="00FF2261"/>
    <w:rsid w:val="00FF461F"/>
    <w:rsid w:val="00FF77B0"/>
    <w:rsid w:val="0416A489"/>
    <w:rsid w:val="05387960"/>
    <w:rsid w:val="0548CFD8"/>
    <w:rsid w:val="05A16167"/>
    <w:rsid w:val="061B5FD2"/>
    <w:rsid w:val="06D6291F"/>
    <w:rsid w:val="06F17AE0"/>
    <w:rsid w:val="089F9CC2"/>
    <w:rsid w:val="090A7B32"/>
    <w:rsid w:val="09D2C30B"/>
    <w:rsid w:val="0CA190CF"/>
    <w:rsid w:val="0CD2D55E"/>
    <w:rsid w:val="0FA9E043"/>
    <w:rsid w:val="103A8852"/>
    <w:rsid w:val="10BD2210"/>
    <w:rsid w:val="10F321ED"/>
    <w:rsid w:val="116D9D45"/>
    <w:rsid w:val="14903E0F"/>
    <w:rsid w:val="15EE4DD3"/>
    <w:rsid w:val="1979B5FA"/>
    <w:rsid w:val="1A32CE52"/>
    <w:rsid w:val="1B105E40"/>
    <w:rsid w:val="1D658DF3"/>
    <w:rsid w:val="1E5E96AE"/>
    <w:rsid w:val="23C17F04"/>
    <w:rsid w:val="27060062"/>
    <w:rsid w:val="2808D211"/>
    <w:rsid w:val="290B7B8C"/>
    <w:rsid w:val="29279B2A"/>
    <w:rsid w:val="29353D20"/>
    <w:rsid w:val="2EFE2709"/>
    <w:rsid w:val="2F0AD6AF"/>
    <w:rsid w:val="2F401E08"/>
    <w:rsid w:val="2F70399F"/>
    <w:rsid w:val="2F7A6562"/>
    <w:rsid w:val="2FCB1082"/>
    <w:rsid w:val="3036AB36"/>
    <w:rsid w:val="313FBEB8"/>
    <w:rsid w:val="3271A276"/>
    <w:rsid w:val="330206B7"/>
    <w:rsid w:val="3340C58A"/>
    <w:rsid w:val="342FB67D"/>
    <w:rsid w:val="34B999AD"/>
    <w:rsid w:val="355B4BE2"/>
    <w:rsid w:val="35D195CF"/>
    <w:rsid w:val="3B3E34CB"/>
    <w:rsid w:val="3C1063B5"/>
    <w:rsid w:val="3C3F802F"/>
    <w:rsid w:val="3CD77719"/>
    <w:rsid w:val="3DF30D8A"/>
    <w:rsid w:val="3E07F92F"/>
    <w:rsid w:val="3F092A0E"/>
    <w:rsid w:val="3FB6537B"/>
    <w:rsid w:val="3FCB7736"/>
    <w:rsid w:val="43AC5C39"/>
    <w:rsid w:val="4468FAB4"/>
    <w:rsid w:val="44BE7CD5"/>
    <w:rsid w:val="4797B2CC"/>
    <w:rsid w:val="485B2D4F"/>
    <w:rsid w:val="4A952C04"/>
    <w:rsid w:val="4AC2F70D"/>
    <w:rsid w:val="4AF01F7A"/>
    <w:rsid w:val="4B009103"/>
    <w:rsid w:val="4B080209"/>
    <w:rsid w:val="4C8AF3BC"/>
    <w:rsid w:val="4C94D980"/>
    <w:rsid w:val="4CF372A3"/>
    <w:rsid w:val="4CF69045"/>
    <w:rsid w:val="4D867BFC"/>
    <w:rsid w:val="4F6C08A9"/>
    <w:rsid w:val="50E398DA"/>
    <w:rsid w:val="511127C6"/>
    <w:rsid w:val="5186CCD8"/>
    <w:rsid w:val="518785F8"/>
    <w:rsid w:val="567FB964"/>
    <w:rsid w:val="570CD399"/>
    <w:rsid w:val="5718B13F"/>
    <w:rsid w:val="57D76BD4"/>
    <w:rsid w:val="57FC3035"/>
    <w:rsid w:val="5803AE37"/>
    <w:rsid w:val="58613D0C"/>
    <w:rsid w:val="59D7A4DB"/>
    <w:rsid w:val="5A88E10E"/>
    <w:rsid w:val="5C27CE02"/>
    <w:rsid w:val="5CE4A387"/>
    <w:rsid w:val="5D44D37E"/>
    <w:rsid w:val="5D45BE5B"/>
    <w:rsid w:val="5F8425AC"/>
    <w:rsid w:val="5F8A3686"/>
    <w:rsid w:val="5FA462B6"/>
    <w:rsid w:val="5FB5D05E"/>
    <w:rsid w:val="60298D20"/>
    <w:rsid w:val="617A4138"/>
    <w:rsid w:val="62B44922"/>
    <w:rsid w:val="62EBCD29"/>
    <w:rsid w:val="633E095B"/>
    <w:rsid w:val="643E45E5"/>
    <w:rsid w:val="644C8B93"/>
    <w:rsid w:val="65362092"/>
    <w:rsid w:val="6962BB71"/>
    <w:rsid w:val="69E0A736"/>
    <w:rsid w:val="69FBF260"/>
    <w:rsid w:val="6A1E92E8"/>
    <w:rsid w:val="6B11CBB3"/>
    <w:rsid w:val="6CD405AD"/>
    <w:rsid w:val="6D51CF71"/>
    <w:rsid w:val="6D9642F8"/>
    <w:rsid w:val="6E756D7E"/>
    <w:rsid w:val="6E7EA82A"/>
    <w:rsid w:val="7049A5C2"/>
    <w:rsid w:val="708D18C7"/>
    <w:rsid w:val="72611577"/>
    <w:rsid w:val="72D5B469"/>
    <w:rsid w:val="747661BD"/>
    <w:rsid w:val="74DE8963"/>
    <w:rsid w:val="75F9D827"/>
    <w:rsid w:val="76A50AC1"/>
    <w:rsid w:val="78201EB7"/>
    <w:rsid w:val="79185911"/>
    <w:rsid w:val="7AB0A9F4"/>
    <w:rsid w:val="7D19DA40"/>
    <w:rsid w:val="7EE973AF"/>
    <w:rsid w:val="7F6BD060"/>
    <w:rsid w:val="7FAE89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F1A9"/>
  <w15:docId w15:val="{F104177B-E258-472C-8CCF-A7589066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paragraph" w:styleId="Heading3">
    <w:name w:val="heading 3"/>
    <w:basedOn w:val="Normal"/>
    <w:link w:val="Heading3Char"/>
    <w:uiPriority w:val="99"/>
    <w:unhideWhenUsed/>
    <w:qFormat/>
    <w:rsid w:val="00230B7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531F"/>
    <w:pPr>
      <w:tabs>
        <w:tab w:val="center" w:pos="4153"/>
        <w:tab w:val="right" w:pos="8306"/>
      </w:tabs>
    </w:pPr>
  </w:style>
  <w:style w:type="character" w:customStyle="1" w:styleId="HeaderChar">
    <w:name w:val="Header Char"/>
    <w:basedOn w:val="DefaultParagraphFont"/>
    <w:link w:val="Header"/>
    <w:uiPriority w:val="99"/>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uiPriority w:val="99"/>
    <w:rsid w:val="000A531F"/>
    <w:pPr>
      <w:tabs>
        <w:tab w:val="center" w:pos="4153"/>
        <w:tab w:val="right" w:pos="8306"/>
      </w:tabs>
    </w:pPr>
  </w:style>
  <w:style w:type="character" w:customStyle="1" w:styleId="FooterChar">
    <w:name w:val="Footer Char"/>
    <w:basedOn w:val="DefaultParagraphFont"/>
    <w:link w:val="Footer"/>
    <w:uiPriority w:val="99"/>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aliases w:val="Footnote,Fußnote,Fußnote Char,Fußnote Char Char Char,Char,-E Fußnotentext,Fußnotentext Ursprung,(Diplomarbeit),(Diplomarbeit)1,(Diplomarbeit)2,(Diplomarbeit)3,(Diplomarbeit)4,(Diplomarbeit)5,(Diplomarbeit)6,(Diplomarbeit)7"/>
    <w:basedOn w:val="Normal"/>
    <w:link w:val="FootnoteTextChar"/>
    <w:unhideWhenUsed/>
    <w:rsid w:val="005C28F5"/>
    <w:pPr>
      <w:widowControl w:val="0"/>
      <w:jc w:val="both"/>
    </w:pPr>
    <w:rPr>
      <w:rFonts w:eastAsia="Calibri"/>
      <w:sz w:val="20"/>
      <w:szCs w:val="20"/>
      <w:lang w:eastAsia="en-US"/>
    </w:rPr>
  </w:style>
  <w:style w:type="character" w:customStyle="1" w:styleId="FootnoteTextChar">
    <w:name w:val="Footnote Text Char"/>
    <w:aliases w:val="Footnote Char,Fußnote Char1,Fußnote Char Char,Fußnote Char Char Char Char,Char Char,-E Fußnotentext Char,Fußnotentext Ursprung Char,(Diplomarbeit) Char,(Diplomarbeit)1 Char,(Diplomarbeit)2 Char,(Diplomarbeit)3 Char"/>
    <w:basedOn w:val="DefaultParagraphFont"/>
    <w:link w:val="FootnoteText"/>
    <w:rsid w:val="005C28F5"/>
    <w:rPr>
      <w:rFonts w:eastAsia="Calibri" w:cs="Times New Roman"/>
      <w:sz w:val="20"/>
      <w:szCs w:val="20"/>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ūnotenzeichen,stylish,(Footnote Referen"/>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paragraph" w:styleId="BodyText">
    <w:name w:val="Body Text"/>
    <w:basedOn w:val="Normal"/>
    <w:link w:val="BodyTextChar"/>
    <w:uiPriority w:val="99"/>
    <w:unhideWhenUsed/>
    <w:rsid w:val="00D957E6"/>
    <w:pPr>
      <w:spacing w:after="120"/>
    </w:pPr>
  </w:style>
  <w:style w:type="character" w:customStyle="1" w:styleId="BodyTextChar">
    <w:name w:val="Body Text Char"/>
    <w:basedOn w:val="DefaultParagraphFont"/>
    <w:link w:val="BodyText"/>
    <w:uiPriority w:val="99"/>
    <w:rsid w:val="00D957E6"/>
    <w:rPr>
      <w:rFonts w:eastAsia="Times New Roman" w:cs="Times New Roman"/>
      <w:sz w:val="24"/>
      <w:szCs w:val="24"/>
      <w:lang w:eastAsia="lv-LV"/>
    </w:rPr>
  </w:style>
  <w:style w:type="paragraph" w:styleId="NoSpacing">
    <w:name w:val="No Spacing"/>
    <w:link w:val="NoSpacingChar"/>
    <w:uiPriority w:val="1"/>
    <w:qFormat/>
    <w:rsid w:val="00C567D8"/>
    <w:pPr>
      <w:spacing w:after="0" w:line="240" w:lineRule="auto"/>
    </w:pPr>
    <w:rPr>
      <w:rFonts w:asciiTheme="minorHAnsi" w:hAnsiTheme="minorHAnsi"/>
      <w:sz w:val="22"/>
    </w:rPr>
  </w:style>
  <w:style w:type="character" w:styleId="Hyperlink">
    <w:name w:val="Hyperlink"/>
    <w:basedOn w:val="DefaultParagraphFont"/>
    <w:uiPriority w:val="99"/>
    <w:unhideWhenUsed/>
    <w:rsid w:val="00102478"/>
    <w:rPr>
      <w:color w:val="0000FF" w:themeColor="hyperlink"/>
      <w:u w:val="single"/>
    </w:rPr>
  </w:style>
  <w:style w:type="paragraph" w:styleId="CommentText">
    <w:name w:val="annotation text"/>
    <w:basedOn w:val="Normal"/>
    <w:link w:val="CommentTextChar"/>
    <w:uiPriority w:val="99"/>
    <w:unhideWhenUsed/>
    <w:rsid w:val="00227B20"/>
    <w:rPr>
      <w:sz w:val="20"/>
      <w:szCs w:val="20"/>
    </w:rPr>
  </w:style>
  <w:style w:type="character" w:customStyle="1" w:styleId="CommentTextChar">
    <w:name w:val="Comment Text Char"/>
    <w:basedOn w:val="DefaultParagraphFont"/>
    <w:link w:val="CommentText"/>
    <w:uiPriority w:val="99"/>
    <w:rsid w:val="00227B20"/>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27B20"/>
    <w:rPr>
      <w:b/>
      <w:bCs/>
    </w:rPr>
  </w:style>
  <w:style w:type="character" w:customStyle="1" w:styleId="CommentSubjectChar">
    <w:name w:val="Comment Subject Char"/>
    <w:basedOn w:val="CommentTextChar"/>
    <w:link w:val="CommentSubject"/>
    <w:uiPriority w:val="99"/>
    <w:semiHidden/>
    <w:rsid w:val="00227B20"/>
    <w:rPr>
      <w:rFonts w:eastAsia="Times New Roman" w:cs="Times New Roman"/>
      <w:b/>
      <w:bCs/>
      <w:sz w:val="20"/>
      <w:szCs w:val="20"/>
      <w:lang w:eastAsia="lv-LV"/>
    </w:rPr>
  </w:style>
  <w:style w:type="paragraph" w:styleId="NormalWeb">
    <w:name w:val="Normal (Web)"/>
    <w:basedOn w:val="Normal"/>
    <w:uiPriority w:val="99"/>
    <w:rsid w:val="001B36DE"/>
    <w:pPr>
      <w:spacing w:before="75" w:after="75"/>
    </w:pPr>
  </w:style>
  <w:style w:type="character" w:styleId="Emphasis">
    <w:name w:val="Emphasis"/>
    <w:qFormat/>
    <w:rsid w:val="0016507F"/>
    <w:rPr>
      <w:i/>
      <w:iCs/>
    </w:rPr>
  </w:style>
  <w:style w:type="character" w:customStyle="1" w:styleId="Heading3Char">
    <w:name w:val="Heading 3 Char"/>
    <w:basedOn w:val="DefaultParagraphFont"/>
    <w:link w:val="Heading3"/>
    <w:uiPriority w:val="99"/>
    <w:rsid w:val="00230B7D"/>
    <w:rPr>
      <w:rFonts w:eastAsia="Times New Roman" w:cs="Times New Roman"/>
      <w:b/>
      <w:bCs/>
      <w:sz w:val="27"/>
      <w:szCs w:val="27"/>
      <w:lang w:eastAsia="lv-LV"/>
    </w:rPr>
  </w:style>
  <w:style w:type="paragraph" w:customStyle="1" w:styleId="naiskr">
    <w:name w:val="naiskr"/>
    <w:basedOn w:val="Normal"/>
    <w:rsid w:val="00B623BC"/>
    <w:pPr>
      <w:spacing w:before="75" w:after="75"/>
    </w:pPr>
  </w:style>
  <w:style w:type="paragraph" w:customStyle="1" w:styleId="naisc">
    <w:name w:val="naisc"/>
    <w:basedOn w:val="Normal"/>
    <w:rsid w:val="00B623BC"/>
    <w:pPr>
      <w:spacing w:before="75" w:after="75"/>
      <w:jc w:val="center"/>
    </w:pPr>
  </w:style>
  <w:style w:type="paragraph" w:customStyle="1" w:styleId="paragraph">
    <w:name w:val="paragraph"/>
    <w:basedOn w:val="Normal"/>
    <w:rsid w:val="007E7A02"/>
    <w:pPr>
      <w:spacing w:before="100" w:beforeAutospacing="1" w:after="100" w:afterAutospacing="1"/>
    </w:pPr>
  </w:style>
  <w:style w:type="character" w:customStyle="1" w:styleId="normaltextrun">
    <w:name w:val="normaltextrun"/>
    <w:basedOn w:val="DefaultParagraphFont"/>
    <w:rsid w:val="007E7A02"/>
  </w:style>
  <w:style w:type="character" w:customStyle="1" w:styleId="eop">
    <w:name w:val="eop"/>
    <w:basedOn w:val="DefaultParagraphFont"/>
    <w:rsid w:val="007E7A02"/>
  </w:style>
  <w:style w:type="character" w:customStyle="1" w:styleId="NoSpacingChar">
    <w:name w:val="No Spacing Char"/>
    <w:link w:val="NoSpacing"/>
    <w:uiPriority w:val="1"/>
    <w:rsid w:val="005E344F"/>
    <w:rPr>
      <w:rFonts w:asciiTheme="minorHAnsi" w:hAnsiTheme="minorHAnsi"/>
      <w:sz w:val="22"/>
    </w:rPr>
  </w:style>
  <w:style w:type="paragraph" w:customStyle="1" w:styleId="tv213">
    <w:name w:val="tv213"/>
    <w:basedOn w:val="Normal"/>
    <w:rsid w:val="00EA50D3"/>
    <w:pPr>
      <w:spacing w:before="100" w:beforeAutospacing="1" w:after="100" w:afterAutospacing="1"/>
    </w:pPr>
  </w:style>
  <w:style w:type="paragraph" w:styleId="BodyTextIndent2">
    <w:name w:val="Body Text Indent 2"/>
    <w:basedOn w:val="Normal"/>
    <w:link w:val="BodyTextIndent2Char"/>
    <w:rsid w:val="009C318E"/>
    <w:pPr>
      <w:spacing w:after="120" w:line="480" w:lineRule="auto"/>
      <w:ind w:left="283"/>
    </w:pPr>
    <w:rPr>
      <w:lang w:eastAsia="en-US"/>
    </w:rPr>
  </w:style>
  <w:style w:type="character" w:customStyle="1" w:styleId="BodyTextIndent2Char">
    <w:name w:val="Body Text Indent 2 Char"/>
    <w:basedOn w:val="DefaultParagraphFont"/>
    <w:link w:val="BodyTextIndent2"/>
    <w:rsid w:val="009C318E"/>
    <w:rPr>
      <w:rFonts w:eastAsia="Times New Roman" w:cs="Times New Roman"/>
      <w:sz w:val="24"/>
      <w:szCs w:val="24"/>
    </w:rPr>
  </w:style>
  <w:style w:type="paragraph" w:customStyle="1" w:styleId="CM1">
    <w:name w:val="CM1"/>
    <w:basedOn w:val="Normal"/>
    <w:next w:val="Normal"/>
    <w:uiPriority w:val="99"/>
    <w:rsid w:val="00E63407"/>
    <w:pPr>
      <w:autoSpaceDE w:val="0"/>
      <w:autoSpaceDN w:val="0"/>
      <w:adjustRightInd w:val="0"/>
    </w:pPr>
    <w:rPr>
      <w:rFonts w:eastAsiaTheme="minorHAnsi"/>
      <w:lang w:eastAsia="en-US"/>
    </w:rPr>
  </w:style>
  <w:style w:type="paragraph" w:customStyle="1" w:styleId="CM3">
    <w:name w:val="CM3"/>
    <w:basedOn w:val="Normal"/>
    <w:next w:val="Normal"/>
    <w:uiPriority w:val="99"/>
    <w:rsid w:val="00E63407"/>
    <w:pPr>
      <w:autoSpaceDE w:val="0"/>
      <w:autoSpaceDN w:val="0"/>
      <w:adjustRightInd w:val="0"/>
    </w:pPr>
    <w:rPr>
      <w:rFonts w:eastAsiaTheme="minorHAnsi"/>
      <w:lang w:eastAsia="en-US"/>
    </w:rPr>
  </w:style>
  <w:style w:type="paragraph" w:customStyle="1" w:styleId="CM4">
    <w:name w:val="CM4"/>
    <w:basedOn w:val="Normal"/>
    <w:next w:val="Normal"/>
    <w:uiPriority w:val="99"/>
    <w:rsid w:val="00E63407"/>
    <w:pPr>
      <w:autoSpaceDE w:val="0"/>
      <w:autoSpaceDN w:val="0"/>
      <w:adjustRightInd w:val="0"/>
    </w:pPr>
    <w:rPr>
      <w:rFonts w:eastAsiaTheme="minorHAnsi"/>
      <w:lang w:eastAsia="en-US"/>
    </w:rPr>
  </w:style>
  <w:style w:type="character" w:styleId="Strong">
    <w:name w:val="Strong"/>
    <w:basedOn w:val="DefaultParagraphFont"/>
    <w:uiPriority w:val="22"/>
    <w:qFormat/>
    <w:rsid w:val="00CC260B"/>
    <w:rPr>
      <w:b/>
      <w:bCs/>
    </w:rPr>
  </w:style>
  <w:style w:type="paragraph" w:styleId="Revision">
    <w:name w:val="Revision"/>
    <w:hidden/>
    <w:uiPriority w:val="99"/>
    <w:semiHidden/>
    <w:rsid w:val="003A50FD"/>
    <w:pPr>
      <w:spacing w:after="0" w:line="240" w:lineRule="auto"/>
    </w:pPr>
    <w:rPr>
      <w:rFonts w:eastAsia="Times New Roman" w:cs="Times New Roman"/>
      <w:sz w:val="24"/>
      <w:szCs w:val="24"/>
      <w:lang w:eastAsia="lv-LV"/>
    </w:rPr>
  </w:style>
  <w:style w:type="paragraph" w:customStyle="1" w:styleId="tv2132">
    <w:name w:val="tv2132"/>
    <w:basedOn w:val="Normal"/>
    <w:rsid w:val="0066749A"/>
    <w:pPr>
      <w:spacing w:line="360" w:lineRule="auto"/>
      <w:ind w:firstLine="300"/>
    </w:pPr>
    <w:rPr>
      <w:color w:val="414142"/>
      <w:sz w:val="20"/>
      <w:szCs w:val="20"/>
    </w:rPr>
  </w:style>
  <w:style w:type="paragraph" w:customStyle="1" w:styleId="xmsonormal">
    <w:name w:val="x_msonormal"/>
    <w:basedOn w:val="Normal"/>
    <w:rsid w:val="00695E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3754">
      <w:bodyDiv w:val="1"/>
      <w:marLeft w:val="0"/>
      <w:marRight w:val="0"/>
      <w:marTop w:val="0"/>
      <w:marBottom w:val="0"/>
      <w:divBdr>
        <w:top w:val="none" w:sz="0" w:space="0" w:color="auto"/>
        <w:left w:val="none" w:sz="0" w:space="0" w:color="auto"/>
        <w:bottom w:val="none" w:sz="0" w:space="0" w:color="auto"/>
        <w:right w:val="none" w:sz="0" w:space="0" w:color="auto"/>
      </w:divBdr>
    </w:div>
    <w:div w:id="84542866">
      <w:bodyDiv w:val="1"/>
      <w:marLeft w:val="0"/>
      <w:marRight w:val="0"/>
      <w:marTop w:val="0"/>
      <w:marBottom w:val="0"/>
      <w:divBdr>
        <w:top w:val="none" w:sz="0" w:space="0" w:color="auto"/>
        <w:left w:val="none" w:sz="0" w:space="0" w:color="auto"/>
        <w:bottom w:val="none" w:sz="0" w:space="0" w:color="auto"/>
        <w:right w:val="none" w:sz="0" w:space="0" w:color="auto"/>
      </w:divBdr>
    </w:div>
    <w:div w:id="93550959">
      <w:bodyDiv w:val="1"/>
      <w:marLeft w:val="0"/>
      <w:marRight w:val="0"/>
      <w:marTop w:val="0"/>
      <w:marBottom w:val="0"/>
      <w:divBdr>
        <w:top w:val="none" w:sz="0" w:space="0" w:color="auto"/>
        <w:left w:val="none" w:sz="0" w:space="0" w:color="auto"/>
        <w:bottom w:val="none" w:sz="0" w:space="0" w:color="auto"/>
        <w:right w:val="none" w:sz="0" w:space="0" w:color="auto"/>
      </w:divBdr>
    </w:div>
    <w:div w:id="120002774">
      <w:bodyDiv w:val="1"/>
      <w:marLeft w:val="0"/>
      <w:marRight w:val="0"/>
      <w:marTop w:val="0"/>
      <w:marBottom w:val="0"/>
      <w:divBdr>
        <w:top w:val="none" w:sz="0" w:space="0" w:color="auto"/>
        <w:left w:val="none" w:sz="0" w:space="0" w:color="auto"/>
        <w:bottom w:val="none" w:sz="0" w:space="0" w:color="auto"/>
        <w:right w:val="none" w:sz="0" w:space="0" w:color="auto"/>
      </w:divBdr>
    </w:div>
    <w:div w:id="404303469">
      <w:bodyDiv w:val="1"/>
      <w:marLeft w:val="0"/>
      <w:marRight w:val="0"/>
      <w:marTop w:val="0"/>
      <w:marBottom w:val="0"/>
      <w:divBdr>
        <w:top w:val="none" w:sz="0" w:space="0" w:color="auto"/>
        <w:left w:val="none" w:sz="0" w:space="0" w:color="auto"/>
        <w:bottom w:val="none" w:sz="0" w:space="0" w:color="auto"/>
        <w:right w:val="none" w:sz="0" w:space="0" w:color="auto"/>
      </w:divBdr>
    </w:div>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446386621">
      <w:bodyDiv w:val="1"/>
      <w:marLeft w:val="0"/>
      <w:marRight w:val="0"/>
      <w:marTop w:val="0"/>
      <w:marBottom w:val="0"/>
      <w:divBdr>
        <w:top w:val="none" w:sz="0" w:space="0" w:color="auto"/>
        <w:left w:val="none" w:sz="0" w:space="0" w:color="auto"/>
        <w:bottom w:val="none" w:sz="0" w:space="0" w:color="auto"/>
        <w:right w:val="none" w:sz="0" w:space="0" w:color="auto"/>
      </w:divBdr>
    </w:div>
    <w:div w:id="607586510">
      <w:bodyDiv w:val="1"/>
      <w:marLeft w:val="0"/>
      <w:marRight w:val="0"/>
      <w:marTop w:val="0"/>
      <w:marBottom w:val="0"/>
      <w:divBdr>
        <w:top w:val="none" w:sz="0" w:space="0" w:color="auto"/>
        <w:left w:val="none" w:sz="0" w:space="0" w:color="auto"/>
        <w:bottom w:val="none" w:sz="0" w:space="0" w:color="auto"/>
        <w:right w:val="none" w:sz="0" w:space="0" w:color="auto"/>
      </w:divBdr>
    </w:div>
    <w:div w:id="632906384">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262639257">
      <w:bodyDiv w:val="1"/>
      <w:marLeft w:val="0"/>
      <w:marRight w:val="0"/>
      <w:marTop w:val="0"/>
      <w:marBottom w:val="0"/>
      <w:divBdr>
        <w:top w:val="none" w:sz="0" w:space="0" w:color="auto"/>
        <w:left w:val="none" w:sz="0" w:space="0" w:color="auto"/>
        <w:bottom w:val="none" w:sz="0" w:space="0" w:color="auto"/>
        <w:right w:val="none" w:sz="0" w:space="0" w:color="auto"/>
      </w:divBdr>
    </w:div>
    <w:div w:id="1315331953">
      <w:bodyDiv w:val="1"/>
      <w:marLeft w:val="0"/>
      <w:marRight w:val="0"/>
      <w:marTop w:val="0"/>
      <w:marBottom w:val="0"/>
      <w:divBdr>
        <w:top w:val="none" w:sz="0" w:space="0" w:color="auto"/>
        <w:left w:val="none" w:sz="0" w:space="0" w:color="auto"/>
        <w:bottom w:val="none" w:sz="0" w:space="0" w:color="auto"/>
        <w:right w:val="none" w:sz="0" w:space="0" w:color="auto"/>
      </w:divBdr>
      <w:divsChild>
        <w:div w:id="22554982">
          <w:marLeft w:val="0"/>
          <w:marRight w:val="0"/>
          <w:marTop w:val="0"/>
          <w:marBottom w:val="0"/>
          <w:divBdr>
            <w:top w:val="none" w:sz="0" w:space="0" w:color="auto"/>
            <w:left w:val="none" w:sz="0" w:space="0" w:color="auto"/>
            <w:bottom w:val="none" w:sz="0" w:space="0" w:color="auto"/>
            <w:right w:val="none" w:sz="0" w:space="0" w:color="auto"/>
          </w:divBdr>
        </w:div>
        <w:div w:id="1000157037">
          <w:marLeft w:val="0"/>
          <w:marRight w:val="0"/>
          <w:marTop w:val="0"/>
          <w:marBottom w:val="0"/>
          <w:divBdr>
            <w:top w:val="none" w:sz="0" w:space="0" w:color="auto"/>
            <w:left w:val="none" w:sz="0" w:space="0" w:color="auto"/>
            <w:bottom w:val="none" w:sz="0" w:space="0" w:color="auto"/>
            <w:right w:val="none" w:sz="0" w:space="0" w:color="auto"/>
          </w:divBdr>
        </w:div>
      </w:divsChild>
    </w:div>
    <w:div w:id="1317416259">
      <w:bodyDiv w:val="1"/>
      <w:marLeft w:val="0"/>
      <w:marRight w:val="0"/>
      <w:marTop w:val="0"/>
      <w:marBottom w:val="0"/>
      <w:divBdr>
        <w:top w:val="none" w:sz="0" w:space="0" w:color="auto"/>
        <w:left w:val="none" w:sz="0" w:space="0" w:color="auto"/>
        <w:bottom w:val="none" w:sz="0" w:space="0" w:color="auto"/>
        <w:right w:val="none" w:sz="0" w:space="0" w:color="auto"/>
      </w:divBdr>
    </w:div>
    <w:div w:id="1501507989">
      <w:bodyDiv w:val="1"/>
      <w:marLeft w:val="0"/>
      <w:marRight w:val="0"/>
      <w:marTop w:val="0"/>
      <w:marBottom w:val="0"/>
      <w:divBdr>
        <w:top w:val="none" w:sz="0" w:space="0" w:color="auto"/>
        <w:left w:val="none" w:sz="0" w:space="0" w:color="auto"/>
        <w:bottom w:val="none" w:sz="0" w:space="0" w:color="auto"/>
        <w:right w:val="none" w:sz="0" w:space="0" w:color="auto"/>
      </w:divBdr>
      <w:divsChild>
        <w:div w:id="1035959234">
          <w:marLeft w:val="0"/>
          <w:marRight w:val="0"/>
          <w:marTop w:val="480"/>
          <w:marBottom w:val="240"/>
          <w:divBdr>
            <w:top w:val="none" w:sz="0" w:space="0" w:color="auto"/>
            <w:left w:val="none" w:sz="0" w:space="0" w:color="auto"/>
            <w:bottom w:val="none" w:sz="0" w:space="0" w:color="auto"/>
            <w:right w:val="none" w:sz="0" w:space="0" w:color="auto"/>
          </w:divBdr>
        </w:div>
        <w:div w:id="1700885798">
          <w:marLeft w:val="0"/>
          <w:marRight w:val="0"/>
          <w:marTop w:val="0"/>
          <w:marBottom w:val="567"/>
          <w:divBdr>
            <w:top w:val="none" w:sz="0" w:space="0" w:color="auto"/>
            <w:left w:val="none" w:sz="0" w:space="0" w:color="auto"/>
            <w:bottom w:val="none" w:sz="0" w:space="0" w:color="auto"/>
            <w:right w:val="none" w:sz="0" w:space="0" w:color="auto"/>
          </w:divBdr>
        </w:div>
        <w:div w:id="2098012435">
          <w:marLeft w:val="0"/>
          <w:marRight w:val="0"/>
          <w:marTop w:val="0"/>
          <w:marBottom w:val="567"/>
          <w:divBdr>
            <w:top w:val="none" w:sz="0" w:space="0" w:color="auto"/>
            <w:left w:val="none" w:sz="0" w:space="0" w:color="auto"/>
            <w:bottom w:val="none" w:sz="0" w:space="0" w:color="auto"/>
            <w:right w:val="none" w:sz="0" w:space="0" w:color="auto"/>
          </w:divBdr>
        </w:div>
      </w:divsChild>
    </w:div>
    <w:div w:id="1612929767">
      <w:bodyDiv w:val="1"/>
      <w:marLeft w:val="0"/>
      <w:marRight w:val="0"/>
      <w:marTop w:val="0"/>
      <w:marBottom w:val="0"/>
      <w:divBdr>
        <w:top w:val="none" w:sz="0" w:space="0" w:color="auto"/>
        <w:left w:val="none" w:sz="0" w:space="0" w:color="auto"/>
        <w:bottom w:val="none" w:sz="0" w:space="0" w:color="auto"/>
        <w:right w:val="none" w:sz="0" w:space="0" w:color="auto"/>
      </w:divBdr>
    </w:div>
    <w:div w:id="1635451793">
      <w:bodyDiv w:val="1"/>
      <w:marLeft w:val="0"/>
      <w:marRight w:val="0"/>
      <w:marTop w:val="0"/>
      <w:marBottom w:val="0"/>
      <w:divBdr>
        <w:top w:val="none" w:sz="0" w:space="0" w:color="auto"/>
        <w:left w:val="none" w:sz="0" w:space="0" w:color="auto"/>
        <w:bottom w:val="none" w:sz="0" w:space="0" w:color="auto"/>
        <w:right w:val="none" w:sz="0" w:space="0" w:color="auto"/>
      </w:divBdr>
    </w:div>
    <w:div w:id="1698236889">
      <w:bodyDiv w:val="1"/>
      <w:marLeft w:val="0"/>
      <w:marRight w:val="0"/>
      <w:marTop w:val="0"/>
      <w:marBottom w:val="0"/>
      <w:divBdr>
        <w:top w:val="none" w:sz="0" w:space="0" w:color="auto"/>
        <w:left w:val="none" w:sz="0" w:space="0" w:color="auto"/>
        <w:bottom w:val="none" w:sz="0" w:space="0" w:color="auto"/>
        <w:right w:val="none" w:sz="0" w:space="0" w:color="auto"/>
      </w:divBdr>
    </w:div>
    <w:div w:id="1796678379">
      <w:bodyDiv w:val="1"/>
      <w:marLeft w:val="0"/>
      <w:marRight w:val="0"/>
      <w:marTop w:val="0"/>
      <w:marBottom w:val="0"/>
      <w:divBdr>
        <w:top w:val="none" w:sz="0" w:space="0" w:color="auto"/>
        <w:left w:val="none" w:sz="0" w:space="0" w:color="auto"/>
        <w:bottom w:val="none" w:sz="0" w:space="0" w:color="auto"/>
        <w:right w:val="none" w:sz="0" w:space="0" w:color="auto"/>
      </w:divBdr>
    </w:div>
    <w:div w:id="1844515463">
      <w:bodyDiv w:val="1"/>
      <w:marLeft w:val="0"/>
      <w:marRight w:val="0"/>
      <w:marTop w:val="0"/>
      <w:marBottom w:val="0"/>
      <w:divBdr>
        <w:top w:val="none" w:sz="0" w:space="0" w:color="auto"/>
        <w:left w:val="none" w:sz="0" w:space="0" w:color="auto"/>
        <w:bottom w:val="none" w:sz="0" w:space="0" w:color="auto"/>
        <w:right w:val="none" w:sz="0" w:space="0" w:color="auto"/>
      </w:divBdr>
    </w:div>
    <w:div w:id="2063088910">
      <w:bodyDiv w:val="1"/>
      <w:marLeft w:val="0"/>
      <w:marRight w:val="0"/>
      <w:marTop w:val="0"/>
      <w:marBottom w:val="0"/>
      <w:divBdr>
        <w:top w:val="none" w:sz="0" w:space="0" w:color="auto"/>
        <w:left w:val="none" w:sz="0" w:space="0" w:color="auto"/>
        <w:bottom w:val="none" w:sz="0" w:space="0" w:color="auto"/>
        <w:right w:val="none" w:sz="0" w:space="0" w:color="auto"/>
      </w:divBdr>
    </w:div>
    <w:div w:id="213031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A77A2-7311-4964-A279-B5372248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15207</Words>
  <Characters>8668</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Likumprojekts "Grozījumi Ķīmisko vielu likumā"</vt:lpstr>
    </vt:vector>
  </TitlesOfParts>
  <Company>VARAM</Company>
  <LinksUpToDate>false</LinksUpToDate>
  <CharactersWithSpaces>23828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Ķīmisko vielu likumā"</dc:title>
  <dc:subject>Izziņa</dc:subject>
  <dc:creator>Kristīne Kazerovska</dc:creator>
  <cp:keywords/>
  <dc:description/>
  <cp:lastModifiedBy>Marta Ošleja</cp:lastModifiedBy>
  <cp:revision>8</cp:revision>
  <cp:lastPrinted>2020-01-22T09:40:00Z</cp:lastPrinted>
  <dcterms:created xsi:type="dcterms:W3CDTF">2020-10-13T08:36:00Z</dcterms:created>
  <dcterms:modified xsi:type="dcterms:W3CDTF">2020-10-15T11:45:00Z</dcterms:modified>
  <cp:category>Vides politika</cp:category>
</cp:coreProperties>
</file>