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086445" w:rsidRPr="0069045E" w14:paraId="3171AA01" w14:textId="77777777" w:rsidTr="00885D66">
        <w:trPr>
          <w:tblCellSpacing w:w="0" w:type="dxa"/>
          <w:jc w:val="center"/>
        </w:trPr>
        <w:tc>
          <w:tcPr>
            <w:tcW w:w="10185" w:type="dxa"/>
          </w:tcPr>
          <w:p w14:paraId="1BCC8F0F" w14:textId="77777777" w:rsidR="000B228E" w:rsidRPr="0069045E" w:rsidRDefault="00EB2EDA" w:rsidP="006854E5">
            <w:pPr>
              <w:pStyle w:val="naisc"/>
              <w:spacing w:before="0" w:after="0"/>
              <w:rPr>
                <w:sz w:val="22"/>
                <w:szCs w:val="22"/>
              </w:rPr>
            </w:pPr>
            <w:smartTag w:uri="schemas-tilde-lv/tildestengine" w:element="veidnes">
              <w:smartTagPr>
                <w:attr w:name="id" w:val="-1"/>
                <w:attr w:name="baseform" w:val="Izziņa"/>
                <w:attr w:name="text" w:val="Izziņa"/>
              </w:smartTagPr>
              <w:r w:rsidRPr="0069045E">
                <w:rPr>
                  <w:sz w:val="22"/>
                  <w:szCs w:val="22"/>
                </w:rPr>
                <w:t>Izziņa</w:t>
              </w:r>
            </w:smartTag>
            <w:r w:rsidRPr="0069045E">
              <w:rPr>
                <w:sz w:val="22"/>
                <w:szCs w:val="22"/>
              </w:rPr>
              <w:t xml:space="preserve"> par atzinumos sniegtajiem iebildumiem</w:t>
            </w:r>
          </w:p>
          <w:p w14:paraId="453CB29D" w14:textId="77777777" w:rsidR="00F45FA2" w:rsidRDefault="004978BE" w:rsidP="004978BE">
            <w:pPr>
              <w:pStyle w:val="naisc"/>
              <w:spacing w:before="0" w:after="0"/>
              <w:rPr>
                <w:b/>
              </w:rPr>
            </w:pPr>
            <w:r w:rsidRPr="004978BE">
              <w:rPr>
                <w:b/>
              </w:rPr>
              <w:t>Ministru kabineta noteikumu projekts</w:t>
            </w:r>
          </w:p>
          <w:p w14:paraId="04983259" w14:textId="044EE99B" w:rsidR="00FD08B1" w:rsidRDefault="00F45FA2" w:rsidP="00F45FA2">
            <w:pPr>
              <w:pStyle w:val="naisc"/>
              <w:spacing w:before="0" w:after="0"/>
              <w:rPr>
                <w:b/>
              </w:rPr>
            </w:pPr>
            <w:r>
              <w:rPr>
                <w:b/>
                <w:bCs/>
              </w:rPr>
              <w:t>“</w:t>
            </w:r>
            <w:r w:rsidRPr="00F45FA2">
              <w:rPr>
                <w:b/>
                <w:bCs/>
              </w:rPr>
              <w:t>Grozījumi Ministru kabineta 2015.gada 30.jūnija noteikumos Nr.367 “Nacionālais numerācijas plāns””</w:t>
            </w:r>
          </w:p>
          <w:p w14:paraId="1198E40E" w14:textId="75821F8E" w:rsidR="00D80EDD" w:rsidRPr="004978BE" w:rsidRDefault="00D80EDD" w:rsidP="004978BE">
            <w:pPr>
              <w:pStyle w:val="naisc"/>
              <w:spacing w:before="0" w:after="0"/>
              <w:rPr>
                <w:b/>
                <w:sz w:val="22"/>
                <w:szCs w:val="22"/>
              </w:rPr>
            </w:pPr>
            <w:r>
              <w:rPr>
                <w:rStyle w:val="normaltextrun"/>
                <w:color w:val="000000"/>
                <w:bdr w:val="none" w:sz="0" w:space="0" w:color="auto" w:frame="1"/>
              </w:rPr>
              <w:t>2020.</w:t>
            </w:r>
            <w:r w:rsidR="009946B3">
              <w:rPr>
                <w:rStyle w:val="normaltextrun"/>
                <w:color w:val="000000"/>
                <w:bdr w:val="none" w:sz="0" w:space="0" w:color="auto" w:frame="1"/>
              </w:rPr>
              <w:t> gada 16. jūlijs</w:t>
            </w:r>
            <w:r>
              <w:rPr>
                <w:rStyle w:val="normaltextrun"/>
                <w:color w:val="000000"/>
                <w:bdr w:val="none" w:sz="0" w:space="0" w:color="auto" w:frame="1"/>
              </w:rPr>
              <w:t xml:space="preserve"> VSS prot.Nr.</w:t>
            </w:r>
            <w:r w:rsidR="007D3B99">
              <w:rPr>
                <w:rStyle w:val="normaltextrun"/>
                <w:color w:val="000000"/>
                <w:bdr w:val="none" w:sz="0" w:space="0" w:color="auto" w:frame="1"/>
              </w:rPr>
              <w:t>28</w:t>
            </w:r>
            <w:r>
              <w:rPr>
                <w:rStyle w:val="normaltextrun"/>
                <w:color w:val="000000"/>
                <w:bdr w:val="none" w:sz="0" w:space="0" w:color="auto" w:frame="1"/>
              </w:rPr>
              <w:t xml:space="preserve"> </w:t>
            </w:r>
            <w:r w:rsidR="007D3B99">
              <w:rPr>
                <w:rStyle w:val="normaltextrun"/>
                <w:color w:val="000000"/>
                <w:bdr w:val="none" w:sz="0" w:space="0" w:color="auto" w:frame="1"/>
              </w:rPr>
              <w:t>18</w:t>
            </w:r>
            <w:r>
              <w:rPr>
                <w:rStyle w:val="normaltextrun"/>
                <w:color w:val="000000"/>
                <w:bdr w:val="none" w:sz="0" w:space="0" w:color="auto" w:frame="1"/>
              </w:rPr>
              <w:t>.§ (VSS-</w:t>
            </w:r>
            <w:r w:rsidR="007D3B99">
              <w:rPr>
                <w:rStyle w:val="normaltextrun"/>
                <w:color w:val="000000"/>
                <w:bdr w:val="none" w:sz="0" w:space="0" w:color="auto" w:frame="1"/>
              </w:rPr>
              <w:t>591</w:t>
            </w:r>
            <w:r>
              <w:rPr>
                <w:rStyle w:val="normaltextrun"/>
                <w:color w:val="000000"/>
                <w:bdr w:val="none" w:sz="0" w:space="0" w:color="auto" w:frame="1"/>
              </w:rPr>
              <w:t>)</w:t>
            </w:r>
          </w:p>
        </w:tc>
      </w:tr>
    </w:tbl>
    <w:p w14:paraId="6DAE0C28" w14:textId="292FA84D" w:rsidR="00EB2EDA" w:rsidRPr="0069045E" w:rsidRDefault="00EB2EDA" w:rsidP="00FD08B1">
      <w:pPr>
        <w:pStyle w:val="naisnod"/>
        <w:numPr>
          <w:ilvl w:val="0"/>
          <w:numId w:val="16"/>
        </w:numPr>
        <w:spacing w:before="0" w:after="0"/>
        <w:rPr>
          <w:sz w:val="22"/>
          <w:szCs w:val="22"/>
        </w:rPr>
      </w:pPr>
      <w:r w:rsidRPr="0069045E">
        <w:rPr>
          <w:sz w:val="22"/>
          <w:szCs w:val="22"/>
        </w:rPr>
        <w:t>Jautājumi, par kuriem saskaņošanā vienošanās nav panākta</w:t>
      </w: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642"/>
        <w:gridCol w:w="4252"/>
        <w:gridCol w:w="2693"/>
        <w:gridCol w:w="2214"/>
        <w:gridCol w:w="2284"/>
      </w:tblGrid>
      <w:tr w:rsidR="00D60988" w:rsidRPr="0069045E" w14:paraId="54D6AD2A" w14:textId="77777777" w:rsidTr="0072188C">
        <w:trPr>
          <w:jc w:val="center"/>
        </w:trPr>
        <w:tc>
          <w:tcPr>
            <w:tcW w:w="614" w:type="dxa"/>
          </w:tcPr>
          <w:p w14:paraId="49155809" w14:textId="77777777" w:rsidR="00EB2EDA" w:rsidRPr="0069045E" w:rsidRDefault="00EB2EDA" w:rsidP="006854E5">
            <w:pPr>
              <w:jc w:val="center"/>
              <w:rPr>
                <w:sz w:val="22"/>
                <w:szCs w:val="22"/>
              </w:rPr>
            </w:pPr>
            <w:r w:rsidRPr="0069045E">
              <w:rPr>
                <w:sz w:val="22"/>
                <w:szCs w:val="22"/>
              </w:rPr>
              <w:t>Nr.</w:t>
            </w:r>
          </w:p>
          <w:p w14:paraId="52DF34B3" w14:textId="77777777" w:rsidR="00EB2EDA" w:rsidRPr="0069045E" w:rsidRDefault="00EB2EDA" w:rsidP="006854E5">
            <w:pPr>
              <w:jc w:val="center"/>
              <w:rPr>
                <w:sz w:val="22"/>
                <w:szCs w:val="22"/>
              </w:rPr>
            </w:pPr>
            <w:r w:rsidRPr="0069045E">
              <w:rPr>
                <w:sz w:val="22"/>
                <w:szCs w:val="22"/>
              </w:rPr>
              <w:t>p.k.</w:t>
            </w:r>
          </w:p>
        </w:tc>
        <w:tc>
          <w:tcPr>
            <w:tcW w:w="2642" w:type="dxa"/>
          </w:tcPr>
          <w:p w14:paraId="57F5924A" w14:textId="77777777" w:rsidR="00EB2EDA" w:rsidRPr="0069045E" w:rsidRDefault="00EB2EDA" w:rsidP="006854E5">
            <w:pPr>
              <w:jc w:val="center"/>
              <w:rPr>
                <w:sz w:val="22"/>
                <w:szCs w:val="22"/>
              </w:rPr>
            </w:pPr>
            <w:r w:rsidRPr="0069045E">
              <w:rPr>
                <w:sz w:val="22"/>
                <w:szCs w:val="22"/>
              </w:rPr>
              <w:t>Saskaņošanai nosūtītā projekta redakcija (konkrēta punkta (panta) redakcija)</w:t>
            </w:r>
          </w:p>
        </w:tc>
        <w:tc>
          <w:tcPr>
            <w:tcW w:w="4252" w:type="dxa"/>
          </w:tcPr>
          <w:p w14:paraId="02FA03DE" w14:textId="58892AF8" w:rsidR="00EB2EDA" w:rsidRPr="0069045E" w:rsidRDefault="002F42B3" w:rsidP="006854E5">
            <w:pPr>
              <w:jc w:val="center"/>
              <w:rPr>
                <w:sz w:val="22"/>
                <w:szCs w:val="22"/>
              </w:rPr>
            </w:pPr>
            <w:r w:rsidRPr="0069045E">
              <w:rPr>
                <w:sz w:val="22"/>
                <w:szCs w:val="22"/>
              </w:rPr>
              <w:t>Atzinumā norādītais ministrijas (citas institūcijas) iebildums, kā arī saskaņošanā papildus izteiktais iebildums par projekta konkrēto punktu (pantu)</w:t>
            </w:r>
          </w:p>
          <w:p w14:paraId="4C730D1A" w14:textId="77777777" w:rsidR="005603FD" w:rsidRPr="0069045E" w:rsidRDefault="005603FD" w:rsidP="006854E5">
            <w:pPr>
              <w:jc w:val="center"/>
              <w:rPr>
                <w:sz w:val="22"/>
                <w:szCs w:val="22"/>
              </w:rPr>
            </w:pPr>
          </w:p>
        </w:tc>
        <w:tc>
          <w:tcPr>
            <w:tcW w:w="2693" w:type="dxa"/>
          </w:tcPr>
          <w:p w14:paraId="74CA73CA" w14:textId="77777777" w:rsidR="00EB2EDA" w:rsidRPr="0069045E" w:rsidRDefault="00EB2EDA" w:rsidP="006854E5">
            <w:pPr>
              <w:pStyle w:val="naisc"/>
              <w:spacing w:before="0" w:after="0"/>
              <w:rPr>
                <w:sz w:val="22"/>
                <w:szCs w:val="22"/>
              </w:rPr>
            </w:pPr>
            <w:r w:rsidRPr="0069045E">
              <w:rPr>
                <w:sz w:val="22"/>
                <w:szCs w:val="22"/>
              </w:rPr>
              <w:t>Atbildīgās ministrijas pamatojums iebilduma noraidījumam</w:t>
            </w:r>
          </w:p>
        </w:tc>
        <w:tc>
          <w:tcPr>
            <w:tcW w:w="2214" w:type="dxa"/>
          </w:tcPr>
          <w:p w14:paraId="15C8F8F5" w14:textId="77777777" w:rsidR="00EB2EDA" w:rsidRPr="0069045E" w:rsidRDefault="00EB2EDA" w:rsidP="006854E5">
            <w:pPr>
              <w:pStyle w:val="naisc"/>
              <w:spacing w:before="0" w:after="0"/>
              <w:rPr>
                <w:sz w:val="22"/>
                <w:szCs w:val="22"/>
              </w:rPr>
            </w:pPr>
            <w:r w:rsidRPr="0069045E">
              <w:rPr>
                <w:sz w:val="22"/>
                <w:szCs w:val="22"/>
              </w:rPr>
              <w:t>Atzinuma sniedzēja uzturētais iebildums, ja tas atšķiras no atzinumā norādītā iebilduma pamatojuma</w:t>
            </w:r>
          </w:p>
        </w:tc>
        <w:tc>
          <w:tcPr>
            <w:tcW w:w="2284" w:type="dxa"/>
          </w:tcPr>
          <w:p w14:paraId="5A038A1F" w14:textId="77777777" w:rsidR="00EB2EDA" w:rsidRPr="0069045E" w:rsidRDefault="00EB2EDA" w:rsidP="006854E5">
            <w:pPr>
              <w:tabs>
                <w:tab w:val="left" w:pos="1483"/>
              </w:tabs>
              <w:jc w:val="center"/>
              <w:rPr>
                <w:sz w:val="22"/>
                <w:szCs w:val="22"/>
              </w:rPr>
            </w:pPr>
            <w:r w:rsidRPr="0069045E">
              <w:rPr>
                <w:sz w:val="22"/>
                <w:szCs w:val="22"/>
              </w:rPr>
              <w:t>Projekta attiecīgā punkta (panta) galīgā redakcija</w:t>
            </w:r>
          </w:p>
        </w:tc>
      </w:tr>
      <w:tr w:rsidR="00D60988" w:rsidRPr="0069045E" w14:paraId="7A6A7B5C" w14:textId="77777777" w:rsidTr="0072188C">
        <w:trPr>
          <w:jc w:val="center"/>
        </w:trPr>
        <w:tc>
          <w:tcPr>
            <w:tcW w:w="614" w:type="dxa"/>
          </w:tcPr>
          <w:p w14:paraId="4ABDFF4C" w14:textId="77777777" w:rsidR="00EB2EDA" w:rsidRPr="0069045E" w:rsidRDefault="00EB2EDA" w:rsidP="006854E5">
            <w:pPr>
              <w:tabs>
                <w:tab w:val="left" w:pos="71"/>
                <w:tab w:val="left" w:pos="360"/>
              </w:tabs>
              <w:jc w:val="center"/>
              <w:rPr>
                <w:sz w:val="22"/>
                <w:szCs w:val="22"/>
              </w:rPr>
            </w:pPr>
            <w:r w:rsidRPr="0069045E">
              <w:rPr>
                <w:sz w:val="22"/>
                <w:szCs w:val="22"/>
              </w:rPr>
              <w:t>1.</w:t>
            </w:r>
          </w:p>
        </w:tc>
        <w:tc>
          <w:tcPr>
            <w:tcW w:w="2642" w:type="dxa"/>
          </w:tcPr>
          <w:p w14:paraId="75F7D4AF" w14:textId="77777777" w:rsidR="00EB2EDA" w:rsidRPr="0069045E" w:rsidRDefault="00EB2EDA" w:rsidP="006854E5">
            <w:pPr>
              <w:pStyle w:val="Default"/>
              <w:ind w:firstLine="199"/>
              <w:jc w:val="center"/>
              <w:rPr>
                <w:color w:val="auto"/>
                <w:sz w:val="22"/>
                <w:szCs w:val="22"/>
              </w:rPr>
            </w:pPr>
            <w:r w:rsidRPr="0069045E">
              <w:rPr>
                <w:color w:val="auto"/>
                <w:sz w:val="22"/>
                <w:szCs w:val="22"/>
              </w:rPr>
              <w:t>2.</w:t>
            </w:r>
          </w:p>
        </w:tc>
        <w:tc>
          <w:tcPr>
            <w:tcW w:w="4252" w:type="dxa"/>
          </w:tcPr>
          <w:p w14:paraId="3FA721C1" w14:textId="77777777" w:rsidR="00EB2EDA" w:rsidRPr="0069045E" w:rsidRDefault="00EB2EDA" w:rsidP="006854E5">
            <w:pPr>
              <w:pStyle w:val="Bezatstarpm"/>
              <w:ind w:firstLine="82"/>
              <w:jc w:val="center"/>
              <w:rPr>
                <w:rFonts w:eastAsia="Times New Roman"/>
                <w:sz w:val="22"/>
                <w:szCs w:val="22"/>
                <w:lang w:eastAsia="lv-LV"/>
              </w:rPr>
            </w:pPr>
            <w:r w:rsidRPr="0069045E">
              <w:rPr>
                <w:rFonts w:eastAsia="Times New Roman"/>
                <w:sz w:val="22"/>
                <w:szCs w:val="22"/>
                <w:lang w:eastAsia="lv-LV"/>
              </w:rPr>
              <w:t>3.</w:t>
            </w:r>
          </w:p>
        </w:tc>
        <w:tc>
          <w:tcPr>
            <w:tcW w:w="2693" w:type="dxa"/>
          </w:tcPr>
          <w:p w14:paraId="09C6BD69" w14:textId="77777777" w:rsidR="00EB2EDA" w:rsidRPr="0069045E" w:rsidRDefault="00EB2EDA" w:rsidP="006854E5">
            <w:pPr>
              <w:jc w:val="center"/>
              <w:rPr>
                <w:sz w:val="22"/>
                <w:szCs w:val="22"/>
              </w:rPr>
            </w:pPr>
            <w:r w:rsidRPr="0069045E">
              <w:rPr>
                <w:sz w:val="22"/>
                <w:szCs w:val="22"/>
              </w:rPr>
              <w:t>4.</w:t>
            </w:r>
          </w:p>
        </w:tc>
        <w:tc>
          <w:tcPr>
            <w:tcW w:w="2214" w:type="dxa"/>
          </w:tcPr>
          <w:p w14:paraId="285D25E2" w14:textId="77777777" w:rsidR="00EB2EDA" w:rsidRPr="0069045E" w:rsidRDefault="00EB2EDA" w:rsidP="006854E5">
            <w:pPr>
              <w:jc w:val="center"/>
              <w:rPr>
                <w:sz w:val="22"/>
                <w:szCs w:val="22"/>
              </w:rPr>
            </w:pPr>
            <w:r w:rsidRPr="0069045E">
              <w:rPr>
                <w:sz w:val="22"/>
                <w:szCs w:val="22"/>
              </w:rPr>
              <w:t>5.</w:t>
            </w:r>
          </w:p>
        </w:tc>
        <w:tc>
          <w:tcPr>
            <w:tcW w:w="2284" w:type="dxa"/>
          </w:tcPr>
          <w:p w14:paraId="1883268C" w14:textId="77777777" w:rsidR="00EB2EDA" w:rsidRPr="0069045E" w:rsidRDefault="00EB2EDA" w:rsidP="006854E5">
            <w:pPr>
              <w:pStyle w:val="Default"/>
              <w:ind w:firstLine="199"/>
              <w:jc w:val="center"/>
              <w:rPr>
                <w:color w:val="auto"/>
                <w:sz w:val="22"/>
                <w:szCs w:val="22"/>
              </w:rPr>
            </w:pPr>
            <w:r w:rsidRPr="0069045E">
              <w:rPr>
                <w:color w:val="auto"/>
                <w:sz w:val="22"/>
                <w:szCs w:val="22"/>
              </w:rPr>
              <w:t>6.</w:t>
            </w:r>
          </w:p>
        </w:tc>
      </w:tr>
      <w:tr w:rsidR="004A6C8A" w:rsidRPr="0069045E" w14:paraId="6E84E5EC" w14:textId="77777777" w:rsidTr="0072188C">
        <w:trPr>
          <w:jc w:val="center"/>
        </w:trPr>
        <w:tc>
          <w:tcPr>
            <w:tcW w:w="614" w:type="dxa"/>
          </w:tcPr>
          <w:p w14:paraId="7F69F819" w14:textId="475B57D2" w:rsidR="00CC0E16" w:rsidRPr="00CC0E16" w:rsidRDefault="00E00D9F" w:rsidP="00CC0E16">
            <w:pPr>
              <w:tabs>
                <w:tab w:val="left" w:pos="71"/>
                <w:tab w:val="left" w:pos="360"/>
              </w:tabs>
              <w:jc w:val="both"/>
              <w:rPr>
                <w:sz w:val="22"/>
                <w:szCs w:val="22"/>
              </w:rPr>
            </w:pPr>
            <w:r>
              <w:rPr>
                <w:sz w:val="22"/>
                <w:szCs w:val="22"/>
              </w:rPr>
              <w:t>1.</w:t>
            </w:r>
          </w:p>
        </w:tc>
        <w:tc>
          <w:tcPr>
            <w:tcW w:w="2642" w:type="dxa"/>
          </w:tcPr>
          <w:p w14:paraId="5AD42E06" w14:textId="056329E4" w:rsidR="007E7E1E" w:rsidRPr="00A446FF" w:rsidRDefault="00A446FF" w:rsidP="006C645D">
            <w:pPr>
              <w:pStyle w:val="Default"/>
              <w:rPr>
                <w:i/>
                <w:color w:val="auto"/>
              </w:rPr>
            </w:pPr>
            <w:r>
              <w:rPr>
                <w:i/>
              </w:rPr>
              <w:t xml:space="preserve">Redakcija </w:t>
            </w:r>
            <w:r w:rsidR="00D06291" w:rsidRPr="00A446FF">
              <w:rPr>
                <w:i/>
                <w:color w:val="auto"/>
              </w:rPr>
              <w:t xml:space="preserve">nosūtīta </w:t>
            </w:r>
            <w:r w:rsidR="007E7E1E" w:rsidRPr="00A446FF">
              <w:rPr>
                <w:i/>
                <w:color w:val="auto"/>
              </w:rPr>
              <w:t>starpinstitūciju sanāksm</w:t>
            </w:r>
            <w:r w:rsidR="00D06291" w:rsidRPr="00A446FF">
              <w:rPr>
                <w:i/>
                <w:color w:val="auto"/>
              </w:rPr>
              <w:t>ei</w:t>
            </w:r>
            <w:r w:rsidR="007E7E1E" w:rsidRPr="00A446FF">
              <w:rPr>
                <w:i/>
                <w:color w:val="auto"/>
              </w:rPr>
              <w:t>:</w:t>
            </w:r>
          </w:p>
          <w:p w14:paraId="334CCCE6" w14:textId="785091A7" w:rsidR="007E7E1E" w:rsidRDefault="007E7E1E" w:rsidP="007E7E1E">
            <w:pPr>
              <w:jc w:val="center"/>
              <w:rPr>
                <w:b/>
                <w:bCs/>
              </w:rPr>
            </w:pPr>
            <w:r>
              <w:t>“</w:t>
            </w:r>
            <w:proofErr w:type="spellStart"/>
            <w:r w:rsidRPr="002F332B">
              <w:rPr>
                <w:b/>
                <w:bCs/>
              </w:rPr>
              <w:t>IoT</w:t>
            </w:r>
            <w:proofErr w:type="spellEnd"/>
            <w:r w:rsidRPr="002F332B">
              <w:rPr>
                <w:b/>
                <w:bCs/>
              </w:rPr>
              <w:t>/M2M numuri</w:t>
            </w:r>
          </w:p>
          <w:p w14:paraId="245D6DCF" w14:textId="77777777" w:rsidR="007E7E1E" w:rsidRPr="000C555B" w:rsidRDefault="007E7E1E" w:rsidP="007E7E1E">
            <w:pPr>
              <w:jc w:val="center"/>
              <w:rPr>
                <w:bCs/>
              </w:rPr>
            </w:pPr>
            <w:r w:rsidRPr="000C555B">
              <w:rPr>
                <w:bCs/>
              </w:rPr>
              <w:t>(tabula)</w:t>
            </w:r>
          </w:p>
          <w:p w14:paraId="2F4A5CA7" w14:textId="77777777" w:rsidR="007E7E1E" w:rsidRPr="00A21627" w:rsidRDefault="007E7E1E" w:rsidP="007E7E1E">
            <w:pPr>
              <w:pStyle w:val="Default"/>
              <w:ind w:firstLine="199"/>
              <w:rPr>
                <w:lang w:val="en-US"/>
              </w:rPr>
            </w:pPr>
            <w:r w:rsidRPr="00A21627">
              <w:t>1.</w:t>
            </w:r>
            <w:r w:rsidRPr="00A21627">
              <w:rPr>
                <w:vertAlign w:val="superscript"/>
              </w:rPr>
              <w:t>1</w:t>
            </w:r>
            <w:r w:rsidRPr="00A21627">
              <w:t xml:space="preserve"> tabulā</w:t>
            </w:r>
            <w:r>
              <w:t>:</w:t>
            </w:r>
          </w:p>
          <w:p w14:paraId="52D14893" w14:textId="77777777" w:rsidR="007E7E1E" w:rsidRPr="00070BAC" w:rsidRDefault="007E7E1E" w:rsidP="007E7E1E">
            <w:pPr>
              <w:pStyle w:val="Default"/>
              <w:rPr>
                <w:lang w:val="en-US"/>
              </w:rPr>
            </w:pPr>
            <w:r w:rsidRPr="00070BAC">
              <w:t>300 00X XXX XXX***</w:t>
            </w:r>
          </w:p>
          <w:p w14:paraId="41D9FFB0" w14:textId="77777777" w:rsidR="007E7E1E" w:rsidRPr="00070BAC" w:rsidRDefault="007E7E1E" w:rsidP="007E7E1E">
            <w:pPr>
              <w:pStyle w:val="Default"/>
              <w:rPr>
                <w:lang w:val="en-US"/>
              </w:rPr>
            </w:pPr>
            <w:r w:rsidRPr="00070BAC">
              <w:rPr>
                <w:lang w:val="en-US"/>
              </w:rPr>
              <w:t>70 XXX XXX*</w:t>
            </w:r>
          </w:p>
          <w:p w14:paraId="6332E1A5" w14:textId="77777777" w:rsidR="007E7E1E" w:rsidRPr="00070BAC" w:rsidRDefault="007E7E1E" w:rsidP="007E7E1E">
            <w:pPr>
              <w:pStyle w:val="Default"/>
              <w:rPr>
                <w:lang w:val="en-US"/>
              </w:rPr>
            </w:pPr>
            <w:r w:rsidRPr="00070BAC">
              <w:rPr>
                <w:lang w:val="en-US"/>
              </w:rPr>
              <w:t>71 XXX XXX*</w:t>
            </w:r>
          </w:p>
          <w:p w14:paraId="3207678F" w14:textId="77777777" w:rsidR="007E7E1E" w:rsidRPr="00070BAC" w:rsidRDefault="007E7E1E" w:rsidP="007E7E1E">
            <w:pPr>
              <w:pStyle w:val="Default"/>
              <w:rPr>
                <w:lang w:val="en-US"/>
              </w:rPr>
            </w:pPr>
            <w:r w:rsidRPr="00070BAC">
              <w:rPr>
                <w:lang w:val="en-US"/>
              </w:rPr>
              <w:t>72 XXX XXX</w:t>
            </w:r>
            <w:r>
              <w:rPr>
                <w:lang w:val="en-US"/>
              </w:rPr>
              <w:t>***</w:t>
            </w:r>
          </w:p>
          <w:p w14:paraId="611CB303" w14:textId="77777777" w:rsidR="007E7E1E" w:rsidRPr="00070BAC" w:rsidRDefault="007E7E1E" w:rsidP="007E7E1E">
            <w:pPr>
              <w:pStyle w:val="Default"/>
              <w:rPr>
                <w:lang w:val="en-US"/>
              </w:rPr>
            </w:pPr>
            <w:r w:rsidRPr="00070BAC">
              <w:rPr>
                <w:lang w:val="en-US"/>
              </w:rPr>
              <w:t>73 XXX XXX**</w:t>
            </w:r>
          </w:p>
          <w:p w14:paraId="250C60AB" w14:textId="33514A36" w:rsidR="007E7E1E" w:rsidRPr="00070BAC" w:rsidRDefault="007E7E1E" w:rsidP="007E7E1E">
            <w:pPr>
              <w:rPr>
                <w:lang w:val="en-US"/>
              </w:rPr>
            </w:pPr>
            <w:r w:rsidRPr="00070BAC">
              <w:rPr>
                <w:lang w:val="en-US"/>
              </w:rPr>
              <w:t>74 XXX XXX**</w:t>
            </w:r>
          </w:p>
          <w:p w14:paraId="1277C076" w14:textId="57AEEB62" w:rsidR="007E7E1E" w:rsidRDefault="007E7E1E" w:rsidP="006854E5">
            <w:pPr>
              <w:pStyle w:val="Default"/>
              <w:ind w:firstLine="199"/>
              <w:jc w:val="center"/>
              <w:rPr>
                <w:color w:val="auto"/>
              </w:rPr>
            </w:pPr>
          </w:p>
          <w:p w14:paraId="4AD6DA74" w14:textId="77777777" w:rsidR="006C645D" w:rsidRDefault="006C645D" w:rsidP="006C645D">
            <w:r w:rsidRPr="00070BAC">
              <w:t>*</w:t>
            </w:r>
            <w:r>
              <w:t xml:space="preserve">gadījumos, ja tehnoloģiskajos risinājumos </w:t>
            </w:r>
            <w:proofErr w:type="spellStart"/>
            <w:r>
              <w:t>portācijā</w:t>
            </w:r>
            <w:proofErr w:type="spellEnd"/>
            <w:r>
              <w:t xml:space="preserve"> operators izmanto maršrutizācijas prefiksus;</w:t>
            </w:r>
          </w:p>
          <w:p w14:paraId="0517CA17" w14:textId="3610557C" w:rsidR="006C645D" w:rsidRDefault="006C645D" w:rsidP="006C645D">
            <w:r w:rsidRPr="00070BAC">
              <w:t>**</w:t>
            </w:r>
            <w:r>
              <w:t xml:space="preserve"> gadījumos, ja tehnoloģiskajos risinājumos </w:t>
            </w:r>
            <w:proofErr w:type="spellStart"/>
            <w:r>
              <w:t>portācijā</w:t>
            </w:r>
            <w:proofErr w:type="spellEnd"/>
            <w:r>
              <w:t xml:space="preserve"> operators izmanto maršrutizācijas numurus;</w:t>
            </w:r>
          </w:p>
          <w:p w14:paraId="3D6052B2" w14:textId="117BBE02" w:rsidR="006C645D" w:rsidRPr="00070BAC" w:rsidRDefault="006C645D" w:rsidP="006C645D">
            <w:r w:rsidRPr="00070BAC">
              <w:lastRenderedPageBreak/>
              <w:t>***</w:t>
            </w:r>
            <w:r>
              <w:t xml:space="preserve"> gadījumos, ja </w:t>
            </w:r>
            <w:proofErr w:type="spellStart"/>
            <w:r>
              <w:t>portācija</w:t>
            </w:r>
            <w:proofErr w:type="spellEnd"/>
            <w:r>
              <w:t xml:space="preserve"> nav</w:t>
            </w:r>
            <w:r w:rsidRPr="00070BAC">
              <w:t xml:space="preserve"> tehniski iespējama.</w:t>
            </w:r>
            <w:r>
              <w:t>”</w:t>
            </w:r>
          </w:p>
          <w:p w14:paraId="66E54D25" w14:textId="77777777" w:rsidR="007E7E1E" w:rsidRDefault="007E7E1E" w:rsidP="007E7E1E">
            <w:pPr>
              <w:pStyle w:val="Default"/>
              <w:ind w:firstLine="199"/>
              <w:rPr>
                <w:color w:val="auto"/>
              </w:rPr>
            </w:pPr>
          </w:p>
          <w:p w14:paraId="1F0E0BCF" w14:textId="77777777" w:rsidR="007E7E1E" w:rsidRDefault="007E7E1E" w:rsidP="006854E5">
            <w:pPr>
              <w:pStyle w:val="Default"/>
              <w:ind w:firstLine="199"/>
              <w:jc w:val="center"/>
              <w:rPr>
                <w:color w:val="auto"/>
              </w:rPr>
            </w:pPr>
          </w:p>
          <w:p w14:paraId="78E7C7A2" w14:textId="77777777" w:rsidR="007E7E1E" w:rsidRDefault="007E7E1E" w:rsidP="006854E5">
            <w:pPr>
              <w:pStyle w:val="Default"/>
              <w:ind w:firstLine="199"/>
              <w:jc w:val="center"/>
              <w:rPr>
                <w:color w:val="auto"/>
              </w:rPr>
            </w:pPr>
          </w:p>
          <w:p w14:paraId="219AE53E" w14:textId="68453C80" w:rsidR="00145378" w:rsidRPr="00FF1692" w:rsidRDefault="00D06291" w:rsidP="007E7E1E">
            <w:pPr>
              <w:pStyle w:val="Default"/>
              <w:rPr>
                <w:i/>
                <w:color w:val="auto"/>
              </w:rPr>
            </w:pPr>
            <w:r w:rsidRPr="00FF1692">
              <w:rPr>
                <w:i/>
              </w:rPr>
              <w:t>Redakcija</w:t>
            </w:r>
            <w:r w:rsidRPr="00FF1692">
              <w:rPr>
                <w:i/>
                <w:color w:val="auto"/>
              </w:rPr>
              <w:t xml:space="preserve"> nosūtīta </w:t>
            </w:r>
            <w:r w:rsidR="00145378" w:rsidRPr="00FF1692">
              <w:rPr>
                <w:i/>
                <w:color w:val="auto"/>
              </w:rPr>
              <w:t>elektroniska</w:t>
            </w:r>
            <w:r w:rsidRPr="00FF1692">
              <w:rPr>
                <w:i/>
                <w:color w:val="auto"/>
              </w:rPr>
              <w:t>i</w:t>
            </w:r>
            <w:r w:rsidR="00145378" w:rsidRPr="00FF1692">
              <w:rPr>
                <w:i/>
                <w:color w:val="auto"/>
              </w:rPr>
              <w:t xml:space="preserve"> saskaņošana</w:t>
            </w:r>
            <w:r w:rsidRPr="00FF1692">
              <w:rPr>
                <w:i/>
                <w:color w:val="auto"/>
              </w:rPr>
              <w:t>i</w:t>
            </w:r>
            <w:r w:rsidR="007E7E1E" w:rsidRPr="00FF1692">
              <w:rPr>
                <w:i/>
                <w:color w:val="auto"/>
              </w:rPr>
              <w:t xml:space="preserve"> pēc starpinstitūciju sanāk</w:t>
            </w:r>
            <w:r w:rsidRPr="00FF1692">
              <w:rPr>
                <w:i/>
                <w:color w:val="auto"/>
              </w:rPr>
              <w:t>sme</w:t>
            </w:r>
            <w:r w:rsidR="007E7E1E" w:rsidRPr="00FF1692">
              <w:rPr>
                <w:i/>
                <w:color w:val="auto"/>
              </w:rPr>
              <w:t>s:</w:t>
            </w:r>
          </w:p>
          <w:p w14:paraId="13BEC2D8" w14:textId="77777777" w:rsidR="00145378" w:rsidRDefault="00145378" w:rsidP="00145378">
            <w:pPr>
              <w:jc w:val="center"/>
              <w:rPr>
                <w:b/>
                <w:bCs/>
              </w:rPr>
            </w:pPr>
            <w:r>
              <w:t>“</w:t>
            </w:r>
            <w:proofErr w:type="spellStart"/>
            <w:r w:rsidRPr="002F332B">
              <w:rPr>
                <w:b/>
                <w:bCs/>
              </w:rPr>
              <w:t>IoT</w:t>
            </w:r>
            <w:proofErr w:type="spellEnd"/>
            <w:r w:rsidRPr="002F332B">
              <w:rPr>
                <w:b/>
                <w:bCs/>
              </w:rPr>
              <w:t>/M2M numuri</w:t>
            </w:r>
          </w:p>
          <w:p w14:paraId="18459B15" w14:textId="77777777" w:rsidR="00145378" w:rsidRPr="000C555B" w:rsidRDefault="00145378" w:rsidP="00145378">
            <w:pPr>
              <w:jc w:val="center"/>
              <w:rPr>
                <w:bCs/>
              </w:rPr>
            </w:pPr>
            <w:r w:rsidRPr="000C555B">
              <w:rPr>
                <w:bCs/>
              </w:rPr>
              <w:t>(tabula)</w:t>
            </w:r>
          </w:p>
          <w:p w14:paraId="415B3A76" w14:textId="77777777" w:rsidR="00145378" w:rsidRPr="00A21627" w:rsidRDefault="00145378" w:rsidP="00145378">
            <w:pPr>
              <w:pStyle w:val="Default"/>
              <w:ind w:firstLine="199"/>
              <w:rPr>
                <w:lang w:val="en-US"/>
              </w:rPr>
            </w:pPr>
            <w:r w:rsidRPr="00A21627">
              <w:t>1.</w:t>
            </w:r>
            <w:r w:rsidRPr="00A21627">
              <w:rPr>
                <w:vertAlign w:val="superscript"/>
              </w:rPr>
              <w:t>1</w:t>
            </w:r>
            <w:r w:rsidRPr="00A21627">
              <w:t xml:space="preserve"> tabulā</w:t>
            </w:r>
            <w:r>
              <w:t>:</w:t>
            </w:r>
          </w:p>
          <w:p w14:paraId="63DEA5CB" w14:textId="77777777" w:rsidR="00145378" w:rsidRPr="00070BAC" w:rsidRDefault="00145378" w:rsidP="00145378">
            <w:pPr>
              <w:pStyle w:val="Default"/>
              <w:rPr>
                <w:lang w:val="en-US"/>
              </w:rPr>
            </w:pPr>
            <w:r w:rsidRPr="00070BAC">
              <w:t>300 00X XXX XXX***</w:t>
            </w:r>
          </w:p>
          <w:p w14:paraId="6F8B5048" w14:textId="77777777" w:rsidR="00145378" w:rsidRPr="00070BAC" w:rsidRDefault="00145378" w:rsidP="00145378">
            <w:pPr>
              <w:pStyle w:val="Default"/>
              <w:rPr>
                <w:lang w:val="en-US"/>
              </w:rPr>
            </w:pPr>
            <w:r w:rsidRPr="00070BAC">
              <w:rPr>
                <w:lang w:val="en-US"/>
              </w:rPr>
              <w:t>70 XXX XXX*</w:t>
            </w:r>
          </w:p>
          <w:p w14:paraId="4E93DDCE" w14:textId="77777777" w:rsidR="00145378" w:rsidRPr="00070BAC" w:rsidRDefault="00145378" w:rsidP="00145378">
            <w:pPr>
              <w:pStyle w:val="Default"/>
              <w:rPr>
                <w:lang w:val="en-US"/>
              </w:rPr>
            </w:pPr>
            <w:r w:rsidRPr="00070BAC">
              <w:rPr>
                <w:lang w:val="en-US"/>
              </w:rPr>
              <w:t>71 XXX XXX*</w:t>
            </w:r>
          </w:p>
          <w:p w14:paraId="19B10739" w14:textId="77777777" w:rsidR="00145378" w:rsidRPr="00070BAC" w:rsidRDefault="00145378" w:rsidP="00145378">
            <w:pPr>
              <w:pStyle w:val="Default"/>
              <w:rPr>
                <w:lang w:val="en-US"/>
              </w:rPr>
            </w:pPr>
            <w:r w:rsidRPr="00070BAC">
              <w:rPr>
                <w:lang w:val="en-US"/>
              </w:rPr>
              <w:t>72 XXX XXX</w:t>
            </w:r>
            <w:r>
              <w:rPr>
                <w:lang w:val="en-US"/>
              </w:rPr>
              <w:t>***</w:t>
            </w:r>
          </w:p>
          <w:p w14:paraId="376ED1F3" w14:textId="77777777" w:rsidR="00145378" w:rsidRPr="00070BAC" w:rsidRDefault="00145378" w:rsidP="00145378">
            <w:pPr>
              <w:pStyle w:val="Default"/>
              <w:rPr>
                <w:lang w:val="en-US"/>
              </w:rPr>
            </w:pPr>
            <w:r w:rsidRPr="00070BAC">
              <w:rPr>
                <w:lang w:val="en-US"/>
              </w:rPr>
              <w:t>73 XXX XXX**</w:t>
            </w:r>
          </w:p>
          <w:p w14:paraId="3179329E" w14:textId="1487FF54" w:rsidR="00145378" w:rsidRPr="00070BAC" w:rsidRDefault="00145378" w:rsidP="00145378">
            <w:pPr>
              <w:rPr>
                <w:lang w:val="en-US"/>
              </w:rPr>
            </w:pPr>
            <w:r w:rsidRPr="00070BAC">
              <w:rPr>
                <w:lang w:val="en-US"/>
              </w:rPr>
              <w:t>74 XXX XXX**</w:t>
            </w:r>
          </w:p>
          <w:p w14:paraId="11979AFD" w14:textId="77777777" w:rsidR="00145378" w:rsidRPr="00070BAC" w:rsidRDefault="00145378" w:rsidP="00145378"/>
          <w:p w14:paraId="0021893F" w14:textId="77777777" w:rsidR="00145378" w:rsidRPr="00070BAC" w:rsidRDefault="00145378" w:rsidP="00145378">
            <w:r w:rsidRPr="00070BAC">
              <w:t>*diapazons izmantošanai tikai m</w:t>
            </w:r>
            <w:r>
              <w:t>obilo elektronisko sakaru tīklā;</w:t>
            </w:r>
            <w:r w:rsidRPr="00070BAC">
              <w:t xml:space="preserve"> </w:t>
            </w:r>
            <w:r w:rsidRPr="00070BAC">
              <w:br/>
              <w:t>**diapazons izmantošanai tikai fi</w:t>
            </w:r>
            <w:r>
              <w:t>ksētā elektronisko sakaru tīklā</w:t>
            </w:r>
            <w:r w:rsidRPr="00070BAC">
              <w:t xml:space="preserve">; </w:t>
            </w:r>
            <w:r w:rsidRPr="00070BAC">
              <w:br/>
              <w:t>***diapazons numuriem, kur numura pārvietošana nav tehniski iespējama.</w:t>
            </w:r>
            <w:r>
              <w:t>”</w:t>
            </w:r>
          </w:p>
          <w:p w14:paraId="35CCE10C" w14:textId="77777777" w:rsidR="00862FC5" w:rsidRDefault="00862FC5" w:rsidP="006854E5">
            <w:pPr>
              <w:pStyle w:val="Default"/>
              <w:ind w:firstLine="199"/>
              <w:jc w:val="center"/>
              <w:rPr>
                <w:color w:val="auto"/>
              </w:rPr>
            </w:pPr>
          </w:p>
          <w:p w14:paraId="267204FF" w14:textId="77777777" w:rsidR="007E7E1E" w:rsidRDefault="007E7E1E" w:rsidP="005524CF">
            <w:pPr>
              <w:jc w:val="both"/>
            </w:pPr>
          </w:p>
          <w:p w14:paraId="3D295AFD" w14:textId="6A8FB725" w:rsidR="00B13061" w:rsidRPr="0072188C" w:rsidRDefault="00B13061" w:rsidP="005524CF">
            <w:pPr>
              <w:jc w:val="both"/>
              <w:rPr>
                <w:i/>
              </w:rPr>
            </w:pPr>
            <w:r w:rsidRPr="0072188C">
              <w:rPr>
                <w:i/>
              </w:rPr>
              <w:lastRenderedPageBreak/>
              <w:t xml:space="preserve">Anotācijas </w:t>
            </w:r>
            <w:proofErr w:type="spellStart"/>
            <w:r w:rsidRPr="0072188C">
              <w:rPr>
                <w:i/>
              </w:rPr>
              <w:t>I.daļas</w:t>
            </w:r>
            <w:proofErr w:type="spellEnd"/>
            <w:r w:rsidRPr="0072188C">
              <w:rPr>
                <w:i/>
              </w:rPr>
              <w:t xml:space="preserve"> 2.punkta septīt</w:t>
            </w:r>
            <w:r w:rsidR="007E7E1E" w:rsidRPr="0072188C">
              <w:rPr>
                <w:i/>
              </w:rPr>
              <w:t>ā</w:t>
            </w:r>
            <w:r w:rsidRPr="0072188C">
              <w:rPr>
                <w:i/>
              </w:rPr>
              <w:t xml:space="preserve"> rindkop</w:t>
            </w:r>
            <w:r w:rsidR="007E7E1E" w:rsidRPr="0072188C">
              <w:rPr>
                <w:i/>
              </w:rPr>
              <w:t>a</w:t>
            </w:r>
            <w:r w:rsidRPr="0072188C">
              <w:rPr>
                <w:i/>
              </w:rPr>
              <w:t>:</w:t>
            </w:r>
          </w:p>
          <w:p w14:paraId="1B24BCD5" w14:textId="34D9205B" w:rsidR="005524CF" w:rsidRDefault="00B13061" w:rsidP="005524CF">
            <w:pPr>
              <w:jc w:val="both"/>
            </w:pPr>
            <w:r>
              <w:t>“</w:t>
            </w:r>
            <w:r w:rsidR="005524CF" w:rsidRPr="005524CF">
              <w:t xml:space="preserve">Sabiedrisko pakalpojumu regulēšanas komisijas 2015. gada 3. decembra lēmuma Nr.1/19 “Numura saglabāšanas pakalpojuma nodrošināšanas noteikumi” 1.punkts noteic, ka numura saglabāšanas pakalpojuma nodrošināšanas noteikumi nosaka kārtību, kādā elektronisko sakaru komersants, kurš sniedz balss telefonijas pakalpojumus, nodrošina numura saglabāšanas pakalpojumu. </w:t>
            </w:r>
            <w:r>
              <w:t xml:space="preserve"> </w:t>
            </w:r>
            <w:r w:rsidR="005524CF" w:rsidRPr="005524CF">
              <w:t xml:space="preserve">Šobrīd minētie noteikumi neregulē </w:t>
            </w:r>
            <w:proofErr w:type="spellStart"/>
            <w:r w:rsidR="005524CF" w:rsidRPr="005524CF">
              <w:rPr>
                <w:i/>
              </w:rPr>
              <w:t>IoT</w:t>
            </w:r>
            <w:proofErr w:type="spellEnd"/>
            <w:r w:rsidR="005524CF" w:rsidRPr="005524CF">
              <w:t>/</w:t>
            </w:r>
            <w:r w:rsidR="005524CF" w:rsidRPr="005524CF">
              <w:rPr>
                <w:i/>
              </w:rPr>
              <w:t xml:space="preserve">M2M </w:t>
            </w:r>
            <w:r w:rsidR="005524CF" w:rsidRPr="005524CF">
              <w:t xml:space="preserve">numurus, kas nav paredzēti </w:t>
            </w:r>
            <w:proofErr w:type="spellStart"/>
            <w:r w:rsidR="005524CF" w:rsidRPr="005524CF">
              <w:t>starppersonu</w:t>
            </w:r>
            <w:proofErr w:type="spellEnd"/>
            <w:r w:rsidR="005524CF" w:rsidRPr="005524CF">
              <w:t xml:space="preserve"> pakalpojumiem.</w:t>
            </w:r>
            <w:r>
              <w:t>”</w:t>
            </w:r>
            <w:r w:rsidR="005524CF">
              <w:t xml:space="preserve"> </w:t>
            </w:r>
          </w:p>
          <w:p w14:paraId="1F5FCB4C" w14:textId="61726F1C" w:rsidR="00862FC5" w:rsidRPr="007B2687" w:rsidRDefault="00862FC5" w:rsidP="006854E5">
            <w:pPr>
              <w:pStyle w:val="Default"/>
              <w:ind w:firstLine="199"/>
              <w:jc w:val="center"/>
              <w:rPr>
                <w:color w:val="auto"/>
              </w:rPr>
            </w:pPr>
          </w:p>
        </w:tc>
        <w:tc>
          <w:tcPr>
            <w:tcW w:w="4252" w:type="dxa"/>
          </w:tcPr>
          <w:p w14:paraId="13E8B8A7" w14:textId="37FC065F" w:rsidR="00EC661B" w:rsidRPr="0034377D" w:rsidRDefault="00EC661B" w:rsidP="00EC661B">
            <w:pPr>
              <w:pStyle w:val="Sarakstarindkopa"/>
              <w:tabs>
                <w:tab w:val="left" w:pos="284"/>
              </w:tabs>
              <w:ind w:left="0"/>
              <w:jc w:val="both"/>
              <w:rPr>
                <w:bCs/>
                <w:i/>
              </w:rPr>
            </w:pPr>
            <w:r w:rsidRPr="001817F1">
              <w:rPr>
                <w:b/>
                <w:bCs/>
              </w:rPr>
              <w:lastRenderedPageBreak/>
              <w:t>Sabiedrisko pakalpojumu regulēšanas komisija</w:t>
            </w:r>
            <w:r w:rsidR="0034377D">
              <w:rPr>
                <w:b/>
                <w:bCs/>
              </w:rPr>
              <w:t xml:space="preserve"> </w:t>
            </w:r>
            <w:r w:rsidR="0034377D" w:rsidRPr="0034377D">
              <w:rPr>
                <w:bCs/>
                <w:i/>
              </w:rPr>
              <w:t xml:space="preserve">iebildums pēc </w:t>
            </w:r>
            <w:r w:rsidR="006924E1">
              <w:rPr>
                <w:bCs/>
                <w:i/>
              </w:rPr>
              <w:t xml:space="preserve">starpinstitūciju </w:t>
            </w:r>
            <w:r w:rsidR="0034377D" w:rsidRPr="0034377D">
              <w:rPr>
                <w:bCs/>
                <w:i/>
              </w:rPr>
              <w:t>saskaņošanas sanāksmes</w:t>
            </w:r>
            <w:r w:rsidR="006924E1">
              <w:rPr>
                <w:bCs/>
                <w:i/>
              </w:rPr>
              <w:t xml:space="preserve"> 3.09.2020.</w:t>
            </w:r>
          </w:p>
          <w:p w14:paraId="7E7033DD" w14:textId="77777777" w:rsidR="00590EB3" w:rsidRPr="0034377D" w:rsidRDefault="00590EB3" w:rsidP="006854E5">
            <w:pPr>
              <w:pStyle w:val="Bezatstarpm"/>
              <w:ind w:firstLine="82"/>
              <w:jc w:val="center"/>
              <w:rPr>
                <w:rFonts w:eastAsia="Times New Roman"/>
                <w:i/>
                <w:sz w:val="22"/>
                <w:szCs w:val="22"/>
                <w:lang w:eastAsia="lv-LV"/>
              </w:rPr>
            </w:pPr>
          </w:p>
          <w:p w14:paraId="58A0DE3C" w14:textId="48A958AA" w:rsidR="000A230B" w:rsidRDefault="000A230B" w:rsidP="001A61AC">
            <w:pPr>
              <w:contextualSpacing/>
            </w:pPr>
            <w:r>
              <w:t xml:space="preserve">Regulators, izskatot Noteikumu projektu un Anotāciju, secina, ka šajos dokumentos nav pilnā mērā ņemts vērā tas par ko dalībnieki vienojās </w:t>
            </w:r>
            <w:r w:rsidRPr="000F7F72">
              <w:t>2020.</w:t>
            </w:r>
            <w:r w:rsidR="003C4B58">
              <w:t> </w:t>
            </w:r>
            <w:r w:rsidRPr="000F7F72">
              <w:t>gada 3.</w:t>
            </w:r>
            <w:r w:rsidR="003C4B58">
              <w:t> </w:t>
            </w:r>
            <w:r w:rsidRPr="000F7F72">
              <w:t>septembr</w:t>
            </w:r>
            <w:r>
              <w:t xml:space="preserve">a </w:t>
            </w:r>
            <w:r w:rsidRPr="000F7F72">
              <w:t>starpinstitūciju sanāksmē</w:t>
            </w:r>
            <w:r>
              <w:t>:</w:t>
            </w:r>
          </w:p>
          <w:p w14:paraId="57765E57" w14:textId="5C768B18" w:rsidR="00590EB3" w:rsidRDefault="000A230B" w:rsidP="000A230B">
            <w:pPr>
              <w:pStyle w:val="Bezatstarpm"/>
              <w:ind w:firstLine="82"/>
              <w:rPr>
                <w:rFonts w:eastAsia="Times New Roman"/>
                <w:sz w:val="22"/>
                <w:szCs w:val="22"/>
                <w:lang w:eastAsia="lv-LV"/>
              </w:rPr>
            </w:pPr>
            <w:r>
              <w:rPr>
                <w:rFonts w:eastAsia="Times New Roman"/>
                <w:sz w:val="24"/>
                <w:szCs w:val="24"/>
              </w:rPr>
              <w:t>1)</w:t>
            </w:r>
            <w:r w:rsidRPr="00A06D27">
              <w:rPr>
                <w:rFonts w:eastAsia="Times New Roman"/>
                <w:sz w:val="24"/>
                <w:szCs w:val="24"/>
              </w:rPr>
              <w:t xml:space="preserve">Noteikumu projekta 1.pielikuma </w:t>
            </w:r>
            <w:r w:rsidRPr="00A06D27">
              <w:rPr>
                <w:sz w:val="24"/>
                <w:szCs w:val="24"/>
              </w:rPr>
              <w:t>1.</w:t>
            </w:r>
            <w:r w:rsidRPr="00A06D27">
              <w:rPr>
                <w:sz w:val="24"/>
                <w:szCs w:val="24"/>
                <w:vertAlign w:val="superscript"/>
              </w:rPr>
              <w:t>1</w:t>
            </w:r>
            <w:r w:rsidRPr="00A06D27">
              <w:rPr>
                <w:sz w:val="24"/>
                <w:szCs w:val="24"/>
              </w:rPr>
              <w:t xml:space="preserve"> tabulas 1. un 4.punktā numerācijas indeksa</w:t>
            </w:r>
            <w:r>
              <w:rPr>
                <w:sz w:val="24"/>
                <w:szCs w:val="24"/>
              </w:rPr>
              <w:t>m</w:t>
            </w:r>
            <w:r w:rsidRPr="00A06D27">
              <w:rPr>
                <w:sz w:val="24"/>
                <w:szCs w:val="24"/>
              </w:rPr>
              <w:t xml:space="preserve"> “300 00X XXX </w:t>
            </w:r>
            <w:proofErr w:type="spellStart"/>
            <w:r w:rsidRPr="00A06D27">
              <w:rPr>
                <w:sz w:val="24"/>
                <w:szCs w:val="24"/>
              </w:rPr>
              <w:t>XXX</w:t>
            </w:r>
            <w:proofErr w:type="spellEnd"/>
            <w:r w:rsidRPr="00A06D27">
              <w:rPr>
                <w:sz w:val="24"/>
                <w:szCs w:val="24"/>
              </w:rPr>
              <w:t xml:space="preserve">” un “72 XXX </w:t>
            </w:r>
            <w:proofErr w:type="spellStart"/>
            <w:r w:rsidRPr="00A06D27">
              <w:rPr>
                <w:sz w:val="24"/>
                <w:szCs w:val="24"/>
              </w:rPr>
              <w:t>XXX</w:t>
            </w:r>
            <w:proofErr w:type="spellEnd"/>
            <w:r w:rsidRPr="00A06D27">
              <w:rPr>
                <w:sz w:val="24"/>
                <w:szCs w:val="24"/>
              </w:rPr>
              <w:t xml:space="preserve">” </w:t>
            </w:r>
            <w:r>
              <w:rPr>
                <w:sz w:val="24"/>
                <w:szCs w:val="24"/>
              </w:rPr>
              <w:t xml:space="preserve">ir </w:t>
            </w:r>
            <w:r w:rsidRPr="00A06D27">
              <w:rPr>
                <w:sz w:val="24"/>
                <w:szCs w:val="24"/>
              </w:rPr>
              <w:t>noteikt</w:t>
            </w:r>
            <w:r>
              <w:rPr>
                <w:sz w:val="24"/>
                <w:szCs w:val="24"/>
              </w:rPr>
              <w:t>a</w:t>
            </w:r>
            <w:r w:rsidRPr="00A06D27">
              <w:rPr>
                <w:sz w:val="24"/>
                <w:szCs w:val="24"/>
              </w:rPr>
              <w:t xml:space="preserve"> piezīm</w:t>
            </w:r>
            <w:r>
              <w:rPr>
                <w:sz w:val="24"/>
                <w:szCs w:val="24"/>
              </w:rPr>
              <w:t>e</w:t>
            </w:r>
            <w:r w:rsidRPr="00A06D27">
              <w:rPr>
                <w:sz w:val="24"/>
                <w:szCs w:val="24"/>
              </w:rPr>
              <w:t xml:space="preserve"> - </w:t>
            </w:r>
            <w:r>
              <w:rPr>
                <w:sz w:val="24"/>
                <w:szCs w:val="24"/>
              </w:rPr>
              <w:t xml:space="preserve">*** </w:t>
            </w:r>
            <w:r w:rsidRPr="00A06D27">
              <w:rPr>
                <w:sz w:val="24"/>
                <w:szCs w:val="24"/>
              </w:rPr>
              <w:t>diapazons numuriem, kur numura pārvietošana nav tehniski iespējama</w:t>
            </w:r>
          </w:p>
          <w:p w14:paraId="730E1834" w14:textId="77777777" w:rsidR="00590EB3" w:rsidRDefault="00590EB3" w:rsidP="006854E5">
            <w:pPr>
              <w:pStyle w:val="Bezatstarpm"/>
              <w:ind w:firstLine="82"/>
              <w:jc w:val="center"/>
              <w:rPr>
                <w:rFonts w:eastAsia="Times New Roman"/>
                <w:sz w:val="22"/>
                <w:szCs w:val="22"/>
                <w:lang w:eastAsia="lv-LV"/>
              </w:rPr>
            </w:pPr>
          </w:p>
          <w:p w14:paraId="7EC3729B" w14:textId="4AC3063D" w:rsidR="00590EB3" w:rsidRDefault="000A230B" w:rsidP="000A230B">
            <w:pPr>
              <w:pStyle w:val="Bezatstarpm"/>
              <w:ind w:firstLine="82"/>
              <w:rPr>
                <w:sz w:val="24"/>
                <w:szCs w:val="24"/>
              </w:rPr>
            </w:pPr>
            <w:r>
              <w:rPr>
                <w:sz w:val="24"/>
                <w:szCs w:val="24"/>
              </w:rPr>
              <w:t>2)Anotācijas I sadaļas “Tiesību akta projekta izstrādes nepieciešamība” 2.punkta  5. </w:t>
            </w:r>
            <w:r>
              <w:rPr>
                <w:sz w:val="24"/>
                <w:szCs w:val="24"/>
              </w:rPr>
              <w:noBreakHyphen/>
              <w:t>7. rindkopā tiek runāts par numura saglabāšanas pakalpojumu;</w:t>
            </w:r>
          </w:p>
          <w:p w14:paraId="6237F287" w14:textId="77777777" w:rsidR="000A230B" w:rsidRDefault="000A230B" w:rsidP="006854E5">
            <w:pPr>
              <w:pStyle w:val="Bezatstarpm"/>
              <w:ind w:firstLine="82"/>
              <w:jc w:val="center"/>
              <w:rPr>
                <w:rFonts w:eastAsia="Times New Roman"/>
                <w:sz w:val="22"/>
                <w:szCs w:val="22"/>
                <w:lang w:eastAsia="lv-LV"/>
              </w:rPr>
            </w:pPr>
          </w:p>
          <w:p w14:paraId="02CDD9B7" w14:textId="77777777" w:rsidR="000A230B" w:rsidRPr="00274395" w:rsidRDefault="000A230B" w:rsidP="000A230B">
            <w:pPr>
              <w:pStyle w:val="Sarakstarindkopa"/>
              <w:tabs>
                <w:tab w:val="left" w:pos="284"/>
              </w:tabs>
              <w:ind w:left="0"/>
              <w:jc w:val="both"/>
              <w:rPr>
                <w:szCs w:val="28"/>
                <w:shd w:val="clear" w:color="auto" w:fill="FFFFFF"/>
              </w:rPr>
            </w:pPr>
            <w:r>
              <w:rPr>
                <w:szCs w:val="28"/>
              </w:rPr>
              <w:t>Regulators atkārtoti vērš uzmanību, ka saskaņā ar</w:t>
            </w:r>
            <w:r w:rsidRPr="000F7F72">
              <w:rPr>
                <w:szCs w:val="28"/>
              </w:rPr>
              <w:t xml:space="preserve"> Elektronisko sakaru likuma</w:t>
            </w:r>
            <w:r w:rsidRPr="000F7F72">
              <w:rPr>
                <w:szCs w:val="28"/>
                <w:shd w:val="clear" w:color="auto" w:fill="FFFFFF"/>
              </w:rPr>
              <w:t xml:space="preserve"> 4.panta treš</w:t>
            </w:r>
            <w:r>
              <w:rPr>
                <w:szCs w:val="28"/>
                <w:shd w:val="clear" w:color="auto" w:fill="FFFFFF"/>
              </w:rPr>
              <w:t>o</w:t>
            </w:r>
            <w:r w:rsidRPr="000F7F72">
              <w:rPr>
                <w:szCs w:val="28"/>
                <w:shd w:val="clear" w:color="auto" w:fill="FFFFFF"/>
              </w:rPr>
              <w:t xml:space="preserve"> daļ</w:t>
            </w:r>
            <w:r>
              <w:rPr>
                <w:szCs w:val="28"/>
                <w:shd w:val="clear" w:color="auto" w:fill="FFFFFF"/>
              </w:rPr>
              <w:t>u</w:t>
            </w:r>
            <w:r w:rsidRPr="000F7F72">
              <w:rPr>
                <w:szCs w:val="28"/>
                <w:shd w:val="clear" w:color="auto" w:fill="FFFFFF"/>
              </w:rPr>
              <w:t xml:space="preserve"> elektronisko sakaru nozari atbilstoši šajā likumā un likumā </w:t>
            </w:r>
            <w:r w:rsidRPr="000F7F72">
              <w:rPr>
                <w:szCs w:val="28"/>
                <w:shd w:val="clear" w:color="auto" w:fill="FFFFFF"/>
              </w:rPr>
              <w:lastRenderedPageBreak/>
              <w:t>“</w:t>
            </w:r>
            <w:hyperlink r:id="rId11" w:tgtFrame="_blank" w:history="1">
              <w:r w:rsidRPr="00274395">
                <w:rPr>
                  <w:rStyle w:val="Hipersaite"/>
                  <w:color w:val="auto"/>
                  <w:szCs w:val="28"/>
                  <w:u w:val="none"/>
                  <w:shd w:val="clear" w:color="auto" w:fill="FFFFFF"/>
                </w:rPr>
                <w:t>Par sabiedrisko pakalpojumu regulatoriem</w:t>
              </w:r>
            </w:hyperlink>
            <w:r w:rsidRPr="00274395">
              <w:rPr>
                <w:szCs w:val="28"/>
                <w:shd w:val="clear" w:color="auto" w:fill="FFFFFF"/>
              </w:rPr>
              <w:t>”</w:t>
            </w:r>
            <w:r w:rsidRPr="000F7F72">
              <w:rPr>
                <w:szCs w:val="28"/>
                <w:shd w:val="clear" w:color="auto" w:fill="FFFFFF"/>
              </w:rPr>
              <w:t xml:space="preserve"> noteiktajai kompetencei uzrauga un regulē Regulators. </w:t>
            </w:r>
            <w:r w:rsidRPr="000F7F72">
              <w:rPr>
                <w:szCs w:val="28"/>
              </w:rPr>
              <w:t xml:space="preserve">Saskaņā ar Elektronisko sakaru likuma 57.panta otro daļu </w:t>
            </w:r>
            <w:r w:rsidRPr="000F7F72">
              <w:rPr>
                <w:szCs w:val="28"/>
                <w:shd w:val="clear" w:color="auto" w:fill="FFFFFF"/>
              </w:rPr>
              <w:t>Regulators nosaka</w:t>
            </w:r>
            <w:r>
              <w:rPr>
                <w:szCs w:val="28"/>
                <w:shd w:val="clear" w:color="auto" w:fill="FFFFFF"/>
              </w:rPr>
              <w:t xml:space="preserve"> </w:t>
            </w:r>
            <w:hyperlink r:id="rId12" w:tgtFrame="_blank" w:history="1">
              <w:r w:rsidRPr="00274395">
                <w:rPr>
                  <w:rStyle w:val="Hipersaite"/>
                  <w:color w:val="auto"/>
                  <w:szCs w:val="28"/>
                  <w:u w:val="none"/>
                  <w:shd w:val="clear" w:color="auto" w:fill="FFFFFF"/>
                </w:rPr>
                <w:t>numura saglabāšanas pakalpojuma nodrošināšanas noteikumu</w:t>
              </w:r>
            </w:hyperlink>
            <w:r w:rsidRPr="00274395">
              <w:rPr>
                <w:szCs w:val="28"/>
                <w:shd w:val="clear" w:color="auto" w:fill="FFFFFF"/>
              </w:rPr>
              <w:t>s.</w:t>
            </w:r>
          </w:p>
          <w:p w14:paraId="2E25F7CE" w14:textId="2628B048" w:rsidR="000A230B" w:rsidRPr="000F7F72" w:rsidRDefault="000A230B" w:rsidP="000A230B">
            <w:pPr>
              <w:pStyle w:val="Sarakstarindkopa"/>
              <w:tabs>
                <w:tab w:val="left" w:pos="284"/>
              </w:tabs>
              <w:ind w:left="0"/>
              <w:jc w:val="both"/>
              <w:rPr>
                <w:shd w:val="clear" w:color="auto" w:fill="FFFFFF"/>
              </w:rPr>
            </w:pPr>
            <w:r w:rsidRPr="000F7F72">
              <w:t>Elektronisko sakaru likuma 56.pant</w:t>
            </w:r>
            <w:r>
              <w:t>s</w:t>
            </w:r>
            <w:r w:rsidRPr="000F7F72">
              <w:t xml:space="preserve"> notei</w:t>
            </w:r>
            <w:r>
              <w:t>c</w:t>
            </w:r>
            <w:r w:rsidRPr="000F7F72">
              <w:t>, Ministru kabinets apstiprina nacionālo numerācijas plānu, kas nosaka numura struktūru un formātu tā identifikācijai un maršrutēšanai, numura sastādīšanas procedūras, kā arī numerācijas lietošanas mērķus un veidus.</w:t>
            </w:r>
          </w:p>
          <w:p w14:paraId="704BC746" w14:textId="77777777" w:rsidR="00EC661B" w:rsidRDefault="00EC661B" w:rsidP="000A230B">
            <w:pPr>
              <w:ind w:firstLine="567"/>
            </w:pPr>
          </w:p>
          <w:p w14:paraId="01A067C5" w14:textId="77777777" w:rsidR="000A230B" w:rsidRPr="00EC661B" w:rsidRDefault="000A230B" w:rsidP="00EC661B">
            <w:pPr>
              <w:jc w:val="both"/>
            </w:pPr>
            <w:r w:rsidRPr="000F7F72">
              <w:t xml:space="preserve">Regulatora 2015.gada 3.decembra lēmuma Nr.1/19 “Numura </w:t>
            </w:r>
            <w:r w:rsidRPr="00EC661B">
              <w:t>saglabāšanas pakalpojuma nodrošināšanas noteikumi” 1.punkts noteic, ka numura saglabāšanas pakalpojuma nodrošināšanas noteikumi nosaka kārtību, kādā elektronisko sakaru komersants, kurš sniedz balss telefonijas pakalpojumus, nodrošina numura saglabāšanas pakalpojumu.</w:t>
            </w:r>
          </w:p>
          <w:p w14:paraId="3C3FA28D" w14:textId="77777777" w:rsidR="00EC661B" w:rsidRDefault="00EC661B" w:rsidP="00EC661B">
            <w:pPr>
              <w:pStyle w:val="Bezatstarpm"/>
              <w:ind w:firstLine="82"/>
              <w:rPr>
                <w:sz w:val="24"/>
                <w:szCs w:val="24"/>
              </w:rPr>
            </w:pPr>
          </w:p>
          <w:p w14:paraId="2B109DEB" w14:textId="01B99117" w:rsidR="00590EB3" w:rsidRDefault="000A230B" w:rsidP="00EC661B">
            <w:pPr>
              <w:pStyle w:val="Bezatstarpm"/>
              <w:ind w:firstLine="82"/>
              <w:jc w:val="both"/>
              <w:rPr>
                <w:sz w:val="24"/>
                <w:szCs w:val="24"/>
              </w:rPr>
            </w:pPr>
            <w:r w:rsidRPr="00EC661B">
              <w:rPr>
                <w:sz w:val="24"/>
                <w:szCs w:val="24"/>
              </w:rPr>
              <w:t xml:space="preserve">Ņemot vērā iepriekš minēto Regulators atkārtoti norāda, ka jautājumi, kas saistīti ar numura saglabāšanas pakalpojumu </w:t>
            </w:r>
            <w:proofErr w:type="spellStart"/>
            <w:r w:rsidRPr="00EC661B">
              <w:rPr>
                <w:sz w:val="24"/>
                <w:szCs w:val="24"/>
              </w:rPr>
              <w:t>IoT</w:t>
            </w:r>
            <w:proofErr w:type="spellEnd"/>
            <w:r w:rsidRPr="00EC661B">
              <w:rPr>
                <w:sz w:val="24"/>
                <w:szCs w:val="24"/>
              </w:rPr>
              <w:t xml:space="preserve">/M2M numuriem valsts robežās un </w:t>
            </w:r>
            <w:proofErr w:type="spellStart"/>
            <w:r w:rsidRPr="00EC661B">
              <w:rPr>
                <w:sz w:val="24"/>
                <w:szCs w:val="24"/>
              </w:rPr>
              <w:t>IoT</w:t>
            </w:r>
            <w:proofErr w:type="spellEnd"/>
            <w:r w:rsidRPr="00EC661B">
              <w:rPr>
                <w:sz w:val="24"/>
                <w:szCs w:val="24"/>
              </w:rPr>
              <w:t>/M2M numuriem eksteritoriālai izmantošanai, ietilpst Regulatora kompetencē un nav iekļaujami Nacionālā numerācijas plānā.</w:t>
            </w:r>
          </w:p>
          <w:p w14:paraId="4B71E16C" w14:textId="77777777" w:rsidR="00EC661B" w:rsidRDefault="00EC661B" w:rsidP="00EC661B">
            <w:pPr>
              <w:pStyle w:val="Bezatstarpm"/>
              <w:ind w:firstLine="82"/>
              <w:jc w:val="both"/>
              <w:rPr>
                <w:sz w:val="24"/>
                <w:szCs w:val="24"/>
              </w:rPr>
            </w:pPr>
          </w:p>
          <w:p w14:paraId="513B68BA" w14:textId="77777777" w:rsidR="006924E1" w:rsidRDefault="006924E1" w:rsidP="00EC661B">
            <w:pPr>
              <w:pStyle w:val="Bezatstarpm"/>
              <w:ind w:firstLine="82"/>
              <w:jc w:val="both"/>
              <w:rPr>
                <w:rFonts w:eastAsia="Times New Roman"/>
                <w:sz w:val="24"/>
                <w:szCs w:val="24"/>
              </w:rPr>
            </w:pPr>
          </w:p>
          <w:p w14:paraId="6D395443" w14:textId="77777777" w:rsidR="00CF5C41" w:rsidRDefault="00EC661B" w:rsidP="006924E1">
            <w:pPr>
              <w:pStyle w:val="Bezatstarpm"/>
              <w:jc w:val="both"/>
              <w:rPr>
                <w:rFonts w:eastAsia="Times New Roman"/>
                <w:sz w:val="24"/>
                <w:szCs w:val="24"/>
              </w:rPr>
            </w:pPr>
            <w:r w:rsidRPr="00590EB3">
              <w:rPr>
                <w:rFonts w:eastAsia="Times New Roman"/>
                <w:sz w:val="24"/>
                <w:szCs w:val="24"/>
              </w:rPr>
              <w:lastRenderedPageBreak/>
              <w:t xml:space="preserve">Regulators lūdz svītrot Noteikumu projekta 1.pielikuma </w:t>
            </w:r>
            <w:r w:rsidRPr="00590EB3">
              <w:rPr>
                <w:sz w:val="24"/>
                <w:szCs w:val="24"/>
              </w:rPr>
              <w:t>1.</w:t>
            </w:r>
            <w:r w:rsidRPr="00590EB3">
              <w:rPr>
                <w:sz w:val="24"/>
                <w:szCs w:val="24"/>
                <w:vertAlign w:val="superscript"/>
              </w:rPr>
              <w:t>1</w:t>
            </w:r>
            <w:r w:rsidRPr="00590EB3">
              <w:rPr>
                <w:sz w:val="24"/>
                <w:szCs w:val="24"/>
              </w:rPr>
              <w:t xml:space="preserve"> tabulas 1. un 4.punktā</w:t>
            </w:r>
            <w:r w:rsidRPr="00590EB3">
              <w:rPr>
                <w:rFonts w:eastAsia="Times New Roman"/>
                <w:sz w:val="24"/>
                <w:szCs w:val="24"/>
              </w:rPr>
              <w:t xml:space="preserve"> noteikto piezīmi (***) un </w:t>
            </w:r>
          </w:p>
          <w:p w14:paraId="6AE1D01D" w14:textId="0CD4CF1D" w:rsidR="00EC661B" w:rsidRPr="00EC661B" w:rsidRDefault="00EC661B" w:rsidP="006924E1">
            <w:pPr>
              <w:pStyle w:val="Bezatstarpm"/>
              <w:jc w:val="both"/>
              <w:rPr>
                <w:rFonts w:eastAsia="Times New Roman"/>
                <w:sz w:val="24"/>
                <w:szCs w:val="24"/>
                <w:lang w:eastAsia="lv-LV"/>
              </w:rPr>
            </w:pPr>
            <w:r w:rsidRPr="00590EB3">
              <w:rPr>
                <w:rFonts w:eastAsia="Times New Roman"/>
                <w:sz w:val="24"/>
                <w:szCs w:val="24"/>
              </w:rPr>
              <w:t>Anotācijas I sadaļas “Tiesību akta projekta izstrādes nepieciešamība” 2.punkta 5. – 7.rindkopu</w:t>
            </w:r>
            <w:r>
              <w:rPr>
                <w:rFonts w:eastAsia="Times New Roman"/>
                <w:sz w:val="24"/>
                <w:szCs w:val="24"/>
              </w:rPr>
              <w:t>.</w:t>
            </w:r>
          </w:p>
          <w:p w14:paraId="3906F1F6" w14:textId="3AEF8885" w:rsidR="00590EB3" w:rsidRPr="00590EB3" w:rsidRDefault="00590EB3" w:rsidP="00590EB3">
            <w:pPr>
              <w:pStyle w:val="Bezatstarpm"/>
              <w:ind w:firstLine="82"/>
              <w:rPr>
                <w:rFonts w:eastAsia="Times New Roman"/>
                <w:sz w:val="24"/>
                <w:szCs w:val="24"/>
                <w:lang w:eastAsia="lv-LV"/>
              </w:rPr>
            </w:pPr>
          </w:p>
        </w:tc>
        <w:tc>
          <w:tcPr>
            <w:tcW w:w="2693" w:type="dxa"/>
          </w:tcPr>
          <w:p w14:paraId="3028CB34" w14:textId="34977173" w:rsidR="0075419E" w:rsidRPr="00CC5818" w:rsidRDefault="00CC5818" w:rsidP="006717C7">
            <w:pPr>
              <w:rPr>
                <w:b/>
                <w:bCs/>
              </w:rPr>
            </w:pPr>
            <w:r w:rsidRPr="00CC5818">
              <w:rPr>
                <w:b/>
                <w:bCs/>
              </w:rPr>
              <w:lastRenderedPageBreak/>
              <w:t>Nav ņemts vērā.</w:t>
            </w:r>
          </w:p>
          <w:p w14:paraId="405AF994" w14:textId="09E39353" w:rsidR="00D06291" w:rsidRDefault="008B213C" w:rsidP="006924E1">
            <w:pPr>
              <w:jc w:val="both"/>
            </w:pPr>
            <w:r>
              <w:t>Mobilo sakaru tīklu operatori aicinājuši Nacionālajā numerācijas plānā nodalīt numerācijas resursus atbilstoši to izmantošanas mērķim: mobilā vai fiksētā elektronisko sakaru tīklā</w:t>
            </w:r>
            <w:r w:rsidR="00CB0C58">
              <w:t>.</w:t>
            </w:r>
          </w:p>
          <w:p w14:paraId="57730CA2" w14:textId="77777777" w:rsidR="009744A4" w:rsidRDefault="009744A4" w:rsidP="006717C7">
            <w:pPr>
              <w:rPr>
                <w:rFonts w:ascii="Arial" w:hAnsi="Arial" w:cs="Arial"/>
                <w:color w:val="414142"/>
                <w:sz w:val="20"/>
                <w:szCs w:val="20"/>
                <w:shd w:val="clear" w:color="auto" w:fill="FFFFFF"/>
              </w:rPr>
            </w:pPr>
          </w:p>
          <w:p w14:paraId="11BE055E" w14:textId="442C5096" w:rsidR="008B213C" w:rsidRPr="00CF5C41" w:rsidRDefault="009744A4" w:rsidP="00533972">
            <w:pPr>
              <w:jc w:val="both"/>
            </w:pPr>
            <w:r w:rsidRPr="00CF5C41">
              <w:rPr>
                <w:shd w:val="clear" w:color="auto" w:fill="FFFFFF"/>
              </w:rPr>
              <w:t xml:space="preserve">Atbilstoši Elektronisko sakaru likuma 56.pantam Ministru kabinets apstiprina nacionālo numerācijas plānu, kas nosaka numura struktūru un formātu tā identifikācijai un maršrutēšanai, numura sastādīšanas procedūras, kā arī numerācijas </w:t>
            </w:r>
            <w:r w:rsidRPr="00CF5C41">
              <w:rPr>
                <w:b/>
                <w:bCs/>
                <w:shd w:val="clear" w:color="auto" w:fill="FFFFFF"/>
              </w:rPr>
              <w:t>lietošanas mērķus un veidus</w:t>
            </w:r>
            <w:r w:rsidRPr="00CF5C41">
              <w:rPr>
                <w:shd w:val="clear" w:color="auto" w:fill="FFFFFF"/>
              </w:rPr>
              <w:t>.</w:t>
            </w:r>
          </w:p>
          <w:p w14:paraId="12D9B42A" w14:textId="77777777" w:rsidR="009744A4" w:rsidRPr="00CF5C41" w:rsidRDefault="009744A4" w:rsidP="006924E1">
            <w:pPr>
              <w:jc w:val="both"/>
            </w:pPr>
          </w:p>
          <w:p w14:paraId="0C72A525" w14:textId="01783BD9" w:rsidR="006924E1" w:rsidRPr="00047704" w:rsidRDefault="006924E1" w:rsidP="006924E1">
            <w:pPr>
              <w:jc w:val="both"/>
            </w:pPr>
            <w:r w:rsidRPr="00047704">
              <w:lastRenderedPageBreak/>
              <w:t xml:space="preserve">Norādot numuru apgabalam pazīmi pēc kura iespējams </w:t>
            </w:r>
            <w:r w:rsidR="005705E4" w:rsidRPr="00047704">
              <w:t>at</w:t>
            </w:r>
            <w:r w:rsidR="005705E4">
              <w:t>š</w:t>
            </w:r>
            <w:r w:rsidR="005705E4" w:rsidRPr="00047704">
              <w:t xml:space="preserve">ķirt </w:t>
            </w:r>
            <w:r w:rsidRPr="00047704">
              <w:t xml:space="preserve">tā pakalpojumu norisi publiskajā mobilajā vai publiskajā fiksētajā elektronisko sakaru tīklā, </w:t>
            </w:r>
            <w:r w:rsidRPr="002D4497">
              <w:rPr>
                <w:u w:val="single"/>
              </w:rPr>
              <w:t xml:space="preserve">tiek atvieglota pakalpojumu </w:t>
            </w:r>
            <w:r>
              <w:rPr>
                <w:u w:val="single"/>
              </w:rPr>
              <w:t xml:space="preserve">tehniskā </w:t>
            </w:r>
            <w:r w:rsidRPr="002D4497">
              <w:rPr>
                <w:u w:val="single"/>
              </w:rPr>
              <w:t xml:space="preserve">nodrošināšana </w:t>
            </w:r>
            <w:r>
              <w:rPr>
                <w:u w:val="single"/>
              </w:rPr>
              <w:t xml:space="preserve">un organizācija </w:t>
            </w:r>
            <w:r w:rsidRPr="002D4497">
              <w:rPr>
                <w:u w:val="single"/>
              </w:rPr>
              <w:t>operatora pusē</w:t>
            </w:r>
            <w:r w:rsidRPr="00047704">
              <w:t xml:space="preserve">, </w:t>
            </w:r>
            <w:r>
              <w:t xml:space="preserve">un </w:t>
            </w:r>
            <w:proofErr w:type="spellStart"/>
            <w:r w:rsidRPr="00047704">
              <w:t>perspektīvē</w:t>
            </w:r>
            <w:proofErr w:type="spellEnd"/>
            <w:r w:rsidRPr="00047704">
              <w:t xml:space="preserve"> veicin</w:t>
            </w:r>
            <w:r>
              <w:t>āta</w:t>
            </w:r>
            <w:r w:rsidRPr="00047704">
              <w:t xml:space="preserve"> </w:t>
            </w:r>
            <w:proofErr w:type="spellStart"/>
            <w:r w:rsidRPr="00047704">
              <w:t>IoT</w:t>
            </w:r>
            <w:proofErr w:type="spellEnd"/>
            <w:r w:rsidRPr="00047704">
              <w:t>/M2M pakalpojumu attīstīb</w:t>
            </w:r>
            <w:r>
              <w:t>a</w:t>
            </w:r>
            <w:r w:rsidRPr="00047704">
              <w:t>.</w:t>
            </w:r>
          </w:p>
          <w:p w14:paraId="17A0BCAB" w14:textId="77777777" w:rsidR="006924E1" w:rsidRDefault="006924E1" w:rsidP="006717C7"/>
          <w:p w14:paraId="62A1A6C5" w14:textId="4B7E9AE4" w:rsidR="00175348" w:rsidRDefault="008B213C" w:rsidP="006924E1">
            <w:pPr>
              <w:jc w:val="both"/>
            </w:pPr>
            <w:r>
              <w:t xml:space="preserve">Nosakot </w:t>
            </w:r>
            <w:r w:rsidRPr="00175348">
              <w:rPr>
                <w:i/>
              </w:rPr>
              <w:t>Piezīmes</w:t>
            </w:r>
            <w:r>
              <w:t xml:space="preserve">, </w:t>
            </w:r>
            <w:r w:rsidR="009744A4">
              <w:t xml:space="preserve">to </w:t>
            </w:r>
            <w:r>
              <w:t xml:space="preserve">mērķis ir skaidrība - lai šos iezīmētos diapazonus operators var piešķirt klientiem, zinot, ka SIM kartes mainīšana nebūs jāveic (tas sadārdzina pakalpojumu). M2M numerācijas ideja ir, lai katrai sīkākai iekārtai būtu savs numurs, attiecīgi šādu numuru pārvietošana būtu absurda. </w:t>
            </w:r>
          </w:p>
          <w:p w14:paraId="65E92264" w14:textId="77777777" w:rsidR="00175348" w:rsidRDefault="00175348" w:rsidP="006924E1">
            <w:pPr>
              <w:jc w:val="both"/>
            </w:pPr>
          </w:p>
          <w:p w14:paraId="07FF4640" w14:textId="1E607B4B" w:rsidR="008B213C" w:rsidRDefault="008B213C" w:rsidP="006924E1">
            <w:pPr>
              <w:jc w:val="both"/>
            </w:pPr>
            <w:r>
              <w:t xml:space="preserve">Ar Piezīmi (***) </w:t>
            </w:r>
            <w:r w:rsidR="00CB0C58">
              <w:t xml:space="preserve">tiek </w:t>
            </w:r>
            <w:r>
              <w:t>no</w:t>
            </w:r>
            <w:r w:rsidR="00CB0C58">
              <w:t>teikts</w:t>
            </w:r>
            <w:r>
              <w:t>, ka diapazonam nav numura pārvietošanas iespēja</w:t>
            </w:r>
            <w:r w:rsidR="00CB0C58">
              <w:t>s</w:t>
            </w:r>
            <w:r>
              <w:t xml:space="preserve"> uz citu tīklu. </w:t>
            </w:r>
          </w:p>
          <w:p w14:paraId="3890524C" w14:textId="77777777" w:rsidR="008B213C" w:rsidRDefault="008B213C" w:rsidP="006717C7"/>
          <w:p w14:paraId="1BDFF94B" w14:textId="1C6FEF34" w:rsidR="009744A4" w:rsidRDefault="009744A4" w:rsidP="00533972">
            <w:pPr>
              <w:jc w:val="both"/>
            </w:pPr>
            <w:r w:rsidRPr="00E27614">
              <w:lastRenderedPageBreak/>
              <w:t>Ievērojot minēto, VARAM uzskata, ka, norādot numuru apgabalam pazīmi pēc kura iespējams atšķirt tā pakalpojumu norisi publiskajā mobilajā vai publiskajā fiksētajā elektronisko sakaru tīklā</w:t>
            </w:r>
            <w:r w:rsidR="00E155B5" w:rsidRPr="00E27614">
              <w:t xml:space="preserve">, VARAM nepārkāpj </w:t>
            </w:r>
            <w:r w:rsidR="00E155B5" w:rsidRPr="00E27614">
              <w:rPr>
                <w:shd w:val="clear" w:color="auto" w:fill="FFFFFF"/>
              </w:rPr>
              <w:t>Elektronisko sakaru likuma 56.pantā ietverto deleģējumu, jo šādi precizē numerācijas lietošanas mērķus</w:t>
            </w:r>
            <w:r w:rsidR="00E155B5">
              <w:rPr>
                <w:b/>
                <w:bCs/>
                <w:color w:val="414142"/>
                <w:shd w:val="clear" w:color="auto" w:fill="FFFFFF"/>
              </w:rPr>
              <w:t>.</w:t>
            </w:r>
          </w:p>
          <w:p w14:paraId="23E7A3F0" w14:textId="77777777" w:rsidR="00D06291" w:rsidRDefault="00D06291" w:rsidP="006717C7"/>
          <w:p w14:paraId="2C296CEA" w14:textId="77777777" w:rsidR="006924E1" w:rsidRDefault="006924E1" w:rsidP="006717C7"/>
          <w:p w14:paraId="668D895C" w14:textId="1E2804AB" w:rsidR="007F61F9" w:rsidRPr="007F61F9" w:rsidRDefault="005E538C" w:rsidP="00B13061">
            <w:pPr>
              <w:rPr>
                <w:b/>
                <w:bCs/>
              </w:rPr>
            </w:pPr>
            <w:r>
              <w:rPr>
                <w:b/>
                <w:bCs/>
              </w:rPr>
              <w:t>Ņ</w:t>
            </w:r>
            <w:r w:rsidR="007F61F9" w:rsidRPr="007F61F9">
              <w:rPr>
                <w:b/>
                <w:bCs/>
              </w:rPr>
              <w:t>emts vērā.</w:t>
            </w:r>
          </w:p>
          <w:p w14:paraId="5A7D2B8E" w14:textId="49256050" w:rsidR="00B13061" w:rsidRPr="004B01EF" w:rsidRDefault="00A457DE" w:rsidP="00443215">
            <w:r>
              <w:t>Precizēts</w:t>
            </w:r>
            <w:r w:rsidR="007F61F9">
              <w:t xml:space="preserve"> </w:t>
            </w:r>
            <w:r w:rsidR="00443215">
              <w:t xml:space="preserve">noteikumu projekta anotācijas </w:t>
            </w:r>
            <w:r>
              <w:t>I</w:t>
            </w:r>
            <w:r w:rsidR="00443215">
              <w:t xml:space="preserve"> </w:t>
            </w:r>
            <w:r w:rsidR="00274395">
              <w:t>sa</w:t>
            </w:r>
            <w:r>
              <w:t>daļas 2.punkts.</w:t>
            </w:r>
          </w:p>
        </w:tc>
        <w:tc>
          <w:tcPr>
            <w:tcW w:w="2214" w:type="dxa"/>
          </w:tcPr>
          <w:p w14:paraId="064BF0F9" w14:textId="77777777" w:rsidR="0075419E" w:rsidRDefault="0075419E" w:rsidP="006854E5">
            <w:pPr>
              <w:jc w:val="center"/>
            </w:pPr>
          </w:p>
          <w:p w14:paraId="2A6831D6" w14:textId="77777777" w:rsidR="0075419E" w:rsidRDefault="0075419E" w:rsidP="006854E5">
            <w:pPr>
              <w:jc w:val="center"/>
            </w:pPr>
          </w:p>
          <w:p w14:paraId="7A4CAD1D" w14:textId="77777777" w:rsidR="0075419E" w:rsidRDefault="0075419E" w:rsidP="006854E5">
            <w:pPr>
              <w:jc w:val="center"/>
            </w:pPr>
          </w:p>
          <w:p w14:paraId="3B1FB24E" w14:textId="117CCC58" w:rsidR="00B13061" w:rsidRDefault="00590EB3" w:rsidP="0075419E">
            <w:pPr>
              <w:jc w:val="both"/>
            </w:pPr>
            <w:r w:rsidRPr="00590EB3">
              <w:t>Regulators lūdz svītrot Noteikumu projekta 1.pielikuma 1.</w:t>
            </w:r>
            <w:r w:rsidRPr="00590EB3">
              <w:rPr>
                <w:vertAlign w:val="superscript"/>
              </w:rPr>
              <w:t>1</w:t>
            </w:r>
            <w:r w:rsidRPr="00590EB3">
              <w:t xml:space="preserve"> tabulas 1. un 4.punktā noteikto piezīmi (***)</w:t>
            </w:r>
            <w:r w:rsidR="00A457DE">
              <w:t>.</w:t>
            </w:r>
            <w:r w:rsidRPr="00590EB3">
              <w:t xml:space="preserve"> </w:t>
            </w:r>
          </w:p>
          <w:p w14:paraId="36568493" w14:textId="77777777" w:rsidR="00B13061" w:rsidRDefault="00B13061" w:rsidP="0075419E">
            <w:pPr>
              <w:jc w:val="both"/>
            </w:pPr>
          </w:p>
          <w:p w14:paraId="7BB7F600" w14:textId="77777777" w:rsidR="00A457DE" w:rsidRDefault="00A457DE" w:rsidP="0075419E">
            <w:pPr>
              <w:jc w:val="both"/>
            </w:pPr>
          </w:p>
          <w:p w14:paraId="5B655A61" w14:textId="77777777" w:rsidR="00A457DE" w:rsidRDefault="00A457DE" w:rsidP="0075419E">
            <w:pPr>
              <w:jc w:val="both"/>
            </w:pPr>
          </w:p>
          <w:p w14:paraId="0EFCC17A" w14:textId="52F68370" w:rsidR="004A6C8A" w:rsidRPr="0069045E" w:rsidRDefault="004A6C8A" w:rsidP="0075419E">
            <w:pPr>
              <w:jc w:val="both"/>
              <w:rPr>
                <w:sz w:val="22"/>
                <w:szCs w:val="22"/>
              </w:rPr>
            </w:pPr>
          </w:p>
        </w:tc>
        <w:tc>
          <w:tcPr>
            <w:tcW w:w="2284" w:type="dxa"/>
          </w:tcPr>
          <w:p w14:paraId="4CDA558C" w14:textId="77777777" w:rsidR="00ED4996" w:rsidRDefault="00ED4996" w:rsidP="00ED4996">
            <w:pPr>
              <w:jc w:val="center"/>
              <w:rPr>
                <w:b/>
                <w:bCs/>
              </w:rPr>
            </w:pPr>
            <w:r>
              <w:t>“</w:t>
            </w:r>
            <w:proofErr w:type="spellStart"/>
            <w:r w:rsidRPr="002F332B">
              <w:rPr>
                <w:b/>
                <w:bCs/>
              </w:rPr>
              <w:t>IoT</w:t>
            </w:r>
            <w:proofErr w:type="spellEnd"/>
            <w:r w:rsidRPr="002F332B">
              <w:rPr>
                <w:b/>
                <w:bCs/>
              </w:rPr>
              <w:t>/M2M numuri</w:t>
            </w:r>
          </w:p>
          <w:p w14:paraId="6F10C86E" w14:textId="77777777" w:rsidR="00ED4996" w:rsidRPr="000C555B" w:rsidRDefault="00ED4996" w:rsidP="00ED4996">
            <w:pPr>
              <w:jc w:val="center"/>
              <w:rPr>
                <w:bCs/>
              </w:rPr>
            </w:pPr>
            <w:r w:rsidRPr="000C555B">
              <w:rPr>
                <w:bCs/>
              </w:rPr>
              <w:t>(tabula)</w:t>
            </w:r>
          </w:p>
          <w:p w14:paraId="71E6055D" w14:textId="77777777" w:rsidR="00ED4996" w:rsidRPr="00A21627" w:rsidRDefault="00ED4996" w:rsidP="00ED4996">
            <w:pPr>
              <w:pStyle w:val="Default"/>
              <w:ind w:firstLine="199"/>
              <w:rPr>
                <w:lang w:val="en-US"/>
              </w:rPr>
            </w:pPr>
            <w:r w:rsidRPr="00A21627">
              <w:t>1.</w:t>
            </w:r>
            <w:r w:rsidRPr="00A21627">
              <w:rPr>
                <w:vertAlign w:val="superscript"/>
              </w:rPr>
              <w:t>1</w:t>
            </w:r>
            <w:r w:rsidRPr="00A21627">
              <w:t xml:space="preserve"> tabulā</w:t>
            </w:r>
            <w:r>
              <w:t>:</w:t>
            </w:r>
          </w:p>
          <w:p w14:paraId="2068C616" w14:textId="4A4399EB" w:rsidR="00ED4996" w:rsidRPr="00070BAC" w:rsidRDefault="00ED4996" w:rsidP="00ED4996">
            <w:pPr>
              <w:pStyle w:val="Default"/>
              <w:rPr>
                <w:lang w:val="en-US"/>
              </w:rPr>
            </w:pPr>
            <w:r w:rsidRPr="00070BAC">
              <w:t>300 00X XXX XXX</w:t>
            </w:r>
            <w:r w:rsidR="00CC5818">
              <w:t>***</w:t>
            </w:r>
          </w:p>
          <w:p w14:paraId="6E83F2DC" w14:textId="77777777" w:rsidR="00ED4996" w:rsidRPr="00070BAC" w:rsidRDefault="00ED4996" w:rsidP="00ED4996">
            <w:pPr>
              <w:pStyle w:val="Default"/>
              <w:rPr>
                <w:lang w:val="en-US"/>
              </w:rPr>
            </w:pPr>
            <w:r w:rsidRPr="00070BAC">
              <w:rPr>
                <w:lang w:val="en-US"/>
              </w:rPr>
              <w:t>70 XXX XXX*</w:t>
            </w:r>
          </w:p>
          <w:p w14:paraId="5708DCF4" w14:textId="77777777" w:rsidR="00ED4996" w:rsidRPr="00070BAC" w:rsidRDefault="00ED4996" w:rsidP="00ED4996">
            <w:pPr>
              <w:pStyle w:val="Default"/>
              <w:rPr>
                <w:lang w:val="en-US"/>
              </w:rPr>
            </w:pPr>
            <w:r w:rsidRPr="00070BAC">
              <w:rPr>
                <w:lang w:val="en-US"/>
              </w:rPr>
              <w:t>71 XXX XXX*</w:t>
            </w:r>
          </w:p>
          <w:p w14:paraId="0A116060" w14:textId="77777777" w:rsidR="00ED4996" w:rsidRPr="00070BAC" w:rsidRDefault="00ED4996" w:rsidP="00ED4996">
            <w:pPr>
              <w:pStyle w:val="Default"/>
              <w:rPr>
                <w:lang w:val="en-US"/>
              </w:rPr>
            </w:pPr>
            <w:r w:rsidRPr="00070BAC">
              <w:rPr>
                <w:lang w:val="en-US"/>
              </w:rPr>
              <w:t>72 XXX XXX</w:t>
            </w:r>
            <w:r>
              <w:rPr>
                <w:lang w:val="en-US"/>
              </w:rPr>
              <w:t>***</w:t>
            </w:r>
          </w:p>
          <w:p w14:paraId="57AAED49" w14:textId="77777777" w:rsidR="00ED4996" w:rsidRPr="00070BAC" w:rsidRDefault="00ED4996" w:rsidP="00ED4996">
            <w:pPr>
              <w:pStyle w:val="Default"/>
              <w:rPr>
                <w:lang w:val="en-US"/>
              </w:rPr>
            </w:pPr>
            <w:r w:rsidRPr="00070BAC">
              <w:rPr>
                <w:lang w:val="en-US"/>
              </w:rPr>
              <w:t>73 XXX XXX**</w:t>
            </w:r>
          </w:p>
          <w:p w14:paraId="535DDC04" w14:textId="77777777" w:rsidR="00ED4996" w:rsidRPr="00070BAC" w:rsidRDefault="00ED4996" w:rsidP="00ED4996">
            <w:pPr>
              <w:rPr>
                <w:lang w:val="en-US"/>
              </w:rPr>
            </w:pPr>
            <w:r w:rsidRPr="00070BAC">
              <w:rPr>
                <w:lang w:val="en-US"/>
              </w:rPr>
              <w:t>74 XXX XXX**</w:t>
            </w:r>
          </w:p>
          <w:p w14:paraId="52CE5EC4" w14:textId="77777777" w:rsidR="00ED4996" w:rsidRPr="00070BAC" w:rsidRDefault="00ED4996" w:rsidP="00ED4996"/>
          <w:p w14:paraId="5C4A6EC9" w14:textId="77777777" w:rsidR="00ED4996" w:rsidRDefault="00ED4996" w:rsidP="0072188C">
            <w:pPr>
              <w:pStyle w:val="Default"/>
            </w:pPr>
            <w:r w:rsidRPr="00070BAC">
              <w:t>*diapazons izmantošanai tikai m</w:t>
            </w:r>
            <w:r>
              <w:t>obilo elektronisko sakaru tīklā;</w:t>
            </w:r>
            <w:r w:rsidRPr="00070BAC">
              <w:t xml:space="preserve"> </w:t>
            </w:r>
            <w:r w:rsidRPr="00070BAC">
              <w:br/>
              <w:t>**diapazons izmantošanai tikai fi</w:t>
            </w:r>
            <w:r>
              <w:t>ksētā elektronisko sakaru tīklā</w:t>
            </w:r>
            <w:r w:rsidRPr="00070BAC">
              <w:t xml:space="preserve">; </w:t>
            </w:r>
            <w:r w:rsidRPr="00070BAC">
              <w:br/>
              <w:t>***diapazons numuriem, kur numura pārvietošana nav tehniski iespējama.</w:t>
            </w:r>
            <w:r>
              <w:t>”</w:t>
            </w:r>
          </w:p>
          <w:p w14:paraId="5B0E883E" w14:textId="77777777" w:rsidR="007F61F9" w:rsidRDefault="007F61F9" w:rsidP="0072188C">
            <w:pPr>
              <w:pStyle w:val="Default"/>
            </w:pPr>
          </w:p>
          <w:p w14:paraId="6C5FDCAE" w14:textId="77777777" w:rsidR="007F61F9" w:rsidRDefault="007F61F9" w:rsidP="0072188C">
            <w:pPr>
              <w:pStyle w:val="Default"/>
            </w:pPr>
          </w:p>
          <w:p w14:paraId="5E15A630" w14:textId="77777777" w:rsidR="007F61F9" w:rsidRDefault="007F61F9" w:rsidP="0072188C">
            <w:pPr>
              <w:pStyle w:val="Default"/>
            </w:pPr>
          </w:p>
          <w:p w14:paraId="203E2294" w14:textId="77777777" w:rsidR="007F61F9" w:rsidRDefault="007F61F9" w:rsidP="0072188C">
            <w:pPr>
              <w:pStyle w:val="Default"/>
            </w:pPr>
          </w:p>
          <w:p w14:paraId="348E6E3A" w14:textId="77777777" w:rsidR="007F61F9" w:rsidRDefault="007F61F9" w:rsidP="0072188C">
            <w:pPr>
              <w:pStyle w:val="Default"/>
            </w:pPr>
          </w:p>
          <w:p w14:paraId="211C013C" w14:textId="77777777" w:rsidR="007F61F9" w:rsidRDefault="007F61F9" w:rsidP="0072188C">
            <w:pPr>
              <w:pStyle w:val="Default"/>
            </w:pPr>
          </w:p>
          <w:p w14:paraId="11972576" w14:textId="15C8B11A" w:rsidR="00300850" w:rsidRPr="0069045E" w:rsidRDefault="00300850" w:rsidP="00A457DE">
            <w:pPr>
              <w:jc w:val="both"/>
              <w:rPr>
                <w:sz w:val="22"/>
                <w:szCs w:val="22"/>
              </w:rPr>
            </w:pPr>
          </w:p>
        </w:tc>
      </w:tr>
      <w:tr w:rsidR="00F772CF" w:rsidRPr="0069045E" w14:paraId="7966B7A2" w14:textId="77777777" w:rsidTr="0072188C">
        <w:trPr>
          <w:jc w:val="center"/>
        </w:trPr>
        <w:tc>
          <w:tcPr>
            <w:tcW w:w="614" w:type="dxa"/>
          </w:tcPr>
          <w:p w14:paraId="749FAE0C" w14:textId="00AFB493" w:rsidR="00F772CF" w:rsidRDefault="00F772CF" w:rsidP="00CC0E16">
            <w:pPr>
              <w:tabs>
                <w:tab w:val="left" w:pos="71"/>
                <w:tab w:val="left" w:pos="360"/>
              </w:tabs>
              <w:jc w:val="both"/>
              <w:rPr>
                <w:sz w:val="22"/>
                <w:szCs w:val="22"/>
              </w:rPr>
            </w:pPr>
          </w:p>
          <w:p w14:paraId="50199681" w14:textId="77777777" w:rsidR="00F772CF" w:rsidRDefault="00F61888" w:rsidP="00CC0E16">
            <w:pPr>
              <w:tabs>
                <w:tab w:val="left" w:pos="71"/>
                <w:tab w:val="left" w:pos="360"/>
              </w:tabs>
              <w:jc w:val="both"/>
              <w:rPr>
                <w:sz w:val="22"/>
                <w:szCs w:val="22"/>
              </w:rPr>
            </w:pPr>
            <w:r>
              <w:rPr>
                <w:sz w:val="22"/>
                <w:szCs w:val="22"/>
              </w:rPr>
              <w:t>2.</w:t>
            </w:r>
          </w:p>
          <w:p w14:paraId="141D495D" w14:textId="77777777" w:rsidR="00F61888" w:rsidRPr="00CC0E16" w:rsidRDefault="00F61888" w:rsidP="00CC0E16">
            <w:pPr>
              <w:tabs>
                <w:tab w:val="left" w:pos="71"/>
                <w:tab w:val="left" w:pos="360"/>
              </w:tabs>
              <w:jc w:val="both"/>
              <w:rPr>
                <w:sz w:val="22"/>
                <w:szCs w:val="22"/>
              </w:rPr>
            </w:pPr>
          </w:p>
        </w:tc>
        <w:tc>
          <w:tcPr>
            <w:tcW w:w="2642" w:type="dxa"/>
          </w:tcPr>
          <w:p w14:paraId="6FAF197B" w14:textId="77777777" w:rsidR="00F772CF" w:rsidRDefault="00F772CF" w:rsidP="006C645D">
            <w:pPr>
              <w:pStyle w:val="Default"/>
            </w:pPr>
          </w:p>
          <w:p w14:paraId="3BCBCFC5" w14:textId="77777777" w:rsidR="005B12F4" w:rsidRPr="007B02EF" w:rsidRDefault="005B12F4" w:rsidP="005B12F4">
            <w:pPr>
              <w:rPr>
                <w:i/>
              </w:rPr>
            </w:pPr>
            <w:r w:rsidRPr="007B02EF">
              <w:rPr>
                <w:i/>
              </w:rPr>
              <w:t>Redakcija, izsludināta Valsts sekretāru sanāksmē:</w:t>
            </w:r>
          </w:p>
          <w:p w14:paraId="163B1BD4" w14:textId="77777777" w:rsidR="005B12F4" w:rsidRDefault="005B12F4" w:rsidP="005B12F4">
            <w:pPr>
              <w:jc w:val="center"/>
              <w:rPr>
                <w:b/>
                <w:bCs/>
              </w:rPr>
            </w:pPr>
            <w:r>
              <w:t>“</w:t>
            </w:r>
            <w:proofErr w:type="spellStart"/>
            <w:r w:rsidRPr="002F332B">
              <w:rPr>
                <w:b/>
                <w:bCs/>
              </w:rPr>
              <w:t>IoT</w:t>
            </w:r>
            <w:proofErr w:type="spellEnd"/>
            <w:r w:rsidRPr="002F332B">
              <w:rPr>
                <w:b/>
                <w:bCs/>
              </w:rPr>
              <w:t>/M2M numuri</w:t>
            </w:r>
          </w:p>
          <w:p w14:paraId="74A7598C" w14:textId="77777777" w:rsidR="005B12F4" w:rsidRPr="000C555B" w:rsidRDefault="005B12F4" w:rsidP="005B12F4">
            <w:pPr>
              <w:jc w:val="center"/>
              <w:rPr>
                <w:bCs/>
              </w:rPr>
            </w:pPr>
            <w:r w:rsidRPr="000C555B">
              <w:rPr>
                <w:bCs/>
              </w:rPr>
              <w:t>(tabula)</w:t>
            </w:r>
          </w:p>
          <w:p w14:paraId="53233F47" w14:textId="77777777" w:rsidR="005B12F4" w:rsidRPr="00A21627" w:rsidRDefault="005B12F4" w:rsidP="005B12F4">
            <w:pPr>
              <w:pStyle w:val="Default"/>
              <w:ind w:firstLine="199"/>
              <w:rPr>
                <w:lang w:val="en-US"/>
              </w:rPr>
            </w:pPr>
            <w:r w:rsidRPr="00A21627">
              <w:lastRenderedPageBreak/>
              <w:t>1.</w:t>
            </w:r>
            <w:r w:rsidRPr="00A21627">
              <w:rPr>
                <w:vertAlign w:val="superscript"/>
              </w:rPr>
              <w:t>1</w:t>
            </w:r>
            <w:r w:rsidRPr="00A21627">
              <w:t xml:space="preserve"> tabulā</w:t>
            </w:r>
            <w:r>
              <w:t>:</w:t>
            </w:r>
          </w:p>
          <w:p w14:paraId="0A3F6488" w14:textId="77777777" w:rsidR="005B12F4" w:rsidRPr="00A21627" w:rsidRDefault="005B12F4" w:rsidP="005B12F4">
            <w:pPr>
              <w:pStyle w:val="Default"/>
              <w:ind w:firstLine="199"/>
              <w:rPr>
                <w:lang w:val="en-US"/>
              </w:rPr>
            </w:pPr>
            <w:r w:rsidRPr="00A21627">
              <w:rPr>
                <w:lang w:val="en-US"/>
              </w:rPr>
              <w:t>70 XXX XXX*</w:t>
            </w:r>
          </w:p>
          <w:p w14:paraId="3D0071CD" w14:textId="77777777" w:rsidR="005B12F4" w:rsidRDefault="005B12F4" w:rsidP="005B12F4">
            <w:pPr>
              <w:pStyle w:val="Default"/>
              <w:ind w:firstLine="199"/>
              <w:rPr>
                <w:lang w:val="en-US"/>
              </w:rPr>
            </w:pPr>
            <w:r w:rsidRPr="00A21627">
              <w:rPr>
                <w:lang w:val="en-US"/>
              </w:rPr>
              <w:t>71 XXX XXX*</w:t>
            </w:r>
          </w:p>
          <w:p w14:paraId="551A8862" w14:textId="77777777" w:rsidR="005B12F4" w:rsidRPr="00A21627" w:rsidRDefault="005B12F4" w:rsidP="005B12F4">
            <w:pPr>
              <w:pStyle w:val="Default"/>
              <w:ind w:firstLine="199"/>
              <w:rPr>
                <w:lang w:val="en-US"/>
              </w:rPr>
            </w:pPr>
            <w:r>
              <w:rPr>
                <w:lang w:val="en-US"/>
              </w:rPr>
              <w:t xml:space="preserve">72 XXX </w:t>
            </w:r>
            <w:proofErr w:type="spellStart"/>
            <w:r>
              <w:rPr>
                <w:lang w:val="en-US"/>
              </w:rPr>
              <w:t>XXX</w:t>
            </w:r>
            <w:proofErr w:type="spellEnd"/>
          </w:p>
          <w:p w14:paraId="75EEF94E" w14:textId="77777777" w:rsidR="005B12F4" w:rsidRPr="00A21627" w:rsidRDefault="005B12F4" w:rsidP="005B12F4">
            <w:pPr>
              <w:pStyle w:val="Default"/>
              <w:ind w:firstLine="199"/>
              <w:rPr>
                <w:lang w:val="en-US"/>
              </w:rPr>
            </w:pPr>
            <w:r w:rsidRPr="00A21627">
              <w:rPr>
                <w:lang w:val="en-US"/>
              </w:rPr>
              <w:t>73 XXX XXX**</w:t>
            </w:r>
          </w:p>
          <w:p w14:paraId="6BDF2024" w14:textId="77777777" w:rsidR="005B12F4" w:rsidRPr="00A21627" w:rsidRDefault="005B12F4" w:rsidP="005B12F4">
            <w:pPr>
              <w:pStyle w:val="Default"/>
              <w:ind w:firstLine="199"/>
              <w:rPr>
                <w:color w:val="auto"/>
              </w:rPr>
            </w:pPr>
            <w:r w:rsidRPr="00A21627">
              <w:rPr>
                <w:lang w:val="en-US"/>
              </w:rPr>
              <w:t>74 XXX XXX**</w:t>
            </w:r>
          </w:p>
          <w:p w14:paraId="69E0FA30" w14:textId="77777777" w:rsidR="005B12F4" w:rsidRPr="00A21627" w:rsidRDefault="005B12F4" w:rsidP="005B12F4">
            <w:pPr>
              <w:pStyle w:val="Default"/>
              <w:ind w:firstLine="199"/>
              <w:jc w:val="center"/>
              <w:rPr>
                <w:color w:val="auto"/>
              </w:rPr>
            </w:pPr>
          </w:p>
          <w:p w14:paraId="76EB000A" w14:textId="77777777" w:rsidR="005B12F4" w:rsidRPr="00A21627" w:rsidRDefault="005B12F4" w:rsidP="005B12F4">
            <w:pPr>
              <w:jc w:val="both"/>
            </w:pPr>
            <w:r w:rsidRPr="00A21627">
              <w:t xml:space="preserve">Piezīme. </w:t>
            </w:r>
          </w:p>
          <w:p w14:paraId="306D8275" w14:textId="77777777" w:rsidR="005B12F4" w:rsidRPr="00A21627" w:rsidRDefault="005B12F4" w:rsidP="005B12F4">
            <w:pPr>
              <w:jc w:val="both"/>
              <w:rPr>
                <w:color w:val="000000"/>
                <w:lang w:val="en-US"/>
              </w:rPr>
            </w:pPr>
            <w:r w:rsidRPr="00A21627">
              <w:rPr>
                <w:color w:val="000000"/>
                <w:lang w:val="en-US"/>
              </w:rPr>
              <w:t xml:space="preserve">* </w:t>
            </w:r>
            <w:proofErr w:type="spellStart"/>
            <w:r w:rsidRPr="00A21627">
              <w:rPr>
                <w:color w:val="000000"/>
                <w:lang w:val="en-US"/>
              </w:rPr>
              <w:t>gadījumos</w:t>
            </w:r>
            <w:proofErr w:type="spellEnd"/>
            <w:r w:rsidRPr="00A21627">
              <w:rPr>
                <w:color w:val="000000"/>
                <w:lang w:val="en-US"/>
              </w:rPr>
              <w:t xml:space="preserve">, ja </w:t>
            </w:r>
            <w:proofErr w:type="spellStart"/>
            <w:r w:rsidRPr="00A21627">
              <w:rPr>
                <w:color w:val="000000"/>
                <w:lang w:val="en-US"/>
              </w:rPr>
              <w:t>numura</w:t>
            </w:r>
            <w:proofErr w:type="spellEnd"/>
            <w:r w:rsidRPr="00A21627">
              <w:rPr>
                <w:color w:val="000000"/>
                <w:lang w:val="en-US"/>
              </w:rPr>
              <w:t xml:space="preserve"> </w:t>
            </w:r>
            <w:proofErr w:type="spellStart"/>
            <w:r w:rsidRPr="00A21627">
              <w:rPr>
                <w:color w:val="000000"/>
                <w:lang w:val="en-US"/>
              </w:rPr>
              <w:t>saglabāšanas</w:t>
            </w:r>
            <w:proofErr w:type="spellEnd"/>
            <w:r w:rsidRPr="00A21627">
              <w:rPr>
                <w:color w:val="000000"/>
                <w:lang w:val="en-US"/>
              </w:rPr>
              <w:t xml:space="preserve"> </w:t>
            </w:r>
            <w:proofErr w:type="spellStart"/>
            <w:r w:rsidRPr="00A21627">
              <w:rPr>
                <w:color w:val="000000"/>
                <w:lang w:val="en-US"/>
              </w:rPr>
              <w:t>pakalpojumu</w:t>
            </w:r>
            <w:proofErr w:type="spellEnd"/>
            <w:r w:rsidRPr="00A21627">
              <w:rPr>
                <w:color w:val="000000"/>
                <w:lang w:val="en-US"/>
              </w:rPr>
              <w:t xml:space="preserve"> </w:t>
            </w:r>
            <w:proofErr w:type="spellStart"/>
            <w:r w:rsidRPr="00A21627">
              <w:rPr>
                <w:color w:val="000000"/>
                <w:lang w:val="en-US"/>
              </w:rPr>
              <w:t>nodrošina</w:t>
            </w:r>
            <w:proofErr w:type="spellEnd"/>
            <w:r w:rsidRPr="00A21627">
              <w:rPr>
                <w:color w:val="000000"/>
                <w:lang w:val="en-US"/>
              </w:rPr>
              <w:t xml:space="preserve"> </w:t>
            </w:r>
            <w:proofErr w:type="spellStart"/>
            <w:r w:rsidRPr="00A21627">
              <w:rPr>
                <w:color w:val="000000"/>
                <w:lang w:val="en-US"/>
              </w:rPr>
              <w:t>izmantojot</w:t>
            </w:r>
            <w:proofErr w:type="spellEnd"/>
            <w:r w:rsidRPr="00A21627">
              <w:rPr>
                <w:color w:val="000000"/>
                <w:lang w:val="en-US"/>
              </w:rPr>
              <w:t xml:space="preserve"> </w:t>
            </w:r>
            <w:proofErr w:type="spellStart"/>
            <w:r w:rsidRPr="00A21627">
              <w:rPr>
                <w:color w:val="000000"/>
                <w:lang w:val="en-US"/>
              </w:rPr>
              <w:t>maršrutizācijas</w:t>
            </w:r>
            <w:proofErr w:type="spellEnd"/>
            <w:r w:rsidRPr="00A21627">
              <w:rPr>
                <w:color w:val="000000"/>
                <w:lang w:val="en-US"/>
              </w:rPr>
              <w:t xml:space="preserve"> </w:t>
            </w:r>
            <w:proofErr w:type="spellStart"/>
            <w:r w:rsidRPr="00A21627">
              <w:rPr>
                <w:color w:val="000000"/>
                <w:lang w:val="en-US"/>
              </w:rPr>
              <w:t>prefiksu</w:t>
            </w:r>
            <w:proofErr w:type="spellEnd"/>
            <w:r w:rsidRPr="00A21627">
              <w:rPr>
                <w:color w:val="000000"/>
                <w:lang w:val="en-US"/>
              </w:rPr>
              <w:t>;</w:t>
            </w:r>
          </w:p>
          <w:p w14:paraId="7432A209" w14:textId="77777777" w:rsidR="005B12F4" w:rsidRPr="00A21627" w:rsidRDefault="005B12F4" w:rsidP="005B12F4">
            <w:pPr>
              <w:ind w:firstLine="720"/>
              <w:jc w:val="both"/>
              <w:rPr>
                <w:color w:val="000000"/>
                <w:lang w:val="en-US"/>
              </w:rPr>
            </w:pPr>
          </w:p>
          <w:p w14:paraId="557F23D0" w14:textId="77777777" w:rsidR="005B12F4" w:rsidRDefault="005B12F4" w:rsidP="005B12F4">
            <w:pPr>
              <w:tabs>
                <w:tab w:val="left" w:pos="709"/>
              </w:tabs>
              <w:spacing w:before="100" w:beforeAutospacing="1" w:after="100" w:afterAutospacing="1"/>
            </w:pPr>
            <w:r w:rsidRPr="00A21627">
              <w:rPr>
                <w:color w:val="000000"/>
                <w:lang w:val="en-US"/>
              </w:rPr>
              <w:t xml:space="preserve">** </w:t>
            </w:r>
            <w:proofErr w:type="spellStart"/>
            <w:r w:rsidRPr="00A21627">
              <w:rPr>
                <w:color w:val="000000"/>
                <w:lang w:val="en-US"/>
              </w:rPr>
              <w:t>gadījumos</w:t>
            </w:r>
            <w:proofErr w:type="spellEnd"/>
            <w:r w:rsidRPr="00A21627">
              <w:rPr>
                <w:color w:val="000000"/>
                <w:lang w:val="en-US"/>
              </w:rPr>
              <w:t xml:space="preserve">, ja  </w:t>
            </w:r>
            <w:proofErr w:type="spellStart"/>
            <w:r w:rsidRPr="00A21627">
              <w:rPr>
                <w:color w:val="000000"/>
                <w:lang w:val="en-US"/>
              </w:rPr>
              <w:t>numura</w:t>
            </w:r>
            <w:proofErr w:type="spellEnd"/>
            <w:r w:rsidRPr="00A21627">
              <w:rPr>
                <w:color w:val="000000"/>
                <w:lang w:val="en-US"/>
              </w:rPr>
              <w:t xml:space="preserve"> </w:t>
            </w:r>
            <w:proofErr w:type="spellStart"/>
            <w:r w:rsidRPr="00A21627">
              <w:rPr>
                <w:color w:val="000000"/>
                <w:lang w:val="en-US"/>
              </w:rPr>
              <w:t>saglabāšanas</w:t>
            </w:r>
            <w:proofErr w:type="spellEnd"/>
            <w:r w:rsidRPr="00A21627">
              <w:rPr>
                <w:color w:val="000000"/>
                <w:lang w:val="en-US"/>
              </w:rPr>
              <w:t xml:space="preserve"> </w:t>
            </w:r>
            <w:proofErr w:type="spellStart"/>
            <w:r w:rsidRPr="00A21627">
              <w:rPr>
                <w:color w:val="000000"/>
                <w:lang w:val="en-US"/>
              </w:rPr>
              <w:t>pakalpojumu</w:t>
            </w:r>
            <w:proofErr w:type="spellEnd"/>
            <w:r w:rsidRPr="00A21627">
              <w:rPr>
                <w:color w:val="000000"/>
                <w:lang w:val="en-US"/>
              </w:rPr>
              <w:t xml:space="preserve"> </w:t>
            </w:r>
            <w:proofErr w:type="spellStart"/>
            <w:r w:rsidRPr="00A21627">
              <w:rPr>
                <w:color w:val="000000"/>
                <w:lang w:val="en-US"/>
              </w:rPr>
              <w:t>nodrošina</w:t>
            </w:r>
            <w:proofErr w:type="spellEnd"/>
            <w:r w:rsidRPr="00A21627">
              <w:rPr>
                <w:color w:val="000000"/>
                <w:lang w:val="en-US"/>
              </w:rPr>
              <w:t xml:space="preserve"> </w:t>
            </w:r>
            <w:proofErr w:type="spellStart"/>
            <w:r w:rsidRPr="00A21627">
              <w:rPr>
                <w:color w:val="000000"/>
                <w:lang w:val="en-US"/>
              </w:rPr>
              <w:t>izmantojot</w:t>
            </w:r>
            <w:proofErr w:type="spellEnd"/>
            <w:r w:rsidRPr="00A21627">
              <w:rPr>
                <w:color w:val="000000"/>
                <w:lang w:val="en-US"/>
              </w:rPr>
              <w:t xml:space="preserve"> </w:t>
            </w:r>
            <w:proofErr w:type="spellStart"/>
            <w:r w:rsidRPr="00A21627">
              <w:rPr>
                <w:color w:val="000000"/>
                <w:lang w:val="en-US"/>
              </w:rPr>
              <w:t>maršrutizācijas</w:t>
            </w:r>
            <w:proofErr w:type="spellEnd"/>
            <w:r w:rsidRPr="00A21627">
              <w:rPr>
                <w:color w:val="000000"/>
                <w:lang w:val="en-US"/>
              </w:rPr>
              <w:t xml:space="preserve"> </w:t>
            </w:r>
            <w:proofErr w:type="spellStart"/>
            <w:r w:rsidRPr="00A21627">
              <w:rPr>
                <w:color w:val="000000"/>
                <w:lang w:val="en-US"/>
              </w:rPr>
              <w:t>numuru</w:t>
            </w:r>
            <w:proofErr w:type="spellEnd"/>
            <w:r w:rsidRPr="00A21627">
              <w:rPr>
                <w:color w:val="000000"/>
                <w:lang w:val="en-US"/>
              </w:rPr>
              <w:t>.</w:t>
            </w:r>
            <w:r>
              <w:rPr>
                <w:color w:val="000000"/>
                <w:lang w:val="en-US"/>
              </w:rPr>
              <w:t>”</w:t>
            </w:r>
          </w:p>
          <w:p w14:paraId="3B312BF2" w14:textId="77777777" w:rsidR="00F61888" w:rsidRDefault="00F61888" w:rsidP="006C645D">
            <w:pPr>
              <w:pStyle w:val="Default"/>
            </w:pPr>
          </w:p>
          <w:p w14:paraId="686FBB7A" w14:textId="77777777" w:rsidR="00F61888" w:rsidRDefault="00F61888" w:rsidP="006C645D">
            <w:pPr>
              <w:pStyle w:val="Default"/>
            </w:pPr>
          </w:p>
          <w:p w14:paraId="2B7178B9" w14:textId="77777777" w:rsidR="00F61888" w:rsidRDefault="00F61888" w:rsidP="006C645D">
            <w:pPr>
              <w:pStyle w:val="Default"/>
            </w:pPr>
          </w:p>
          <w:p w14:paraId="21782BFC" w14:textId="77777777" w:rsidR="00F61888" w:rsidRDefault="00F61888" w:rsidP="006C645D">
            <w:pPr>
              <w:pStyle w:val="Default"/>
            </w:pPr>
          </w:p>
          <w:p w14:paraId="42942BC8" w14:textId="77777777" w:rsidR="00F61888" w:rsidRPr="00F61888" w:rsidRDefault="00F61888" w:rsidP="006C645D">
            <w:pPr>
              <w:pStyle w:val="Default"/>
            </w:pPr>
          </w:p>
        </w:tc>
        <w:tc>
          <w:tcPr>
            <w:tcW w:w="4252" w:type="dxa"/>
          </w:tcPr>
          <w:p w14:paraId="242ADC37" w14:textId="78F97150" w:rsidR="005B12F4" w:rsidRDefault="005B12F4" w:rsidP="005B12F4">
            <w:pPr>
              <w:pStyle w:val="Sarakstarindkopa"/>
              <w:tabs>
                <w:tab w:val="left" w:pos="284"/>
              </w:tabs>
              <w:ind w:left="0"/>
              <w:jc w:val="both"/>
              <w:rPr>
                <w:bCs/>
                <w:i/>
              </w:rPr>
            </w:pPr>
            <w:r w:rsidRPr="001817F1">
              <w:rPr>
                <w:b/>
                <w:bCs/>
              </w:rPr>
              <w:lastRenderedPageBreak/>
              <w:t>Sabiedrisko pakalpojumu regulēšanas komisija</w:t>
            </w:r>
            <w:r>
              <w:rPr>
                <w:b/>
                <w:bCs/>
              </w:rPr>
              <w:t xml:space="preserve"> </w:t>
            </w:r>
            <w:r w:rsidR="003169EC" w:rsidRPr="003169EC">
              <w:rPr>
                <w:bCs/>
                <w:i/>
              </w:rPr>
              <w:t>Iebildums pēc izsludināšanas Valsts sekretāru sanāksmē</w:t>
            </w:r>
          </w:p>
          <w:p w14:paraId="147D0373" w14:textId="77777777" w:rsidR="003169EC" w:rsidRDefault="003169EC" w:rsidP="005B12F4">
            <w:pPr>
              <w:pStyle w:val="Sarakstarindkopa"/>
              <w:tabs>
                <w:tab w:val="left" w:pos="284"/>
              </w:tabs>
              <w:ind w:left="0"/>
              <w:jc w:val="both"/>
              <w:rPr>
                <w:b/>
                <w:bCs/>
              </w:rPr>
            </w:pPr>
          </w:p>
          <w:p w14:paraId="3BBDC13D" w14:textId="77777777" w:rsidR="005B12F4" w:rsidRPr="00B64A22" w:rsidRDefault="005B12F4" w:rsidP="005B12F4">
            <w:pPr>
              <w:pStyle w:val="Sarakstarindkopa"/>
              <w:tabs>
                <w:tab w:val="left" w:pos="284"/>
              </w:tabs>
              <w:ind w:left="0"/>
              <w:jc w:val="both"/>
            </w:pPr>
            <w:r w:rsidRPr="00B64A22">
              <w:t>Saskaņā ar Elektronisko sakaru likuma 56.</w:t>
            </w:r>
            <w:r>
              <w:t> </w:t>
            </w:r>
            <w:r w:rsidRPr="00B64A22">
              <w:t xml:space="preserve">pantā noteikto Ministru kabinets </w:t>
            </w:r>
            <w:r w:rsidRPr="00B64A22">
              <w:lastRenderedPageBreak/>
              <w:t>apstiprina nacionālo numerācijas plānu, kas nosaka numura struktūru un formātu tā identifikācijai un maršrutēšanai, numura sastādīšanas procedūras, kā arī numerācijas lietošanas mērķus un veidus.</w:t>
            </w:r>
          </w:p>
          <w:p w14:paraId="79AB0318" w14:textId="77777777" w:rsidR="005B12F4" w:rsidRDefault="005B12F4" w:rsidP="005B12F4">
            <w:pPr>
              <w:pStyle w:val="Bezatstarpm"/>
              <w:jc w:val="both"/>
              <w:rPr>
                <w:rFonts w:eastAsia="Times New Roman"/>
                <w:sz w:val="24"/>
                <w:szCs w:val="24"/>
              </w:rPr>
            </w:pPr>
          </w:p>
          <w:p w14:paraId="30A2A9EE" w14:textId="77777777" w:rsidR="005B12F4" w:rsidRPr="00B64A22" w:rsidRDefault="005B12F4" w:rsidP="005B12F4">
            <w:pPr>
              <w:pStyle w:val="Bezatstarpm"/>
              <w:jc w:val="both"/>
              <w:rPr>
                <w:rFonts w:eastAsia="Times New Roman"/>
                <w:sz w:val="24"/>
                <w:szCs w:val="24"/>
              </w:rPr>
            </w:pPr>
            <w:r w:rsidRPr="00B64A22">
              <w:rPr>
                <w:rFonts w:eastAsia="Times New Roman"/>
                <w:sz w:val="24"/>
                <w:szCs w:val="24"/>
              </w:rPr>
              <w:t>Noteikumu projekta 6.punkts paredz papildināt Ministru kabineta 2015.</w:t>
            </w:r>
            <w:r>
              <w:rPr>
                <w:rFonts w:eastAsia="Times New Roman"/>
                <w:sz w:val="24"/>
                <w:szCs w:val="24"/>
              </w:rPr>
              <w:t> </w:t>
            </w:r>
            <w:r w:rsidRPr="00B64A22">
              <w:rPr>
                <w:rFonts w:eastAsia="Times New Roman"/>
                <w:sz w:val="24"/>
                <w:szCs w:val="24"/>
              </w:rPr>
              <w:t>gada 30.</w:t>
            </w:r>
            <w:r>
              <w:rPr>
                <w:rFonts w:eastAsia="Times New Roman"/>
                <w:sz w:val="24"/>
                <w:szCs w:val="24"/>
              </w:rPr>
              <w:t> </w:t>
            </w:r>
            <w:r w:rsidRPr="00B64A22">
              <w:rPr>
                <w:rFonts w:eastAsia="Times New Roman"/>
                <w:sz w:val="24"/>
                <w:szCs w:val="24"/>
              </w:rPr>
              <w:t xml:space="preserve">jūnija noteikumu Nr.367 “Nacionālais numerācijas plāns” (turpmāk – </w:t>
            </w:r>
            <w:r w:rsidRPr="00B64A22">
              <w:rPr>
                <w:sz w:val="24"/>
                <w:szCs w:val="24"/>
              </w:rPr>
              <w:t>Nacionālais numerācijas plāns</w:t>
            </w:r>
            <w:r w:rsidRPr="00B64A22">
              <w:rPr>
                <w:rFonts w:eastAsia="Times New Roman"/>
                <w:sz w:val="24"/>
                <w:szCs w:val="24"/>
              </w:rPr>
              <w:t>) 1.pielikumu ar 1.</w:t>
            </w:r>
            <w:r w:rsidRPr="00B64A22">
              <w:rPr>
                <w:rFonts w:eastAsia="Times New Roman"/>
                <w:sz w:val="24"/>
                <w:szCs w:val="24"/>
                <w:vertAlign w:val="superscript"/>
              </w:rPr>
              <w:t>1</w:t>
            </w:r>
            <w:r w:rsidRPr="00B64A22">
              <w:rPr>
                <w:rFonts w:eastAsia="Times New Roman"/>
                <w:sz w:val="24"/>
                <w:szCs w:val="24"/>
              </w:rPr>
              <w:t> tabulu “</w:t>
            </w:r>
            <w:proofErr w:type="spellStart"/>
            <w:r w:rsidRPr="00B64A22">
              <w:rPr>
                <w:rFonts w:eastAsia="Times New Roman"/>
                <w:sz w:val="24"/>
                <w:szCs w:val="24"/>
              </w:rPr>
              <w:t>IoT</w:t>
            </w:r>
            <w:proofErr w:type="spellEnd"/>
            <w:r w:rsidRPr="00B64A22">
              <w:rPr>
                <w:rFonts w:eastAsia="Times New Roman"/>
                <w:sz w:val="24"/>
                <w:szCs w:val="24"/>
              </w:rPr>
              <w:t xml:space="preserve">/M2M numuri”, kurā ir noteikti numerācijas indeksi un lietošanas mērķis, kā arī piezīme par numura saglabāšanas pakalpojuma veidu. </w:t>
            </w:r>
            <w:r w:rsidRPr="00B64A22">
              <w:rPr>
                <w:sz w:val="24"/>
                <w:szCs w:val="24"/>
              </w:rPr>
              <w:t>Anotācijas I sadaļas “Tiesību akta projekta izstrādes nepieciešamība” 2.punkta 8.–12.rindkopā</w:t>
            </w:r>
            <w:r w:rsidRPr="00B64A22">
              <w:rPr>
                <w:rFonts w:eastAsia="Times New Roman"/>
                <w:sz w:val="24"/>
                <w:szCs w:val="24"/>
              </w:rPr>
              <w:t xml:space="preserve"> ir norādīts pamatojums numura saglabāšanas pakalpojuma pazīmes noteikšanai</w:t>
            </w:r>
          </w:p>
          <w:p w14:paraId="0887B1CB" w14:textId="77777777" w:rsidR="005B12F4" w:rsidRPr="005141BB" w:rsidRDefault="005B12F4" w:rsidP="005B12F4">
            <w:pPr>
              <w:contextualSpacing/>
              <w:jc w:val="both"/>
            </w:pPr>
            <w:r w:rsidRPr="005141BB">
              <w:t>Regulators neatbalsta Noteikumu projekta 1.pielikuma 1.</w:t>
            </w:r>
            <w:r w:rsidRPr="005141BB">
              <w:rPr>
                <w:vertAlign w:val="superscript"/>
              </w:rPr>
              <w:t>1</w:t>
            </w:r>
            <w:r w:rsidRPr="005141BB">
              <w:t xml:space="preserve"> tabulas 2.–6.punktā noteikto dalījumu attiecībā uz 8 ciparu mašīna – mašīna sakaru (</w:t>
            </w:r>
            <w:r w:rsidRPr="005141BB">
              <w:rPr>
                <w:i/>
                <w:iCs/>
              </w:rPr>
              <w:t>M2M</w:t>
            </w:r>
            <w:r w:rsidRPr="005141BB">
              <w:t xml:space="preserve"> jeb </w:t>
            </w:r>
            <w:proofErr w:type="spellStart"/>
            <w:r w:rsidRPr="005141BB">
              <w:rPr>
                <w:i/>
              </w:rPr>
              <w:t>Machine</w:t>
            </w:r>
            <w:proofErr w:type="spellEnd"/>
            <w:r w:rsidRPr="005141BB">
              <w:rPr>
                <w:i/>
              </w:rPr>
              <w:t xml:space="preserve"> to </w:t>
            </w:r>
            <w:proofErr w:type="spellStart"/>
            <w:r w:rsidRPr="005141BB">
              <w:rPr>
                <w:i/>
              </w:rPr>
              <w:t>Machine</w:t>
            </w:r>
            <w:proofErr w:type="spellEnd"/>
            <w:r w:rsidRPr="005141BB">
              <w:rPr>
                <w:i/>
              </w:rPr>
              <w:t xml:space="preserve"> </w:t>
            </w:r>
            <w:proofErr w:type="spellStart"/>
            <w:r w:rsidRPr="005141BB">
              <w:rPr>
                <w:i/>
                <w:shd w:val="clear" w:color="auto" w:fill="FFFFFF"/>
              </w:rPr>
              <w:t>communications</w:t>
            </w:r>
            <w:proofErr w:type="spellEnd"/>
            <w:r w:rsidRPr="005141BB">
              <w:t xml:space="preserve"> ar ko šeit saprot arī lietu interneta </w:t>
            </w:r>
            <w:proofErr w:type="spellStart"/>
            <w:r w:rsidRPr="005141BB">
              <w:rPr>
                <w:i/>
                <w:iCs/>
              </w:rPr>
              <w:t>IoT</w:t>
            </w:r>
            <w:proofErr w:type="spellEnd"/>
            <w:r w:rsidRPr="005141BB">
              <w:t xml:space="preserve"> jeb </w:t>
            </w:r>
            <w:r w:rsidRPr="005141BB">
              <w:rPr>
                <w:i/>
                <w:iCs/>
              </w:rPr>
              <w:t xml:space="preserve">Internet </w:t>
            </w:r>
            <w:proofErr w:type="spellStart"/>
            <w:r w:rsidRPr="005141BB">
              <w:rPr>
                <w:i/>
                <w:iCs/>
              </w:rPr>
              <w:t>of</w:t>
            </w:r>
            <w:proofErr w:type="spellEnd"/>
            <w:r w:rsidRPr="005141BB">
              <w:rPr>
                <w:i/>
                <w:iCs/>
              </w:rPr>
              <w:t xml:space="preserve"> </w:t>
            </w:r>
            <w:proofErr w:type="spellStart"/>
            <w:r w:rsidRPr="005141BB">
              <w:rPr>
                <w:i/>
                <w:iCs/>
              </w:rPr>
              <w:t>Things</w:t>
            </w:r>
            <w:proofErr w:type="spellEnd"/>
            <w:r w:rsidRPr="005141BB">
              <w:rPr>
                <w:i/>
                <w:iCs/>
              </w:rPr>
              <w:t xml:space="preserve">, </w:t>
            </w:r>
            <w:r w:rsidRPr="005141BB">
              <w:t xml:space="preserve">turpmāk abi kopā – </w:t>
            </w:r>
            <w:proofErr w:type="spellStart"/>
            <w:r w:rsidRPr="005141BB">
              <w:rPr>
                <w:i/>
                <w:iCs/>
              </w:rPr>
              <w:t>IoT</w:t>
            </w:r>
            <w:proofErr w:type="spellEnd"/>
            <w:r w:rsidRPr="005141BB">
              <w:rPr>
                <w:i/>
                <w:iCs/>
              </w:rPr>
              <w:t>/M2M</w:t>
            </w:r>
            <w:r w:rsidRPr="005141BB">
              <w:t>) numuriem. Noteikumu projekta 1.pielikuma 1.</w:t>
            </w:r>
            <w:r w:rsidRPr="005141BB">
              <w:rPr>
                <w:vertAlign w:val="superscript"/>
              </w:rPr>
              <w:t>1</w:t>
            </w:r>
            <w:r w:rsidRPr="005141BB">
              <w:t xml:space="preserve"> tabulas 2. un 3.punktā numerācijas indeksam “70XXXXXX – 71XXXXXX” noteikta piezīme – gadījumos, ja numura saglabāšanas pakalpojumu nodrošina izmantojot </w:t>
            </w:r>
            <w:r w:rsidRPr="004C3FFC">
              <w:rPr>
                <w:i/>
                <w:iCs/>
              </w:rPr>
              <w:t>maršrutizācijas prefiksu</w:t>
            </w:r>
            <w:r w:rsidRPr="005141BB">
              <w:t>, bet Noteikumu projekta 1.pielikuma 1.</w:t>
            </w:r>
            <w:r w:rsidRPr="005141BB">
              <w:rPr>
                <w:vertAlign w:val="superscript"/>
              </w:rPr>
              <w:t>1</w:t>
            </w:r>
            <w:r w:rsidRPr="005141BB">
              <w:t xml:space="preserve"> </w:t>
            </w:r>
            <w:r w:rsidRPr="005141BB">
              <w:lastRenderedPageBreak/>
              <w:t>tabulas 5. un 6.punktā numerācijas indeksam “73XXXXXX – 74XXXXXX” noteikta piezīme – gadījumos, ja numura saglabāšanas pakalpojumu nodrošina izmantojot maršrutizācijas numuru. Savukārt, no Noteikumu projekta 1.pielikuma 1.</w:t>
            </w:r>
            <w:r w:rsidRPr="005141BB">
              <w:rPr>
                <w:vertAlign w:val="superscript"/>
              </w:rPr>
              <w:t>1</w:t>
            </w:r>
            <w:r w:rsidRPr="005141BB">
              <w:t xml:space="preserve"> tabulas 4.punkta izriet, ka numerācijas indeksu “72XXXXXX” var lietot izmantojot gan maršrutizācijas prefiksu, gan maršrutizācijas numuru.</w:t>
            </w:r>
          </w:p>
          <w:p w14:paraId="58BC6507" w14:textId="77777777" w:rsidR="005B12F4" w:rsidRPr="005141BB" w:rsidRDefault="005B12F4" w:rsidP="005B12F4">
            <w:pPr>
              <w:ind w:firstLine="720"/>
              <w:contextualSpacing/>
              <w:jc w:val="both"/>
            </w:pPr>
            <w:r w:rsidRPr="005141BB">
              <w:t xml:space="preserve">Nacionālā numerācijas plāna 2.18.apakšpunkts noteic, ka </w:t>
            </w:r>
            <w:r w:rsidRPr="004C3FFC">
              <w:rPr>
                <w:i/>
                <w:iCs/>
              </w:rPr>
              <w:t>prefikss</w:t>
            </w:r>
            <w:r w:rsidRPr="005141BB">
              <w:t xml:space="preserve"> ir viens no īsā koda veidiem, kas publiskajā telefonu tīklā tiek sastādīts pirms izsaucamā numura, bet nav izsaucamā numura daļa un kas tiek lietots, lai piekļūtu publiskā telefonu tīkla pakalpojumiem (numerācijas plāna ietvaros tiek lietots viens prefikss – starptautiskais prefikss). </w:t>
            </w:r>
          </w:p>
          <w:p w14:paraId="4E7CA4CB" w14:textId="77777777" w:rsidR="005B12F4" w:rsidRPr="005141BB" w:rsidRDefault="005B12F4" w:rsidP="005B12F4">
            <w:pPr>
              <w:ind w:firstLine="720"/>
              <w:contextualSpacing/>
              <w:jc w:val="both"/>
            </w:pPr>
            <w:r w:rsidRPr="005141BB">
              <w:t xml:space="preserve">Ņemot vērā iepriekš minēto, Regulators norāda, ka normatīvajos aktos </w:t>
            </w:r>
            <w:r w:rsidRPr="00CA6698">
              <w:t>nav definēts, kas ir maršrutizācijas prefikss un maršrutizācijas numurs, bet gan tikai starptautiskais prefikss</w:t>
            </w:r>
            <w:r w:rsidRPr="005141BB">
              <w:t xml:space="preserve">, ko sastāda, lai veiktu izsaukumu starptautiskajā publiskajā telefonu tīklā. </w:t>
            </w:r>
          </w:p>
          <w:p w14:paraId="1ECAE520" w14:textId="77777777" w:rsidR="005B12F4" w:rsidRPr="00DF4449" w:rsidRDefault="005B12F4" w:rsidP="005B12F4">
            <w:pPr>
              <w:ind w:firstLine="720"/>
              <w:contextualSpacing/>
              <w:jc w:val="both"/>
            </w:pPr>
            <w:r w:rsidRPr="005141BB">
              <w:t>Regulators norāda, ka Nacionālais numerācijas plāns ir tehnoloģiski neitrāls un ar to nevajadzētu ierobežot elektronisko sakaru pakalpojumu tehnoloģisko attīstību</w:t>
            </w:r>
            <w:r w:rsidRPr="00DF4449">
              <w:t xml:space="preserve">. Papildus Regulators vērš uzmanību, ka elektronisko sakaru komersanti līdz šim paši ir spējuši savstarpēji vienoties kā tehnoloģiski nodrošināt numura </w:t>
            </w:r>
            <w:r w:rsidRPr="00DF4449">
              <w:lastRenderedPageBreak/>
              <w:t>saglabāšanas pakalpojumu jau esošajiem numuriem publiskā elektronisko sakaru telefonu tīklā, tajā skaitā publiskā fiksētā telefonu tīklā un publiskā mobilā telefonu tīklā. Proti, kad izmantot maršrutizācijas prefiksus (numura saglabāšanas pakalpojuma nodrošināšana publiskā mobilā elektronisko sakaru tīklā) un kad izmantot maršrutizācijas numurus (numura saglabāšanas pakalpojuma nodrošināšana publiskā fiksētā elektronisko sakaru tīklā).</w:t>
            </w:r>
          </w:p>
          <w:p w14:paraId="68C4CD3F" w14:textId="77777777" w:rsidR="005B12F4" w:rsidRPr="005141BB" w:rsidRDefault="005B12F4" w:rsidP="005B12F4">
            <w:pPr>
              <w:ind w:firstLine="720"/>
              <w:contextualSpacing/>
              <w:jc w:val="both"/>
            </w:pPr>
            <w:r w:rsidRPr="00DF4449">
              <w:t xml:space="preserve">Regulators norāda, ka </w:t>
            </w:r>
            <w:proofErr w:type="spellStart"/>
            <w:r w:rsidRPr="00DF4449">
              <w:t>IoT</w:t>
            </w:r>
            <w:proofErr w:type="spellEnd"/>
            <w:r w:rsidRPr="00DF4449">
              <w:t xml:space="preserve">/M2M numuri nav paredzēti </w:t>
            </w:r>
            <w:proofErr w:type="spellStart"/>
            <w:r w:rsidRPr="00DF4449">
              <w:t>starppersonu</w:t>
            </w:r>
            <w:proofErr w:type="spellEnd"/>
            <w:r w:rsidRPr="00DF4449">
              <w:t xml:space="preserve"> saziņas pakalpojumiem,</w:t>
            </w:r>
            <w:r w:rsidRPr="005141BB">
              <w:t xml:space="preserve"> līdz ar to tie pēc būtības ir līdzīgi pakalpojuma numuriem. Līdzīgi kā pakalpojuma numuriem numerācijas indeksos “80XXXXXX”, “81XXXXXX”, “90XXXXXX” un “78XXXXXX”, kuri ir piešķirami un lietojami neatkarīgi no elektronisko sakaru tīkla veida, arī </w:t>
            </w:r>
            <w:proofErr w:type="spellStart"/>
            <w:r w:rsidRPr="005141BB">
              <w:t>IoT</w:t>
            </w:r>
            <w:proofErr w:type="spellEnd"/>
            <w:r w:rsidRPr="005141BB">
              <w:t>/M2M numuriem nav pamata noteikt numerācijas lietošanas sadalījumu pēc numura saglabāšanas pakalpojuma veida vai elektronisko sakaru tīkla veida.</w:t>
            </w:r>
          </w:p>
          <w:p w14:paraId="6102D4CF" w14:textId="77777777" w:rsidR="005B12F4" w:rsidRPr="008237C8" w:rsidRDefault="005B12F4" w:rsidP="005B12F4">
            <w:pPr>
              <w:ind w:firstLine="567"/>
              <w:jc w:val="both"/>
            </w:pPr>
            <w:r w:rsidRPr="008237C8">
              <w:t xml:space="preserve">Papildus Regulators vērš uzmanību, ka Satiksmes ministrijas tīmekļvietnē sabiedriskai apspriešanai ievietotā likumprojekta “Elektronisko sakaru likums” (turpmāk – Likumprojekts) 40.panta otrā daļa noteic, ka numura saglabāšanas pakalpojumu M2M pakalpojuma numuriem un numuriem eksteritoriālai izmantošanai nodrošina, ja tas ir tehniski iespējams. </w:t>
            </w:r>
          </w:p>
          <w:p w14:paraId="44AAEAC2" w14:textId="77777777" w:rsidR="005B12F4" w:rsidRPr="0075419E" w:rsidRDefault="005B12F4" w:rsidP="005B12F4">
            <w:pPr>
              <w:ind w:firstLine="720"/>
              <w:contextualSpacing/>
              <w:jc w:val="both"/>
            </w:pPr>
          </w:p>
          <w:p w14:paraId="49607DEF" w14:textId="3CF81CB6" w:rsidR="00F61888" w:rsidRDefault="005B12F4" w:rsidP="00E56B23">
            <w:pPr>
              <w:pStyle w:val="Bezatstarpm"/>
              <w:ind w:firstLine="82"/>
              <w:jc w:val="both"/>
              <w:rPr>
                <w:rFonts w:eastAsia="Times New Roman"/>
                <w:sz w:val="22"/>
                <w:szCs w:val="22"/>
                <w:lang w:eastAsia="lv-LV"/>
              </w:rPr>
            </w:pPr>
            <w:r w:rsidRPr="0075419E">
              <w:rPr>
                <w:sz w:val="24"/>
                <w:szCs w:val="24"/>
                <w:u w:val="single"/>
              </w:rPr>
              <w:lastRenderedPageBreak/>
              <w:t>Ņemot vērā iepriekš minēto, Regulators lūdz svītrot Noteikumu projekta 1.pielikuma 1.</w:t>
            </w:r>
            <w:r w:rsidRPr="0075419E">
              <w:rPr>
                <w:sz w:val="24"/>
                <w:szCs w:val="24"/>
                <w:u w:val="single"/>
                <w:vertAlign w:val="superscript"/>
              </w:rPr>
              <w:t>1</w:t>
            </w:r>
            <w:r w:rsidRPr="0075419E">
              <w:rPr>
                <w:sz w:val="24"/>
                <w:szCs w:val="24"/>
                <w:u w:val="single"/>
              </w:rPr>
              <w:t xml:space="preserve"> tabulas 2., 3., 5. un 6.punktā noteiktās piezīmes (* un **) un Anotācijas I sadaļas “Tiesību akta projekta izstrādes nepieciešamība” 2.punkta 8.–12.rindkopu</w:t>
            </w:r>
            <w:r>
              <w:rPr>
                <w:sz w:val="24"/>
                <w:szCs w:val="24"/>
                <w:u w:val="single"/>
              </w:rPr>
              <w:t>.</w:t>
            </w:r>
          </w:p>
        </w:tc>
        <w:tc>
          <w:tcPr>
            <w:tcW w:w="2693" w:type="dxa"/>
          </w:tcPr>
          <w:p w14:paraId="21ECA83D" w14:textId="77777777" w:rsidR="00A457DE" w:rsidRPr="00F772CF" w:rsidRDefault="00A457DE" w:rsidP="00A457DE">
            <w:pPr>
              <w:spacing w:after="120"/>
              <w:jc w:val="both"/>
              <w:rPr>
                <w:b/>
              </w:rPr>
            </w:pPr>
            <w:r>
              <w:rPr>
                <w:b/>
              </w:rPr>
              <w:lastRenderedPageBreak/>
              <w:t>Daļēji ņ</w:t>
            </w:r>
            <w:r w:rsidRPr="00F772CF">
              <w:rPr>
                <w:b/>
              </w:rPr>
              <w:t>emts vērā.</w:t>
            </w:r>
          </w:p>
          <w:p w14:paraId="1AFA1025" w14:textId="636AB562" w:rsidR="003169EC" w:rsidRDefault="00A457DE" w:rsidP="00A457DE">
            <w:pPr>
              <w:spacing w:after="120"/>
              <w:jc w:val="both"/>
              <w:rPr>
                <w:bCs/>
                <w:iCs/>
              </w:rPr>
            </w:pPr>
            <w:r w:rsidRPr="005F5603">
              <w:rPr>
                <w:bCs/>
                <w:iCs/>
              </w:rPr>
              <w:t>Saskaņo</w:t>
            </w:r>
            <w:r w:rsidR="003169EC">
              <w:rPr>
                <w:bCs/>
                <w:iCs/>
              </w:rPr>
              <w:t>tas</w:t>
            </w:r>
          </w:p>
          <w:p w14:paraId="65ECBE52" w14:textId="38173A97" w:rsidR="00A457DE" w:rsidRPr="005F5603" w:rsidRDefault="003169EC" w:rsidP="00A457DE">
            <w:pPr>
              <w:spacing w:after="120"/>
              <w:jc w:val="both"/>
              <w:rPr>
                <w:bCs/>
                <w:iCs/>
              </w:rPr>
            </w:pPr>
            <w:r>
              <w:rPr>
                <w:bCs/>
                <w:iCs/>
              </w:rPr>
              <w:t>“</w:t>
            </w:r>
            <w:r w:rsidR="00A457DE" w:rsidRPr="005F5603">
              <w:rPr>
                <w:bCs/>
                <w:iCs/>
              </w:rPr>
              <w:t>Piezīmes</w:t>
            </w:r>
            <w:r w:rsidR="00A457DE">
              <w:rPr>
                <w:bCs/>
                <w:iCs/>
              </w:rPr>
              <w:t xml:space="preserve">: </w:t>
            </w:r>
          </w:p>
          <w:p w14:paraId="464E3AC9" w14:textId="760F089D" w:rsidR="00A457DE" w:rsidRDefault="00A457DE" w:rsidP="00A457DE">
            <w:pPr>
              <w:spacing w:after="120"/>
              <w:jc w:val="both"/>
              <w:rPr>
                <w:bCs/>
                <w:i/>
              </w:rPr>
            </w:pPr>
            <w:r w:rsidRPr="00070BAC">
              <w:t>*diapazons izmantošanai tikai m</w:t>
            </w:r>
            <w:r>
              <w:t xml:space="preserve">obilo elektronisko </w:t>
            </w:r>
            <w:r>
              <w:lastRenderedPageBreak/>
              <w:t>sakaru tīklā;</w:t>
            </w:r>
            <w:r w:rsidRPr="00070BAC">
              <w:t xml:space="preserve"> </w:t>
            </w:r>
            <w:r w:rsidRPr="00070BAC">
              <w:br/>
              <w:t>**diapazons izmantošanai tikai fi</w:t>
            </w:r>
            <w:r>
              <w:t>ksētā elektronisko sakaru tīklā</w:t>
            </w:r>
            <w:r w:rsidRPr="00070BAC">
              <w:t>;</w:t>
            </w:r>
            <w:r w:rsidR="003169EC">
              <w:t>”</w:t>
            </w:r>
          </w:p>
          <w:p w14:paraId="4232198B" w14:textId="77777777" w:rsidR="00A457DE" w:rsidRDefault="00A457DE" w:rsidP="00A457DE">
            <w:pPr>
              <w:spacing w:after="120"/>
              <w:jc w:val="both"/>
              <w:rPr>
                <w:bCs/>
                <w:i/>
              </w:rPr>
            </w:pPr>
          </w:p>
          <w:p w14:paraId="170AD240" w14:textId="77777777" w:rsidR="00A457DE" w:rsidRDefault="00A457DE" w:rsidP="00A457DE">
            <w:pPr>
              <w:spacing w:after="120"/>
              <w:jc w:val="both"/>
              <w:rPr>
                <w:bCs/>
                <w:i/>
              </w:rPr>
            </w:pPr>
            <w:r>
              <w:rPr>
                <w:bCs/>
                <w:i/>
              </w:rPr>
              <w:t>Viedokli sniedza pēc saskaņošanas sanāksmes.</w:t>
            </w:r>
          </w:p>
          <w:p w14:paraId="0697AB56" w14:textId="68CD531D" w:rsidR="003169EC" w:rsidRPr="003169EC" w:rsidRDefault="003169EC" w:rsidP="003169EC">
            <w:r w:rsidRPr="003169EC">
              <w:t>Nesaskaņo</w:t>
            </w:r>
            <w:r w:rsidR="00274395">
              <w:t xml:space="preserve"> </w:t>
            </w:r>
          </w:p>
          <w:p w14:paraId="1E364582" w14:textId="77777777" w:rsidR="00552512" w:rsidRDefault="003169EC" w:rsidP="003169EC">
            <w:r w:rsidRPr="003169EC">
              <w:t>“</w:t>
            </w:r>
            <w:r w:rsidR="00274395">
              <w:t xml:space="preserve">Piezīmi: </w:t>
            </w:r>
          </w:p>
          <w:p w14:paraId="0394ABD5" w14:textId="582BAA6F" w:rsidR="003169EC" w:rsidRPr="00070BAC" w:rsidRDefault="003169EC" w:rsidP="003169EC">
            <w:r w:rsidRPr="003169EC">
              <w:t>***diapazons numuriem, kur numura pārvietošana nav tehniski iespējama.”</w:t>
            </w:r>
          </w:p>
          <w:p w14:paraId="15CC1158" w14:textId="77777777" w:rsidR="00A457DE" w:rsidRDefault="00A457DE" w:rsidP="006717C7"/>
        </w:tc>
        <w:tc>
          <w:tcPr>
            <w:tcW w:w="2214" w:type="dxa"/>
          </w:tcPr>
          <w:p w14:paraId="1B9DDB2E" w14:textId="77777777" w:rsidR="00F772CF" w:rsidRDefault="00F772CF" w:rsidP="006854E5">
            <w:pPr>
              <w:jc w:val="center"/>
            </w:pPr>
          </w:p>
          <w:p w14:paraId="50C21670" w14:textId="77777777" w:rsidR="00A457DE" w:rsidRDefault="00A457DE" w:rsidP="00A457DE">
            <w:pPr>
              <w:spacing w:after="120"/>
              <w:jc w:val="both"/>
            </w:pPr>
          </w:p>
        </w:tc>
        <w:tc>
          <w:tcPr>
            <w:tcW w:w="2284" w:type="dxa"/>
          </w:tcPr>
          <w:p w14:paraId="490467A3" w14:textId="77777777" w:rsidR="00F772CF" w:rsidRDefault="00F772CF" w:rsidP="006854E5">
            <w:pPr>
              <w:pStyle w:val="Default"/>
              <w:ind w:firstLine="199"/>
              <w:jc w:val="center"/>
              <w:rPr>
                <w:color w:val="auto"/>
                <w:sz w:val="22"/>
                <w:szCs w:val="22"/>
              </w:rPr>
            </w:pPr>
          </w:p>
          <w:p w14:paraId="4908C2D6" w14:textId="77777777" w:rsidR="00A457DE" w:rsidRDefault="00A457DE" w:rsidP="00A457DE">
            <w:pPr>
              <w:tabs>
                <w:tab w:val="left" w:pos="709"/>
              </w:tabs>
              <w:spacing w:before="100" w:beforeAutospacing="1" w:after="100" w:afterAutospacing="1"/>
              <w:ind w:left="360"/>
            </w:pPr>
          </w:p>
          <w:p w14:paraId="702777C9" w14:textId="77777777" w:rsidR="00A457DE" w:rsidRDefault="00A457DE" w:rsidP="00A457DE">
            <w:pPr>
              <w:rPr>
                <w:b/>
                <w:bCs/>
              </w:rPr>
            </w:pPr>
            <w:r>
              <w:t>“</w:t>
            </w:r>
            <w:proofErr w:type="spellStart"/>
            <w:r w:rsidRPr="002F332B">
              <w:rPr>
                <w:b/>
                <w:bCs/>
              </w:rPr>
              <w:t>IoT</w:t>
            </w:r>
            <w:proofErr w:type="spellEnd"/>
            <w:r w:rsidRPr="002F332B">
              <w:rPr>
                <w:b/>
                <w:bCs/>
              </w:rPr>
              <w:t>/M2M numuri</w:t>
            </w:r>
          </w:p>
          <w:p w14:paraId="352B5760" w14:textId="77777777" w:rsidR="00A457DE" w:rsidRPr="000C555B" w:rsidRDefault="00A457DE" w:rsidP="00A457DE">
            <w:pPr>
              <w:jc w:val="center"/>
              <w:rPr>
                <w:bCs/>
              </w:rPr>
            </w:pPr>
            <w:r w:rsidRPr="000C555B">
              <w:rPr>
                <w:bCs/>
              </w:rPr>
              <w:t>(tabula)</w:t>
            </w:r>
          </w:p>
          <w:p w14:paraId="5AC3D35E" w14:textId="77777777" w:rsidR="00A457DE" w:rsidRPr="00A21627" w:rsidRDefault="00A457DE" w:rsidP="00A457DE">
            <w:pPr>
              <w:pStyle w:val="Default"/>
              <w:ind w:firstLine="199"/>
              <w:rPr>
                <w:lang w:val="en-US"/>
              </w:rPr>
            </w:pPr>
            <w:r w:rsidRPr="00A21627">
              <w:lastRenderedPageBreak/>
              <w:t>1.</w:t>
            </w:r>
            <w:r w:rsidRPr="00A21627">
              <w:rPr>
                <w:vertAlign w:val="superscript"/>
              </w:rPr>
              <w:t>1</w:t>
            </w:r>
            <w:r w:rsidRPr="00A21627">
              <w:t xml:space="preserve"> tabulā</w:t>
            </w:r>
            <w:r>
              <w:t>:</w:t>
            </w:r>
          </w:p>
          <w:p w14:paraId="2590A0A8" w14:textId="77777777" w:rsidR="00A457DE" w:rsidRPr="00070BAC" w:rsidRDefault="00A457DE" w:rsidP="00A457DE">
            <w:pPr>
              <w:pStyle w:val="Default"/>
              <w:rPr>
                <w:lang w:val="en-US"/>
              </w:rPr>
            </w:pPr>
            <w:r w:rsidRPr="00070BAC">
              <w:t>300 00X XXX XXX</w:t>
            </w:r>
            <w:r>
              <w:t>***</w:t>
            </w:r>
          </w:p>
          <w:p w14:paraId="387008E6" w14:textId="77777777" w:rsidR="00A457DE" w:rsidRPr="00070BAC" w:rsidRDefault="00A457DE" w:rsidP="00A457DE">
            <w:pPr>
              <w:pStyle w:val="Default"/>
              <w:rPr>
                <w:lang w:val="en-US"/>
              </w:rPr>
            </w:pPr>
            <w:r w:rsidRPr="00070BAC">
              <w:rPr>
                <w:lang w:val="en-US"/>
              </w:rPr>
              <w:t>70 XXX XXX*</w:t>
            </w:r>
          </w:p>
          <w:p w14:paraId="3D123E6A" w14:textId="77777777" w:rsidR="00A457DE" w:rsidRPr="00070BAC" w:rsidRDefault="00A457DE" w:rsidP="00A457DE">
            <w:pPr>
              <w:pStyle w:val="Default"/>
              <w:rPr>
                <w:lang w:val="en-US"/>
              </w:rPr>
            </w:pPr>
            <w:r w:rsidRPr="00070BAC">
              <w:rPr>
                <w:lang w:val="en-US"/>
              </w:rPr>
              <w:t>71 XXX XXX*</w:t>
            </w:r>
          </w:p>
          <w:p w14:paraId="7FF140B2" w14:textId="77777777" w:rsidR="00A457DE" w:rsidRPr="00070BAC" w:rsidRDefault="00A457DE" w:rsidP="00A457DE">
            <w:pPr>
              <w:pStyle w:val="Default"/>
              <w:rPr>
                <w:lang w:val="en-US"/>
              </w:rPr>
            </w:pPr>
            <w:r w:rsidRPr="00070BAC">
              <w:rPr>
                <w:lang w:val="en-US"/>
              </w:rPr>
              <w:t>72 XXX XXX</w:t>
            </w:r>
            <w:r>
              <w:rPr>
                <w:lang w:val="en-US"/>
              </w:rPr>
              <w:t>***</w:t>
            </w:r>
          </w:p>
          <w:p w14:paraId="654BE4D9" w14:textId="77777777" w:rsidR="00A457DE" w:rsidRPr="00070BAC" w:rsidRDefault="00A457DE" w:rsidP="00A457DE">
            <w:pPr>
              <w:pStyle w:val="Default"/>
              <w:rPr>
                <w:lang w:val="en-US"/>
              </w:rPr>
            </w:pPr>
            <w:r w:rsidRPr="00070BAC">
              <w:rPr>
                <w:lang w:val="en-US"/>
              </w:rPr>
              <w:t>73 XXX XXX**</w:t>
            </w:r>
          </w:p>
          <w:p w14:paraId="2B974029" w14:textId="77777777" w:rsidR="00A457DE" w:rsidRPr="00070BAC" w:rsidRDefault="00A457DE" w:rsidP="00A457DE">
            <w:pPr>
              <w:rPr>
                <w:lang w:val="en-US"/>
              </w:rPr>
            </w:pPr>
            <w:r w:rsidRPr="00070BAC">
              <w:rPr>
                <w:lang w:val="en-US"/>
              </w:rPr>
              <w:t>74 XXX XXX**</w:t>
            </w:r>
          </w:p>
          <w:p w14:paraId="64852AE0" w14:textId="77777777" w:rsidR="00A457DE" w:rsidRPr="00070BAC" w:rsidRDefault="00A457DE" w:rsidP="00A457DE"/>
          <w:p w14:paraId="00BF4F8B" w14:textId="7990B695" w:rsidR="00A457DE" w:rsidRPr="00070BAC" w:rsidRDefault="00A457DE" w:rsidP="00A457DE">
            <w:r w:rsidRPr="00070BAC">
              <w:t>*diapazons izmantošanai tikai m</w:t>
            </w:r>
            <w:r>
              <w:t>obilo elektronisko sakaru tīklā;</w:t>
            </w:r>
            <w:r w:rsidRPr="00070BAC">
              <w:t xml:space="preserve"> </w:t>
            </w:r>
            <w:r w:rsidRPr="00070BAC">
              <w:br/>
              <w:t>**diapazons izmantošanai tikai fi</w:t>
            </w:r>
            <w:r>
              <w:t>ksētā elektronisko sakaru tīklā</w:t>
            </w:r>
            <w:r w:rsidRPr="00070BAC">
              <w:t xml:space="preserve">; </w:t>
            </w:r>
            <w:r w:rsidRPr="00070BAC">
              <w:br/>
            </w:r>
            <w:r w:rsidRPr="003169EC">
              <w:t>***diapazons numuriem, kur numura pārvietošana nav tehniski iespējama.”</w:t>
            </w:r>
          </w:p>
          <w:p w14:paraId="40E3ACBD" w14:textId="77777777" w:rsidR="00A457DE" w:rsidRDefault="00A457DE" w:rsidP="006854E5">
            <w:pPr>
              <w:pStyle w:val="Default"/>
              <w:ind w:firstLine="199"/>
              <w:jc w:val="center"/>
              <w:rPr>
                <w:color w:val="auto"/>
                <w:sz w:val="22"/>
                <w:szCs w:val="22"/>
              </w:rPr>
            </w:pPr>
          </w:p>
        </w:tc>
      </w:tr>
    </w:tbl>
    <w:p w14:paraId="7BEADEB1" w14:textId="064A2C38" w:rsidR="00FD08B1" w:rsidRPr="0069045E" w:rsidRDefault="00FD08B1" w:rsidP="006854E5">
      <w:pPr>
        <w:pStyle w:val="naiskr"/>
        <w:spacing w:before="0" w:after="0"/>
        <w:ind w:firstLine="180"/>
        <w:rPr>
          <w:sz w:val="22"/>
          <w:szCs w:val="22"/>
        </w:rPr>
      </w:pPr>
    </w:p>
    <w:p w14:paraId="0E274CD5" w14:textId="77777777" w:rsidR="00EB2EDA" w:rsidRPr="009123FC" w:rsidRDefault="00EB2EDA" w:rsidP="006854E5">
      <w:pPr>
        <w:pStyle w:val="naiskr"/>
        <w:spacing w:before="0" w:after="0"/>
        <w:ind w:firstLine="180"/>
        <w:rPr>
          <w:sz w:val="22"/>
          <w:szCs w:val="22"/>
        </w:rPr>
      </w:pPr>
      <w:r w:rsidRPr="009123FC">
        <w:rPr>
          <w:sz w:val="22"/>
          <w:szCs w:val="22"/>
        </w:rPr>
        <w:t xml:space="preserve">Informācija par </w:t>
      </w:r>
      <w:proofErr w:type="spellStart"/>
      <w:r w:rsidRPr="009123FC">
        <w:rPr>
          <w:sz w:val="22"/>
          <w:szCs w:val="22"/>
        </w:rPr>
        <w:t>starpministriju</w:t>
      </w:r>
      <w:proofErr w:type="spellEnd"/>
      <w:r w:rsidRPr="009123FC">
        <w:rPr>
          <w:sz w:val="22"/>
          <w:szCs w:val="22"/>
        </w:rPr>
        <w:t xml:space="preserve"> (starpinstitūciju) sanāksmi vai elektronisko saskaņošanu </w:t>
      </w:r>
    </w:p>
    <w:tbl>
      <w:tblPr>
        <w:tblW w:w="12960" w:type="dxa"/>
        <w:tblCellSpacing w:w="0" w:type="dxa"/>
        <w:tblInd w:w="180" w:type="dxa"/>
        <w:tblCellMar>
          <w:left w:w="0" w:type="dxa"/>
          <w:right w:w="0" w:type="dxa"/>
        </w:tblCellMar>
        <w:tblLook w:val="0000" w:firstRow="0" w:lastRow="0" w:firstColumn="0" w:lastColumn="0" w:noHBand="0" w:noVBand="0"/>
      </w:tblPr>
      <w:tblGrid>
        <w:gridCol w:w="2520"/>
        <w:gridCol w:w="10440"/>
      </w:tblGrid>
      <w:tr w:rsidR="00086445" w:rsidRPr="009123FC" w14:paraId="1F5AEE57" w14:textId="77777777" w:rsidTr="00885D66">
        <w:trPr>
          <w:tblCellSpacing w:w="0" w:type="dxa"/>
        </w:trPr>
        <w:tc>
          <w:tcPr>
            <w:tcW w:w="2520" w:type="dxa"/>
          </w:tcPr>
          <w:p w14:paraId="476CA61B" w14:textId="77777777" w:rsidR="00EB2EDA" w:rsidRPr="009123FC" w:rsidRDefault="00EB2EDA" w:rsidP="006854E5">
            <w:pPr>
              <w:pStyle w:val="naiskr"/>
              <w:spacing w:before="0" w:after="0"/>
              <w:rPr>
                <w:sz w:val="22"/>
                <w:szCs w:val="22"/>
              </w:rPr>
            </w:pPr>
            <w:r w:rsidRPr="009123FC">
              <w:rPr>
                <w:sz w:val="22"/>
                <w:szCs w:val="22"/>
              </w:rPr>
              <w:t>Datums</w:t>
            </w:r>
            <w:r w:rsidR="00A37727" w:rsidRPr="009123FC">
              <w:rPr>
                <w:sz w:val="22"/>
                <w:szCs w:val="22"/>
              </w:rPr>
              <w:t>:</w:t>
            </w:r>
          </w:p>
          <w:p w14:paraId="14BB3922" w14:textId="4F81F3A3" w:rsidR="007D3B99" w:rsidRPr="009123FC" w:rsidRDefault="007D3B99" w:rsidP="006854E5">
            <w:pPr>
              <w:pStyle w:val="naiskr"/>
              <w:spacing w:before="0" w:after="0"/>
              <w:rPr>
                <w:sz w:val="22"/>
                <w:szCs w:val="22"/>
              </w:rPr>
            </w:pPr>
          </w:p>
        </w:tc>
        <w:tc>
          <w:tcPr>
            <w:tcW w:w="10440" w:type="dxa"/>
            <w:tcBorders>
              <w:top w:val="nil"/>
              <w:left w:val="nil"/>
              <w:bottom w:val="single" w:sz="8" w:space="0" w:color="000000"/>
              <w:right w:val="nil"/>
            </w:tcBorders>
          </w:tcPr>
          <w:p w14:paraId="6D8B9834" w14:textId="25E0C833" w:rsidR="00E87B45" w:rsidRPr="009123FC" w:rsidRDefault="007D3B99" w:rsidP="006E3AB0">
            <w:pPr>
              <w:pStyle w:val="naisf"/>
              <w:spacing w:before="0" w:after="0"/>
              <w:ind w:firstLine="0"/>
              <w:rPr>
                <w:sz w:val="22"/>
                <w:szCs w:val="22"/>
              </w:rPr>
            </w:pPr>
            <w:r w:rsidRPr="009123FC">
              <w:rPr>
                <w:sz w:val="22"/>
                <w:szCs w:val="22"/>
              </w:rPr>
              <w:t>Saskaņošanas sanāksme 2020.</w:t>
            </w:r>
            <w:r w:rsidR="007E041C" w:rsidRPr="009123FC">
              <w:rPr>
                <w:sz w:val="22"/>
                <w:szCs w:val="22"/>
              </w:rPr>
              <w:t> </w:t>
            </w:r>
            <w:r w:rsidRPr="009123FC">
              <w:rPr>
                <w:sz w:val="22"/>
                <w:szCs w:val="22"/>
              </w:rPr>
              <w:t>gada</w:t>
            </w:r>
            <w:r w:rsidR="00433BB1">
              <w:rPr>
                <w:sz w:val="22"/>
                <w:szCs w:val="22"/>
              </w:rPr>
              <w:t xml:space="preserve"> 3. septembrī</w:t>
            </w:r>
            <w:r w:rsidR="00886648">
              <w:rPr>
                <w:sz w:val="22"/>
                <w:szCs w:val="22"/>
              </w:rPr>
              <w:t xml:space="preserve"> plkst.14.30.</w:t>
            </w:r>
            <w:r w:rsidR="00F23BAD">
              <w:rPr>
                <w:sz w:val="22"/>
                <w:szCs w:val="22"/>
              </w:rPr>
              <w:t xml:space="preserve">; Nosūtīts atkārtotai elektroniskai saskaņošanai </w:t>
            </w:r>
            <w:r w:rsidR="00F23BAD" w:rsidRPr="009123FC">
              <w:rPr>
                <w:sz w:val="22"/>
                <w:szCs w:val="22"/>
              </w:rPr>
              <w:t>2020. gada</w:t>
            </w:r>
            <w:r w:rsidR="00F23BAD">
              <w:rPr>
                <w:sz w:val="22"/>
                <w:szCs w:val="22"/>
              </w:rPr>
              <w:t xml:space="preserve"> 8. septembrī;</w:t>
            </w:r>
          </w:p>
        </w:tc>
      </w:tr>
      <w:tr w:rsidR="00FC2EAA" w:rsidRPr="009123FC" w14:paraId="052116D6" w14:textId="77777777" w:rsidTr="00885D66">
        <w:trPr>
          <w:tblCellSpacing w:w="0" w:type="dxa"/>
        </w:trPr>
        <w:tc>
          <w:tcPr>
            <w:tcW w:w="2520" w:type="dxa"/>
            <w:vAlign w:val="center"/>
          </w:tcPr>
          <w:p w14:paraId="7E76455C" w14:textId="1AA37A03" w:rsidR="00EB2EDA" w:rsidRPr="009123FC" w:rsidRDefault="00EB2EDA" w:rsidP="006854E5">
            <w:pPr>
              <w:pStyle w:val="naiskr"/>
              <w:spacing w:before="0" w:after="0"/>
              <w:rPr>
                <w:sz w:val="22"/>
                <w:szCs w:val="22"/>
              </w:rPr>
            </w:pPr>
            <w:r w:rsidRPr="009123FC">
              <w:rPr>
                <w:sz w:val="22"/>
                <w:szCs w:val="22"/>
              </w:rPr>
              <w:t>Saskaņošanas dalībnieki</w:t>
            </w:r>
            <w:r w:rsidR="00A37727" w:rsidRPr="009123FC">
              <w:rPr>
                <w:sz w:val="22"/>
                <w:szCs w:val="22"/>
              </w:rPr>
              <w:t>:</w:t>
            </w:r>
          </w:p>
        </w:tc>
        <w:tc>
          <w:tcPr>
            <w:tcW w:w="10440" w:type="dxa"/>
            <w:vAlign w:val="center"/>
          </w:tcPr>
          <w:p w14:paraId="41E9C0C0" w14:textId="77777777" w:rsidR="001A4783" w:rsidRPr="001A4783" w:rsidRDefault="00EB2EDA" w:rsidP="001A4783">
            <w:pPr>
              <w:rPr>
                <w:color w:val="2A2A2A"/>
                <w:sz w:val="22"/>
                <w:szCs w:val="22"/>
                <w:shd w:val="clear" w:color="auto" w:fill="FFFFFF"/>
              </w:rPr>
            </w:pPr>
            <w:r w:rsidRPr="009123FC">
              <w:rPr>
                <w:sz w:val="22"/>
                <w:szCs w:val="22"/>
              </w:rPr>
              <w:t>Tieslietu ministrija</w:t>
            </w:r>
            <w:r w:rsidR="00503320" w:rsidRPr="00E43E26">
              <w:rPr>
                <w:sz w:val="22"/>
                <w:szCs w:val="22"/>
              </w:rPr>
              <w:t>,</w:t>
            </w:r>
            <w:r w:rsidR="000D288A" w:rsidRPr="00E43E26">
              <w:rPr>
                <w:sz w:val="22"/>
                <w:szCs w:val="22"/>
              </w:rPr>
              <w:t xml:space="preserve"> Finanšu ministrija, Satiksmes ministrija, </w:t>
            </w:r>
            <w:r w:rsidR="00D42F8D" w:rsidRPr="00E43E26">
              <w:rPr>
                <w:sz w:val="22"/>
                <w:szCs w:val="22"/>
              </w:rPr>
              <w:t xml:space="preserve">Sabiedrisko pakalpojumu regulēšanas komisija, </w:t>
            </w:r>
            <w:r w:rsidR="00C91105" w:rsidRPr="00E43E26">
              <w:rPr>
                <w:sz w:val="22"/>
                <w:szCs w:val="22"/>
              </w:rPr>
              <w:t>Latvijas Darba devēju konfederācija</w:t>
            </w:r>
            <w:r w:rsidR="001A4783" w:rsidRPr="00E43E26">
              <w:rPr>
                <w:sz w:val="22"/>
                <w:szCs w:val="22"/>
              </w:rPr>
              <w:t xml:space="preserve">, </w:t>
            </w:r>
            <w:r w:rsidR="001A4783" w:rsidRPr="00E43E26">
              <w:rPr>
                <w:sz w:val="22"/>
                <w:szCs w:val="22"/>
                <w:shd w:val="clear" w:color="auto" w:fill="FFFFFF"/>
              </w:rPr>
              <w:t xml:space="preserve">Latvijas Pašvaldību savienība </w:t>
            </w:r>
          </w:p>
          <w:p w14:paraId="1A4FDEBF" w14:textId="2A20C9AA" w:rsidR="00EB2EDA" w:rsidRPr="009123FC" w:rsidRDefault="00EB2EDA" w:rsidP="001A4783">
            <w:pPr>
              <w:pStyle w:val="naisf"/>
              <w:spacing w:before="0" w:after="0"/>
              <w:ind w:firstLine="0"/>
              <w:rPr>
                <w:sz w:val="22"/>
                <w:szCs w:val="22"/>
              </w:rPr>
            </w:pPr>
          </w:p>
        </w:tc>
      </w:tr>
    </w:tbl>
    <w:p w14:paraId="6175D43A" w14:textId="77777777" w:rsidR="00EB2EDA" w:rsidRPr="009123FC" w:rsidRDefault="00EB2EDA" w:rsidP="006854E5">
      <w:pPr>
        <w:rPr>
          <w:sz w:val="22"/>
          <w:szCs w:val="22"/>
        </w:rPr>
      </w:pPr>
    </w:p>
    <w:tbl>
      <w:tblPr>
        <w:tblW w:w="12645" w:type="dxa"/>
        <w:tblCellSpacing w:w="0" w:type="dxa"/>
        <w:tblInd w:w="180" w:type="dxa"/>
        <w:tblCellMar>
          <w:left w:w="0" w:type="dxa"/>
          <w:right w:w="0" w:type="dxa"/>
        </w:tblCellMar>
        <w:tblLook w:val="0000" w:firstRow="0" w:lastRow="0" w:firstColumn="0" w:lastColumn="0" w:noHBand="0" w:noVBand="0"/>
      </w:tblPr>
      <w:tblGrid>
        <w:gridCol w:w="6624"/>
        <w:gridCol w:w="6021"/>
      </w:tblGrid>
      <w:tr w:rsidR="00620EB3" w:rsidRPr="009123FC" w14:paraId="36A33E91" w14:textId="77777777" w:rsidTr="00C925BE">
        <w:trPr>
          <w:tblCellSpacing w:w="0" w:type="dxa"/>
        </w:trPr>
        <w:tc>
          <w:tcPr>
            <w:tcW w:w="12645" w:type="dxa"/>
            <w:gridSpan w:val="2"/>
          </w:tcPr>
          <w:p w14:paraId="31D0E9B9" w14:textId="4A7E00EE" w:rsidR="00620EB3" w:rsidRPr="009123FC" w:rsidRDefault="00620EB3" w:rsidP="004978BE">
            <w:pPr>
              <w:pStyle w:val="naiskr"/>
              <w:spacing w:before="0" w:after="0"/>
              <w:rPr>
                <w:sz w:val="22"/>
                <w:szCs w:val="22"/>
              </w:rPr>
            </w:pPr>
            <w:r w:rsidRPr="009123FC">
              <w:rPr>
                <w:sz w:val="22"/>
                <w:szCs w:val="22"/>
              </w:rPr>
              <w:t>Saskaņošanas dalībnieki izskatīja šādu ministriju (citu institūciju) i</w:t>
            </w:r>
            <w:r w:rsidR="004978BE" w:rsidRPr="009123FC">
              <w:rPr>
                <w:sz w:val="22"/>
                <w:szCs w:val="22"/>
              </w:rPr>
              <w:t xml:space="preserve">ebildumus: </w:t>
            </w:r>
            <w:r w:rsidR="00B67EB7" w:rsidRPr="009123FC">
              <w:rPr>
                <w:sz w:val="22"/>
                <w:szCs w:val="22"/>
              </w:rPr>
              <w:t xml:space="preserve">Satiksmes ministrija, </w:t>
            </w:r>
            <w:r w:rsidR="00D42F8D" w:rsidRPr="009123FC">
              <w:rPr>
                <w:sz w:val="22"/>
                <w:szCs w:val="22"/>
              </w:rPr>
              <w:t xml:space="preserve">Sabiedrisko pakalpojumu regulēšanas komisija, </w:t>
            </w:r>
            <w:r w:rsidR="00D42F8D" w:rsidRPr="009123FC">
              <w:rPr>
                <w:color w:val="000000"/>
                <w:sz w:val="22"/>
                <w:szCs w:val="22"/>
              </w:rPr>
              <w:t>Latvijas Darba devēju konfederācija</w:t>
            </w:r>
            <w:r w:rsidR="00327ADA" w:rsidRPr="009123FC">
              <w:rPr>
                <w:color w:val="000000"/>
                <w:sz w:val="22"/>
                <w:szCs w:val="22"/>
              </w:rPr>
              <w:t xml:space="preserve">, </w:t>
            </w:r>
            <w:r w:rsidR="00327ADA" w:rsidRPr="009123FC">
              <w:rPr>
                <w:bCs/>
                <w:sz w:val="22"/>
                <w:szCs w:val="22"/>
              </w:rPr>
              <w:t>“Latvijas Mobilais Telefons” SIA</w:t>
            </w:r>
            <w:r w:rsidR="007D3B99" w:rsidRPr="009123FC">
              <w:rPr>
                <w:color w:val="000000"/>
                <w:sz w:val="22"/>
                <w:szCs w:val="22"/>
              </w:rPr>
              <w:t>.</w:t>
            </w:r>
          </w:p>
        </w:tc>
      </w:tr>
      <w:tr w:rsidR="00086445" w:rsidRPr="0069045E" w14:paraId="0E8864FA" w14:textId="77777777" w:rsidTr="00965D9D">
        <w:trPr>
          <w:trHeight w:val="1052"/>
          <w:tblCellSpacing w:w="0" w:type="dxa"/>
        </w:trPr>
        <w:tc>
          <w:tcPr>
            <w:tcW w:w="6624" w:type="dxa"/>
            <w:vAlign w:val="center"/>
          </w:tcPr>
          <w:p w14:paraId="66CF59BF" w14:textId="77777777" w:rsidR="00A37727" w:rsidRPr="0069045E" w:rsidRDefault="00A37727" w:rsidP="006854E5">
            <w:pPr>
              <w:pStyle w:val="naiskr"/>
              <w:spacing w:before="0" w:after="0"/>
              <w:rPr>
                <w:sz w:val="22"/>
                <w:szCs w:val="22"/>
              </w:rPr>
            </w:pPr>
          </w:p>
          <w:p w14:paraId="2FA40AC8" w14:textId="3BB2F125" w:rsidR="00EB2EDA" w:rsidRPr="0069045E" w:rsidRDefault="00EB2EDA" w:rsidP="006854E5">
            <w:pPr>
              <w:pStyle w:val="naiskr"/>
              <w:spacing w:before="0" w:after="0"/>
              <w:rPr>
                <w:sz w:val="22"/>
                <w:szCs w:val="22"/>
              </w:rPr>
            </w:pPr>
            <w:r w:rsidRPr="0069045E">
              <w:rPr>
                <w:sz w:val="22"/>
                <w:szCs w:val="22"/>
              </w:rPr>
              <w:t>Ministrijas (citas institūcijas), kuras nav ieradušās uz sanāksmi vai kuras nav atbildējušas uz uzaicinājumu piedalīties elektroniskajā saskaņošanā</w:t>
            </w:r>
            <w:r w:rsidR="00A37727" w:rsidRPr="0069045E">
              <w:rPr>
                <w:sz w:val="22"/>
                <w:szCs w:val="22"/>
              </w:rPr>
              <w:t>:</w:t>
            </w:r>
          </w:p>
          <w:p w14:paraId="4BF9F57A" w14:textId="77777777" w:rsidR="004508ED" w:rsidRPr="0069045E" w:rsidRDefault="004508ED" w:rsidP="006854E5">
            <w:pPr>
              <w:pStyle w:val="naiskr"/>
              <w:spacing w:before="0" w:after="0"/>
              <w:rPr>
                <w:sz w:val="22"/>
                <w:szCs w:val="22"/>
              </w:rPr>
            </w:pPr>
          </w:p>
        </w:tc>
        <w:tc>
          <w:tcPr>
            <w:tcW w:w="6021" w:type="dxa"/>
            <w:vAlign w:val="center"/>
          </w:tcPr>
          <w:p w14:paraId="4F4B1599" w14:textId="3DC08AAA" w:rsidR="00EB2EDA" w:rsidRPr="00327ADA" w:rsidRDefault="00B67EB7" w:rsidP="006854E5">
            <w:pPr>
              <w:pStyle w:val="naiskr"/>
              <w:spacing w:before="0" w:after="0"/>
            </w:pPr>
            <w:r w:rsidRPr="00327ADA">
              <w:t>---</w:t>
            </w:r>
          </w:p>
        </w:tc>
      </w:tr>
    </w:tbl>
    <w:p w14:paraId="21968EDB" w14:textId="77777777" w:rsidR="00EB2EDA" w:rsidRPr="0069045E" w:rsidRDefault="00EB2EDA" w:rsidP="006854E5">
      <w:pPr>
        <w:pStyle w:val="naisnod"/>
        <w:spacing w:before="0" w:after="0"/>
        <w:rPr>
          <w:sz w:val="22"/>
          <w:szCs w:val="22"/>
        </w:rPr>
      </w:pPr>
      <w:r w:rsidRPr="0069045E">
        <w:rPr>
          <w:sz w:val="22"/>
          <w:szCs w:val="22"/>
        </w:rPr>
        <w:t>II. Jautājumi, par kuriem saskaņošanā vienošanās ir panākta</w:t>
      </w:r>
    </w:p>
    <w:tbl>
      <w:tblPr>
        <w:tblW w:w="561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093"/>
        <w:gridCol w:w="5221"/>
        <w:gridCol w:w="2819"/>
        <w:gridCol w:w="3495"/>
      </w:tblGrid>
      <w:tr w:rsidR="008E101D" w:rsidRPr="0069045E" w14:paraId="2ACA45A6" w14:textId="77777777" w:rsidTr="004607BB">
        <w:tc>
          <w:tcPr>
            <w:tcW w:w="195" w:type="pct"/>
          </w:tcPr>
          <w:p w14:paraId="27F33EB4" w14:textId="77777777" w:rsidR="00EB2EDA" w:rsidRPr="0069045E" w:rsidRDefault="00EB2EDA" w:rsidP="006854E5">
            <w:pPr>
              <w:jc w:val="center"/>
              <w:rPr>
                <w:sz w:val="22"/>
                <w:szCs w:val="22"/>
              </w:rPr>
            </w:pPr>
            <w:r w:rsidRPr="0069045E">
              <w:rPr>
                <w:sz w:val="22"/>
                <w:szCs w:val="22"/>
              </w:rPr>
              <w:t>Nr.</w:t>
            </w:r>
          </w:p>
          <w:p w14:paraId="39B93C62" w14:textId="77777777" w:rsidR="00EB2EDA" w:rsidRPr="0069045E" w:rsidRDefault="00EB2EDA" w:rsidP="006854E5">
            <w:pPr>
              <w:jc w:val="center"/>
              <w:rPr>
                <w:sz w:val="22"/>
                <w:szCs w:val="22"/>
              </w:rPr>
            </w:pPr>
            <w:r w:rsidRPr="0069045E">
              <w:rPr>
                <w:sz w:val="22"/>
                <w:szCs w:val="22"/>
              </w:rPr>
              <w:t>p.k.</w:t>
            </w:r>
          </w:p>
        </w:tc>
        <w:tc>
          <w:tcPr>
            <w:tcW w:w="1016" w:type="pct"/>
          </w:tcPr>
          <w:p w14:paraId="124E4FE6" w14:textId="77777777" w:rsidR="00EB2EDA" w:rsidRPr="0069045E" w:rsidRDefault="00EB2EDA" w:rsidP="006854E5">
            <w:pPr>
              <w:jc w:val="center"/>
              <w:rPr>
                <w:sz w:val="22"/>
                <w:szCs w:val="22"/>
              </w:rPr>
            </w:pPr>
            <w:r w:rsidRPr="0069045E">
              <w:rPr>
                <w:sz w:val="22"/>
                <w:szCs w:val="22"/>
              </w:rPr>
              <w:t>Saskaņošanai nosūtītā projekta redakcija (konkrēta punkta (panta) redakcija)</w:t>
            </w:r>
          </w:p>
        </w:tc>
        <w:tc>
          <w:tcPr>
            <w:tcW w:w="1715" w:type="pct"/>
          </w:tcPr>
          <w:p w14:paraId="615BEB4B" w14:textId="0BD83DD8" w:rsidR="00E91574" w:rsidRPr="0069045E" w:rsidRDefault="00EB2EDA" w:rsidP="006854E5">
            <w:pPr>
              <w:jc w:val="both"/>
              <w:rPr>
                <w:sz w:val="22"/>
                <w:szCs w:val="22"/>
              </w:rPr>
            </w:pPr>
            <w:r w:rsidRPr="0069045E">
              <w:rPr>
                <w:sz w:val="22"/>
                <w:szCs w:val="22"/>
              </w:rPr>
              <w:t>Atzinumā norādītais ministrijas (citas institūcijas) iebildums, kā arī saskaņošanā papildus izteiktais iebildums par projekta konkrēto punktu (pantu)</w:t>
            </w:r>
          </w:p>
          <w:p w14:paraId="01C9407E" w14:textId="77777777" w:rsidR="00EB2EDA" w:rsidRPr="0069045E" w:rsidRDefault="00EB2EDA" w:rsidP="00E91574">
            <w:pPr>
              <w:jc w:val="center"/>
              <w:rPr>
                <w:sz w:val="22"/>
                <w:szCs w:val="22"/>
              </w:rPr>
            </w:pPr>
          </w:p>
        </w:tc>
        <w:tc>
          <w:tcPr>
            <w:tcW w:w="926" w:type="pct"/>
          </w:tcPr>
          <w:p w14:paraId="1E5E73B1" w14:textId="77777777" w:rsidR="00EB2EDA" w:rsidRPr="0069045E" w:rsidRDefault="00EB2EDA" w:rsidP="006854E5">
            <w:pPr>
              <w:jc w:val="both"/>
              <w:rPr>
                <w:sz w:val="22"/>
                <w:szCs w:val="22"/>
              </w:rPr>
            </w:pPr>
            <w:r w:rsidRPr="0069045E">
              <w:rPr>
                <w:sz w:val="22"/>
                <w:szCs w:val="22"/>
              </w:rPr>
              <w:t>Atbildīgās ministrijas norāde par to, ka iebildums ir ņemts vērā, vai informācija par saskaņošanā panākto alternatīvo risinājumu</w:t>
            </w:r>
          </w:p>
        </w:tc>
        <w:tc>
          <w:tcPr>
            <w:tcW w:w="1148" w:type="pct"/>
          </w:tcPr>
          <w:p w14:paraId="2888FFCE" w14:textId="77777777" w:rsidR="00EB2EDA" w:rsidRPr="0069045E" w:rsidRDefault="00EB2EDA" w:rsidP="006854E5">
            <w:pPr>
              <w:jc w:val="center"/>
              <w:rPr>
                <w:sz w:val="22"/>
                <w:szCs w:val="22"/>
              </w:rPr>
            </w:pPr>
            <w:r w:rsidRPr="0069045E">
              <w:rPr>
                <w:sz w:val="22"/>
                <w:szCs w:val="22"/>
              </w:rPr>
              <w:t>Projekta attiecīgā punkta (panta) galīgā redakcija</w:t>
            </w:r>
          </w:p>
        </w:tc>
      </w:tr>
      <w:tr w:rsidR="001817F1" w:rsidRPr="0069045E" w14:paraId="2B27F4D1" w14:textId="77777777" w:rsidTr="004607BB">
        <w:tc>
          <w:tcPr>
            <w:tcW w:w="195" w:type="pct"/>
          </w:tcPr>
          <w:p w14:paraId="2CDEB38B" w14:textId="77777777" w:rsidR="001817F1" w:rsidRPr="0069045E" w:rsidRDefault="001817F1" w:rsidP="001817F1">
            <w:pPr>
              <w:rPr>
                <w:sz w:val="22"/>
                <w:szCs w:val="22"/>
              </w:rPr>
            </w:pPr>
            <w:r w:rsidRPr="0069045E">
              <w:rPr>
                <w:sz w:val="22"/>
                <w:szCs w:val="22"/>
              </w:rPr>
              <w:t>1.</w:t>
            </w:r>
          </w:p>
          <w:p w14:paraId="769AA4D9" w14:textId="77777777" w:rsidR="001817F1" w:rsidRPr="0069045E" w:rsidRDefault="001817F1" w:rsidP="001817F1">
            <w:pPr>
              <w:rPr>
                <w:sz w:val="22"/>
                <w:szCs w:val="22"/>
              </w:rPr>
            </w:pPr>
          </w:p>
        </w:tc>
        <w:tc>
          <w:tcPr>
            <w:tcW w:w="1016" w:type="pct"/>
          </w:tcPr>
          <w:p w14:paraId="2D30C96A" w14:textId="3E6BDDB9" w:rsidR="001817F1" w:rsidRPr="006F27DA" w:rsidRDefault="004607BB" w:rsidP="001817F1">
            <w:pPr>
              <w:tabs>
                <w:tab w:val="left" w:pos="709"/>
              </w:tabs>
              <w:spacing w:before="100" w:beforeAutospacing="1" w:after="100" w:afterAutospacing="1"/>
              <w:ind w:left="360"/>
            </w:pPr>
            <w:r w:rsidRPr="007B2687">
              <w:t>Skatīt noteikumu projektu</w:t>
            </w:r>
          </w:p>
        </w:tc>
        <w:tc>
          <w:tcPr>
            <w:tcW w:w="1715" w:type="pct"/>
            <w:shd w:val="clear" w:color="auto" w:fill="auto"/>
          </w:tcPr>
          <w:p w14:paraId="222114EA" w14:textId="77777777" w:rsidR="004607BB" w:rsidRPr="006A4928" w:rsidRDefault="004607BB" w:rsidP="004607BB">
            <w:pPr>
              <w:pStyle w:val="Bezatstarpm"/>
              <w:ind w:firstLine="82"/>
              <w:rPr>
                <w:rFonts w:eastAsia="Times New Roman"/>
                <w:b/>
                <w:sz w:val="24"/>
                <w:szCs w:val="24"/>
                <w:lang w:eastAsia="lv-LV"/>
              </w:rPr>
            </w:pPr>
            <w:r w:rsidRPr="006A4928">
              <w:rPr>
                <w:rFonts w:eastAsia="Times New Roman"/>
                <w:b/>
                <w:sz w:val="24"/>
                <w:szCs w:val="24"/>
                <w:lang w:eastAsia="lv-LV"/>
              </w:rPr>
              <w:t>Satiksmes ministrija</w:t>
            </w:r>
          </w:p>
          <w:p w14:paraId="3AE5F9D3" w14:textId="77777777" w:rsidR="004607BB" w:rsidRPr="009F1A20" w:rsidRDefault="004607BB" w:rsidP="004607BB">
            <w:pPr>
              <w:ind w:firstLine="720"/>
              <w:jc w:val="both"/>
              <w:rPr>
                <w:lang w:eastAsia="en-US"/>
              </w:rPr>
            </w:pPr>
            <w:r w:rsidRPr="009F1A20">
              <w:rPr>
                <w:lang w:eastAsia="en-US"/>
              </w:rPr>
              <w:t>Elektronisko sakaru likuma 57.</w:t>
            </w:r>
            <w:r>
              <w:rPr>
                <w:lang w:eastAsia="en-US"/>
              </w:rPr>
              <w:t> </w:t>
            </w:r>
            <w:r w:rsidRPr="009F1A20">
              <w:rPr>
                <w:lang w:eastAsia="en-US"/>
              </w:rPr>
              <w:t xml:space="preserve">panta otrajā daļā ir dots deleģējums Sabiedrisko pakalpojumu regulēšanas komisijai (turpmāk – Regulators) noteikt </w:t>
            </w:r>
            <w:hyperlink r:id="rId13" w:tgtFrame="_blank" w:history="1">
              <w:r w:rsidRPr="009F1A20">
                <w:rPr>
                  <w:lang w:eastAsia="en-US"/>
                </w:rPr>
                <w:t>numura saglabāšanas pakalpojuma nodrošināšanas noteikumu</w:t>
              </w:r>
            </w:hyperlink>
            <w:r w:rsidRPr="009F1A20">
              <w:rPr>
                <w:lang w:eastAsia="en-US"/>
              </w:rPr>
              <w:t>s. Attiecīgi Regulatora padome ar 2015.</w:t>
            </w:r>
            <w:r>
              <w:rPr>
                <w:lang w:eastAsia="en-US"/>
              </w:rPr>
              <w:t> </w:t>
            </w:r>
            <w:r w:rsidRPr="009F1A20">
              <w:rPr>
                <w:lang w:eastAsia="en-US"/>
              </w:rPr>
              <w:t>g</w:t>
            </w:r>
            <w:r>
              <w:rPr>
                <w:lang w:eastAsia="en-US"/>
              </w:rPr>
              <w:t>a</w:t>
            </w:r>
            <w:r w:rsidRPr="009F1A20">
              <w:rPr>
                <w:lang w:eastAsia="en-US"/>
              </w:rPr>
              <w:t>da 3.</w:t>
            </w:r>
            <w:r>
              <w:rPr>
                <w:lang w:eastAsia="en-US"/>
              </w:rPr>
              <w:t> </w:t>
            </w:r>
            <w:r w:rsidRPr="009F1A20">
              <w:rPr>
                <w:lang w:eastAsia="en-US"/>
              </w:rPr>
              <w:t xml:space="preserve">decembra lēmumu Nr.1/19 “Numura saglabāšanas pakalpojuma nodrošināšanas noteikumi” ir noteikusi kārtību, kādā elektronisko sakaru komersants, kurš sniedz balss telefonijas </w:t>
            </w:r>
            <w:r w:rsidRPr="009F1A20">
              <w:rPr>
                <w:lang w:eastAsia="en-US"/>
              </w:rPr>
              <w:lastRenderedPageBreak/>
              <w:t>pakalpojumus, nodrošina numura saglabāšanas pakalpojumu.</w:t>
            </w:r>
          </w:p>
          <w:p w14:paraId="23ADEF84" w14:textId="77777777" w:rsidR="004607BB" w:rsidRPr="009F1A20" w:rsidRDefault="004607BB" w:rsidP="004607BB">
            <w:pPr>
              <w:ind w:firstLine="720"/>
              <w:jc w:val="both"/>
              <w:rPr>
                <w:lang w:eastAsia="en-US"/>
              </w:rPr>
            </w:pPr>
            <w:r w:rsidRPr="009F1A20">
              <w:rPr>
                <w:lang w:eastAsia="en-US"/>
              </w:rPr>
              <w:t>Ministru kabineta 2015.</w:t>
            </w:r>
            <w:r>
              <w:rPr>
                <w:lang w:eastAsia="en-US"/>
              </w:rPr>
              <w:t> </w:t>
            </w:r>
            <w:r w:rsidRPr="009F1A20">
              <w:rPr>
                <w:lang w:eastAsia="en-US"/>
              </w:rPr>
              <w:t>gada 30.</w:t>
            </w:r>
            <w:r>
              <w:rPr>
                <w:lang w:eastAsia="en-US"/>
              </w:rPr>
              <w:t> </w:t>
            </w:r>
            <w:r w:rsidRPr="009F1A20">
              <w:rPr>
                <w:lang w:eastAsia="en-US"/>
              </w:rPr>
              <w:t xml:space="preserve">jūnija noteikumi Nr.367 “Nacionālais numerācijas plāns” nosaka numura struktūru un formātu tā identifikācijai un maršrutēšanai, numura sastādīšanas procedūras, kā arī numerācijas lietošanas mērķus un veidus, neietverot numura saglabāšanas kārtību. </w:t>
            </w:r>
            <w:r w:rsidRPr="000A5FD1">
              <w:rPr>
                <w:lang w:eastAsia="en-US"/>
              </w:rPr>
              <w:t>Savukārt ar Projekta 1.1tabulā norādītajām pazīmēm paredzēts noteikt daļēju numura saglabāšanas pakalpojuma nodrošināšanas kārtību</w:t>
            </w:r>
            <w:r w:rsidRPr="009F1A20">
              <w:rPr>
                <w:lang w:eastAsia="en-US"/>
              </w:rPr>
              <w:t xml:space="preserve"> </w:t>
            </w:r>
            <w:proofErr w:type="spellStart"/>
            <w:r w:rsidRPr="009F1A20">
              <w:rPr>
                <w:lang w:eastAsia="en-US"/>
              </w:rPr>
              <w:t>IoT</w:t>
            </w:r>
            <w:proofErr w:type="spellEnd"/>
            <w:r w:rsidRPr="009F1A20">
              <w:rPr>
                <w:lang w:eastAsia="en-US"/>
              </w:rPr>
              <w:t>/M2M pakalpojuma numuriem (70xxxxxx – 74xxxxxx)</w:t>
            </w:r>
            <w:r>
              <w:rPr>
                <w:lang w:eastAsia="en-US"/>
              </w:rPr>
              <w:t>,</w:t>
            </w:r>
            <w:r w:rsidRPr="009F1A20">
              <w:rPr>
                <w:lang w:eastAsia="en-US"/>
              </w:rPr>
              <w:t xml:space="preserve"> sākot ar 2021.gada 1.janvāri.</w:t>
            </w:r>
          </w:p>
          <w:p w14:paraId="62CA68F4" w14:textId="77777777" w:rsidR="004607BB" w:rsidRPr="009F1A20" w:rsidRDefault="004607BB" w:rsidP="004607BB">
            <w:pPr>
              <w:ind w:firstLine="720"/>
              <w:jc w:val="both"/>
              <w:rPr>
                <w:lang w:eastAsia="en-US"/>
              </w:rPr>
            </w:pPr>
            <w:r w:rsidRPr="009F1A20">
              <w:rPr>
                <w:lang w:eastAsia="en-US"/>
              </w:rPr>
              <w:t xml:space="preserve">Kā norādīts Projekta anotācijā, Satiksmes ministrijas vadībā Eiropas Parlamenta un Padomes 2018.gada  11.decembra direktīvas “Par Eiropas Elektronisko sakaru kodeksa izveidi” prasību ieviešanai tiek izstrādāts likumprojekts “Elektronisko sakaru likums”, kurš paredz noteikt numura saglabāšanas pamatprincipu – tehnisko iespēju robežās. Minētā </w:t>
            </w:r>
            <w:r w:rsidRPr="00957137">
              <w:rPr>
                <w:lang w:eastAsia="en-US"/>
              </w:rPr>
              <w:t xml:space="preserve">likuma </w:t>
            </w:r>
            <w:r>
              <w:rPr>
                <w:lang w:eastAsia="en-US"/>
              </w:rPr>
              <w:t xml:space="preserve">plānotais </w:t>
            </w:r>
            <w:r w:rsidRPr="00957137">
              <w:rPr>
                <w:lang w:eastAsia="en-US"/>
              </w:rPr>
              <w:t>spēkā stāšanās termiņš ir 2020.gada 21.decembris.</w:t>
            </w:r>
          </w:p>
          <w:p w14:paraId="0A2935DB" w14:textId="77777777" w:rsidR="004607BB" w:rsidRPr="009F1A20" w:rsidRDefault="004607BB" w:rsidP="004607BB">
            <w:pPr>
              <w:ind w:firstLine="720"/>
              <w:jc w:val="both"/>
              <w:rPr>
                <w:lang w:eastAsia="en-US"/>
              </w:rPr>
            </w:pPr>
            <w:r w:rsidRPr="009F1A20">
              <w:rPr>
                <w:lang w:eastAsia="en-US"/>
              </w:rPr>
              <w:t>Ievērojot minēto lūdzam atkārtoti izvērtēt, vai numura saglabāšanas pakalpojuma nodrošināšanas regulējuma iekļaušana Projektā ir atbilstoša Elektronisko sakaru likuma 56.pantā Ministru kabinetam dot</w:t>
            </w:r>
            <w:r>
              <w:rPr>
                <w:lang w:eastAsia="en-US"/>
              </w:rPr>
              <w:t>aj</w:t>
            </w:r>
            <w:r w:rsidRPr="009F1A20">
              <w:rPr>
                <w:lang w:eastAsia="en-US"/>
              </w:rPr>
              <w:t>am deleģējumam</w:t>
            </w:r>
            <w:r>
              <w:rPr>
                <w:lang w:eastAsia="en-US"/>
              </w:rPr>
              <w:t>,</w:t>
            </w:r>
            <w:r w:rsidRPr="009F1A20">
              <w:rPr>
                <w:lang w:eastAsia="en-US"/>
              </w:rPr>
              <w:t xml:space="preserve"> un vajadzības gadījumā atbilstoši precizēt projektu.</w:t>
            </w:r>
          </w:p>
          <w:p w14:paraId="6A03C489" w14:textId="77777777" w:rsidR="004607BB" w:rsidRDefault="004607BB" w:rsidP="004607BB">
            <w:pPr>
              <w:pStyle w:val="Bezatstarpm"/>
              <w:ind w:firstLine="82"/>
              <w:rPr>
                <w:rFonts w:eastAsia="Times New Roman"/>
                <w:sz w:val="22"/>
                <w:szCs w:val="22"/>
                <w:lang w:eastAsia="lv-LV"/>
              </w:rPr>
            </w:pPr>
          </w:p>
          <w:p w14:paraId="7BFDB5D9" w14:textId="77777777" w:rsidR="001817F1" w:rsidRDefault="004607BB" w:rsidP="00554ECD">
            <w:pPr>
              <w:ind w:firstLine="720"/>
              <w:jc w:val="both"/>
              <w:rPr>
                <w:lang w:eastAsia="en-US"/>
              </w:rPr>
            </w:pPr>
            <w:r w:rsidRPr="009F1A20">
              <w:rPr>
                <w:lang w:eastAsia="en-US"/>
              </w:rPr>
              <w:t>Vienlaikus izsakām priekšlikumu izvērtēt nepieciešamību numura saglabāšanas pakalpojuma regulējuma pilnveides nolūkā aicināt Regulatoru veikt vajadzīgās izmaiņas 2015.gda 3.</w:t>
            </w:r>
            <w:r>
              <w:rPr>
                <w:lang w:eastAsia="en-US"/>
              </w:rPr>
              <w:t> </w:t>
            </w:r>
            <w:r w:rsidRPr="009F1A20">
              <w:rPr>
                <w:lang w:eastAsia="en-US"/>
              </w:rPr>
              <w:t xml:space="preserve">decembra lēmumā Nr.1/19 “Numura saglabāšanas pakalpojuma nodrošināšanas noteikumi”, ja </w:t>
            </w:r>
            <w:r w:rsidRPr="009F1A20">
              <w:rPr>
                <w:lang w:eastAsia="en-US"/>
              </w:rPr>
              <w:lastRenderedPageBreak/>
              <w:t>minētajā lēmumā noteiktie veidi, kādā pārvieto galalietotāju lietošanā nodoto numuru, Vides aizsardzības un reģionālās attīstības</w:t>
            </w:r>
            <w:r>
              <w:rPr>
                <w:lang w:eastAsia="en-US"/>
              </w:rPr>
              <w:t xml:space="preserve"> ministrijas</w:t>
            </w:r>
            <w:r w:rsidRPr="009F1A20">
              <w:rPr>
                <w:lang w:eastAsia="en-US"/>
              </w:rPr>
              <w:t xml:space="preserve"> ieskatā ir nepietiekami.</w:t>
            </w:r>
          </w:p>
          <w:p w14:paraId="795F2A66" w14:textId="27BEEA40" w:rsidR="00554ECD" w:rsidRPr="0069045E" w:rsidRDefault="00554ECD" w:rsidP="00B13061">
            <w:pPr>
              <w:ind w:firstLine="720"/>
              <w:jc w:val="both"/>
            </w:pPr>
          </w:p>
        </w:tc>
        <w:tc>
          <w:tcPr>
            <w:tcW w:w="926" w:type="pct"/>
            <w:shd w:val="clear" w:color="auto" w:fill="auto"/>
          </w:tcPr>
          <w:p w14:paraId="17C00F10" w14:textId="07D66C04" w:rsidR="001817F1" w:rsidRPr="00635823" w:rsidRDefault="005F5603" w:rsidP="004607BB">
            <w:pPr>
              <w:spacing w:after="120"/>
              <w:jc w:val="both"/>
              <w:rPr>
                <w:b/>
              </w:rPr>
            </w:pPr>
            <w:r w:rsidRPr="00635823">
              <w:rPr>
                <w:b/>
              </w:rPr>
              <w:lastRenderedPageBreak/>
              <w:t>Panākta vienošanās</w:t>
            </w:r>
            <w:r w:rsidR="004607BB" w:rsidRPr="00635823">
              <w:rPr>
                <w:b/>
              </w:rPr>
              <w:t xml:space="preserve"> starpinstitūciju sanāksmē</w:t>
            </w:r>
            <w:r w:rsidR="008D4629" w:rsidRPr="00635823">
              <w:rPr>
                <w:b/>
              </w:rPr>
              <w:t xml:space="preserve"> </w:t>
            </w:r>
          </w:p>
          <w:p w14:paraId="6013FD58" w14:textId="77777777" w:rsidR="004C3051" w:rsidRDefault="004C3051" w:rsidP="004C3051">
            <w:pPr>
              <w:spacing w:after="120"/>
              <w:ind w:firstLine="284"/>
              <w:jc w:val="both"/>
              <w:rPr>
                <w:sz w:val="22"/>
                <w:szCs w:val="22"/>
              </w:rPr>
            </w:pPr>
          </w:p>
          <w:p w14:paraId="676654BE" w14:textId="77777777" w:rsidR="001521E2" w:rsidRDefault="00DB0BC5" w:rsidP="00DB0BC5">
            <w:pPr>
              <w:spacing w:after="120"/>
              <w:jc w:val="both"/>
            </w:pPr>
            <w:r>
              <w:t>Ievērojot f</w:t>
            </w:r>
            <w:r w:rsidRPr="00175B22">
              <w:t>ormulējum</w:t>
            </w:r>
            <w:r>
              <w:t>u, kas izriet no</w:t>
            </w:r>
            <w:r w:rsidRPr="00175B22">
              <w:t xml:space="preserve"> Regulatora 2015.</w:t>
            </w:r>
            <w:r w:rsidR="00F23BAD">
              <w:t> </w:t>
            </w:r>
            <w:r w:rsidRPr="00175B22">
              <w:t>gada 3.</w:t>
            </w:r>
            <w:r w:rsidR="00F23BAD">
              <w:t xml:space="preserve"> </w:t>
            </w:r>
            <w:r w:rsidRPr="00175B22">
              <w:t xml:space="preserve">decembra lēmuma Nr.1/19 “Numura saglabāšanas pakalpojuma </w:t>
            </w:r>
            <w:r w:rsidRPr="00175B22">
              <w:lastRenderedPageBreak/>
              <w:t>nodrošināšanas noteikumi”</w:t>
            </w:r>
            <w:r>
              <w:t xml:space="preserve"> 3.punkta, </w:t>
            </w:r>
            <w:r w:rsidR="001521E2">
              <w:t xml:space="preserve">starpinstitūciju sanāksmē </w:t>
            </w:r>
            <w:r w:rsidRPr="00BE449A">
              <w:t xml:space="preserve">izskatīts priekšlikums nodalīt </w:t>
            </w:r>
            <w:r>
              <w:t xml:space="preserve">astoņu ciparu </w:t>
            </w:r>
            <w:r w:rsidRPr="00BE449A">
              <w:t>diapazonus izmantošanai tikai mobilo elektronisko sakaru tīklā</w:t>
            </w:r>
            <w:r>
              <w:t>;</w:t>
            </w:r>
            <w:r w:rsidRPr="00BE449A">
              <w:t xml:space="preserve"> izmantošanai tikai fi</w:t>
            </w:r>
            <w:r>
              <w:t>ksētā elektronisko sakaru tīklā</w:t>
            </w:r>
            <w:r w:rsidR="001521E2">
              <w:t>.</w:t>
            </w:r>
          </w:p>
          <w:p w14:paraId="79EB01CA" w14:textId="26374B89" w:rsidR="004C3051" w:rsidRPr="00DB0BC5" w:rsidRDefault="001521E2" w:rsidP="00DB0BC5">
            <w:pPr>
              <w:spacing w:after="120"/>
              <w:jc w:val="both"/>
            </w:pPr>
            <w:r>
              <w:t>G</w:t>
            </w:r>
            <w:r w:rsidR="00DB0BC5" w:rsidRPr="00BE449A">
              <w:t>adījumiem, ja numuru pārvietošana nav tehniski iesp</w:t>
            </w:r>
            <w:r w:rsidR="00DB0BC5">
              <w:t>ē</w:t>
            </w:r>
            <w:r w:rsidR="00DB0BC5" w:rsidRPr="00BE449A">
              <w:t>jama</w:t>
            </w:r>
            <w:r w:rsidR="00DB0BC5">
              <w:t xml:space="preserve">, izskatīts </w:t>
            </w:r>
            <w:r w:rsidR="00DB0BC5" w:rsidRPr="00BE449A">
              <w:t xml:space="preserve">priekšlikums </w:t>
            </w:r>
            <w:r w:rsidR="00DB0BC5" w:rsidRPr="00DB0BC5">
              <w:t>nodalīt diapazonu astoņu ciparu un divpadsmit ciparu numerācijas indeksos.</w:t>
            </w:r>
          </w:p>
          <w:p w14:paraId="088C2349" w14:textId="77777777" w:rsidR="00DB0BC5" w:rsidRPr="00DB0BC5" w:rsidRDefault="00DB0BC5" w:rsidP="00DB0BC5">
            <w:pPr>
              <w:spacing w:after="120"/>
              <w:jc w:val="both"/>
            </w:pPr>
          </w:p>
          <w:p w14:paraId="6C28460B" w14:textId="77777777" w:rsidR="004C3051" w:rsidRDefault="004C3051" w:rsidP="004C3051">
            <w:pPr>
              <w:spacing w:after="120"/>
              <w:ind w:firstLine="284"/>
              <w:jc w:val="both"/>
              <w:rPr>
                <w:sz w:val="22"/>
                <w:szCs w:val="22"/>
              </w:rPr>
            </w:pPr>
          </w:p>
          <w:p w14:paraId="29C750AB" w14:textId="746A3284" w:rsidR="004C3051" w:rsidRPr="004C3051" w:rsidRDefault="004C3051" w:rsidP="004C3051">
            <w:pPr>
              <w:spacing w:after="120"/>
              <w:ind w:firstLine="284"/>
              <w:jc w:val="both"/>
              <w:rPr>
                <w:sz w:val="22"/>
                <w:szCs w:val="22"/>
              </w:rPr>
            </w:pPr>
          </w:p>
        </w:tc>
        <w:tc>
          <w:tcPr>
            <w:tcW w:w="1148" w:type="pct"/>
          </w:tcPr>
          <w:p w14:paraId="547E1559" w14:textId="77777777" w:rsidR="00B91071" w:rsidRDefault="00B91071" w:rsidP="00B91071">
            <w:pPr>
              <w:jc w:val="center"/>
              <w:rPr>
                <w:b/>
                <w:bCs/>
              </w:rPr>
            </w:pPr>
            <w:r>
              <w:lastRenderedPageBreak/>
              <w:t>“</w:t>
            </w:r>
            <w:proofErr w:type="spellStart"/>
            <w:r w:rsidRPr="002F332B">
              <w:rPr>
                <w:b/>
                <w:bCs/>
              </w:rPr>
              <w:t>IoT</w:t>
            </w:r>
            <w:proofErr w:type="spellEnd"/>
            <w:r w:rsidRPr="002F332B">
              <w:rPr>
                <w:b/>
                <w:bCs/>
              </w:rPr>
              <w:t>/M2M numuri</w:t>
            </w:r>
          </w:p>
          <w:p w14:paraId="0405DE5D" w14:textId="77777777" w:rsidR="00B91071" w:rsidRPr="000C555B" w:rsidRDefault="00B91071" w:rsidP="00B91071">
            <w:pPr>
              <w:jc w:val="center"/>
              <w:rPr>
                <w:bCs/>
              </w:rPr>
            </w:pPr>
            <w:r w:rsidRPr="000C555B">
              <w:rPr>
                <w:bCs/>
              </w:rPr>
              <w:t>(tabula)</w:t>
            </w:r>
          </w:p>
          <w:p w14:paraId="70303FE4" w14:textId="77777777" w:rsidR="00B91071" w:rsidRPr="00A21627" w:rsidRDefault="00B91071" w:rsidP="00B91071">
            <w:pPr>
              <w:pStyle w:val="Default"/>
              <w:ind w:firstLine="199"/>
              <w:rPr>
                <w:lang w:val="en-US"/>
              </w:rPr>
            </w:pPr>
            <w:r w:rsidRPr="00A21627">
              <w:t>1.</w:t>
            </w:r>
            <w:r w:rsidRPr="00A21627">
              <w:rPr>
                <w:vertAlign w:val="superscript"/>
              </w:rPr>
              <w:t>1</w:t>
            </w:r>
            <w:r w:rsidRPr="00A21627">
              <w:t xml:space="preserve"> tabulā</w:t>
            </w:r>
            <w:r>
              <w:t>:</w:t>
            </w:r>
          </w:p>
          <w:p w14:paraId="0610112E" w14:textId="1E74A0D1" w:rsidR="00B91071" w:rsidRPr="00070BAC" w:rsidRDefault="00B91071" w:rsidP="00B91071">
            <w:pPr>
              <w:pStyle w:val="Default"/>
              <w:rPr>
                <w:lang w:val="en-US"/>
              </w:rPr>
            </w:pPr>
            <w:r w:rsidRPr="00070BAC">
              <w:t>300 00X XXX XXX</w:t>
            </w:r>
            <w:r w:rsidR="00CC5818">
              <w:t>***</w:t>
            </w:r>
          </w:p>
          <w:p w14:paraId="316FD539" w14:textId="77777777" w:rsidR="00B91071" w:rsidRPr="00070BAC" w:rsidRDefault="00B91071" w:rsidP="00B91071">
            <w:pPr>
              <w:pStyle w:val="Default"/>
              <w:rPr>
                <w:lang w:val="en-US"/>
              </w:rPr>
            </w:pPr>
            <w:r w:rsidRPr="00070BAC">
              <w:rPr>
                <w:lang w:val="en-US"/>
              </w:rPr>
              <w:t>70 XXX XXX*</w:t>
            </w:r>
          </w:p>
          <w:p w14:paraId="2A53B86F" w14:textId="77777777" w:rsidR="00B91071" w:rsidRPr="00070BAC" w:rsidRDefault="00B91071" w:rsidP="00B91071">
            <w:pPr>
              <w:pStyle w:val="Default"/>
              <w:rPr>
                <w:lang w:val="en-US"/>
              </w:rPr>
            </w:pPr>
            <w:r w:rsidRPr="00070BAC">
              <w:rPr>
                <w:lang w:val="en-US"/>
              </w:rPr>
              <w:t>71 XXX XXX*</w:t>
            </w:r>
          </w:p>
          <w:p w14:paraId="68D75429" w14:textId="77777777" w:rsidR="00B91071" w:rsidRPr="00070BAC" w:rsidRDefault="00B91071" w:rsidP="00B91071">
            <w:pPr>
              <w:pStyle w:val="Default"/>
              <w:rPr>
                <w:lang w:val="en-US"/>
              </w:rPr>
            </w:pPr>
            <w:r w:rsidRPr="00070BAC">
              <w:rPr>
                <w:lang w:val="en-US"/>
              </w:rPr>
              <w:t>72 XXX XXX</w:t>
            </w:r>
            <w:r>
              <w:rPr>
                <w:lang w:val="en-US"/>
              </w:rPr>
              <w:t>***</w:t>
            </w:r>
          </w:p>
          <w:p w14:paraId="27C4A0EE" w14:textId="77777777" w:rsidR="00B91071" w:rsidRPr="00070BAC" w:rsidRDefault="00B91071" w:rsidP="00B91071">
            <w:pPr>
              <w:pStyle w:val="Default"/>
              <w:rPr>
                <w:lang w:val="en-US"/>
              </w:rPr>
            </w:pPr>
            <w:r w:rsidRPr="00070BAC">
              <w:rPr>
                <w:lang w:val="en-US"/>
              </w:rPr>
              <w:t>73 XXX XXX**</w:t>
            </w:r>
          </w:p>
          <w:p w14:paraId="3D5EA3DA" w14:textId="77777777" w:rsidR="00B91071" w:rsidRPr="00070BAC" w:rsidRDefault="00B91071" w:rsidP="00B91071">
            <w:pPr>
              <w:rPr>
                <w:lang w:val="en-US"/>
              </w:rPr>
            </w:pPr>
            <w:r w:rsidRPr="00070BAC">
              <w:rPr>
                <w:lang w:val="en-US"/>
              </w:rPr>
              <w:t>74 XXX XXX**</w:t>
            </w:r>
          </w:p>
          <w:p w14:paraId="72C0B06B" w14:textId="77777777" w:rsidR="00B91071" w:rsidRPr="00070BAC" w:rsidRDefault="00B91071" w:rsidP="00B91071"/>
          <w:p w14:paraId="653CEAFC" w14:textId="77777777" w:rsidR="00B91071" w:rsidRPr="00070BAC" w:rsidRDefault="00B91071" w:rsidP="00B91071">
            <w:r w:rsidRPr="00070BAC">
              <w:lastRenderedPageBreak/>
              <w:t>*diapazons izmantošanai tikai m</w:t>
            </w:r>
            <w:r>
              <w:t>obilo elektronisko sakaru tīklā;</w:t>
            </w:r>
            <w:r w:rsidRPr="00070BAC">
              <w:t xml:space="preserve"> </w:t>
            </w:r>
            <w:r w:rsidRPr="00070BAC">
              <w:br/>
              <w:t>**diapazons izmantošanai tikai fi</w:t>
            </w:r>
            <w:r>
              <w:t>ksētā elektronisko sakaru tīklā</w:t>
            </w:r>
            <w:r w:rsidRPr="00070BAC">
              <w:t xml:space="preserve">; </w:t>
            </w:r>
            <w:r w:rsidRPr="00070BAC">
              <w:br/>
              <w:t>***diapazons numuriem, kur numura pārvietošana nav tehniski iespējama.</w:t>
            </w:r>
            <w:r>
              <w:t>”</w:t>
            </w:r>
          </w:p>
          <w:p w14:paraId="1C8B682B" w14:textId="6E81D92D" w:rsidR="00B91071" w:rsidRPr="0067281B" w:rsidRDefault="00B91071" w:rsidP="001817F1">
            <w:pPr>
              <w:tabs>
                <w:tab w:val="left" w:pos="709"/>
              </w:tabs>
              <w:spacing w:before="100" w:beforeAutospacing="1" w:after="100" w:afterAutospacing="1"/>
              <w:ind w:left="360"/>
            </w:pPr>
          </w:p>
        </w:tc>
      </w:tr>
      <w:tr w:rsidR="004607BB" w:rsidRPr="0069045E" w14:paraId="2C1A6FC4" w14:textId="77777777" w:rsidTr="004607BB">
        <w:tc>
          <w:tcPr>
            <w:tcW w:w="195" w:type="pct"/>
          </w:tcPr>
          <w:p w14:paraId="6592315B" w14:textId="6CCE4238" w:rsidR="004607BB" w:rsidRPr="0069045E" w:rsidRDefault="00E00D9F" w:rsidP="001817F1">
            <w:pPr>
              <w:rPr>
                <w:sz w:val="22"/>
                <w:szCs w:val="22"/>
              </w:rPr>
            </w:pPr>
            <w:r>
              <w:rPr>
                <w:sz w:val="22"/>
                <w:szCs w:val="22"/>
              </w:rPr>
              <w:lastRenderedPageBreak/>
              <w:t>2</w:t>
            </w:r>
            <w:r w:rsidR="00BF1382">
              <w:rPr>
                <w:sz w:val="22"/>
                <w:szCs w:val="22"/>
              </w:rPr>
              <w:t>.</w:t>
            </w:r>
          </w:p>
        </w:tc>
        <w:tc>
          <w:tcPr>
            <w:tcW w:w="1016" w:type="pct"/>
          </w:tcPr>
          <w:p w14:paraId="10E31F07" w14:textId="77777777" w:rsidR="00C051AD" w:rsidRDefault="00C051AD" w:rsidP="00C051AD">
            <w:pPr>
              <w:jc w:val="both"/>
            </w:pPr>
            <w:r w:rsidRPr="005E09A1">
              <w:t>Anotācijas VI sadaļ</w:t>
            </w:r>
            <w:r>
              <w:t>a</w:t>
            </w:r>
            <w:r w:rsidRPr="005E09A1">
              <w:t xml:space="preserve"> “Sabiedrības līdzdalība un komunikācijas aktivitātes”</w:t>
            </w:r>
            <w:r>
              <w:t xml:space="preserve"> </w:t>
            </w:r>
          </w:p>
          <w:p w14:paraId="742A0544" w14:textId="77777777" w:rsidR="00C051AD" w:rsidRDefault="00C051AD" w:rsidP="00C051AD">
            <w:pPr>
              <w:jc w:val="both"/>
            </w:pPr>
          </w:p>
          <w:p w14:paraId="0B18E49D" w14:textId="77777777" w:rsidR="00C051AD" w:rsidRPr="00716637" w:rsidRDefault="00C051AD" w:rsidP="00C051AD">
            <w:pPr>
              <w:jc w:val="both"/>
            </w:pPr>
            <w:r>
              <w:t>“</w:t>
            </w:r>
            <w:r w:rsidRPr="00716637">
              <w:t xml:space="preserve">Saņemts viedoklis no Sabiedrisko pakalpojumu regulēšanas komisijas, kur nesaskata lietderību </w:t>
            </w:r>
            <w:proofErr w:type="spellStart"/>
            <w:r w:rsidRPr="00716637">
              <w:t>IoT</w:t>
            </w:r>
            <w:proofErr w:type="spellEnd"/>
            <w:r w:rsidRPr="00716637">
              <w:t>/M2M numuru dalīšanai publiskā mobilā telefonu tīkla numuros un publiskā fiksētā telefonu tīkla numuros, jo tie pēc būtības ir pakalpojuma numuri, kuri netiek dalīti pēc elektronisko sakaru tīkla veida.</w:t>
            </w:r>
          </w:p>
          <w:p w14:paraId="55070585" w14:textId="77777777" w:rsidR="00C051AD" w:rsidRDefault="00C051AD" w:rsidP="00C051AD">
            <w:pPr>
              <w:jc w:val="both"/>
            </w:pPr>
            <w:r>
              <w:t>Viedoklis ņemts vērā. Noteikumu projekts nenosaka specifisku tīkla veidu.”</w:t>
            </w:r>
          </w:p>
          <w:p w14:paraId="1C849879" w14:textId="77777777" w:rsidR="005B12F4" w:rsidRDefault="005B12F4" w:rsidP="001817F1">
            <w:pPr>
              <w:rPr>
                <w:i/>
              </w:rPr>
            </w:pPr>
          </w:p>
          <w:p w14:paraId="1B92EABA" w14:textId="40EE16F2" w:rsidR="00A85149" w:rsidRPr="005B12F4" w:rsidRDefault="00A85149" w:rsidP="001817F1">
            <w:pPr>
              <w:rPr>
                <w:i/>
              </w:rPr>
            </w:pPr>
            <w:r w:rsidRPr="005B12F4">
              <w:rPr>
                <w:i/>
              </w:rPr>
              <w:t>Sabiedrības līdzdalībai publicētā redakcija:</w:t>
            </w:r>
          </w:p>
          <w:p w14:paraId="36CFE9A1" w14:textId="4FC55AC7" w:rsidR="00A85149" w:rsidRDefault="00A85149" w:rsidP="001817F1">
            <w:r w:rsidRPr="00A85149">
              <w:t>"</w:t>
            </w:r>
            <w:r>
              <w:t>...</w:t>
            </w:r>
          </w:p>
          <w:p w14:paraId="0638C494" w14:textId="614283C1" w:rsidR="00A85149" w:rsidRPr="00A85149" w:rsidRDefault="00A85149" w:rsidP="001817F1">
            <w:r w:rsidRPr="00A85149">
              <w:rPr>
                <w:color w:val="000000"/>
                <w:lang w:val="en-US"/>
              </w:rPr>
              <w:t>70 XXX </w:t>
            </w:r>
            <w:proofErr w:type="spellStart"/>
            <w:r w:rsidRPr="00A85149">
              <w:rPr>
                <w:color w:val="000000"/>
                <w:lang w:val="en-US"/>
              </w:rPr>
              <w:t>XXX</w:t>
            </w:r>
            <w:proofErr w:type="spellEnd"/>
            <w:r w:rsidRPr="00A85149">
              <w:rPr>
                <w:color w:val="000000"/>
                <w:lang w:val="en-US"/>
              </w:rPr>
              <w:t xml:space="preserve"> </w:t>
            </w:r>
            <w:r w:rsidRPr="00A85149">
              <w:rPr>
                <w:color w:val="000000"/>
                <w:vertAlign w:val="superscript"/>
                <w:lang w:val="en-US"/>
              </w:rPr>
              <w:t>*</w:t>
            </w:r>
          </w:p>
          <w:p w14:paraId="4ADA134B" w14:textId="2B23008F" w:rsidR="00A85149" w:rsidRPr="00A85149" w:rsidRDefault="00A85149" w:rsidP="001817F1">
            <w:pPr>
              <w:rPr>
                <w:color w:val="000000"/>
                <w:vertAlign w:val="superscript"/>
                <w:lang w:val="en-US"/>
              </w:rPr>
            </w:pPr>
            <w:r w:rsidRPr="00A85149">
              <w:rPr>
                <w:color w:val="000000"/>
                <w:lang w:val="en-US"/>
              </w:rPr>
              <w:t>71 XXX </w:t>
            </w:r>
            <w:proofErr w:type="spellStart"/>
            <w:r w:rsidRPr="00A85149">
              <w:rPr>
                <w:color w:val="000000"/>
                <w:lang w:val="en-US"/>
              </w:rPr>
              <w:t>XXX</w:t>
            </w:r>
            <w:proofErr w:type="spellEnd"/>
            <w:r w:rsidRPr="00A85149">
              <w:rPr>
                <w:color w:val="000000"/>
                <w:lang w:val="en-US"/>
              </w:rPr>
              <w:t xml:space="preserve"> </w:t>
            </w:r>
            <w:r w:rsidRPr="00A85149">
              <w:rPr>
                <w:color w:val="000000"/>
                <w:vertAlign w:val="superscript"/>
                <w:lang w:val="en-US"/>
              </w:rPr>
              <w:t>*</w:t>
            </w:r>
          </w:p>
          <w:p w14:paraId="7BB140CB" w14:textId="77777777" w:rsidR="00A85149" w:rsidRPr="00A85149" w:rsidRDefault="00A85149" w:rsidP="00A85149">
            <w:pPr>
              <w:jc w:val="both"/>
              <w:rPr>
                <w:color w:val="000000"/>
                <w:lang w:val="en-US"/>
              </w:rPr>
            </w:pPr>
            <w:proofErr w:type="spellStart"/>
            <w:r w:rsidRPr="00A85149">
              <w:rPr>
                <w:color w:val="000000"/>
                <w:lang w:val="en-US"/>
              </w:rPr>
              <w:t>Piezīme</w:t>
            </w:r>
            <w:proofErr w:type="spellEnd"/>
            <w:r w:rsidRPr="00A85149">
              <w:rPr>
                <w:color w:val="000000"/>
                <w:lang w:val="en-US"/>
              </w:rPr>
              <w:t>.</w:t>
            </w:r>
          </w:p>
          <w:p w14:paraId="347C6253" w14:textId="157239AD" w:rsidR="00A85149" w:rsidRPr="006F27DA" w:rsidRDefault="00A85149" w:rsidP="00E56B23">
            <w:pPr>
              <w:jc w:val="both"/>
            </w:pPr>
            <w:r w:rsidRPr="00A85149">
              <w:rPr>
                <w:color w:val="000000"/>
                <w:vertAlign w:val="superscript"/>
                <w:lang w:val="en-US"/>
              </w:rPr>
              <w:t xml:space="preserve">* </w:t>
            </w:r>
            <w:proofErr w:type="spellStart"/>
            <w:r w:rsidRPr="00A85149">
              <w:rPr>
                <w:color w:val="000000"/>
                <w:lang w:val="en-US"/>
              </w:rPr>
              <w:t>Numerācijas</w:t>
            </w:r>
            <w:proofErr w:type="spellEnd"/>
            <w:r w:rsidRPr="00A85149">
              <w:rPr>
                <w:color w:val="000000"/>
                <w:lang w:val="en-US"/>
              </w:rPr>
              <w:t xml:space="preserve"> </w:t>
            </w:r>
            <w:proofErr w:type="spellStart"/>
            <w:r w:rsidRPr="00A85149">
              <w:rPr>
                <w:color w:val="000000"/>
                <w:lang w:val="en-US"/>
              </w:rPr>
              <w:t>indekss</w:t>
            </w:r>
            <w:proofErr w:type="spellEnd"/>
            <w:r w:rsidRPr="00A85149">
              <w:rPr>
                <w:color w:val="000000"/>
                <w:lang w:val="en-US"/>
              </w:rPr>
              <w:t xml:space="preserve"> </w:t>
            </w:r>
            <w:proofErr w:type="spellStart"/>
            <w:r w:rsidRPr="00A85149">
              <w:rPr>
                <w:color w:val="000000"/>
                <w:lang w:val="en-US"/>
              </w:rPr>
              <w:t>attiecas</w:t>
            </w:r>
            <w:proofErr w:type="spellEnd"/>
            <w:r w:rsidRPr="00A85149">
              <w:rPr>
                <w:color w:val="000000"/>
                <w:lang w:val="en-US"/>
              </w:rPr>
              <w:t xml:space="preserve"> </w:t>
            </w:r>
            <w:proofErr w:type="spellStart"/>
            <w:r w:rsidRPr="00A85149">
              <w:rPr>
                <w:color w:val="000000"/>
                <w:lang w:val="en-US"/>
              </w:rPr>
              <w:t>uz</w:t>
            </w:r>
            <w:proofErr w:type="spellEnd"/>
            <w:r w:rsidRPr="00A85149">
              <w:rPr>
                <w:color w:val="000000"/>
                <w:lang w:val="en-US"/>
              </w:rPr>
              <w:t xml:space="preserve"> </w:t>
            </w:r>
            <w:proofErr w:type="spellStart"/>
            <w:r w:rsidRPr="00A85149">
              <w:rPr>
                <w:i/>
                <w:iCs/>
              </w:rPr>
              <w:t>IoT</w:t>
            </w:r>
            <w:proofErr w:type="spellEnd"/>
            <w:r w:rsidRPr="00A85149">
              <w:rPr>
                <w:i/>
                <w:iCs/>
              </w:rPr>
              <w:t>/M2M</w:t>
            </w:r>
            <w:r w:rsidRPr="00A85149">
              <w:rPr>
                <w:color w:val="000000"/>
                <w:lang w:val="en-US"/>
              </w:rPr>
              <w:t xml:space="preserve"> </w:t>
            </w:r>
            <w:proofErr w:type="spellStart"/>
            <w:r w:rsidRPr="00A85149">
              <w:rPr>
                <w:color w:val="000000"/>
                <w:lang w:val="en-US"/>
              </w:rPr>
              <w:t>numuru</w:t>
            </w:r>
            <w:proofErr w:type="spellEnd"/>
            <w:r w:rsidRPr="00A85149">
              <w:rPr>
                <w:color w:val="000000"/>
                <w:lang w:val="en-US"/>
              </w:rPr>
              <w:t xml:space="preserve"> </w:t>
            </w:r>
            <w:proofErr w:type="spellStart"/>
            <w:r w:rsidRPr="00A85149">
              <w:rPr>
                <w:color w:val="000000"/>
                <w:lang w:val="en-US"/>
              </w:rPr>
              <w:t>lietošanu</w:t>
            </w:r>
            <w:proofErr w:type="spellEnd"/>
            <w:r w:rsidRPr="00A85149">
              <w:rPr>
                <w:color w:val="000000"/>
                <w:lang w:val="en-US"/>
              </w:rPr>
              <w:t xml:space="preserve"> </w:t>
            </w:r>
            <w:proofErr w:type="spellStart"/>
            <w:r w:rsidRPr="00A85149">
              <w:rPr>
                <w:color w:val="000000"/>
                <w:lang w:val="en-US"/>
              </w:rPr>
              <w:t>publiskā</w:t>
            </w:r>
            <w:proofErr w:type="spellEnd"/>
            <w:r w:rsidRPr="00A85149">
              <w:rPr>
                <w:color w:val="000000"/>
                <w:lang w:val="en-US"/>
              </w:rPr>
              <w:t xml:space="preserve"> </w:t>
            </w:r>
            <w:proofErr w:type="spellStart"/>
            <w:r w:rsidRPr="00A85149">
              <w:rPr>
                <w:color w:val="000000"/>
                <w:lang w:val="en-US"/>
              </w:rPr>
              <w:t>mobilā</w:t>
            </w:r>
            <w:proofErr w:type="spellEnd"/>
            <w:r w:rsidRPr="00A85149">
              <w:rPr>
                <w:color w:val="000000"/>
                <w:lang w:val="en-US"/>
              </w:rPr>
              <w:t xml:space="preserve"> </w:t>
            </w:r>
            <w:proofErr w:type="spellStart"/>
            <w:r w:rsidRPr="00A85149">
              <w:rPr>
                <w:color w:val="000000"/>
                <w:lang w:val="en-US"/>
              </w:rPr>
              <w:t>elektronisko</w:t>
            </w:r>
            <w:proofErr w:type="spellEnd"/>
            <w:r w:rsidRPr="00A85149">
              <w:rPr>
                <w:color w:val="000000"/>
                <w:lang w:val="en-US"/>
              </w:rPr>
              <w:t xml:space="preserve"> </w:t>
            </w:r>
            <w:proofErr w:type="spellStart"/>
            <w:r w:rsidRPr="00A85149">
              <w:rPr>
                <w:color w:val="000000"/>
                <w:lang w:val="en-US"/>
              </w:rPr>
              <w:t>sakaru</w:t>
            </w:r>
            <w:proofErr w:type="spellEnd"/>
            <w:r w:rsidRPr="00A85149">
              <w:rPr>
                <w:color w:val="000000"/>
                <w:lang w:val="en-US"/>
              </w:rPr>
              <w:t xml:space="preserve"> </w:t>
            </w:r>
            <w:proofErr w:type="spellStart"/>
            <w:r w:rsidRPr="00A85149">
              <w:rPr>
                <w:color w:val="000000"/>
                <w:lang w:val="en-US"/>
              </w:rPr>
              <w:t>tīklā</w:t>
            </w:r>
            <w:proofErr w:type="spellEnd"/>
            <w:r w:rsidRPr="00A85149">
              <w:rPr>
                <w:color w:val="000000"/>
                <w:lang w:val="en-US"/>
              </w:rPr>
              <w:t>.</w:t>
            </w:r>
            <w:r w:rsidRPr="00A85149">
              <w:t>"</w:t>
            </w:r>
          </w:p>
        </w:tc>
        <w:tc>
          <w:tcPr>
            <w:tcW w:w="1715" w:type="pct"/>
          </w:tcPr>
          <w:p w14:paraId="58BB9504" w14:textId="77777777" w:rsidR="00C051AD" w:rsidRPr="001817F1" w:rsidRDefault="00C051AD" w:rsidP="00C051AD">
            <w:pPr>
              <w:pStyle w:val="Sarakstarindkopa"/>
              <w:tabs>
                <w:tab w:val="left" w:pos="284"/>
              </w:tabs>
              <w:ind w:left="0"/>
              <w:jc w:val="both"/>
              <w:rPr>
                <w:b/>
                <w:bCs/>
              </w:rPr>
            </w:pPr>
            <w:r w:rsidRPr="001817F1">
              <w:rPr>
                <w:b/>
                <w:bCs/>
              </w:rPr>
              <w:t>Sabiedrisko pakalpojumu regulēšanas komisija</w:t>
            </w:r>
          </w:p>
          <w:p w14:paraId="2F50A35B" w14:textId="77777777" w:rsidR="00C051AD" w:rsidRPr="005141BB" w:rsidRDefault="00C051AD" w:rsidP="00C051AD">
            <w:pPr>
              <w:pStyle w:val="Sarakstarindkopa"/>
              <w:tabs>
                <w:tab w:val="left" w:pos="284"/>
              </w:tabs>
              <w:ind w:left="0"/>
              <w:jc w:val="both"/>
            </w:pPr>
            <w:r w:rsidRPr="005141BB">
              <w:t>Regulators jau 2020.gada 18.jūnija vēstulē Nr.1-2.36/1619 (turpmāk – Vēstule) informēja Vides aizsardzības un reģionāl</w:t>
            </w:r>
            <w:r>
              <w:t>ās</w:t>
            </w:r>
            <w:r w:rsidRPr="005141BB">
              <w:t xml:space="preserve"> attīstības ministriju, ka nesaskata lietderību </w:t>
            </w:r>
            <w:proofErr w:type="spellStart"/>
            <w:r w:rsidRPr="005141BB">
              <w:t>IoT</w:t>
            </w:r>
            <w:proofErr w:type="spellEnd"/>
            <w:r w:rsidRPr="005141BB">
              <w:t xml:space="preserve">/M2M numuru dalīšanai pēc publiskā elektronisko sakaru tīkla veida, jo tie pēc būtības ir pakalpojuma numuri, kuri netiek dalīti publiskā mobilā telefonu tīkla numuros un publiskā fiksētā telefonu tīkla numuros. </w:t>
            </w:r>
          </w:p>
          <w:p w14:paraId="29D27EC9" w14:textId="77777777" w:rsidR="00C051AD" w:rsidRPr="005141BB" w:rsidRDefault="00C051AD" w:rsidP="00C051AD">
            <w:r w:rsidRPr="005141BB">
              <w:t xml:space="preserve">Regulatora ieskatā nav patiess Anotācijas VI sadaļā “Sabiedrības līdzdalība un komunikācijas aktivitātes” minētais, ka ir ņemts vērā Regulatora Vēstulē paustais viedoklis par </w:t>
            </w:r>
            <w:proofErr w:type="spellStart"/>
            <w:r w:rsidRPr="005141BB">
              <w:t>IoT</w:t>
            </w:r>
            <w:proofErr w:type="spellEnd"/>
            <w:r w:rsidRPr="005141BB">
              <w:t xml:space="preserve">/M2M numuru nedalīšanu pēc publiskā elektronisko sakaru tīkla veida jeb numura saglābšanas pakalpojuma veida. </w:t>
            </w:r>
          </w:p>
          <w:p w14:paraId="17F0A619" w14:textId="77777777" w:rsidR="00C051AD" w:rsidRPr="005141BB" w:rsidRDefault="00C051AD" w:rsidP="00C051AD">
            <w:pPr>
              <w:rPr>
                <w:u w:val="single"/>
              </w:rPr>
            </w:pPr>
            <w:r w:rsidRPr="005141BB">
              <w:rPr>
                <w:u w:val="single"/>
              </w:rPr>
              <w:t>Līdz ar to Regulators lūdz precizēt Anotācijas VI sadaļu “Sabiedrības līdzdalība un komunikācijas aktivitātes”, jo pēc būtības Vēstulē paustais viedoklis nav ņemts vērā.</w:t>
            </w:r>
          </w:p>
          <w:p w14:paraId="22D4E412" w14:textId="77777777" w:rsidR="00C051AD" w:rsidRDefault="00C051AD" w:rsidP="001817F1">
            <w:pPr>
              <w:widowControl w:val="0"/>
              <w:ind w:firstLine="720"/>
              <w:jc w:val="both"/>
            </w:pPr>
          </w:p>
        </w:tc>
        <w:tc>
          <w:tcPr>
            <w:tcW w:w="926" w:type="pct"/>
          </w:tcPr>
          <w:p w14:paraId="2679A950" w14:textId="77777777" w:rsidR="00E23FBE" w:rsidRPr="00E61BF0" w:rsidRDefault="00E23FBE" w:rsidP="00E23FBE">
            <w:pPr>
              <w:spacing w:after="120"/>
              <w:jc w:val="both"/>
              <w:rPr>
                <w:b/>
              </w:rPr>
            </w:pPr>
            <w:r w:rsidRPr="00E61BF0">
              <w:rPr>
                <w:b/>
              </w:rPr>
              <w:t>Ņemts vērā</w:t>
            </w:r>
          </w:p>
          <w:p w14:paraId="4B1E794C" w14:textId="40EB9C64" w:rsidR="00FE576C" w:rsidRPr="00E61BF0" w:rsidRDefault="00FE576C" w:rsidP="00FE576C">
            <w:pPr>
              <w:spacing w:after="120"/>
              <w:jc w:val="both"/>
            </w:pPr>
            <w:r w:rsidRPr="00E61BF0">
              <w:t>Precizēta noteikumu projekta anotācijas VI sadaļa.</w:t>
            </w:r>
          </w:p>
          <w:p w14:paraId="5C3E38D1" w14:textId="77777777" w:rsidR="00C051AD" w:rsidRPr="0069045E" w:rsidRDefault="00C051AD" w:rsidP="003848EB">
            <w:pPr>
              <w:jc w:val="both"/>
              <w:rPr>
                <w:sz w:val="22"/>
                <w:szCs w:val="22"/>
              </w:rPr>
            </w:pPr>
          </w:p>
        </w:tc>
        <w:tc>
          <w:tcPr>
            <w:tcW w:w="1148" w:type="pct"/>
          </w:tcPr>
          <w:p w14:paraId="4B1D62D8" w14:textId="77777777" w:rsidR="00024615" w:rsidRDefault="00024615" w:rsidP="00024615">
            <w:pPr>
              <w:jc w:val="both"/>
            </w:pPr>
          </w:p>
          <w:p w14:paraId="031C237E" w14:textId="7E35DBD2" w:rsidR="00024615" w:rsidRPr="00244AC6" w:rsidRDefault="00024615" w:rsidP="00024615">
            <w:pPr>
              <w:jc w:val="both"/>
            </w:pPr>
            <w:r>
              <w:t>“</w:t>
            </w:r>
            <w:r w:rsidRPr="00244AC6">
              <w:t xml:space="preserve">Saņemts viedoklis no </w:t>
            </w:r>
            <w:bookmarkStart w:id="0" w:name="OLE_LINK3"/>
            <w:bookmarkStart w:id="1" w:name="OLE_LINK4"/>
            <w:r w:rsidRPr="00244AC6">
              <w:t>Sabiedrisko pakalpojumu regulēšanas komisijas</w:t>
            </w:r>
            <w:bookmarkEnd w:id="0"/>
            <w:bookmarkEnd w:id="1"/>
            <w:r w:rsidRPr="00244AC6">
              <w:t xml:space="preserve">, kurā nesaskata lietderību </w:t>
            </w:r>
            <w:proofErr w:type="spellStart"/>
            <w:r w:rsidRPr="00244AC6">
              <w:t>IoT</w:t>
            </w:r>
            <w:proofErr w:type="spellEnd"/>
            <w:r w:rsidRPr="00244AC6">
              <w:t>/M2M numuru dalīšanai publiskā mobilā telefonu tīkla numuros un publiskā fiksētā telefonu tīkla numuros, jo tie pēc būtības ir pakalpojuma numuri, kuri netiek dalīti pēc elektronisko sakaru tīkla veida.</w:t>
            </w:r>
          </w:p>
          <w:p w14:paraId="698A4488" w14:textId="77777777" w:rsidR="00024615" w:rsidRPr="00244AC6" w:rsidRDefault="00024615" w:rsidP="00024615">
            <w:pPr>
              <w:jc w:val="both"/>
            </w:pPr>
          </w:p>
          <w:p w14:paraId="5A167F31" w14:textId="0F5D8350" w:rsidR="003848EB" w:rsidRPr="0069045E" w:rsidRDefault="00024615" w:rsidP="00024615">
            <w:pPr>
              <w:pStyle w:val="naiskr"/>
              <w:spacing w:after="0"/>
              <w:contextualSpacing/>
              <w:rPr>
                <w:sz w:val="22"/>
                <w:szCs w:val="22"/>
              </w:rPr>
            </w:pPr>
            <w:r>
              <w:t>Noteikumu projektā tiek ieviestas pazīmes, lai atšķirtu tehnoloģiski dažādos tīklus.”</w:t>
            </w:r>
          </w:p>
        </w:tc>
      </w:tr>
      <w:tr w:rsidR="00C051AD" w:rsidRPr="0069045E" w14:paraId="392131B8" w14:textId="77777777" w:rsidTr="004607BB">
        <w:tc>
          <w:tcPr>
            <w:tcW w:w="195" w:type="pct"/>
          </w:tcPr>
          <w:p w14:paraId="30E34C9C" w14:textId="6FBF00D4" w:rsidR="00C051AD" w:rsidRPr="0069045E" w:rsidRDefault="00A95D8C" w:rsidP="00C051AD">
            <w:pPr>
              <w:rPr>
                <w:sz w:val="22"/>
                <w:szCs w:val="22"/>
              </w:rPr>
            </w:pPr>
            <w:r>
              <w:rPr>
                <w:sz w:val="22"/>
                <w:szCs w:val="22"/>
              </w:rPr>
              <w:lastRenderedPageBreak/>
              <w:t>3.</w:t>
            </w:r>
          </w:p>
        </w:tc>
        <w:tc>
          <w:tcPr>
            <w:tcW w:w="1016" w:type="pct"/>
          </w:tcPr>
          <w:p w14:paraId="1BE8F12B" w14:textId="77777777" w:rsidR="00C051AD" w:rsidRDefault="00C051AD" w:rsidP="00C051AD"/>
          <w:p w14:paraId="1AFED205" w14:textId="5278C162" w:rsidR="00C051AD" w:rsidRPr="00E61BF0" w:rsidRDefault="00C051AD" w:rsidP="00C051AD">
            <w:r w:rsidRPr="00E61BF0">
              <w:t>Skatīt noteikumu projekta anotāciju</w:t>
            </w:r>
          </w:p>
        </w:tc>
        <w:tc>
          <w:tcPr>
            <w:tcW w:w="1715" w:type="pct"/>
          </w:tcPr>
          <w:p w14:paraId="1E7B587B" w14:textId="77777777" w:rsidR="00C051AD" w:rsidRPr="001817F1" w:rsidRDefault="00C051AD" w:rsidP="00C051AD">
            <w:pPr>
              <w:pStyle w:val="Sarakstarindkopa"/>
              <w:tabs>
                <w:tab w:val="left" w:pos="284"/>
              </w:tabs>
              <w:ind w:left="0"/>
              <w:jc w:val="both"/>
              <w:rPr>
                <w:b/>
                <w:bCs/>
              </w:rPr>
            </w:pPr>
            <w:r w:rsidRPr="001817F1">
              <w:rPr>
                <w:b/>
                <w:bCs/>
              </w:rPr>
              <w:t>Sabiedrisko pakalpojumu regulēšanas komisija</w:t>
            </w:r>
          </w:p>
          <w:p w14:paraId="7CFE3BE0" w14:textId="77777777" w:rsidR="00C051AD" w:rsidRDefault="00C051AD" w:rsidP="00C051AD">
            <w:pPr>
              <w:pStyle w:val="Bezatstarpm"/>
              <w:ind w:firstLine="82"/>
              <w:jc w:val="center"/>
              <w:rPr>
                <w:rFonts w:eastAsia="Times New Roman"/>
                <w:sz w:val="22"/>
                <w:szCs w:val="22"/>
                <w:lang w:eastAsia="lv-LV"/>
              </w:rPr>
            </w:pPr>
          </w:p>
          <w:p w14:paraId="404BEE5F" w14:textId="77777777" w:rsidR="00C051AD" w:rsidRPr="005141BB" w:rsidRDefault="00C051AD" w:rsidP="007A57ED">
            <w:pPr>
              <w:pStyle w:val="Sarakstarindkopa"/>
              <w:tabs>
                <w:tab w:val="left" w:pos="0"/>
                <w:tab w:val="left" w:pos="284"/>
              </w:tabs>
              <w:ind w:left="0"/>
              <w:jc w:val="both"/>
            </w:pPr>
            <w:r w:rsidRPr="005141BB">
              <w:t>Anotācijas I sadaļas “Tiesību akta projekta izstrādes nepieciešamība” 2.punkta 12.rindkopas 3.apakšpunktā noteikts, ka “</w:t>
            </w:r>
            <w:r w:rsidRPr="005141BB">
              <w:rPr>
                <w:i/>
                <w:iCs/>
              </w:rPr>
              <w:t xml:space="preserve">turpmāk netiek izslēgta </w:t>
            </w:r>
            <w:proofErr w:type="spellStart"/>
            <w:r w:rsidRPr="005141BB">
              <w:rPr>
                <w:i/>
                <w:iCs/>
              </w:rPr>
              <w:t>IoT</w:t>
            </w:r>
            <w:proofErr w:type="spellEnd"/>
            <w:r w:rsidRPr="005141BB">
              <w:rPr>
                <w:i/>
                <w:iCs/>
              </w:rPr>
              <w:t>/M2M numuru diapazonu pazīmju pārskatīšana - kad esošo pakalpojumu no “2XXXXXXX” un “6XXXXXXX” diapazoniem tiks veikta nepieciešamā pārcelšana uz jaunajiem diapazoniem</w:t>
            </w:r>
            <w:r w:rsidRPr="005141BB">
              <w:t>.”</w:t>
            </w:r>
          </w:p>
          <w:p w14:paraId="1383C1A6" w14:textId="77777777" w:rsidR="00C051AD" w:rsidRPr="005141BB" w:rsidRDefault="00C051AD" w:rsidP="00C051AD">
            <w:pPr>
              <w:pStyle w:val="Sarakstarindkopa"/>
              <w:ind w:left="0" w:firstLine="720"/>
              <w:jc w:val="both"/>
            </w:pPr>
            <w:r w:rsidRPr="005141BB">
              <w:t xml:space="preserve">Regulatora ieskatā šis Anotācijas apgalvojums ir pretrunā ar Noteikumu projekta 5.punktu, ar ko piedāvā papildināt Nacionālo numerācijas plānu ar 38.punktu, kurš noteic, ka šo noteikumu 1.pielikuma 1.tabulas 1. un 2.punktā minētie numerācijas indeksi “6XXXXXXX” un “2XXXXXXX” ir lietojami visiem iepriekš aktivizētiem </w:t>
            </w:r>
            <w:proofErr w:type="spellStart"/>
            <w:r w:rsidRPr="005141BB">
              <w:t>IoT</w:t>
            </w:r>
            <w:proofErr w:type="spellEnd"/>
            <w:r w:rsidRPr="005141BB">
              <w:t xml:space="preserve">/M2M numuru pieslēgumiem. Jauni </w:t>
            </w:r>
            <w:proofErr w:type="spellStart"/>
            <w:r w:rsidRPr="005141BB">
              <w:t>IoT</w:t>
            </w:r>
            <w:proofErr w:type="spellEnd"/>
            <w:r w:rsidRPr="005141BB">
              <w:t xml:space="preserve">/M2M numuru pieslēgumi nodrošināmi no 2021.gada 1.janvāra izmantojot </w:t>
            </w:r>
            <w:proofErr w:type="spellStart"/>
            <w:r w:rsidRPr="005141BB">
              <w:t>IoT</w:t>
            </w:r>
            <w:proofErr w:type="spellEnd"/>
            <w:r w:rsidRPr="005141BB">
              <w:t xml:space="preserve">/M2M numurus. </w:t>
            </w:r>
          </w:p>
          <w:p w14:paraId="3CCBC486" w14:textId="08BB164F" w:rsidR="00C051AD" w:rsidRDefault="00C051AD" w:rsidP="00B13061">
            <w:pPr>
              <w:pStyle w:val="Sarakstarindkopa"/>
              <w:ind w:left="0" w:firstLine="720"/>
              <w:jc w:val="both"/>
            </w:pPr>
            <w:r w:rsidRPr="005141BB">
              <w:t xml:space="preserve">Regulators norāda, ka Noteikumu projekta 5.punkts, ar ko piedāvā papildināt Nacionālo numerācijas plānu ar 38.punktu, paredz, ka elektronisko sakaru komersanti jau no 2021.gada 1.janvāra varēs pārcelt esošos </w:t>
            </w:r>
            <w:proofErr w:type="spellStart"/>
            <w:r w:rsidRPr="005141BB">
              <w:t>IoT</w:t>
            </w:r>
            <w:proofErr w:type="spellEnd"/>
            <w:r w:rsidRPr="005141BB">
              <w:t xml:space="preserve">/M2M numuru pieslēgumus no numerācijas indeksiem “2XXXXXXX” un “6XXXXXXX” uz </w:t>
            </w:r>
            <w:proofErr w:type="spellStart"/>
            <w:r w:rsidRPr="005141BB">
              <w:t>IoT</w:t>
            </w:r>
            <w:proofErr w:type="spellEnd"/>
            <w:r w:rsidRPr="005141BB">
              <w:t>/M2M numuriem numerācijas indeksā “70XXXXXX – 74XXXXXX”.</w:t>
            </w:r>
          </w:p>
        </w:tc>
        <w:tc>
          <w:tcPr>
            <w:tcW w:w="926" w:type="pct"/>
          </w:tcPr>
          <w:p w14:paraId="7080781C" w14:textId="77777777" w:rsidR="002C30C5" w:rsidRPr="00E61BF0" w:rsidRDefault="002C30C5" w:rsidP="002C30C5">
            <w:pPr>
              <w:spacing w:after="120"/>
              <w:jc w:val="both"/>
              <w:rPr>
                <w:b/>
              </w:rPr>
            </w:pPr>
            <w:r w:rsidRPr="00E61BF0">
              <w:rPr>
                <w:b/>
              </w:rPr>
              <w:t>Ņemts vērā</w:t>
            </w:r>
          </w:p>
          <w:p w14:paraId="3D71453D" w14:textId="77777777" w:rsidR="00840721" w:rsidRPr="00E61BF0" w:rsidRDefault="00840721" w:rsidP="00C051AD">
            <w:pPr>
              <w:spacing w:after="120"/>
              <w:jc w:val="both"/>
              <w:rPr>
                <w:b/>
              </w:rPr>
            </w:pPr>
          </w:p>
          <w:p w14:paraId="0DDA7175" w14:textId="34F5A0D4" w:rsidR="00840721" w:rsidRPr="00E61BF0" w:rsidRDefault="00DE315D" w:rsidP="00840721">
            <w:pPr>
              <w:spacing w:after="120"/>
              <w:jc w:val="both"/>
            </w:pPr>
            <w:r w:rsidRPr="00E61BF0">
              <w:t>Svītrota</w:t>
            </w:r>
            <w:r w:rsidR="00840721" w:rsidRPr="00E61BF0">
              <w:t xml:space="preserve"> noteikumu projekta anotācija</w:t>
            </w:r>
            <w:r w:rsidR="003848EB" w:rsidRPr="00E61BF0">
              <w:t>s I sadaļa</w:t>
            </w:r>
            <w:r w:rsidR="002C30C5" w:rsidRPr="00E61BF0">
              <w:t>s 2.punkt</w:t>
            </w:r>
            <w:r w:rsidRPr="00E61BF0">
              <w:t>a attiecīgā rindkopa</w:t>
            </w:r>
            <w:r w:rsidR="003848EB" w:rsidRPr="00E61BF0">
              <w:t>.</w:t>
            </w:r>
          </w:p>
          <w:p w14:paraId="3D7A09E5" w14:textId="77777777" w:rsidR="00840721" w:rsidRDefault="00840721" w:rsidP="00C051AD">
            <w:pPr>
              <w:spacing w:after="120"/>
              <w:jc w:val="both"/>
              <w:rPr>
                <w:b/>
                <w:sz w:val="22"/>
                <w:szCs w:val="22"/>
              </w:rPr>
            </w:pPr>
          </w:p>
          <w:p w14:paraId="703F1B6F" w14:textId="77777777" w:rsidR="00C051AD" w:rsidRPr="0069045E" w:rsidRDefault="00C051AD" w:rsidP="00C051AD">
            <w:pPr>
              <w:rPr>
                <w:sz w:val="22"/>
                <w:szCs w:val="22"/>
              </w:rPr>
            </w:pPr>
          </w:p>
        </w:tc>
        <w:tc>
          <w:tcPr>
            <w:tcW w:w="1148" w:type="pct"/>
          </w:tcPr>
          <w:p w14:paraId="300C5E8B" w14:textId="77777777" w:rsidR="00C051AD" w:rsidRDefault="00C051AD" w:rsidP="00C051AD">
            <w:pPr>
              <w:pStyle w:val="naiskr"/>
              <w:spacing w:after="0"/>
              <w:contextualSpacing/>
              <w:rPr>
                <w:sz w:val="22"/>
                <w:szCs w:val="22"/>
              </w:rPr>
            </w:pPr>
          </w:p>
          <w:p w14:paraId="6593CD37" w14:textId="77777777" w:rsidR="00840721" w:rsidRDefault="00840721" w:rsidP="00C051AD">
            <w:pPr>
              <w:pStyle w:val="naiskr"/>
              <w:spacing w:after="0"/>
              <w:contextualSpacing/>
              <w:rPr>
                <w:sz w:val="22"/>
                <w:szCs w:val="22"/>
              </w:rPr>
            </w:pPr>
          </w:p>
          <w:p w14:paraId="36ECB261" w14:textId="77777777" w:rsidR="004E6016" w:rsidRDefault="004E6016" w:rsidP="00C051AD">
            <w:pPr>
              <w:pStyle w:val="naiskr"/>
              <w:spacing w:after="0"/>
              <w:contextualSpacing/>
            </w:pPr>
          </w:p>
          <w:p w14:paraId="400C763F" w14:textId="1E40FA12" w:rsidR="004E6016" w:rsidRPr="0069045E" w:rsidRDefault="004E6016" w:rsidP="00DE315D">
            <w:pPr>
              <w:pStyle w:val="naisc"/>
              <w:spacing w:before="0" w:after="0"/>
              <w:jc w:val="both"/>
              <w:rPr>
                <w:sz w:val="22"/>
                <w:szCs w:val="22"/>
              </w:rPr>
            </w:pPr>
          </w:p>
        </w:tc>
      </w:tr>
      <w:tr w:rsidR="00C051AD" w:rsidRPr="0069045E" w14:paraId="1A8236E9" w14:textId="77777777" w:rsidTr="004607BB">
        <w:tc>
          <w:tcPr>
            <w:tcW w:w="195" w:type="pct"/>
          </w:tcPr>
          <w:p w14:paraId="2B30A43F" w14:textId="3A1305F6" w:rsidR="00C051AD" w:rsidRPr="0069045E" w:rsidRDefault="00A95D8C" w:rsidP="00C051AD">
            <w:pPr>
              <w:rPr>
                <w:sz w:val="22"/>
                <w:szCs w:val="22"/>
              </w:rPr>
            </w:pPr>
            <w:r>
              <w:rPr>
                <w:sz w:val="22"/>
                <w:szCs w:val="22"/>
              </w:rPr>
              <w:t>4.</w:t>
            </w:r>
          </w:p>
        </w:tc>
        <w:tc>
          <w:tcPr>
            <w:tcW w:w="1016" w:type="pct"/>
          </w:tcPr>
          <w:p w14:paraId="0419CC26" w14:textId="4030CA86" w:rsidR="00ED5CDA" w:rsidRPr="008B5D1A" w:rsidRDefault="00ED5CDA" w:rsidP="00C051AD">
            <w:r w:rsidRPr="008B5D1A">
              <w:t>Skatīt noteikumu projekta anotāciju</w:t>
            </w:r>
          </w:p>
        </w:tc>
        <w:tc>
          <w:tcPr>
            <w:tcW w:w="1715" w:type="pct"/>
          </w:tcPr>
          <w:p w14:paraId="313CDF46" w14:textId="77777777" w:rsidR="00ED5CDA" w:rsidRPr="001817F1" w:rsidRDefault="00ED5CDA" w:rsidP="00ED5CDA">
            <w:pPr>
              <w:pStyle w:val="Sarakstarindkopa"/>
              <w:tabs>
                <w:tab w:val="left" w:pos="284"/>
              </w:tabs>
              <w:ind w:left="0"/>
              <w:jc w:val="both"/>
              <w:rPr>
                <w:b/>
                <w:bCs/>
              </w:rPr>
            </w:pPr>
            <w:r w:rsidRPr="001817F1">
              <w:rPr>
                <w:b/>
                <w:bCs/>
              </w:rPr>
              <w:t>Sabiedrisko pakalpojumu regulēšanas komisija</w:t>
            </w:r>
          </w:p>
          <w:p w14:paraId="074E510E" w14:textId="77777777" w:rsidR="00ED5CDA" w:rsidRPr="005141BB" w:rsidRDefault="00ED5CDA" w:rsidP="007A57ED">
            <w:pPr>
              <w:pStyle w:val="Sarakstarindkopa"/>
              <w:tabs>
                <w:tab w:val="left" w:pos="284"/>
              </w:tabs>
              <w:ind w:left="0"/>
              <w:jc w:val="both"/>
            </w:pPr>
            <w:r w:rsidRPr="005141BB">
              <w:t xml:space="preserve">Anotācijas I sadaļas “Tiesību akta projekta izstrādes nepieciešamība” 2.punkta 14.rindkopā noteikts, ka </w:t>
            </w:r>
            <w:r w:rsidRPr="001A61AC">
              <w:t>“</w:t>
            </w:r>
            <w:r w:rsidRPr="001A61AC">
              <w:rPr>
                <w:iCs/>
              </w:rPr>
              <w:t xml:space="preserve">Noteikumu projekts paredz pārejas posmu līdz 2020.gada beigām, lai elektronisko sakaru operatori veiktu vajadzīgos sagatavošanās darbus normatīvā regulējuma izmaiņām, un no 2021.gada 1.janvāra </w:t>
            </w:r>
            <w:r w:rsidRPr="001A61AC">
              <w:rPr>
                <w:iCs/>
              </w:rPr>
              <w:lastRenderedPageBreak/>
              <w:t xml:space="preserve">uzsāktu </w:t>
            </w:r>
            <w:proofErr w:type="spellStart"/>
            <w:r w:rsidRPr="001A61AC">
              <w:rPr>
                <w:iCs/>
              </w:rPr>
              <w:t>IoT</w:t>
            </w:r>
            <w:proofErr w:type="spellEnd"/>
            <w:r w:rsidRPr="001A61AC">
              <w:rPr>
                <w:iCs/>
              </w:rPr>
              <w:t>/M2M numuru lietošanu lietu interneta un starpierīču saziņas pakalpojumiem</w:t>
            </w:r>
            <w:r w:rsidRPr="001A61AC">
              <w:t>”.</w:t>
            </w:r>
            <w:r w:rsidRPr="005141BB">
              <w:t xml:space="preserve"> </w:t>
            </w:r>
          </w:p>
          <w:p w14:paraId="21A47D80" w14:textId="77777777" w:rsidR="00ED5CDA" w:rsidRPr="005141BB" w:rsidRDefault="00ED5CDA" w:rsidP="00ED5CDA">
            <w:pPr>
              <w:pStyle w:val="Sarakstarindkopa"/>
              <w:ind w:left="0" w:firstLine="720"/>
              <w:jc w:val="both"/>
            </w:pPr>
            <w:r w:rsidRPr="005141BB">
              <w:t xml:space="preserve">Regulators norāda, ka Noteikumu projektā nav noteikts pārejas periods, kad stājas spēkā </w:t>
            </w:r>
            <w:proofErr w:type="spellStart"/>
            <w:r w:rsidRPr="005141BB">
              <w:t>IoT</w:t>
            </w:r>
            <w:proofErr w:type="spellEnd"/>
            <w:r w:rsidRPr="005141BB">
              <w:t xml:space="preserve">/M2M numuri. Saskaņā ar Noteikumu projekta 5.punktu, ar ko piedāvā papildināt Nacionālo numerācijas plānu ar 38.punktu, līdz 2020.gada beigām elektronisko sakaru komersanti </w:t>
            </w:r>
            <w:proofErr w:type="spellStart"/>
            <w:r w:rsidRPr="005141BB">
              <w:t>IoT</w:t>
            </w:r>
            <w:proofErr w:type="spellEnd"/>
            <w:r w:rsidRPr="005141BB">
              <w:t xml:space="preserve">/M2M pakalpojumiem var izmantot esošos numerācijas indeksus “6XXXXXXX” un “2XXXXXXX”, bet no 2021.gada 1.janvāra tikai </w:t>
            </w:r>
            <w:proofErr w:type="spellStart"/>
            <w:r w:rsidRPr="005141BB">
              <w:t>IoT</w:t>
            </w:r>
            <w:proofErr w:type="spellEnd"/>
            <w:r w:rsidRPr="005141BB">
              <w:t>/M2M numurus.</w:t>
            </w:r>
          </w:p>
          <w:p w14:paraId="6CB97750" w14:textId="0C53809C" w:rsidR="00ED5CDA" w:rsidRDefault="00ED5CDA" w:rsidP="00B13061">
            <w:pPr>
              <w:ind w:firstLine="720"/>
            </w:pPr>
            <w:r w:rsidRPr="005141BB">
              <w:rPr>
                <w:u w:val="single"/>
              </w:rPr>
              <w:t>Lūdzam svītrot Anotācijas I sadaļas “Tiesību akta projekta izstrādes nepieciešamība” 2.punkta 14.rindkopu.</w:t>
            </w:r>
          </w:p>
        </w:tc>
        <w:tc>
          <w:tcPr>
            <w:tcW w:w="926" w:type="pct"/>
          </w:tcPr>
          <w:p w14:paraId="2DCEA340" w14:textId="77777777" w:rsidR="00DE315D" w:rsidRPr="008B5D1A" w:rsidRDefault="00DE315D" w:rsidP="00DE315D">
            <w:pPr>
              <w:spacing w:after="120"/>
              <w:jc w:val="both"/>
              <w:rPr>
                <w:b/>
              </w:rPr>
            </w:pPr>
            <w:r w:rsidRPr="008B5D1A">
              <w:rPr>
                <w:b/>
              </w:rPr>
              <w:lastRenderedPageBreak/>
              <w:t>Ņemts vērā</w:t>
            </w:r>
          </w:p>
          <w:p w14:paraId="6B598924" w14:textId="77777777" w:rsidR="00DE315D" w:rsidRDefault="00DE315D" w:rsidP="00DE315D">
            <w:pPr>
              <w:spacing w:after="120"/>
              <w:jc w:val="both"/>
              <w:rPr>
                <w:b/>
                <w:sz w:val="22"/>
                <w:szCs w:val="22"/>
              </w:rPr>
            </w:pPr>
          </w:p>
          <w:p w14:paraId="22232A08" w14:textId="3C9106F7" w:rsidR="00ED5CDA" w:rsidRPr="0069045E" w:rsidRDefault="00DE315D" w:rsidP="00554ECD">
            <w:pPr>
              <w:spacing w:after="120"/>
              <w:jc w:val="both"/>
              <w:rPr>
                <w:sz w:val="22"/>
                <w:szCs w:val="22"/>
              </w:rPr>
            </w:pPr>
            <w:r w:rsidRPr="008B5D1A">
              <w:t>Precizēts noteikumu projekta anotācijas I sadaļas 2.punkts.</w:t>
            </w:r>
          </w:p>
        </w:tc>
        <w:tc>
          <w:tcPr>
            <w:tcW w:w="1148" w:type="pct"/>
          </w:tcPr>
          <w:p w14:paraId="10E84204" w14:textId="22C5092D" w:rsidR="00840721" w:rsidRDefault="00DE315D" w:rsidP="00554ECD">
            <w:pPr>
              <w:pStyle w:val="naisc"/>
              <w:spacing w:before="0" w:after="0"/>
              <w:jc w:val="both"/>
              <w:rPr>
                <w:sz w:val="22"/>
                <w:szCs w:val="22"/>
              </w:rPr>
            </w:pPr>
            <w:r>
              <w:t xml:space="preserve">“Numerācijas diapazonu atvēršana </w:t>
            </w:r>
            <w:proofErr w:type="spellStart"/>
            <w:r w:rsidRPr="00F12198">
              <w:rPr>
                <w:i/>
              </w:rPr>
              <w:t>IoT</w:t>
            </w:r>
            <w:proofErr w:type="spellEnd"/>
            <w:r w:rsidRPr="00F12198">
              <w:rPr>
                <w:i/>
              </w:rPr>
              <w:t>/M2M</w:t>
            </w:r>
            <w:r w:rsidRPr="009D3356">
              <w:t xml:space="preserve"> </w:t>
            </w:r>
            <w:r>
              <w:t xml:space="preserve">pakalpojumiem plānota no </w:t>
            </w:r>
            <w:r w:rsidRPr="009D3356">
              <w:t>2021. gada 1. janvāra</w:t>
            </w:r>
            <w:r>
              <w:t xml:space="preserve">, un līdz minētajam laikam </w:t>
            </w:r>
            <w:r w:rsidRPr="009D3356">
              <w:t>elektronisko sakaru operatori</w:t>
            </w:r>
            <w:r>
              <w:t>em un atbildīgajām institūcijām</w:t>
            </w:r>
            <w:r w:rsidRPr="009D3356">
              <w:t xml:space="preserve"> </w:t>
            </w:r>
            <w:r>
              <w:t xml:space="preserve">būtu </w:t>
            </w:r>
            <w:r>
              <w:lastRenderedPageBreak/>
              <w:t xml:space="preserve">iespēja </w:t>
            </w:r>
            <w:r w:rsidRPr="009D3356">
              <w:t>veik</w:t>
            </w:r>
            <w:r>
              <w:t>t</w:t>
            </w:r>
            <w:r w:rsidRPr="009D3356">
              <w:t xml:space="preserve"> vajadzīgos </w:t>
            </w:r>
            <w:r>
              <w:t xml:space="preserve">sagatavošanās </w:t>
            </w:r>
            <w:r w:rsidRPr="009D3356">
              <w:t>priekšdarbus</w:t>
            </w:r>
            <w:r>
              <w:t xml:space="preserve"> </w:t>
            </w:r>
            <w:proofErr w:type="spellStart"/>
            <w:r w:rsidRPr="00F12198">
              <w:rPr>
                <w:i/>
              </w:rPr>
              <w:t>IoT</w:t>
            </w:r>
            <w:proofErr w:type="spellEnd"/>
            <w:r w:rsidRPr="00F12198">
              <w:rPr>
                <w:i/>
              </w:rPr>
              <w:t>/M2M</w:t>
            </w:r>
            <w:r w:rsidRPr="009D3356">
              <w:t xml:space="preserve"> </w:t>
            </w:r>
            <w:r>
              <w:t>pakalpojumu darbības n</w:t>
            </w:r>
            <w:r w:rsidRPr="004B6DDB">
              <w:t>umerācijas indeks</w:t>
            </w:r>
            <w:r>
              <w:t xml:space="preserve">os </w:t>
            </w:r>
            <w:r w:rsidRPr="009D3356">
              <w:t>“70XXXXXX – 74XXXXXX”</w:t>
            </w:r>
            <w:r>
              <w:t xml:space="preserve"> un</w:t>
            </w:r>
            <w:r w:rsidRPr="009D3356">
              <w:t xml:space="preserve"> “300 00X XXX </w:t>
            </w:r>
            <w:proofErr w:type="spellStart"/>
            <w:r w:rsidRPr="009D3356">
              <w:t>XXX</w:t>
            </w:r>
            <w:proofErr w:type="spellEnd"/>
            <w:r>
              <w:t>” uzsākšanai.</w:t>
            </w:r>
            <w:r w:rsidRPr="004B6DDB">
              <w:t xml:space="preserve"> </w:t>
            </w:r>
            <w:r>
              <w:t>Turklāt n</w:t>
            </w:r>
            <w:r w:rsidRPr="004B6DDB">
              <w:t xml:space="preserve">umerācijas indeksi “6XXXXXXX” un “2XXXXXXX” </w:t>
            </w:r>
            <w:r>
              <w:t>arī turpmāk būtu</w:t>
            </w:r>
            <w:r w:rsidRPr="004B6DDB">
              <w:t xml:space="preserve"> lietojami visiem iepriekš aktivizētiem </w:t>
            </w:r>
            <w:proofErr w:type="spellStart"/>
            <w:r w:rsidRPr="004B6DDB">
              <w:rPr>
                <w:i/>
                <w:iCs/>
              </w:rPr>
              <w:t>IoT</w:t>
            </w:r>
            <w:proofErr w:type="spellEnd"/>
            <w:r w:rsidRPr="004B6DDB">
              <w:rPr>
                <w:i/>
                <w:iCs/>
              </w:rPr>
              <w:t>/M2M</w:t>
            </w:r>
            <w:r w:rsidRPr="004B6DDB">
              <w:t xml:space="preserve"> numuru pieslēgumiem.</w:t>
            </w:r>
            <w:r>
              <w:t>”</w:t>
            </w:r>
          </w:p>
          <w:p w14:paraId="6A90BC77" w14:textId="77777777" w:rsidR="00840721" w:rsidRDefault="00840721" w:rsidP="00C051AD">
            <w:pPr>
              <w:pStyle w:val="naiskr"/>
              <w:spacing w:after="0"/>
              <w:contextualSpacing/>
            </w:pPr>
          </w:p>
          <w:p w14:paraId="4D9B0363" w14:textId="77777777" w:rsidR="00840721" w:rsidRDefault="00840721" w:rsidP="00C051AD">
            <w:pPr>
              <w:pStyle w:val="naiskr"/>
              <w:spacing w:after="0"/>
              <w:contextualSpacing/>
            </w:pPr>
          </w:p>
          <w:p w14:paraId="3A103306" w14:textId="44E2AD2A" w:rsidR="00840721" w:rsidRPr="0069045E" w:rsidRDefault="00840721" w:rsidP="0050388E">
            <w:pPr>
              <w:pStyle w:val="naiskr"/>
              <w:spacing w:after="0"/>
              <w:contextualSpacing/>
              <w:rPr>
                <w:sz w:val="22"/>
                <w:szCs w:val="22"/>
              </w:rPr>
            </w:pPr>
          </w:p>
        </w:tc>
      </w:tr>
      <w:tr w:rsidR="00C051AD" w:rsidRPr="0069045E" w14:paraId="2093B98C" w14:textId="77777777" w:rsidTr="004607BB">
        <w:tc>
          <w:tcPr>
            <w:tcW w:w="195" w:type="pct"/>
          </w:tcPr>
          <w:p w14:paraId="438334F2" w14:textId="3DBA163C" w:rsidR="00C051AD" w:rsidRPr="0069045E" w:rsidRDefault="00A95D8C" w:rsidP="00C051AD">
            <w:pPr>
              <w:rPr>
                <w:sz w:val="22"/>
                <w:szCs w:val="22"/>
              </w:rPr>
            </w:pPr>
            <w:r>
              <w:rPr>
                <w:sz w:val="22"/>
                <w:szCs w:val="22"/>
              </w:rPr>
              <w:lastRenderedPageBreak/>
              <w:t>5</w:t>
            </w:r>
            <w:r w:rsidR="00BF1382">
              <w:rPr>
                <w:sz w:val="22"/>
                <w:szCs w:val="22"/>
              </w:rPr>
              <w:t>.</w:t>
            </w:r>
          </w:p>
        </w:tc>
        <w:tc>
          <w:tcPr>
            <w:tcW w:w="1016" w:type="pct"/>
          </w:tcPr>
          <w:p w14:paraId="1B92F983" w14:textId="372197E9" w:rsidR="00ED5CDA" w:rsidRPr="00F61888" w:rsidRDefault="00ED5CDA" w:rsidP="00C051AD">
            <w:r w:rsidRPr="00F61888">
              <w:t>Skatīt noteikumu projekta anotāciju</w:t>
            </w:r>
          </w:p>
        </w:tc>
        <w:tc>
          <w:tcPr>
            <w:tcW w:w="1715" w:type="pct"/>
          </w:tcPr>
          <w:p w14:paraId="0D157DF4" w14:textId="77777777" w:rsidR="00ED5CDA" w:rsidRPr="001817F1" w:rsidRDefault="00ED5CDA" w:rsidP="00ED5CDA">
            <w:pPr>
              <w:pStyle w:val="Sarakstarindkopa"/>
              <w:tabs>
                <w:tab w:val="left" w:pos="284"/>
              </w:tabs>
              <w:ind w:left="0"/>
              <w:jc w:val="both"/>
              <w:rPr>
                <w:b/>
                <w:bCs/>
              </w:rPr>
            </w:pPr>
            <w:r w:rsidRPr="001817F1">
              <w:rPr>
                <w:b/>
                <w:bCs/>
              </w:rPr>
              <w:t>Sabiedrisko pakalpojumu regulēšanas komisija</w:t>
            </w:r>
          </w:p>
          <w:p w14:paraId="0C8DA747" w14:textId="77777777" w:rsidR="00ED5CDA" w:rsidRPr="005141BB" w:rsidRDefault="00ED5CDA" w:rsidP="007A57ED">
            <w:pPr>
              <w:pStyle w:val="Sarakstarindkopa"/>
              <w:tabs>
                <w:tab w:val="left" w:pos="284"/>
              </w:tabs>
              <w:ind w:left="0"/>
              <w:jc w:val="both"/>
            </w:pPr>
            <w:r w:rsidRPr="005141BB">
              <w:t>Saskaņā ar Noteikum</w:t>
            </w:r>
            <w:r>
              <w:t>u</w:t>
            </w:r>
            <w:r w:rsidRPr="005141BB">
              <w:t xml:space="preserve"> projektu ir nepieciešams veikt izmaiņas arī Ministru kabineta 2009.gada 11.augusta noteikumos Nr.892 “Noteikumi par numerācijas lietošanas tiesību ikgadējo valsts nodevu”, kuros jāveic papildinājumi atbilstoši </w:t>
            </w:r>
            <w:proofErr w:type="spellStart"/>
            <w:r w:rsidRPr="005141BB">
              <w:t>IoT</w:t>
            </w:r>
            <w:proofErr w:type="spellEnd"/>
            <w:r w:rsidRPr="005141BB">
              <w:t xml:space="preserve">/M2M numerācijai. </w:t>
            </w:r>
          </w:p>
          <w:p w14:paraId="707AE902" w14:textId="7A79A514" w:rsidR="00ED5CDA" w:rsidRDefault="00ED5CDA" w:rsidP="00B13061">
            <w:pPr>
              <w:pStyle w:val="Sarakstarindkopa"/>
              <w:tabs>
                <w:tab w:val="left" w:pos="284"/>
              </w:tabs>
              <w:ind w:left="0"/>
              <w:jc w:val="both"/>
            </w:pPr>
            <w:r w:rsidRPr="005141BB">
              <w:tab/>
            </w:r>
            <w:r w:rsidRPr="005141BB">
              <w:tab/>
            </w:r>
            <w:r w:rsidRPr="005141BB">
              <w:rPr>
                <w:u w:val="single"/>
              </w:rPr>
              <w:t>Ņemot vērā iepriekš minēto Regulators lūdz papildināt Anotācijas IV sadaļas “Tiesību akta projekta ietekme uz spēkā esošo tiesību normu sistēmu” 1.punktu ar Ministru kabineta 2009.gada 11.augusta noteikumiem Nr.892 “Noteikumi par numerācijas lietošanas tiesību ikgadējo valsts nodevu”</w:t>
            </w:r>
            <w:r w:rsidRPr="005141BB">
              <w:t>.</w:t>
            </w:r>
          </w:p>
        </w:tc>
        <w:tc>
          <w:tcPr>
            <w:tcW w:w="926" w:type="pct"/>
          </w:tcPr>
          <w:p w14:paraId="0D4ABCB3" w14:textId="5D76AC44" w:rsidR="00ED5CDA" w:rsidRPr="00F61888" w:rsidRDefault="00BC3516" w:rsidP="00ED5CDA">
            <w:pPr>
              <w:spacing w:after="120"/>
              <w:jc w:val="both"/>
              <w:rPr>
                <w:b/>
              </w:rPr>
            </w:pPr>
            <w:r>
              <w:rPr>
                <w:b/>
              </w:rPr>
              <w:t xml:space="preserve">panākta vienošanās </w:t>
            </w:r>
            <w:r w:rsidRPr="00F61888">
              <w:rPr>
                <w:b/>
              </w:rPr>
              <w:t xml:space="preserve"> </w:t>
            </w:r>
            <w:r w:rsidR="00ED5CDA" w:rsidRPr="00F61888">
              <w:rPr>
                <w:b/>
              </w:rPr>
              <w:t>starpinstitūciju sanāksmē</w:t>
            </w:r>
          </w:p>
          <w:p w14:paraId="0CB2022F" w14:textId="2032F1E5" w:rsidR="008B5D1A" w:rsidRPr="0069045E" w:rsidRDefault="008B5D1A" w:rsidP="008B5D1A">
            <w:pPr>
              <w:rPr>
                <w:sz w:val="22"/>
                <w:szCs w:val="22"/>
              </w:rPr>
            </w:pPr>
            <w:r w:rsidRPr="008B5D1A">
              <w:t>Anotācijas IV sadaļa netiek papild</w:t>
            </w:r>
            <w:r w:rsidR="00BC3516">
              <w:t>i</w:t>
            </w:r>
            <w:r w:rsidRPr="008B5D1A">
              <w:t>nāta.</w:t>
            </w:r>
            <w:r>
              <w:rPr>
                <w:u w:val="single"/>
              </w:rPr>
              <w:t xml:space="preserve"> </w:t>
            </w:r>
          </w:p>
          <w:p w14:paraId="3649EA70" w14:textId="412D4AFE" w:rsidR="00ED5CDA" w:rsidRPr="0069045E" w:rsidRDefault="00ED5CDA" w:rsidP="00ED5CDA">
            <w:pPr>
              <w:rPr>
                <w:sz w:val="22"/>
                <w:szCs w:val="22"/>
              </w:rPr>
            </w:pPr>
          </w:p>
        </w:tc>
        <w:tc>
          <w:tcPr>
            <w:tcW w:w="1148" w:type="pct"/>
          </w:tcPr>
          <w:p w14:paraId="4CB39624" w14:textId="77777777" w:rsidR="00C051AD" w:rsidRPr="0069045E" w:rsidRDefault="00C051AD" w:rsidP="00C051AD">
            <w:pPr>
              <w:pStyle w:val="naiskr"/>
              <w:spacing w:after="0"/>
              <w:contextualSpacing/>
              <w:rPr>
                <w:sz w:val="22"/>
                <w:szCs w:val="22"/>
              </w:rPr>
            </w:pPr>
          </w:p>
        </w:tc>
      </w:tr>
      <w:tr w:rsidR="00ED5CDA" w:rsidRPr="0069045E" w14:paraId="21A615BB" w14:textId="77777777" w:rsidTr="004607BB">
        <w:tc>
          <w:tcPr>
            <w:tcW w:w="195" w:type="pct"/>
          </w:tcPr>
          <w:p w14:paraId="7E4C4C0D" w14:textId="72326D13" w:rsidR="00ED5CDA" w:rsidRPr="0069045E" w:rsidRDefault="00A95D8C" w:rsidP="00C051AD">
            <w:pPr>
              <w:rPr>
                <w:sz w:val="22"/>
                <w:szCs w:val="22"/>
              </w:rPr>
            </w:pPr>
            <w:r>
              <w:rPr>
                <w:sz w:val="22"/>
                <w:szCs w:val="22"/>
              </w:rPr>
              <w:t>6</w:t>
            </w:r>
            <w:r w:rsidR="00BF1382">
              <w:rPr>
                <w:sz w:val="22"/>
                <w:szCs w:val="22"/>
              </w:rPr>
              <w:t>.</w:t>
            </w:r>
          </w:p>
        </w:tc>
        <w:tc>
          <w:tcPr>
            <w:tcW w:w="1016" w:type="pct"/>
          </w:tcPr>
          <w:p w14:paraId="5BB88F1C" w14:textId="77777777" w:rsidR="00F61888" w:rsidRPr="007B02EF" w:rsidRDefault="00F61888" w:rsidP="00F61888">
            <w:pPr>
              <w:rPr>
                <w:i/>
              </w:rPr>
            </w:pPr>
            <w:r w:rsidRPr="007B02EF">
              <w:rPr>
                <w:i/>
              </w:rPr>
              <w:t>Redakcija, izsludināta Valsts sekretāru sanāksmē:</w:t>
            </w:r>
          </w:p>
          <w:p w14:paraId="5D550EFA" w14:textId="77777777" w:rsidR="003B2C74" w:rsidRDefault="003B2C74" w:rsidP="003B2C74">
            <w:pPr>
              <w:jc w:val="center"/>
              <w:rPr>
                <w:b/>
                <w:bCs/>
              </w:rPr>
            </w:pPr>
            <w:r>
              <w:t>“</w:t>
            </w:r>
            <w:proofErr w:type="spellStart"/>
            <w:r w:rsidRPr="002F332B">
              <w:rPr>
                <w:b/>
                <w:bCs/>
              </w:rPr>
              <w:t>IoT</w:t>
            </w:r>
            <w:proofErr w:type="spellEnd"/>
            <w:r w:rsidRPr="002F332B">
              <w:rPr>
                <w:b/>
                <w:bCs/>
              </w:rPr>
              <w:t>/M2M numuri</w:t>
            </w:r>
          </w:p>
          <w:p w14:paraId="232C8322" w14:textId="77777777" w:rsidR="003B2C74" w:rsidRPr="000C555B" w:rsidRDefault="003B2C74" w:rsidP="003B2C74">
            <w:pPr>
              <w:jc w:val="center"/>
              <w:rPr>
                <w:bCs/>
              </w:rPr>
            </w:pPr>
            <w:r w:rsidRPr="000C555B">
              <w:rPr>
                <w:bCs/>
              </w:rPr>
              <w:t>(tabula)</w:t>
            </w:r>
          </w:p>
          <w:p w14:paraId="7DAF81EB" w14:textId="77777777" w:rsidR="003B2C74" w:rsidRPr="00A21627" w:rsidRDefault="003B2C74" w:rsidP="003B2C74">
            <w:pPr>
              <w:pStyle w:val="Default"/>
              <w:ind w:firstLine="199"/>
              <w:rPr>
                <w:lang w:val="en-US"/>
              </w:rPr>
            </w:pPr>
            <w:r w:rsidRPr="00A21627">
              <w:t>1.</w:t>
            </w:r>
            <w:r w:rsidRPr="00A21627">
              <w:rPr>
                <w:vertAlign w:val="superscript"/>
              </w:rPr>
              <w:t>1</w:t>
            </w:r>
            <w:r w:rsidRPr="00A21627">
              <w:t xml:space="preserve"> tabulā</w:t>
            </w:r>
            <w:r>
              <w:t>:</w:t>
            </w:r>
          </w:p>
          <w:p w14:paraId="24D15207" w14:textId="77777777" w:rsidR="003B2C74" w:rsidRPr="00070BAC" w:rsidRDefault="003B2C74" w:rsidP="003B2C74">
            <w:pPr>
              <w:pStyle w:val="Default"/>
              <w:rPr>
                <w:lang w:val="en-US"/>
              </w:rPr>
            </w:pPr>
            <w:r w:rsidRPr="00070BAC">
              <w:rPr>
                <w:lang w:val="en-US"/>
              </w:rPr>
              <w:t>70 XXX XXX*</w:t>
            </w:r>
          </w:p>
          <w:p w14:paraId="0D44ADC3" w14:textId="77777777" w:rsidR="003B2C74" w:rsidRDefault="003B2C74" w:rsidP="003B2C74">
            <w:pPr>
              <w:pStyle w:val="Default"/>
              <w:rPr>
                <w:lang w:val="en-US"/>
              </w:rPr>
            </w:pPr>
            <w:r w:rsidRPr="00070BAC">
              <w:rPr>
                <w:lang w:val="en-US"/>
              </w:rPr>
              <w:t>71 XXX XXX*</w:t>
            </w:r>
          </w:p>
          <w:p w14:paraId="07371B58" w14:textId="6820C147" w:rsidR="00F61888" w:rsidRPr="00070BAC" w:rsidRDefault="00F61888" w:rsidP="003B2C74">
            <w:pPr>
              <w:pStyle w:val="Default"/>
              <w:rPr>
                <w:lang w:val="en-US"/>
              </w:rPr>
            </w:pPr>
            <w:r>
              <w:rPr>
                <w:lang w:val="en-US"/>
              </w:rPr>
              <w:lastRenderedPageBreak/>
              <w:t xml:space="preserve">72 XXX </w:t>
            </w:r>
            <w:proofErr w:type="spellStart"/>
            <w:r>
              <w:rPr>
                <w:lang w:val="en-US"/>
              </w:rPr>
              <w:t>XXX</w:t>
            </w:r>
            <w:proofErr w:type="spellEnd"/>
          </w:p>
          <w:p w14:paraId="6678E9A5" w14:textId="77777777" w:rsidR="003B2C74" w:rsidRPr="00070BAC" w:rsidRDefault="003B2C74" w:rsidP="003B2C74">
            <w:pPr>
              <w:pStyle w:val="Default"/>
              <w:rPr>
                <w:lang w:val="en-US"/>
              </w:rPr>
            </w:pPr>
            <w:r w:rsidRPr="00070BAC">
              <w:rPr>
                <w:lang w:val="en-US"/>
              </w:rPr>
              <w:t>73 XXX XXX**</w:t>
            </w:r>
          </w:p>
          <w:p w14:paraId="47A8466B" w14:textId="77777777" w:rsidR="003B2C74" w:rsidRPr="00070BAC" w:rsidRDefault="003B2C74" w:rsidP="003B2C74">
            <w:pPr>
              <w:rPr>
                <w:lang w:val="en-US"/>
              </w:rPr>
            </w:pPr>
            <w:r w:rsidRPr="00070BAC">
              <w:rPr>
                <w:lang w:val="en-US"/>
              </w:rPr>
              <w:t>74 XXX XXX**</w:t>
            </w:r>
          </w:p>
          <w:p w14:paraId="1DA24ACB" w14:textId="77777777" w:rsidR="003B2C74" w:rsidRDefault="003B2C74" w:rsidP="003B2C74">
            <w:pPr>
              <w:pStyle w:val="Default"/>
              <w:ind w:firstLine="199"/>
              <w:jc w:val="center"/>
              <w:rPr>
                <w:color w:val="auto"/>
              </w:rPr>
            </w:pPr>
          </w:p>
          <w:p w14:paraId="761C1201" w14:textId="77777777" w:rsidR="003B2C74" w:rsidRDefault="003B2C74" w:rsidP="003B2C74">
            <w:r w:rsidRPr="00070BAC">
              <w:t>*</w:t>
            </w:r>
            <w:r>
              <w:t xml:space="preserve">gadījumos, ja tehnoloģiskajos risinājumos </w:t>
            </w:r>
            <w:proofErr w:type="spellStart"/>
            <w:r>
              <w:t>portācijā</w:t>
            </w:r>
            <w:proofErr w:type="spellEnd"/>
            <w:r>
              <w:t xml:space="preserve"> operators izmanto maršrutizācijas prefiksus;</w:t>
            </w:r>
          </w:p>
          <w:p w14:paraId="04D78602" w14:textId="4B314781" w:rsidR="00F772CF" w:rsidRDefault="003B2C74" w:rsidP="003B2C74">
            <w:r w:rsidRPr="00070BAC">
              <w:t>**</w:t>
            </w:r>
            <w:r>
              <w:t xml:space="preserve"> gadījumos, ja tehnoloģiskajos risinājumos </w:t>
            </w:r>
            <w:proofErr w:type="spellStart"/>
            <w:r>
              <w:t>portācijā</w:t>
            </w:r>
            <w:proofErr w:type="spellEnd"/>
            <w:r>
              <w:t xml:space="preserve"> operators izmanto maršrutizācijas numurus;</w:t>
            </w:r>
          </w:p>
          <w:p w14:paraId="500E96DE" w14:textId="2DEB9C69" w:rsidR="003B2C74" w:rsidRPr="006F27DA" w:rsidRDefault="003B2C74" w:rsidP="003B2C74"/>
        </w:tc>
        <w:tc>
          <w:tcPr>
            <w:tcW w:w="1715" w:type="pct"/>
          </w:tcPr>
          <w:p w14:paraId="4AD73585" w14:textId="77777777" w:rsidR="00ED5CDA" w:rsidRPr="00A02F9C" w:rsidRDefault="00ED5CDA" w:rsidP="00ED5CDA">
            <w:pPr>
              <w:pStyle w:val="Bezatstarpm"/>
              <w:rPr>
                <w:b/>
                <w:sz w:val="24"/>
                <w:szCs w:val="24"/>
              </w:rPr>
            </w:pPr>
            <w:r w:rsidRPr="00A02F9C">
              <w:rPr>
                <w:b/>
                <w:sz w:val="24"/>
                <w:szCs w:val="24"/>
              </w:rPr>
              <w:lastRenderedPageBreak/>
              <w:t>Latvijas Darba devēju konfederācija</w:t>
            </w:r>
          </w:p>
          <w:p w14:paraId="3D2D178B" w14:textId="77777777" w:rsidR="00ED5CDA" w:rsidRPr="00A02F9C" w:rsidRDefault="00ED5CDA" w:rsidP="00ED5CDA">
            <w:pPr>
              <w:pStyle w:val="Bezatstarpm"/>
              <w:ind w:firstLine="82"/>
              <w:jc w:val="center"/>
              <w:rPr>
                <w:bCs/>
                <w:sz w:val="24"/>
                <w:szCs w:val="24"/>
                <w:lang w:eastAsia="lv-LV"/>
              </w:rPr>
            </w:pPr>
          </w:p>
          <w:p w14:paraId="05ECFC60" w14:textId="77777777" w:rsidR="00ED5CDA" w:rsidRPr="00A02F9C" w:rsidRDefault="00ED5CDA" w:rsidP="00ED5CDA">
            <w:pPr>
              <w:ind w:firstLine="720"/>
              <w:jc w:val="both"/>
              <w:rPr>
                <w:bCs/>
              </w:rPr>
            </w:pPr>
            <w:r w:rsidRPr="00A02F9C">
              <w:rPr>
                <w:bCs/>
              </w:rPr>
              <w:t>LDDK iebilst pret Noteikumu projekta 6.punktu.</w:t>
            </w:r>
          </w:p>
          <w:p w14:paraId="6F9AB049" w14:textId="77777777" w:rsidR="00ED5CDA" w:rsidRPr="00A02F9C" w:rsidRDefault="00ED5CDA" w:rsidP="00ED5CDA">
            <w:pPr>
              <w:jc w:val="both"/>
            </w:pPr>
            <w:r w:rsidRPr="00A02F9C">
              <w:br/>
            </w:r>
            <w:r w:rsidRPr="00A02F9C">
              <w:rPr>
                <w:b/>
                <w:bCs/>
              </w:rPr>
              <w:t>Pamatojums:</w:t>
            </w:r>
            <w:r w:rsidRPr="00A02F9C">
              <w:t xml:space="preserve"> </w:t>
            </w:r>
            <w:r w:rsidRPr="00A02F9C">
              <w:br/>
              <w:t xml:space="preserve">LDDK biedri, elektronisko sakaru komersanti, </w:t>
            </w:r>
            <w:r w:rsidRPr="00A02F9C">
              <w:lastRenderedPageBreak/>
              <w:t xml:space="preserve">iebilst pret Noteikumu projekta 6.punktā ietverto </w:t>
            </w:r>
            <w:proofErr w:type="spellStart"/>
            <w:r w:rsidRPr="00A02F9C">
              <w:t>IoT</w:t>
            </w:r>
            <w:proofErr w:type="spellEnd"/>
            <w:r w:rsidRPr="00A02F9C">
              <w:t xml:space="preserve">/M2M numerācijas pārvaldības un lietošanas modeli. </w:t>
            </w:r>
          </w:p>
          <w:p w14:paraId="1C69D051" w14:textId="77777777" w:rsidR="00ED5CDA" w:rsidRPr="00A02F9C" w:rsidRDefault="00ED5CDA" w:rsidP="00ED5CDA">
            <w:pPr>
              <w:jc w:val="both"/>
            </w:pPr>
            <w:r w:rsidRPr="00A02F9C">
              <w:t xml:space="preserve"> </w:t>
            </w:r>
            <w:r w:rsidRPr="00A02F9C">
              <w:br/>
            </w:r>
            <w:r w:rsidRPr="00A02F9C">
              <w:rPr>
                <w:b/>
                <w:bCs/>
              </w:rPr>
              <w:t>Priekšlikums:</w:t>
            </w:r>
            <w:r w:rsidRPr="00A02F9C">
              <w:t xml:space="preserve"> </w:t>
            </w:r>
            <w:r w:rsidRPr="00A02F9C">
              <w:br/>
              <w:t>Lai panāktu visām pusēm pieņemamu risinājumu, to būtu nepieciešams pārrunāt starpinstitūciju saskaņošanas sanāksmē.</w:t>
            </w:r>
          </w:p>
          <w:p w14:paraId="5ABEA9AC" w14:textId="77777777" w:rsidR="00ED5CDA" w:rsidRDefault="00ED5CDA" w:rsidP="00C051AD">
            <w:pPr>
              <w:widowControl w:val="0"/>
              <w:ind w:firstLine="720"/>
              <w:jc w:val="both"/>
            </w:pPr>
          </w:p>
        </w:tc>
        <w:tc>
          <w:tcPr>
            <w:tcW w:w="926" w:type="pct"/>
          </w:tcPr>
          <w:p w14:paraId="2A27A32E" w14:textId="77777777" w:rsidR="00DE315D" w:rsidRPr="00FE221D" w:rsidRDefault="00DE315D" w:rsidP="00DE315D">
            <w:pPr>
              <w:spacing w:after="120"/>
              <w:jc w:val="both"/>
              <w:rPr>
                <w:b/>
              </w:rPr>
            </w:pPr>
            <w:r>
              <w:rPr>
                <w:b/>
              </w:rPr>
              <w:lastRenderedPageBreak/>
              <w:t>Ņemts vērā</w:t>
            </w:r>
          </w:p>
          <w:p w14:paraId="5F802252" w14:textId="77777777" w:rsidR="007A57ED" w:rsidRPr="0069045E" w:rsidRDefault="007A57ED" w:rsidP="00DE315D">
            <w:pPr>
              <w:spacing w:after="120"/>
              <w:jc w:val="both"/>
              <w:rPr>
                <w:sz w:val="22"/>
                <w:szCs w:val="22"/>
              </w:rPr>
            </w:pPr>
          </w:p>
        </w:tc>
        <w:tc>
          <w:tcPr>
            <w:tcW w:w="1148" w:type="pct"/>
          </w:tcPr>
          <w:p w14:paraId="0E551328" w14:textId="77777777" w:rsidR="00F772CF" w:rsidRDefault="00F772CF" w:rsidP="00F772CF">
            <w:pPr>
              <w:jc w:val="center"/>
              <w:rPr>
                <w:b/>
                <w:bCs/>
              </w:rPr>
            </w:pPr>
            <w:r>
              <w:t>“</w:t>
            </w:r>
            <w:proofErr w:type="spellStart"/>
            <w:r w:rsidRPr="002F332B">
              <w:rPr>
                <w:b/>
                <w:bCs/>
              </w:rPr>
              <w:t>IoT</w:t>
            </w:r>
            <w:proofErr w:type="spellEnd"/>
            <w:r w:rsidRPr="002F332B">
              <w:rPr>
                <w:b/>
                <w:bCs/>
              </w:rPr>
              <w:t>/M2M numuri</w:t>
            </w:r>
          </w:p>
          <w:p w14:paraId="70CC958F" w14:textId="77777777" w:rsidR="00F772CF" w:rsidRPr="000C555B" w:rsidRDefault="00F772CF" w:rsidP="00F772CF">
            <w:pPr>
              <w:jc w:val="center"/>
              <w:rPr>
                <w:bCs/>
              </w:rPr>
            </w:pPr>
            <w:r w:rsidRPr="000C555B">
              <w:rPr>
                <w:bCs/>
              </w:rPr>
              <w:t>(tabula)</w:t>
            </w:r>
          </w:p>
          <w:p w14:paraId="73927958" w14:textId="77777777" w:rsidR="00F772CF" w:rsidRPr="00A21627" w:rsidRDefault="00F772CF" w:rsidP="00F772CF">
            <w:pPr>
              <w:pStyle w:val="Default"/>
              <w:ind w:firstLine="199"/>
              <w:rPr>
                <w:lang w:val="en-US"/>
              </w:rPr>
            </w:pPr>
            <w:r w:rsidRPr="00A21627">
              <w:t>1.</w:t>
            </w:r>
            <w:r w:rsidRPr="00A21627">
              <w:rPr>
                <w:vertAlign w:val="superscript"/>
              </w:rPr>
              <w:t>1</w:t>
            </w:r>
            <w:r w:rsidRPr="00A21627">
              <w:t xml:space="preserve"> tabulā</w:t>
            </w:r>
            <w:r>
              <w:t>:</w:t>
            </w:r>
          </w:p>
          <w:p w14:paraId="55462279" w14:textId="77777777" w:rsidR="00F772CF" w:rsidRPr="00070BAC" w:rsidRDefault="00F772CF" w:rsidP="00F772CF">
            <w:pPr>
              <w:pStyle w:val="Default"/>
              <w:rPr>
                <w:lang w:val="en-US"/>
              </w:rPr>
            </w:pPr>
            <w:r w:rsidRPr="00070BAC">
              <w:t>300 00X XXX XXX</w:t>
            </w:r>
            <w:r>
              <w:t>***</w:t>
            </w:r>
          </w:p>
          <w:p w14:paraId="7EA55F62" w14:textId="77777777" w:rsidR="00F772CF" w:rsidRPr="00070BAC" w:rsidRDefault="00F772CF" w:rsidP="00F772CF">
            <w:pPr>
              <w:pStyle w:val="Default"/>
              <w:rPr>
                <w:lang w:val="en-US"/>
              </w:rPr>
            </w:pPr>
            <w:r w:rsidRPr="00070BAC">
              <w:rPr>
                <w:lang w:val="en-US"/>
              </w:rPr>
              <w:t>70 XXX XXX*</w:t>
            </w:r>
          </w:p>
          <w:p w14:paraId="2949343B" w14:textId="77777777" w:rsidR="00F772CF" w:rsidRPr="00070BAC" w:rsidRDefault="00F772CF" w:rsidP="00F772CF">
            <w:pPr>
              <w:pStyle w:val="Default"/>
              <w:rPr>
                <w:lang w:val="en-US"/>
              </w:rPr>
            </w:pPr>
            <w:r w:rsidRPr="00070BAC">
              <w:rPr>
                <w:lang w:val="en-US"/>
              </w:rPr>
              <w:t>71 XXX XXX*</w:t>
            </w:r>
          </w:p>
          <w:p w14:paraId="78657833" w14:textId="77777777" w:rsidR="00F772CF" w:rsidRPr="00070BAC" w:rsidRDefault="00F772CF" w:rsidP="00F772CF">
            <w:pPr>
              <w:pStyle w:val="Default"/>
              <w:rPr>
                <w:lang w:val="en-US"/>
              </w:rPr>
            </w:pPr>
            <w:r w:rsidRPr="00070BAC">
              <w:rPr>
                <w:lang w:val="en-US"/>
              </w:rPr>
              <w:t>72 XXX XXX</w:t>
            </w:r>
            <w:r>
              <w:rPr>
                <w:lang w:val="en-US"/>
              </w:rPr>
              <w:t>***</w:t>
            </w:r>
          </w:p>
          <w:p w14:paraId="67C12247" w14:textId="77777777" w:rsidR="00F772CF" w:rsidRPr="00070BAC" w:rsidRDefault="00F772CF" w:rsidP="00F772CF">
            <w:pPr>
              <w:pStyle w:val="Default"/>
              <w:rPr>
                <w:lang w:val="en-US"/>
              </w:rPr>
            </w:pPr>
            <w:r w:rsidRPr="00070BAC">
              <w:rPr>
                <w:lang w:val="en-US"/>
              </w:rPr>
              <w:lastRenderedPageBreak/>
              <w:t>73 XXX XXX**</w:t>
            </w:r>
          </w:p>
          <w:p w14:paraId="774CF167" w14:textId="77777777" w:rsidR="00F772CF" w:rsidRPr="00070BAC" w:rsidRDefault="00F772CF" w:rsidP="00F772CF">
            <w:pPr>
              <w:rPr>
                <w:lang w:val="en-US"/>
              </w:rPr>
            </w:pPr>
            <w:r w:rsidRPr="00070BAC">
              <w:rPr>
                <w:lang w:val="en-US"/>
              </w:rPr>
              <w:t>74 XXX XXX**</w:t>
            </w:r>
          </w:p>
          <w:p w14:paraId="5DD60709" w14:textId="77777777" w:rsidR="00F772CF" w:rsidRPr="00070BAC" w:rsidRDefault="00F772CF" w:rsidP="00F772CF"/>
          <w:p w14:paraId="76D8BF9B" w14:textId="77777777" w:rsidR="00F772CF" w:rsidRPr="00070BAC" w:rsidRDefault="00F772CF" w:rsidP="00F772CF">
            <w:r w:rsidRPr="00070BAC">
              <w:t>*diapazons izmantošanai tikai m</w:t>
            </w:r>
            <w:r>
              <w:t>obilo elektronisko sakaru tīklā;</w:t>
            </w:r>
            <w:r w:rsidRPr="00070BAC">
              <w:t xml:space="preserve"> </w:t>
            </w:r>
            <w:r w:rsidRPr="00070BAC">
              <w:br/>
              <w:t>**diapazons izmantošanai tikai fi</w:t>
            </w:r>
            <w:r>
              <w:t>ksētā elektronisko sakaru tīklā</w:t>
            </w:r>
            <w:r w:rsidRPr="00070BAC">
              <w:t xml:space="preserve">; </w:t>
            </w:r>
            <w:r w:rsidRPr="00070BAC">
              <w:br/>
              <w:t>***diapazons numuriem, kur numura pārvietošana nav tehniski iespējama.</w:t>
            </w:r>
            <w:r>
              <w:t>”</w:t>
            </w:r>
          </w:p>
          <w:p w14:paraId="51B180C6" w14:textId="4DABE165" w:rsidR="00977919" w:rsidRPr="0069045E" w:rsidRDefault="00977919" w:rsidP="00C051AD">
            <w:pPr>
              <w:pStyle w:val="naiskr"/>
              <w:spacing w:after="0"/>
              <w:contextualSpacing/>
              <w:rPr>
                <w:sz w:val="22"/>
                <w:szCs w:val="22"/>
              </w:rPr>
            </w:pPr>
          </w:p>
        </w:tc>
      </w:tr>
      <w:tr w:rsidR="00ED5CDA" w:rsidRPr="0069045E" w14:paraId="440D3C83" w14:textId="77777777" w:rsidTr="004607BB">
        <w:tc>
          <w:tcPr>
            <w:tcW w:w="195" w:type="pct"/>
          </w:tcPr>
          <w:p w14:paraId="5705AE35" w14:textId="00C8CB2E" w:rsidR="00ED5CDA" w:rsidRPr="0069045E" w:rsidRDefault="00A95D8C" w:rsidP="00C051AD">
            <w:pPr>
              <w:rPr>
                <w:sz w:val="22"/>
                <w:szCs w:val="22"/>
              </w:rPr>
            </w:pPr>
            <w:r>
              <w:rPr>
                <w:sz w:val="22"/>
                <w:szCs w:val="22"/>
              </w:rPr>
              <w:lastRenderedPageBreak/>
              <w:t>7</w:t>
            </w:r>
            <w:r w:rsidR="00BF1382">
              <w:rPr>
                <w:sz w:val="22"/>
                <w:szCs w:val="22"/>
              </w:rPr>
              <w:t>.</w:t>
            </w:r>
          </w:p>
        </w:tc>
        <w:tc>
          <w:tcPr>
            <w:tcW w:w="1016" w:type="pct"/>
          </w:tcPr>
          <w:p w14:paraId="20002B8E" w14:textId="77777777" w:rsidR="00ED5CDA" w:rsidRDefault="00ED5CDA" w:rsidP="00C051AD"/>
          <w:p w14:paraId="6335CFF9" w14:textId="77777777" w:rsidR="00F61888" w:rsidRPr="007B02EF" w:rsidRDefault="00F61888" w:rsidP="00F61888">
            <w:pPr>
              <w:rPr>
                <w:i/>
              </w:rPr>
            </w:pPr>
            <w:r w:rsidRPr="007B02EF">
              <w:rPr>
                <w:i/>
              </w:rPr>
              <w:t>Redakcija, izsludināta Valsts sekretāru sanāksmē:</w:t>
            </w:r>
          </w:p>
          <w:p w14:paraId="4BA3B77B" w14:textId="77777777" w:rsidR="00F61888" w:rsidRPr="002F332B" w:rsidRDefault="00F61888" w:rsidP="00ED5CDA">
            <w:pPr>
              <w:jc w:val="both"/>
            </w:pPr>
          </w:p>
          <w:p w14:paraId="5D71C8DF" w14:textId="11405B9F" w:rsidR="00ED5CDA" w:rsidRDefault="00CF4D5E" w:rsidP="00ED5CDA">
            <w:pPr>
              <w:jc w:val="center"/>
              <w:rPr>
                <w:b/>
                <w:bCs/>
              </w:rPr>
            </w:pPr>
            <w:r>
              <w:rPr>
                <w:b/>
                <w:bCs/>
              </w:rPr>
              <w:t>“</w:t>
            </w:r>
            <w:proofErr w:type="spellStart"/>
            <w:r w:rsidR="00ED5CDA" w:rsidRPr="002F332B">
              <w:rPr>
                <w:b/>
                <w:bCs/>
              </w:rPr>
              <w:t>IoT</w:t>
            </w:r>
            <w:proofErr w:type="spellEnd"/>
            <w:r w:rsidR="00ED5CDA" w:rsidRPr="002F332B">
              <w:rPr>
                <w:b/>
                <w:bCs/>
              </w:rPr>
              <w:t>/M2M numuri</w:t>
            </w:r>
          </w:p>
          <w:p w14:paraId="7133F923" w14:textId="77777777" w:rsidR="00ED5CDA" w:rsidRPr="000C555B" w:rsidRDefault="00ED5CDA" w:rsidP="00ED5CDA">
            <w:pPr>
              <w:jc w:val="center"/>
              <w:rPr>
                <w:bCs/>
              </w:rPr>
            </w:pPr>
            <w:r w:rsidRPr="000C555B">
              <w:rPr>
                <w:bCs/>
              </w:rPr>
              <w:t>(tabula)</w:t>
            </w:r>
          </w:p>
          <w:p w14:paraId="71E9A3A8" w14:textId="77777777" w:rsidR="00ED5CDA" w:rsidRDefault="00ED5CDA" w:rsidP="00ED5CDA">
            <w:pPr>
              <w:pStyle w:val="Default"/>
              <w:ind w:firstLine="199"/>
            </w:pPr>
          </w:p>
          <w:p w14:paraId="2B384C42" w14:textId="77777777" w:rsidR="00ED5CDA" w:rsidRPr="00A21627" w:rsidRDefault="00ED5CDA" w:rsidP="00ED5CDA">
            <w:pPr>
              <w:pStyle w:val="Default"/>
              <w:ind w:firstLine="199"/>
              <w:rPr>
                <w:lang w:val="en-US"/>
              </w:rPr>
            </w:pPr>
            <w:r w:rsidRPr="00A21627">
              <w:t>1.</w:t>
            </w:r>
            <w:r w:rsidRPr="00A21627">
              <w:rPr>
                <w:vertAlign w:val="superscript"/>
              </w:rPr>
              <w:t>1</w:t>
            </w:r>
            <w:r w:rsidRPr="00A21627">
              <w:t xml:space="preserve"> tabulā</w:t>
            </w:r>
            <w:r>
              <w:t>:</w:t>
            </w:r>
          </w:p>
          <w:p w14:paraId="29D24CEE" w14:textId="77777777" w:rsidR="00ED5CDA" w:rsidRPr="00A21627" w:rsidRDefault="00ED5CDA" w:rsidP="00ED5CDA">
            <w:pPr>
              <w:pStyle w:val="Default"/>
              <w:ind w:firstLine="199"/>
              <w:rPr>
                <w:lang w:val="en-US"/>
              </w:rPr>
            </w:pPr>
            <w:r w:rsidRPr="00A21627">
              <w:rPr>
                <w:lang w:val="en-US"/>
              </w:rPr>
              <w:t>70 XXX XXX*</w:t>
            </w:r>
          </w:p>
          <w:p w14:paraId="03DE0ED8" w14:textId="77777777" w:rsidR="00ED5CDA" w:rsidRDefault="00ED5CDA" w:rsidP="00ED5CDA">
            <w:pPr>
              <w:pStyle w:val="Default"/>
              <w:ind w:firstLine="199"/>
              <w:rPr>
                <w:lang w:val="en-US"/>
              </w:rPr>
            </w:pPr>
            <w:r w:rsidRPr="00A21627">
              <w:rPr>
                <w:lang w:val="en-US"/>
              </w:rPr>
              <w:t>71 XXX XXX*</w:t>
            </w:r>
          </w:p>
          <w:p w14:paraId="78EC39C6" w14:textId="77777777" w:rsidR="00ED5CDA" w:rsidRPr="00A21627" w:rsidRDefault="00ED5CDA" w:rsidP="00ED5CDA">
            <w:pPr>
              <w:pStyle w:val="Default"/>
              <w:ind w:firstLine="199"/>
              <w:rPr>
                <w:lang w:val="en-US"/>
              </w:rPr>
            </w:pPr>
            <w:r>
              <w:rPr>
                <w:lang w:val="en-US"/>
              </w:rPr>
              <w:t xml:space="preserve">72 XXX </w:t>
            </w:r>
            <w:proofErr w:type="spellStart"/>
            <w:r>
              <w:rPr>
                <w:lang w:val="en-US"/>
              </w:rPr>
              <w:t>XXX</w:t>
            </w:r>
            <w:proofErr w:type="spellEnd"/>
          </w:p>
          <w:p w14:paraId="197161CF" w14:textId="77777777" w:rsidR="00ED5CDA" w:rsidRPr="00A21627" w:rsidRDefault="00ED5CDA" w:rsidP="00ED5CDA">
            <w:pPr>
              <w:pStyle w:val="Default"/>
              <w:ind w:firstLine="199"/>
              <w:rPr>
                <w:lang w:val="en-US"/>
              </w:rPr>
            </w:pPr>
            <w:r w:rsidRPr="00A21627">
              <w:rPr>
                <w:lang w:val="en-US"/>
              </w:rPr>
              <w:t>73 XXX XXX**</w:t>
            </w:r>
          </w:p>
          <w:p w14:paraId="2DC205DC" w14:textId="77777777" w:rsidR="00ED5CDA" w:rsidRPr="00A21627" w:rsidRDefault="00ED5CDA" w:rsidP="00ED5CDA">
            <w:pPr>
              <w:pStyle w:val="Default"/>
              <w:ind w:firstLine="199"/>
              <w:rPr>
                <w:color w:val="auto"/>
              </w:rPr>
            </w:pPr>
            <w:r w:rsidRPr="00A21627">
              <w:rPr>
                <w:lang w:val="en-US"/>
              </w:rPr>
              <w:t>74 XXX XXX**</w:t>
            </w:r>
          </w:p>
          <w:p w14:paraId="0767A397" w14:textId="77777777" w:rsidR="00ED5CDA" w:rsidRPr="00A21627" w:rsidRDefault="00ED5CDA" w:rsidP="00ED5CDA">
            <w:pPr>
              <w:pStyle w:val="Default"/>
              <w:ind w:firstLine="199"/>
              <w:jc w:val="center"/>
              <w:rPr>
                <w:color w:val="auto"/>
              </w:rPr>
            </w:pPr>
          </w:p>
          <w:p w14:paraId="2DFB8317" w14:textId="77777777" w:rsidR="00ED5CDA" w:rsidRPr="00A21627" w:rsidRDefault="00ED5CDA" w:rsidP="00ED5CDA">
            <w:pPr>
              <w:jc w:val="both"/>
            </w:pPr>
            <w:r w:rsidRPr="00A21627">
              <w:t xml:space="preserve">Piezīme. </w:t>
            </w:r>
          </w:p>
          <w:p w14:paraId="24E0DBC7" w14:textId="77777777" w:rsidR="00ED5CDA" w:rsidRPr="00A21627" w:rsidRDefault="00ED5CDA" w:rsidP="00ED5CDA">
            <w:pPr>
              <w:jc w:val="both"/>
              <w:rPr>
                <w:color w:val="000000"/>
                <w:lang w:val="en-US"/>
              </w:rPr>
            </w:pPr>
            <w:r w:rsidRPr="00A21627">
              <w:rPr>
                <w:color w:val="000000"/>
                <w:lang w:val="en-US"/>
              </w:rPr>
              <w:t xml:space="preserve">* </w:t>
            </w:r>
            <w:proofErr w:type="spellStart"/>
            <w:r w:rsidRPr="00A21627">
              <w:rPr>
                <w:color w:val="000000"/>
                <w:lang w:val="en-US"/>
              </w:rPr>
              <w:t>gadījumos</w:t>
            </w:r>
            <w:proofErr w:type="spellEnd"/>
            <w:r w:rsidRPr="00A21627">
              <w:rPr>
                <w:color w:val="000000"/>
                <w:lang w:val="en-US"/>
              </w:rPr>
              <w:t xml:space="preserve">, ja  </w:t>
            </w:r>
            <w:proofErr w:type="spellStart"/>
            <w:r w:rsidRPr="00A21627">
              <w:rPr>
                <w:color w:val="000000"/>
                <w:lang w:val="en-US"/>
              </w:rPr>
              <w:t>numura</w:t>
            </w:r>
            <w:proofErr w:type="spellEnd"/>
            <w:r w:rsidRPr="00A21627">
              <w:rPr>
                <w:color w:val="000000"/>
                <w:lang w:val="en-US"/>
              </w:rPr>
              <w:t xml:space="preserve"> </w:t>
            </w:r>
            <w:proofErr w:type="spellStart"/>
            <w:r w:rsidRPr="00A21627">
              <w:rPr>
                <w:color w:val="000000"/>
                <w:lang w:val="en-US"/>
              </w:rPr>
              <w:t>saglabāšanas</w:t>
            </w:r>
            <w:proofErr w:type="spellEnd"/>
            <w:r w:rsidRPr="00A21627">
              <w:rPr>
                <w:color w:val="000000"/>
                <w:lang w:val="en-US"/>
              </w:rPr>
              <w:t xml:space="preserve"> </w:t>
            </w:r>
            <w:proofErr w:type="spellStart"/>
            <w:r w:rsidRPr="00A21627">
              <w:rPr>
                <w:color w:val="000000"/>
                <w:lang w:val="en-US"/>
              </w:rPr>
              <w:t>pakalpojumu</w:t>
            </w:r>
            <w:proofErr w:type="spellEnd"/>
            <w:r w:rsidRPr="00A21627">
              <w:rPr>
                <w:color w:val="000000"/>
                <w:lang w:val="en-US"/>
              </w:rPr>
              <w:t xml:space="preserve"> </w:t>
            </w:r>
            <w:proofErr w:type="spellStart"/>
            <w:r w:rsidRPr="00A21627">
              <w:rPr>
                <w:color w:val="000000"/>
                <w:lang w:val="en-US"/>
              </w:rPr>
              <w:t>nodrošina</w:t>
            </w:r>
            <w:proofErr w:type="spellEnd"/>
            <w:r w:rsidRPr="00A21627">
              <w:rPr>
                <w:color w:val="000000"/>
                <w:lang w:val="en-US"/>
              </w:rPr>
              <w:t xml:space="preserve"> </w:t>
            </w:r>
            <w:proofErr w:type="spellStart"/>
            <w:r w:rsidRPr="00A21627">
              <w:rPr>
                <w:color w:val="000000"/>
                <w:lang w:val="en-US"/>
              </w:rPr>
              <w:t>izmantojot</w:t>
            </w:r>
            <w:proofErr w:type="spellEnd"/>
            <w:r w:rsidRPr="00A21627">
              <w:rPr>
                <w:color w:val="000000"/>
                <w:lang w:val="en-US"/>
              </w:rPr>
              <w:t xml:space="preserve"> </w:t>
            </w:r>
            <w:proofErr w:type="spellStart"/>
            <w:r w:rsidRPr="00A21627">
              <w:rPr>
                <w:color w:val="000000"/>
                <w:lang w:val="en-US"/>
              </w:rPr>
              <w:t>maršrutizācijas</w:t>
            </w:r>
            <w:proofErr w:type="spellEnd"/>
            <w:r w:rsidRPr="00A21627">
              <w:rPr>
                <w:color w:val="000000"/>
                <w:lang w:val="en-US"/>
              </w:rPr>
              <w:t xml:space="preserve"> </w:t>
            </w:r>
            <w:proofErr w:type="spellStart"/>
            <w:r w:rsidRPr="00A21627">
              <w:rPr>
                <w:color w:val="000000"/>
                <w:lang w:val="en-US"/>
              </w:rPr>
              <w:t>prefiksu</w:t>
            </w:r>
            <w:proofErr w:type="spellEnd"/>
            <w:r w:rsidRPr="00A21627">
              <w:rPr>
                <w:color w:val="000000"/>
                <w:lang w:val="en-US"/>
              </w:rPr>
              <w:t>;</w:t>
            </w:r>
          </w:p>
          <w:p w14:paraId="615C33A3" w14:textId="77777777" w:rsidR="00ED5CDA" w:rsidRPr="00A21627" w:rsidRDefault="00ED5CDA" w:rsidP="00ED5CDA">
            <w:pPr>
              <w:ind w:firstLine="720"/>
              <w:jc w:val="both"/>
              <w:rPr>
                <w:color w:val="000000"/>
                <w:lang w:val="en-US"/>
              </w:rPr>
            </w:pPr>
          </w:p>
          <w:p w14:paraId="2935E5F5" w14:textId="5150A7DB" w:rsidR="00ED5CDA" w:rsidRPr="00A21627" w:rsidRDefault="00ED5CDA" w:rsidP="00ED5CDA">
            <w:pPr>
              <w:jc w:val="both"/>
              <w:rPr>
                <w:color w:val="000000"/>
                <w:lang w:val="en-US"/>
              </w:rPr>
            </w:pPr>
            <w:r w:rsidRPr="00A21627">
              <w:rPr>
                <w:color w:val="000000"/>
                <w:lang w:val="en-US"/>
              </w:rPr>
              <w:t xml:space="preserve">** </w:t>
            </w:r>
            <w:proofErr w:type="spellStart"/>
            <w:r w:rsidRPr="00A21627">
              <w:rPr>
                <w:color w:val="000000"/>
                <w:lang w:val="en-US"/>
              </w:rPr>
              <w:t>gadījumos</w:t>
            </w:r>
            <w:proofErr w:type="spellEnd"/>
            <w:r w:rsidRPr="00A21627">
              <w:rPr>
                <w:color w:val="000000"/>
                <w:lang w:val="en-US"/>
              </w:rPr>
              <w:t xml:space="preserve">, ja  </w:t>
            </w:r>
            <w:proofErr w:type="spellStart"/>
            <w:r w:rsidRPr="00A21627">
              <w:rPr>
                <w:color w:val="000000"/>
                <w:lang w:val="en-US"/>
              </w:rPr>
              <w:t>numura</w:t>
            </w:r>
            <w:proofErr w:type="spellEnd"/>
            <w:r w:rsidRPr="00A21627">
              <w:rPr>
                <w:color w:val="000000"/>
                <w:lang w:val="en-US"/>
              </w:rPr>
              <w:t xml:space="preserve"> </w:t>
            </w:r>
            <w:proofErr w:type="spellStart"/>
            <w:r w:rsidRPr="00A21627">
              <w:rPr>
                <w:color w:val="000000"/>
                <w:lang w:val="en-US"/>
              </w:rPr>
              <w:t>saglabāšanas</w:t>
            </w:r>
            <w:proofErr w:type="spellEnd"/>
            <w:r w:rsidRPr="00A21627">
              <w:rPr>
                <w:color w:val="000000"/>
                <w:lang w:val="en-US"/>
              </w:rPr>
              <w:t xml:space="preserve"> </w:t>
            </w:r>
            <w:proofErr w:type="spellStart"/>
            <w:r w:rsidRPr="00A21627">
              <w:rPr>
                <w:color w:val="000000"/>
                <w:lang w:val="en-US"/>
              </w:rPr>
              <w:t>pakalpojumu</w:t>
            </w:r>
            <w:proofErr w:type="spellEnd"/>
            <w:r w:rsidRPr="00A21627">
              <w:rPr>
                <w:color w:val="000000"/>
                <w:lang w:val="en-US"/>
              </w:rPr>
              <w:t xml:space="preserve"> </w:t>
            </w:r>
            <w:proofErr w:type="spellStart"/>
            <w:r w:rsidRPr="00A21627">
              <w:rPr>
                <w:color w:val="000000"/>
                <w:lang w:val="en-US"/>
              </w:rPr>
              <w:lastRenderedPageBreak/>
              <w:t>nodrošina</w:t>
            </w:r>
            <w:proofErr w:type="spellEnd"/>
            <w:r w:rsidRPr="00A21627">
              <w:rPr>
                <w:color w:val="000000"/>
                <w:lang w:val="en-US"/>
              </w:rPr>
              <w:t xml:space="preserve"> </w:t>
            </w:r>
            <w:proofErr w:type="spellStart"/>
            <w:r w:rsidRPr="00A21627">
              <w:rPr>
                <w:color w:val="000000"/>
                <w:lang w:val="en-US"/>
              </w:rPr>
              <w:t>izmantojot</w:t>
            </w:r>
            <w:proofErr w:type="spellEnd"/>
            <w:r w:rsidRPr="00A21627">
              <w:rPr>
                <w:color w:val="000000"/>
                <w:lang w:val="en-US"/>
              </w:rPr>
              <w:t xml:space="preserve"> </w:t>
            </w:r>
            <w:proofErr w:type="spellStart"/>
            <w:r w:rsidRPr="00A21627">
              <w:rPr>
                <w:color w:val="000000"/>
                <w:lang w:val="en-US"/>
              </w:rPr>
              <w:t>maršrutizācijas</w:t>
            </w:r>
            <w:proofErr w:type="spellEnd"/>
            <w:r w:rsidRPr="00A21627">
              <w:rPr>
                <w:color w:val="000000"/>
                <w:lang w:val="en-US"/>
              </w:rPr>
              <w:t xml:space="preserve"> </w:t>
            </w:r>
            <w:proofErr w:type="spellStart"/>
            <w:r w:rsidRPr="00A21627">
              <w:rPr>
                <w:color w:val="000000"/>
                <w:lang w:val="en-US"/>
              </w:rPr>
              <w:t>numuru</w:t>
            </w:r>
            <w:proofErr w:type="spellEnd"/>
            <w:r w:rsidRPr="00A21627">
              <w:rPr>
                <w:color w:val="000000"/>
                <w:lang w:val="en-US"/>
              </w:rPr>
              <w:t>.</w:t>
            </w:r>
            <w:r w:rsidR="00CF4D5E">
              <w:rPr>
                <w:color w:val="000000"/>
                <w:lang w:val="en-US"/>
              </w:rPr>
              <w:t>”</w:t>
            </w:r>
          </w:p>
          <w:p w14:paraId="0FF8FB40" w14:textId="77777777" w:rsidR="00ED5CDA" w:rsidRPr="006F27DA" w:rsidRDefault="00ED5CDA" w:rsidP="00C051AD"/>
        </w:tc>
        <w:tc>
          <w:tcPr>
            <w:tcW w:w="1715" w:type="pct"/>
          </w:tcPr>
          <w:p w14:paraId="5D81289B" w14:textId="77777777" w:rsidR="00ED5CDA" w:rsidRPr="00CB4235" w:rsidRDefault="00ED5CDA" w:rsidP="00ED5CDA">
            <w:pPr>
              <w:spacing w:after="120"/>
              <w:jc w:val="both"/>
              <w:rPr>
                <w:b/>
                <w:bCs/>
              </w:rPr>
            </w:pPr>
            <w:r w:rsidRPr="00CB4235">
              <w:rPr>
                <w:b/>
                <w:bCs/>
              </w:rPr>
              <w:lastRenderedPageBreak/>
              <w:t xml:space="preserve">“Latvijas Mobilais Telefons” SIA </w:t>
            </w:r>
          </w:p>
          <w:p w14:paraId="3EFFAD02" w14:textId="77777777" w:rsidR="00ED5CDA" w:rsidRPr="00CB4235" w:rsidRDefault="00ED5CDA" w:rsidP="00ED5CDA">
            <w:pPr>
              <w:spacing w:after="120"/>
              <w:jc w:val="both"/>
              <w:rPr>
                <w:b/>
                <w:bCs/>
              </w:rPr>
            </w:pPr>
            <w:r w:rsidRPr="00CB4235">
              <w:rPr>
                <w:b/>
                <w:bCs/>
              </w:rPr>
              <w:t>Iebildums:</w:t>
            </w:r>
          </w:p>
          <w:p w14:paraId="719CF260" w14:textId="77777777" w:rsidR="00ED5CDA" w:rsidRPr="00CB4235" w:rsidRDefault="00ED5CDA" w:rsidP="00ED5CDA">
            <w:pPr>
              <w:spacing w:after="120"/>
              <w:jc w:val="both"/>
            </w:pPr>
            <w:r w:rsidRPr="00CB4235">
              <w:t>Iebilstam pret Noteikumu projekta 6.punktā (1.</w:t>
            </w:r>
            <w:r w:rsidRPr="00CB4235">
              <w:rPr>
                <w:vertAlign w:val="superscript"/>
              </w:rPr>
              <w:t>1</w:t>
            </w:r>
            <w:r w:rsidRPr="00CB4235">
              <w:t xml:space="preserve"> tabula, </w:t>
            </w:r>
            <w:proofErr w:type="spellStart"/>
            <w:r w:rsidRPr="00CB4235">
              <w:t>IoT</w:t>
            </w:r>
            <w:proofErr w:type="spellEnd"/>
            <w:r w:rsidRPr="00CB4235">
              <w:t>/M2M numuri) noteikto numerācijas lietošanas mērķi, ciktāl tas neparedz numerācijas resursu dalījumu publiskā mobilā elektronisko sakaru tīkla un publiskā fiksētā elektronisko sakaru tīkla pakalpojumu numuros.</w:t>
            </w:r>
          </w:p>
          <w:p w14:paraId="2D0B461C" w14:textId="77777777" w:rsidR="00ED5CDA" w:rsidRPr="00CB4235" w:rsidRDefault="00ED5CDA" w:rsidP="00ED5CDA">
            <w:pPr>
              <w:spacing w:after="120"/>
              <w:jc w:val="both"/>
              <w:rPr>
                <w:b/>
                <w:bCs/>
              </w:rPr>
            </w:pPr>
            <w:r w:rsidRPr="00CB4235">
              <w:rPr>
                <w:b/>
                <w:bCs/>
              </w:rPr>
              <w:t>Pamatojums:</w:t>
            </w:r>
          </w:p>
          <w:p w14:paraId="248D761E" w14:textId="77777777" w:rsidR="00ED5CDA" w:rsidRPr="00CB4235" w:rsidRDefault="00ED5CDA" w:rsidP="00ED5CDA">
            <w:pPr>
              <w:spacing w:after="120"/>
              <w:jc w:val="both"/>
            </w:pPr>
            <w:r w:rsidRPr="00CB4235">
              <w:t xml:space="preserve">Pakalpojumu nodrošināšanai </w:t>
            </w:r>
            <w:r w:rsidRPr="00EA684A">
              <w:t>mobilajā un fiksētajā elektronisko sakaru tīklā tiek</w:t>
            </w:r>
            <w:r w:rsidRPr="00CB4235">
              <w:t xml:space="preserve"> izmantoti atšķirīgi tehnoloģiskie risinājumi, kā arī piemērojami atšķirīgi </w:t>
            </w:r>
            <w:proofErr w:type="spellStart"/>
            <w:r w:rsidRPr="00CB4235">
              <w:t>starpoperatoru</w:t>
            </w:r>
            <w:proofErr w:type="spellEnd"/>
            <w:r w:rsidRPr="00CB4235">
              <w:t xml:space="preserve"> pakalpojumu norēķinu principi. LTE-M tīkla tehnoloģija ļauj </w:t>
            </w:r>
            <w:proofErr w:type="spellStart"/>
            <w:r w:rsidRPr="00CB4235">
              <w:t>IoT</w:t>
            </w:r>
            <w:proofErr w:type="spellEnd"/>
            <w:r w:rsidRPr="00CB4235">
              <w:t>/M2M pieslēgumiem nodrošināt arī balss saziņas pakalpojumus, tādēļ jāņem vērā atšķirīgās izsaukuma pabeigšanas maksas mobilajā un fiksētajā elektronisko sakaru tīklā. Tāpat mobilajā un fiksētajā elektronisko skaru tīklā tiek izmantoti atšķirīgi tehnoloģiskie risinājumi numura saglabāšanas pakalpojuma nodrošināšanai.</w:t>
            </w:r>
          </w:p>
          <w:p w14:paraId="61F91D7C" w14:textId="77777777" w:rsidR="00ED5CDA" w:rsidRPr="00CE0F20" w:rsidRDefault="00ED5CDA" w:rsidP="00ED5CDA">
            <w:pPr>
              <w:spacing w:after="120"/>
              <w:jc w:val="both"/>
            </w:pPr>
            <w:r w:rsidRPr="00CB4235">
              <w:lastRenderedPageBreak/>
              <w:t xml:space="preserve">Lai veicinātu </w:t>
            </w:r>
            <w:proofErr w:type="spellStart"/>
            <w:r w:rsidRPr="00CB4235">
              <w:t>IoT</w:t>
            </w:r>
            <w:proofErr w:type="spellEnd"/>
            <w:r w:rsidRPr="00CB4235">
              <w:t xml:space="preserve">/M2M </w:t>
            </w:r>
            <w:r w:rsidRPr="00CE0F20">
              <w:t>pakalpojumu attīstību, Nacionālajā numerācijas plānā nepieciešams nodalīt numerācijas resursus atbilstoši to izmantošanas mērķim mobilā vai fiksētā elektronisko sakaru tīklā.</w:t>
            </w:r>
          </w:p>
          <w:p w14:paraId="2CED0DEB" w14:textId="77777777" w:rsidR="00ED5CDA" w:rsidRPr="00CE0F20" w:rsidRDefault="00ED5CDA" w:rsidP="00ED5CDA">
            <w:pPr>
              <w:spacing w:after="120"/>
              <w:jc w:val="both"/>
              <w:rPr>
                <w:b/>
                <w:bCs/>
              </w:rPr>
            </w:pPr>
            <w:r w:rsidRPr="00CE0F20">
              <w:rPr>
                <w:b/>
                <w:bCs/>
              </w:rPr>
              <w:t>Priekšlikums:</w:t>
            </w:r>
          </w:p>
          <w:p w14:paraId="1D3BAB1E" w14:textId="77777777" w:rsidR="00ED5CDA" w:rsidRPr="00CE0F20" w:rsidRDefault="00ED5CDA" w:rsidP="00ED5CDA">
            <w:pPr>
              <w:spacing w:after="120"/>
              <w:jc w:val="both"/>
            </w:pPr>
            <w:r w:rsidRPr="00CE0F20">
              <w:t>Noteikumu projekta 6.punktā (1.</w:t>
            </w:r>
            <w:r w:rsidRPr="00CE0F20">
              <w:rPr>
                <w:vertAlign w:val="superscript"/>
              </w:rPr>
              <w:t>1</w:t>
            </w:r>
            <w:r w:rsidRPr="00CE0F20">
              <w:t xml:space="preserve"> tabula, </w:t>
            </w:r>
            <w:proofErr w:type="spellStart"/>
            <w:r w:rsidRPr="00CE0F20">
              <w:t>IoT</w:t>
            </w:r>
            <w:proofErr w:type="spellEnd"/>
            <w:r w:rsidRPr="00CE0F20">
              <w:t>/M2M numuri) nodalīt numerācijas resursus atbilstoši lietošanas mērķim - pakalpojumu nodrošināšanai publiskā mobilā elektronisko sakaru tīklā un publiskā fiksētā elektronisko sakaru tīklā.</w:t>
            </w:r>
          </w:p>
          <w:p w14:paraId="5DCB917A" w14:textId="77777777" w:rsidR="00ED5CDA" w:rsidRDefault="00ED5CDA" w:rsidP="00C051AD">
            <w:pPr>
              <w:widowControl w:val="0"/>
              <w:ind w:firstLine="720"/>
              <w:jc w:val="both"/>
            </w:pPr>
          </w:p>
        </w:tc>
        <w:tc>
          <w:tcPr>
            <w:tcW w:w="926" w:type="pct"/>
          </w:tcPr>
          <w:p w14:paraId="1BD06805" w14:textId="4CDA454A" w:rsidR="007A57ED" w:rsidRPr="00FE221D" w:rsidRDefault="00DE315D" w:rsidP="007A57ED">
            <w:pPr>
              <w:spacing w:after="120"/>
              <w:jc w:val="both"/>
              <w:rPr>
                <w:b/>
              </w:rPr>
            </w:pPr>
            <w:r>
              <w:rPr>
                <w:b/>
              </w:rPr>
              <w:lastRenderedPageBreak/>
              <w:t>Ņemts vērā</w:t>
            </w:r>
          </w:p>
          <w:p w14:paraId="78E220A5" w14:textId="4B181AF4" w:rsidR="007A57ED" w:rsidRPr="00070BAC" w:rsidRDefault="00FE221D" w:rsidP="00FE221D">
            <w:r w:rsidRPr="00FE221D">
              <w:t>Sanāksmē izskat</w:t>
            </w:r>
            <w:r w:rsidR="00585B7F">
              <w:t>īts</w:t>
            </w:r>
            <w:r w:rsidRPr="00FE221D">
              <w:t xml:space="preserve"> priek</w:t>
            </w:r>
            <w:r w:rsidR="00585B7F">
              <w:t>šlikums</w:t>
            </w:r>
            <w:r w:rsidRPr="00FE221D">
              <w:t xml:space="preserve"> 1.</w:t>
            </w:r>
            <w:r w:rsidRPr="00FE221D">
              <w:rPr>
                <w:vertAlign w:val="superscript"/>
              </w:rPr>
              <w:t>1</w:t>
            </w:r>
            <w:r w:rsidRPr="00FE221D">
              <w:t xml:space="preserve"> tabulā "</w:t>
            </w:r>
            <w:proofErr w:type="spellStart"/>
            <w:r w:rsidRPr="00FE221D">
              <w:t>IoT</w:t>
            </w:r>
            <w:proofErr w:type="spellEnd"/>
            <w:r w:rsidRPr="00FE221D">
              <w:t>/M2M numuri"</w:t>
            </w:r>
            <w:r>
              <w:t xml:space="preserve"> numerācijas indeksiem piešķirt pazīmi identisku</w:t>
            </w:r>
            <w:r w:rsidR="007B02EF">
              <w:t>,</w:t>
            </w:r>
            <w:r>
              <w:t xml:space="preserve"> kāda tiek lietota Sabiedrisko pakalpojumu </w:t>
            </w:r>
            <w:r w:rsidRPr="00070BAC">
              <w:t>regulēšanas komisijas noteikumos</w:t>
            </w:r>
            <w:r w:rsidR="005B3D9B">
              <w:t xml:space="preserve">, </w:t>
            </w:r>
            <w:r w:rsidR="005B3D9B" w:rsidRPr="00175B22">
              <w:t>2015.gada 3.decembra lēmum</w:t>
            </w:r>
            <w:r w:rsidR="005B3D9B">
              <w:t>s</w:t>
            </w:r>
            <w:r w:rsidR="005B3D9B" w:rsidRPr="00175B22">
              <w:t xml:space="preserve"> Nr.1/19 “Numura saglabāšanas pakalpojuma nodrošināšanas noteikumi”</w:t>
            </w:r>
            <w:r w:rsidR="005B3D9B">
              <w:t>.</w:t>
            </w:r>
          </w:p>
          <w:p w14:paraId="160B6396" w14:textId="77777777" w:rsidR="00070BAC" w:rsidRDefault="00070BAC" w:rsidP="00FE221D"/>
          <w:p w14:paraId="6598DD3E" w14:textId="75575415" w:rsidR="00070BAC" w:rsidRPr="0069045E" w:rsidRDefault="00070BAC" w:rsidP="00003275">
            <w:pPr>
              <w:rPr>
                <w:sz w:val="22"/>
                <w:szCs w:val="22"/>
              </w:rPr>
            </w:pPr>
          </w:p>
        </w:tc>
        <w:tc>
          <w:tcPr>
            <w:tcW w:w="1148" w:type="pct"/>
          </w:tcPr>
          <w:p w14:paraId="5CC84283" w14:textId="77777777" w:rsidR="005534A3" w:rsidRDefault="00DB0BC5" w:rsidP="005534A3">
            <w:pPr>
              <w:jc w:val="center"/>
              <w:rPr>
                <w:b/>
                <w:bCs/>
              </w:rPr>
            </w:pPr>
            <w:r>
              <w:t>“</w:t>
            </w:r>
            <w:proofErr w:type="spellStart"/>
            <w:r w:rsidR="005534A3" w:rsidRPr="002F332B">
              <w:rPr>
                <w:b/>
                <w:bCs/>
              </w:rPr>
              <w:t>IoT</w:t>
            </w:r>
            <w:proofErr w:type="spellEnd"/>
            <w:r w:rsidR="005534A3" w:rsidRPr="002F332B">
              <w:rPr>
                <w:b/>
                <w:bCs/>
              </w:rPr>
              <w:t>/M2M numuri</w:t>
            </w:r>
          </w:p>
          <w:p w14:paraId="09AC8EC2" w14:textId="77777777" w:rsidR="005534A3" w:rsidRPr="000C555B" w:rsidRDefault="005534A3" w:rsidP="005534A3">
            <w:pPr>
              <w:jc w:val="center"/>
              <w:rPr>
                <w:bCs/>
              </w:rPr>
            </w:pPr>
            <w:r w:rsidRPr="000C555B">
              <w:rPr>
                <w:bCs/>
              </w:rPr>
              <w:t>(tabula)</w:t>
            </w:r>
          </w:p>
          <w:p w14:paraId="00A10285" w14:textId="17BE0226" w:rsidR="00003275" w:rsidRPr="00A21627" w:rsidRDefault="00003275" w:rsidP="00003275">
            <w:pPr>
              <w:pStyle w:val="Default"/>
              <w:ind w:firstLine="199"/>
              <w:rPr>
                <w:lang w:val="en-US"/>
              </w:rPr>
            </w:pPr>
            <w:r w:rsidRPr="00A21627">
              <w:t>1.</w:t>
            </w:r>
            <w:r w:rsidRPr="00A21627">
              <w:rPr>
                <w:vertAlign w:val="superscript"/>
              </w:rPr>
              <w:t>1</w:t>
            </w:r>
            <w:r w:rsidRPr="00A21627">
              <w:t xml:space="preserve"> tabulā</w:t>
            </w:r>
            <w:r>
              <w:t>:</w:t>
            </w:r>
          </w:p>
          <w:p w14:paraId="3BEA465D" w14:textId="6A9D2324" w:rsidR="00003275" w:rsidRPr="00070BAC" w:rsidRDefault="00003275" w:rsidP="0047202E">
            <w:pPr>
              <w:pStyle w:val="Default"/>
              <w:rPr>
                <w:lang w:val="en-US"/>
              </w:rPr>
            </w:pPr>
            <w:r w:rsidRPr="00070BAC">
              <w:t>300 00X XXX XXX</w:t>
            </w:r>
            <w:r w:rsidR="00CC5818">
              <w:t>***</w:t>
            </w:r>
          </w:p>
          <w:p w14:paraId="259A3169" w14:textId="77777777" w:rsidR="00003275" w:rsidRPr="00070BAC" w:rsidRDefault="00003275" w:rsidP="00003275">
            <w:pPr>
              <w:pStyle w:val="Default"/>
              <w:rPr>
                <w:lang w:val="en-US"/>
              </w:rPr>
            </w:pPr>
            <w:r w:rsidRPr="00070BAC">
              <w:rPr>
                <w:lang w:val="en-US"/>
              </w:rPr>
              <w:t>70 XXX XXX*</w:t>
            </w:r>
          </w:p>
          <w:p w14:paraId="27663CFF" w14:textId="77777777" w:rsidR="00003275" w:rsidRPr="00070BAC" w:rsidRDefault="00003275" w:rsidP="00003275">
            <w:pPr>
              <w:pStyle w:val="Default"/>
              <w:rPr>
                <w:lang w:val="en-US"/>
              </w:rPr>
            </w:pPr>
            <w:r w:rsidRPr="00070BAC">
              <w:rPr>
                <w:lang w:val="en-US"/>
              </w:rPr>
              <w:t>71 XXX XXX*</w:t>
            </w:r>
          </w:p>
          <w:p w14:paraId="183ED0CA" w14:textId="77777777" w:rsidR="00003275" w:rsidRPr="00070BAC" w:rsidRDefault="00003275" w:rsidP="00003275">
            <w:pPr>
              <w:pStyle w:val="Default"/>
              <w:rPr>
                <w:lang w:val="en-US"/>
              </w:rPr>
            </w:pPr>
            <w:r w:rsidRPr="00070BAC">
              <w:rPr>
                <w:lang w:val="en-US"/>
              </w:rPr>
              <w:t>72 XXX XXX</w:t>
            </w:r>
            <w:r>
              <w:rPr>
                <w:lang w:val="en-US"/>
              </w:rPr>
              <w:t>***</w:t>
            </w:r>
          </w:p>
          <w:p w14:paraId="3CDC9A2B" w14:textId="77777777" w:rsidR="00003275" w:rsidRPr="00070BAC" w:rsidRDefault="00003275" w:rsidP="00003275">
            <w:pPr>
              <w:pStyle w:val="Default"/>
              <w:rPr>
                <w:lang w:val="en-US"/>
              </w:rPr>
            </w:pPr>
            <w:r w:rsidRPr="00070BAC">
              <w:rPr>
                <w:lang w:val="en-US"/>
              </w:rPr>
              <w:t>73 XXX XXX**</w:t>
            </w:r>
          </w:p>
          <w:p w14:paraId="761333B7" w14:textId="77777777" w:rsidR="00003275" w:rsidRPr="00070BAC" w:rsidRDefault="00003275" w:rsidP="00003275">
            <w:pPr>
              <w:rPr>
                <w:lang w:val="en-US"/>
              </w:rPr>
            </w:pPr>
            <w:r w:rsidRPr="00070BAC">
              <w:rPr>
                <w:lang w:val="en-US"/>
              </w:rPr>
              <w:t>74 XXX XXX**</w:t>
            </w:r>
          </w:p>
          <w:p w14:paraId="59B3FA5A" w14:textId="77777777" w:rsidR="00003275" w:rsidRPr="00070BAC" w:rsidRDefault="00003275" w:rsidP="00003275"/>
          <w:p w14:paraId="5170944C" w14:textId="1D44AC08" w:rsidR="00C241D2" w:rsidRPr="00070BAC" w:rsidRDefault="00C241D2" w:rsidP="00C241D2">
            <w:r w:rsidRPr="00070BAC">
              <w:t>*diapazons izmantošanai tikai m</w:t>
            </w:r>
            <w:r>
              <w:t>obilo elektronisko sakaru tīklā;</w:t>
            </w:r>
            <w:r w:rsidRPr="00070BAC">
              <w:t xml:space="preserve"> </w:t>
            </w:r>
            <w:r w:rsidRPr="00070BAC">
              <w:br/>
              <w:t>**diapazons izmantošanai tikai fi</w:t>
            </w:r>
            <w:r>
              <w:t>ksētā elektronisko sakaru tīklā</w:t>
            </w:r>
            <w:r w:rsidRPr="00070BAC">
              <w:t xml:space="preserve">; </w:t>
            </w:r>
            <w:r w:rsidRPr="00070BAC">
              <w:br/>
              <w:t>***diapazons numuriem, kur numura pārvietošana nav tehniski iespējama.</w:t>
            </w:r>
            <w:r w:rsidR="00DB0BC5">
              <w:t>”</w:t>
            </w:r>
          </w:p>
          <w:p w14:paraId="346C9141" w14:textId="77777777" w:rsidR="00003275" w:rsidRPr="0069045E" w:rsidRDefault="00003275" w:rsidP="00C051AD">
            <w:pPr>
              <w:pStyle w:val="naiskr"/>
              <w:spacing w:after="0"/>
              <w:contextualSpacing/>
              <w:rPr>
                <w:sz w:val="22"/>
                <w:szCs w:val="22"/>
              </w:rPr>
            </w:pPr>
          </w:p>
        </w:tc>
      </w:tr>
    </w:tbl>
    <w:p w14:paraId="67EBA362" w14:textId="1D23DEBA" w:rsidR="002C37ED" w:rsidRPr="0069045E" w:rsidRDefault="002C37ED" w:rsidP="006854E5">
      <w:pPr>
        <w:rPr>
          <w:sz w:val="22"/>
          <w:szCs w:val="22"/>
        </w:rPr>
      </w:pPr>
    </w:p>
    <w:tbl>
      <w:tblPr>
        <w:tblW w:w="0" w:type="auto"/>
        <w:tblLayout w:type="fixed"/>
        <w:tblLook w:val="0000" w:firstRow="0" w:lastRow="0" w:firstColumn="0" w:lastColumn="0" w:noHBand="0" w:noVBand="0"/>
      </w:tblPr>
      <w:tblGrid>
        <w:gridCol w:w="3528"/>
        <w:gridCol w:w="8640"/>
      </w:tblGrid>
      <w:tr w:rsidR="00C158AC" w:rsidRPr="0069045E" w14:paraId="3D8E74D9" w14:textId="77777777" w:rsidTr="00F56E0D">
        <w:tc>
          <w:tcPr>
            <w:tcW w:w="3528" w:type="dxa"/>
            <w:shd w:val="clear" w:color="auto" w:fill="auto"/>
          </w:tcPr>
          <w:p w14:paraId="652BD508" w14:textId="77777777" w:rsidR="00C158AC" w:rsidRPr="0069045E" w:rsidRDefault="00C158AC" w:rsidP="006854E5">
            <w:pPr>
              <w:snapToGrid w:val="0"/>
              <w:jc w:val="both"/>
              <w:rPr>
                <w:sz w:val="22"/>
                <w:szCs w:val="22"/>
              </w:rPr>
            </w:pPr>
            <w:r w:rsidRPr="0069045E">
              <w:rPr>
                <w:sz w:val="22"/>
                <w:szCs w:val="22"/>
              </w:rPr>
              <w:t>Atbildīgā amatpersona</w:t>
            </w:r>
          </w:p>
        </w:tc>
        <w:tc>
          <w:tcPr>
            <w:tcW w:w="8640" w:type="dxa"/>
            <w:tcBorders>
              <w:bottom w:val="single" w:sz="4" w:space="0" w:color="000000"/>
            </w:tcBorders>
            <w:shd w:val="clear" w:color="auto" w:fill="auto"/>
          </w:tcPr>
          <w:p w14:paraId="5D987A08" w14:textId="77777777" w:rsidR="00C158AC" w:rsidRPr="0069045E" w:rsidRDefault="00C158AC" w:rsidP="006854E5">
            <w:pPr>
              <w:snapToGrid w:val="0"/>
              <w:jc w:val="both"/>
              <w:rPr>
                <w:sz w:val="22"/>
                <w:szCs w:val="22"/>
              </w:rPr>
            </w:pPr>
          </w:p>
        </w:tc>
      </w:tr>
      <w:tr w:rsidR="00C158AC" w:rsidRPr="0069045E" w14:paraId="6C66AF7C" w14:textId="77777777" w:rsidTr="00F56E0D">
        <w:tc>
          <w:tcPr>
            <w:tcW w:w="3528" w:type="dxa"/>
            <w:shd w:val="clear" w:color="auto" w:fill="auto"/>
          </w:tcPr>
          <w:p w14:paraId="1D2590E9"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4534F996" w14:textId="77777777" w:rsidR="00C158AC" w:rsidRPr="0069045E" w:rsidRDefault="00C158AC" w:rsidP="006854E5">
            <w:pPr>
              <w:snapToGrid w:val="0"/>
              <w:jc w:val="both"/>
              <w:rPr>
                <w:sz w:val="22"/>
                <w:szCs w:val="22"/>
              </w:rPr>
            </w:pPr>
            <w:r w:rsidRPr="0069045E">
              <w:rPr>
                <w:sz w:val="22"/>
                <w:szCs w:val="22"/>
              </w:rPr>
              <w:tab/>
              <w:t>(paraksts)*</w:t>
            </w:r>
          </w:p>
          <w:p w14:paraId="1C57B926" w14:textId="77777777" w:rsidR="00C158AC" w:rsidRPr="0069045E" w:rsidRDefault="00C158AC" w:rsidP="006854E5">
            <w:pPr>
              <w:snapToGrid w:val="0"/>
              <w:jc w:val="both"/>
              <w:rPr>
                <w:sz w:val="22"/>
                <w:szCs w:val="22"/>
              </w:rPr>
            </w:pPr>
            <w:r w:rsidRPr="0069045E">
              <w:rPr>
                <w:sz w:val="22"/>
                <w:szCs w:val="22"/>
              </w:rPr>
              <w:t>Piezīme. * Dokumenta rekvizītu "paraksts" neaizpilda, ja elektroniskais dokuments ir sagatavots atbilstoši normatīvajiem aktiem par elektronisko dokumentu noformēšanu.</w:t>
            </w:r>
          </w:p>
        </w:tc>
      </w:tr>
      <w:tr w:rsidR="00C158AC" w:rsidRPr="0069045E" w14:paraId="4B6E0842" w14:textId="77777777" w:rsidTr="00F56E0D">
        <w:tc>
          <w:tcPr>
            <w:tcW w:w="3528" w:type="dxa"/>
            <w:shd w:val="clear" w:color="auto" w:fill="auto"/>
          </w:tcPr>
          <w:p w14:paraId="3A67093B" w14:textId="77777777" w:rsidR="00C158AC" w:rsidRPr="0069045E" w:rsidRDefault="00C158AC" w:rsidP="006854E5">
            <w:pPr>
              <w:snapToGrid w:val="0"/>
              <w:jc w:val="both"/>
              <w:rPr>
                <w:sz w:val="22"/>
                <w:szCs w:val="22"/>
              </w:rPr>
            </w:pPr>
          </w:p>
        </w:tc>
        <w:tc>
          <w:tcPr>
            <w:tcW w:w="8640" w:type="dxa"/>
            <w:shd w:val="clear" w:color="auto" w:fill="auto"/>
          </w:tcPr>
          <w:p w14:paraId="1DD9E68A" w14:textId="77777777" w:rsidR="00C158AC" w:rsidRPr="0069045E" w:rsidRDefault="00C158AC" w:rsidP="006854E5">
            <w:pPr>
              <w:snapToGrid w:val="0"/>
              <w:jc w:val="both"/>
              <w:rPr>
                <w:sz w:val="22"/>
                <w:szCs w:val="22"/>
              </w:rPr>
            </w:pPr>
          </w:p>
        </w:tc>
      </w:tr>
      <w:tr w:rsidR="00C158AC" w:rsidRPr="0069045E" w14:paraId="3D2BDC5C" w14:textId="77777777" w:rsidTr="00F56E0D">
        <w:tc>
          <w:tcPr>
            <w:tcW w:w="3528" w:type="dxa"/>
            <w:shd w:val="clear" w:color="auto" w:fill="auto"/>
          </w:tcPr>
          <w:p w14:paraId="573FBACB"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42EDF063" w14:textId="11CD681C" w:rsidR="00C158AC" w:rsidRPr="0069045E" w:rsidRDefault="00474461" w:rsidP="00474461">
            <w:pPr>
              <w:snapToGrid w:val="0"/>
              <w:jc w:val="both"/>
              <w:rPr>
                <w:sz w:val="22"/>
                <w:szCs w:val="22"/>
              </w:rPr>
            </w:pPr>
            <w:r>
              <w:rPr>
                <w:sz w:val="22"/>
                <w:szCs w:val="22"/>
              </w:rPr>
              <w:t>Aija</w:t>
            </w:r>
            <w:r w:rsidR="00C158AC" w:rsidRPr="0069045E">
              <w:rPr>
                <w:sz w:val="22"/>
                <w:szCs w:val="22"/>
              </w:rPr>
              <w:t xml:space="preserve"> </w:t>
            </w:r>
            <w:r>
              <w:rPr>
                <w:sz w:val="22"/>
                <w:szCs w:val="22"/>
              </w:rPr>
              <w:t>Vāvere</w:t>
            </w:r>
          </w:p>
        </w:tc>
      </w:tr>
      <w:tr w:rsidR="00C158AC" w:rsidRPr="0069045E" w14:paraId="55F5214C" w14:textId="77777777" w:rsidTr="00F56E0D">
        <w:tc>
          <w:tcPr>
            <w:tcW w:w="3528" w:type="dxa"/>
            <w:shd w:val="clear" w:color="auto" w:fill="auto"/>
          </w:tcPr>
          <w:p w14:paraId="56B17975"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718D54A5" w14:textId="77777777" w:rsidR="00C158AC" w:rsidRPr="0069045E" w:rsidRDefault="00C158AC" w:rsidP="006854E5">
            <w:pPr>
              <w:snapToGrid w:val="0"/>
              <w:jc w:val="both"/>
              <w:rPr>
                <w:sz w:val="22"/>
                <w:szCs w:val="22"/>
              </w:rPr>
            </w:pPr>
            <w:r w:rsidRPr="0069045E">
              <w:rPr>
                <w:sz w:val="22"/>
                <w:szCs w:val="22"/>
              </w:rPr>
              <w:t>(par projektu atbildīgās amatpersonas vārds un uzvārds)</w:t>
            </w:r>
          </w:p>
        </w:tc>
      </w:tr>
      <w:tr w:rsidR="00C158AC" w:rsidRPr="0069045E" w14:paraId="77CB9009" w14:textId="77777777" w:rsidTr="00F56E0D">
        <w:tc>
          <w:tcPr>
            <w:tcW w:w="3528" w:type="dxa"/>
            <w:shd w:val="clear" w:color="auto" w:fill="auto"/>
          </w:tcPr>
          <w:p w14:paraId="380B350E" w14:textId="77777777" w:rsidR="00C158AC" w:rsidRPr="0069045E" w:rsidRDefault="00C158AC" w:rsidP="006854E5">
            <w:pPr>
              <w:snapToGrid w:val="0"/>
              <w:jc w:val="both"/>
              <w:rPr>
                <w:sz w:val="22"/>
                <w:szCs w:val="22"/>
              </w:rPr>
            </w:pPr>
          </w:p>
        </w:tc>
        <w:tc>
          <w:tcPr>
            <w:tcW w:w="8640" w:type="dxa"/>
            <w:shd w:val="clear" w:color="auto" w:fill="auto"/>
          </w:tcPr>
          <w:p w14:paraId="20FF28C3" w14:textId="77777777" w:rsidR="00C158AC" w:rsidRPr="0069045E" w:rsidRDefault="00C158AC" w:rsidP="006854E5">
            <w:pPr>
              <w:snapToGrid w:val="0"/>
              <w:jc w:val="both"/>
              <w:rPr>
                <w:sz w:val="22"/>
                <w:szCs w:val="22"/>
              </w:rPr>
            </w:pPr>
          </w:p>
        </w:tc>
      </w:tr>
      <w:tr w:rsidR="00C158AC" w:rsidRPr="0069045E" w14:paraId="0F14B436" w14:textId="77777777" w:rsidTr="00F56E0D">
        <w:tc>
          <w:tcPr>
            <w:tcW w:w="3528" w:type="dxa"/>
            <w:shd w:val="clear" w:color="auto" w:fill="auto"/>
          </w:tcPr>
          <w:p w14:paraId="5761A93F"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58A6B904" w14:textId="01F3F87C" w:rsidR="00C158AC" w:rsidRPr="0069045E" w:rsidRDefault="00C158AC" w:rsidP="00474461">
            <w:pPr>
              <w:snapToGrid w:val="0"/>
              <w:jc w:val="both"/>
              <w:rPr>
                <w:sz w:val="22"/>
                <w:szCs w:val="22"/>
              </w:rPr>
            </w:pPr>
            <w:r w:rsidRPr="0069045E">
              <w:rPr>
                <w:sz w:val="22"/>
                <w:szCs w:val="22"/>
              </w:rPr>
              <w:t xml:space="preserve">Elektroniskās pārvaldes departamenta </w:t>
            </w:r>
            <w:r w:rsidR="00474461">
              <w:rPr>
                <w:sz w:val="22"/>
                <w:szCs w:val="22"/>
              </w:rPr>
              <w:t>vecākā referente</w:t>
            </w:r>
          </w:p>
        </w:tc>
      </w:tr>
      <w:tr w:rsidR="00C158AC" w:rsidRPr="0069045E" w14:paraId="0B45ED4F" w14:textId="77777777" w:rsidTr="00F56E0D">
        <w:tc>
          <w:tcPr>
            <w:tcW w:w="3528" w:type="dxa"/>
            <w:shd w:val="clear" w:color="auto" w:fill="auto"/>
          </w:tcPr>
          <w:p w14:paraId="2852225B"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71FCD360" w14:textId="77777777" w:rsidR="00C158AC" w:rsidRPr="0069045E" w:rsidRDefault="00C158AC" w:rsidP="006854E5">
            <w:pPr>
              <w:snapToGrid w:val="0"/>
              <w:jc w:val="both"/>
              <w:rPr>
                <w:sz w:val="22"/>
                <w:szCs w:val="22"/>
              </w:rPr>
            </w:pPr>
            <w:r w:rsidRPr="0069045E">
              <w:rPr>
                <w:sz w:val="22"/>
                <w:szCs w:val="22"/>
              </w:rPr>
              <w:t>(amats)</w:t>
            </w:r>
          </w:p>
        </w:tc>
      </w:tr>
      <w:tr w:rsidR="00C158AC" w:rsidRPr="0069045E" w14:paraId="00B52A06" w14:textId="77777777" w:rsidTr="00F56E0D">
        <w:tc>
          <w:tcPr>
            <w:tcW w:w="3528" w:type="dxa"/>
            <w:shd w:val="clear" w:color="auto" w:fill="auto"/>
          </w:tcPr>
          <w:p w14:paraId="14ADA4AD" w14:textId="77777777" w:rsidR="00C158AC" w:rsidRPr="0069045E" w:rsidRDefault="00C158AC" w:rsidP="006854E5">
            <w:pPr>
              <w:snapToGrid w:val="0"/>
              <w:jc w:val="both"/>
              <w:rPr>
                <w:sz w:val="22"/>
                <w:szCs w:val="22"/>
              </w:rPr>
            </w:pPr>
          </w:p>
        </w:tc>
        <w:tc>
          <w:tcPr>
            <w:tcW w:w="8640" w:type="dxa"/>
            <w:shd w:val="clear" w:color="auto" w:fill="auto"/>
          </w:tcPr>
          <w:p w14:paraId="6493446E" w14:textId="77777777" w:rsidR="00C158AC" w:rsidRPr="0069045E" w:rsidRDefault="00C158AC" w:rsidP="006854E5">
            <w:pPr>
              <w:snapToGrid w:val="0"/>
              <w:jc w:val="both"/>
              <w:rPr>
                <w:sz w:val="22"/>
                <w:szCs w:val="22"/>
              </w:rPr>
            </w:pPr>
          </w:p>
        </w:tc>
      </w:tr>
      <w:tr w:rsidR="00C158AC" w:rsidRPr="0069045E" w14:paraId="03845743" w14:textId="77777777" w:rsidTr="00F56E0D">
        <w:tc>
          <w:tcPr>
            <w:tcW w:w="3528" w:type="dxa"/>
            <w:shd w:val="clear" w:color="auto" w:fill="auto"/>
          </w:tcPr>
          <w:p w14:paraId="4119D789"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176E74D2" w14:textId="4E85F368" w:rsidR="00C158AC" w:rsidRPr="0069045E" w:rsidRDefault="00C158AC" w:rsidP="00474461">
            <w:pPr>
              <w:snapToGrid w:val="0"/>
              <w:jc w:val="both"/>
              <w:rPr>
                <w:sz w:val="22"/>
                <w:szCs w:val="22"/>
              </w:rPr>
            </w:pPr>
            <w:r w:rsidRPr="0069045E">
              <w:rPr>
                <w:sz w:val="22"/>
                <w:szCs w:val="22"/>
              </w:rPr>
              <w:t>6702693</w:t>
            </w:r>
            <w:r w:rsidR="00474461">
              <w:rPr>
                <w:sz w:val="22"/>
                <w:szCs w:val="22"/>
              </w:rPr>
              <w:t>6</w:t>
            </w:r>
          </w:p>
        </w:tc>
      </w:tr>
      <w:tr w:rsidR="00C158AC" w:rsidRPr="0069045E" w14:paraId="7E6F3EB4" w14:textId="77777777" w:rsidTr="00F56E0D">
        <w:tc>
          <w:tcPr>
            <w:tcW w:w="3528" w:type="dxa"/>
            <w:shd w:val="clear" w:color="auto" w:fill="auto"/>
          </w:tcPr>
          <w:p w14:paraId="071456F2"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32583ED5" w14:textId="77777777" w:rsidR="00C158AC" w:rsidRPr="0069045E" w:rsidRDefault="00C158AC" w:rsidP="006854E5">
            <w:pPr>
              <w:snapToGrid w:val="0"/>
              <w:jc w:val="both"/>
              <w:rPr>
                <w:sz w:val="22"/>
                <w:szCs w:val="22"/>
              </w:rPr>
            </w:pPr>
            <w:r w:rsidRPr="0069045E">
              <w:rPr>
                <w:sz w:val="22"/>
                <w:szCs w:val="22"/>
              </w:rPr>
              <w:t>(tālruņa un faksa numurs)</w:t>
            </w:r>
          </w:p>
        </w:tc>
      </w:tr>
      <w:tr w:rsidR="00C158AC" w:rsidRPr="0069045E" w14:paraId="398001B4" w14:textId="77777777" w:rsidTr="00F56E0D">
        <w:tc>
          <w:tcPr>
            <w:tcW w:w="3528" w:type="dxa"/>
            <w:shd w:val="clear" w:color="auto" w:fill="auto"/>
          </w:tcPr>
          <w:p w14:paraId="0CC56A9E" w14:textId="77777777" w:rsidR="00C158AC" w:rsidRPr="0069045E" w:rsidRDefault="00C158AC" w:rsidP="006854E5">
            <w:pPr>
              <w:snapToGrid w:val="0"/>
              <w:jc w:val="both"/>
              <w:rPr>
                <w:sz w:val="22"/>
                <w:szCs w:val="22"/>
              </w:rPr>
            </w:pPr>
          </w:p>
        </w:tc>
        <w:tc>
          <w:tcPr>
            <w:tcW w:w="8640" w:type="dxa"/>
            <w:shd w:val="clear" w:color="auto" w:fill="auto"/>
          </w:tcPr>
          <w:p w14:paraId="0C97E02E" w14:textId="77777777" w:rsidR="00C158AC" w:rsidRPr="0069045E" w:rsidRDefault="00C158AC" w:rsidP="006854E5">
            <w:pPr>
              <w:snapToGrid w:val="0"/>
              <w:jc w:val="both"/>
              <w:rPr>
                <w:sz w:val="22"/>
                <w:szCs w:val="22"/>
              </w:rPr>
            </w:pPr>
          </w:p>
        </w:tc>
      </w:tr>
      <w:tr w:rsidR="00C158AC" w:rsidRPr="0069045E" w14:paraId="61FE5E4A" w14:textId="77777777" w:rsidTr="00F56E0D">
        <w:tc>
          <w:tcPr>
            <w:tcW w:w="3528" w:type="dxa"/>
            <w:shd w:val="clear" w:color="auto" w:fill="auto"/>
          </w:tcPr>
          <w:p w14:paraId="7ECE2AAE" w14:textId="77777777" w:rsidR="00C158AC" w:rsidRPr="0069045E" w:rsidRDefault="00C158AC" w:rsidP="006854E5">
            <w:pPr>
              <w:snapToGrid w:val="0"/>
              <w:jc w:val="both"/>
              <w:rPr>
                <w:sz w:val="22"/>
                <w:szCs w:val="22"/>
              </w:rPr>
            </w:pPr>
          </w:p>
        </w:tc>
        <w:tc>
          <w:tcPr>
            <w:tcW w:w="8640" w:type="dxa"/>
            <w:tcBorders>
              <w:bottom w:val="single" w:sz="4" w:space="0" w:color="000000"/>
            </w:tcBorders>
            <w:shd w:val="clear" w:color="auto" w:fill="auto"/>
          </w:tcPr>
          <w:p w14:paraId="464862AD" w14:textId="5EAD7AE0" w:rsidR="00C158AC" w:rsidRPr="0069045E" w:rsidRDefault="00687CB7" w:rsidP="00474461">
            <w:pPr>
              <w:snapToGrid w:val="0"/>
              <w:jc w:val="both"/>
              <w:rPr>
                <w:sz w:val="22"/>
                <w:szCs w:val="22"/>
              </w:rPr>
            </w:pPr>
            <w:hyperlink r:id="rId14" w:history="1">
              <w:r w:rsidR="00474461" w:rsidRPr="00B30B33">
                <w:rPr>
                  <w:rStyle w:val="Hipersaite"/>
                  <w:sz w:val="22"/>
                  <w:szCs w:val="22"/>
                </w:rPr>
                <w:t>aija.vavere@varam.gov.lv</w:t>
              </w:r>
            </w:hyperlink>
          </w:p>
        </w:tc>
      </w:tr>
      <w:tr w:rsidR="00C158AC" w:rsidRPr="00FD08B1" w14:paraId="033498A1" w14:textId="77777777" w:rsidTr="00F56E0D">
        <w:tc>
          <w:tcPr>
            <w:tcW w:w="3528" w:type="dxa"/>
            <w:shd w:val="clear" w:color="auto" w:fill="auto"/>
          </w:tcPr>
          <w:p w14:paraId="767415BF" w14:textId="77777777" w:rsidR="00C158AC" w:rsidRPr="0069045E" w:rsidRDefault="00C158AC" w:rsidP="006854E5">
            <w:pPr>
              <w:snapToGrid w:val="0"/>
              <w:jc w:val="both"/>
              <w:rPr>
                <w:sz w:val="22"/>
                <w:szCs w:val="22"/>
              </w:rPr>
            </w:pPr>
          </w:p>
        </w:tc>
        <w:tc>
          <w:tcPr>
            <w:tcW w:w="8640" w:type="dxa"/>
            <w:tcBorders>
              <w:top w:val="single" w:sz="4" w:space="0" w:color="000000"/>
            </w:tcBorders>
            <w:shd w:val="clear" w:color="auto" w:fill="auto"/>
          </w:tcPr>
          <w:p w14:paraId="5E732A8F" w14:textId="77777777" w:rsidR="00C158AC" w:rsidRPr="0069045E" w:rsidRDefault="00C158AC" w:rsidP="006854E5">
            <w:pPr>
              <w:snapToGrid w:val="0"/>
              <w:jc w:val="both"/>
              <w:rPr>
                <w:sz w:val="22"/>
                <w:szCs w:val="22"/>
              </w:rPr>
            </w:pPr>
            <w:r w:rsidRPr="0069045E">
              <w:rPr>
                <w:sz w:val="22"/>
                <w:szCs w:val="22"/>
              </w:rPr>
              <w:t>(e-pasta adrese)</w:t>
            </w:r>
          </w:p>
        </w:tc>
      </w:tr>
    </w:tbl>
    <w:p w14:paraId="67EC668C" w14:textId="7095EC00" w:rsidR="00C158AC" w:rsidRPr="00FD08B1" w:rsidRDefault="00C158AC" w:rsidP="00E11B34">
      <w:pPr>
        <w:tabs>
          <w:tab w:val="left" w:pos="1682"/>
        </w:tabs>
        <w:rPr>
          <w:sz w:val="22"/>
          <w:szCs w:val="22"/>
        </w:rPr>
      </w:pPr>
    </w:p>
    <w:sectPr w:rsidR="00C158AC" w:rsidRPr="00FD08B1" w:rsidSect="00087B2B">
      <w:headerReference w:type="default" r:id="rId15"/>
      <w:footerReference w:type="default" r:id="rId16"/>
      <w:footerReference w:type="first" r:id="rId17"/>
      <w:pgSz w:w="15840" w:h="12240" w:orient="landscape"/>
      <w:pgMar w:top="907" w:right="1134" w:bottom="907"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55C9F" w14:textId="77777777" w:rsidR="00687CB7" w:rsidRDefault="00687CB7" w:rsidP="00640F75">
      <w:r>
        <w:separator/>
      </w:r>
    </w:p>
  </w:endnote>
  <w:endnote w:type="continuationSeparator" w:id="0">
    <w:p w14:paraId="7B1FEE41" w14:textId="77777777" w:rsidR="00687CB7" w:rsidRDefault="00687CB7" w:rsidP="006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EED6" w14:textId="39ECC54A" w:rsidR="00E91574" w:rsidRPr="004978BE" w:rsidRDefault="004978BE" w:rsidP="004978BE">
    <w:pPr>
      <w:pStyle w:val="Kjene"/>
      <w:rPr>
        <w:sz w:val="20"/>
        <w:szCs w:val="20"/>
      </w:rPr>
    </w:pPr>
    <w:r w:rsidRPr="004978BE">
      <w:rPr>
        <w:sz w:val="20"/>
        <w:szCs w:val="20"/>
      </w:rPr>
      <w:fldChar w:fldCharType="begin"/>
    </w:r>
    <w:r w:rsidRPr="004978BE">
      <w:rPr>
        <w:sz w:val="20"/>
        <w:szCs w:val="20"/>
      </w:rPr>
      <w:instrText xml:space="preserve"> FILENAME   \* MERGEFORMAT </w:instrText>
    </w:r>
    <w:r w:rsidRPr="004978BE">
      <w:rPr>
        <w:sz w:val="20"/>
        <w:szCs w:val="20"/>
      </w:rPr>
      <w:fldChar w:fldCharType="separate"/>
    </w:r>
    <w:r w:rsidR="008328DD">
      <w:rPr>
        <w:noProof/>
        <w:sz w:val="20"/>
        <w:szCs w:val="20"/>
      </w:rPr>
      <w:t>VARAMizz_121020_VSS_591_NumerPlans</w:t>
    </w:r>
    <w:r w:rsidRPr="004978B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E17D" w14:textId="4B5974C2" w:rsidR="00300F3F" w:rsidRPr="004978BE" w:rsidRDefault="004978BE" w:rsidP="004978BE">
    <w:pPr>
      <w:pStyle w:val="Kjene"/>
    </w:pPr>
    <w:r w:rsidRPr="004978BE">
      <w:rPr>
        <w:sz w:val="20"/>
        <w:szCs w:val="20"/>
      </w:rPr>
      <w:fldChar w:fldCharType="begin"/>
    </w:r>
    <w:r w:rsidRPr="004978BE">
      <w:rPr>
        <w:sz w:val="20"/>
        <w:szCs w:val="20"/>
      </w:rPr>
      <w:instrText xml:space="preserve"> FILENAME   \* MERGEFORMAT </w:instrText>
    </w:r>
    <w:r w:rsidRPr="004978BE">
      <w:rPr>
        <w:sz w:val="20"/>
        <w:szCs w:val="20"/>
      </w:rPr>
      <w:fldChar w:fldCharType="separate"/>
    </w:r>
    <w:r w:rsidR="008328DD">
      <w:rPr>
        <w:noProof/>
        <w:sz w:val="20"/>
        <w:szCs w:val="20"/>
      </w:rPr>
      <w:t>VARAMizz_121020_VSS_591_NumerPlans</w:t>
    </w:r>
    <w:r w:rsidRPr="004978B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A104" w14:textId="77777777" w:rsidR="00687CB7" w:rsidRDefault="00687CB7" w:rsidP="00640F75">
      <w:r>
        <w:separator/>
      </w:r>
    </w:p>
  </w:footnote>
  <w:footnote w:type="continuationSeparator" w:id="0">
    <w:p w14:paraId="727B8459" w14:textId="77777777" w:rsidR="00687CB7" w:rsidRDefault="00687CB7" w:rsidP="0064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833482"/>
      <w:docPartObj>
        <w:docPartGallery w:val="Page Numbers (Top of Page)"/>
        <w:docPartUnique/>
      </w:docPartObj>
    </w:sdtPr>
    <w:sdtEndPr/>
    <w:sdtContent>
      <w:p w14:paraId="21E8F3D0" w14:textId="520F2058" w:rsidR="00300F3F" w:rsidRDefault="00300F3F">
        <w:pPr>
          <w:pStyle w:val="Galvene"/>
          <w:jc w:val="center"/>
        </w:pPr>
        <w:r>
          <w:fldChar w:fldCharType="begin"/>
        </w:r>
        <w:r>
          <w:instrText xml:space="preserve"> PAGE   \* MERGEFORMAT </w:instrText>
        </w:r>
        <w:r>
          <w:fldChar w:fldCharType="separate"/>
        </w:r>
        <w:r w:rsidR="00443215">
          <w:rPr>
            <w:noProof/>
          </w:rPr>
          <w:t>13</w:t>
        </w:r>
        <w:r>
          <w:rPr>
            <w:noProof/>
          </w:rPr>
          <w:fldChar w:fldCharType="end"/>
        </w:r>
      </w:p>
    </w:sdtContent>
  </w:sdt>
  <w:p w14:paraId="00DE49B5" w14:textId="77777777" w:rsidR="00300F3F" w:rsidRDefault="00300F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59C"/>
    <w:multiLevelType w:val="hybridMultilevel"/>
    <w:tmpl w:val="828A5DB8"/>
    <w:lvl w:ilvl="0" w:tplc="0426000F">
      <w:start w:val="2"/>
      <w:numFmt w:val="decimal"/>
      <w:lvlText w:val="%1."/>
      <w:lvlJc w:val="left"/>
      <w:pPr>
        <w:ind w:left="3260" w:hanging="360"/>
      </w:pPr>
      <w:rPr>
        <w:rFonts w:hint="default"/>
      </w:rPr>
    </w:lvl>
    <w:lvl w:ilvl="1" w:tplc="04260019" w:tentative="1">
      <w:start w:val="1"/>
      <w:numFmt w:val="lowerLetter"/>
      <w:lvlText w:val="%2."/>
      <w:lvlJc w:val="left"/>
      <w:pPr>
        <w:ind w:left="3980" w:hanging="360"/>
      </w:pPr>
    </w:lvl>
    <w:lvl w:ilvl="2" w:tplc="0426001B" w:tentative="1">
      <w:start w:val="1"/>
      <w:numFmt w:val="lowerRoman"/>
      <w:lvlText w:val="%3."/>
      <w:lvlJc w:val="right"/>
      <w:pPr>
        <w:ind w:left="4700" w:hanging="180"/>
      </w:pPr>
    </w:lvl>
    <w:lvl w:ilvl="3" w:tplc="0426000F" w:tentative="1">
      <w:start w:val="1"/>
      <w:numFmt w:val="decimal"/>
      <w:lvlText w:val="%4."/>
      <w:lvlJc w:val="left"/>
      <w:pPr>
        <w:ind w:left="5420" w:hanging="360"/>
      </w:pPr>
    </w:lvl>
    <w:lvl w:ilvl="4" w:tplc="04260019" w:tentative="1">
      <w:start w:val="1"/>
      <w:numFmt w:val="lowerLetter"/>
      <w:lvlText w:val="%5."/>
      <w:lvlJc w:val="left"/>
      <w:pPr>
        <w:ind w:left="6140" w:hanging="360"/>
      </w:pPr>
    </w:lvl>
    <w:lvl w:ilvl="5" w:tplc="0426001B" w:tentative="1">
      <w:start w:val="1"/>
      <w:numFmt w:val="lowerRoman"/>
      <w:lvlText w:val="%6."/>
      <w:lvlJc w:val="right"/>
      <w:pPr>
        <w:ind w:left="6860" w:hanging="180"/>
      </w:pPr>
    </w:lvl>
    <w:lvl w:ilvl="6" w:tplc="0426000F" w:tentative="1">
      <w:start w:val="1"/>
      <w:numFmt w:val="decimal"/>
      <w:lvlText w:val="%7."/>
      <w:lvlJc w:val="left"/>
      <w:pPr>
        <w:ind w:left="7580" w:hanging="360"/>
      </w:pPr>
    </w:lvl>
    <w:lvl w:ilvl="7" w:tplc="04260019" w:tentative="1">
      <w:start w:val="1"/>
      <w:numFmt w:val="lowerLetter"/>
      <w:lvlText w:val="%8."/>
      <w:lvlJc w:val="left"/>
      <w:pPr>
        <w:ind w:left="8300" w:hanging="360"/>
      </w:pPr>
    </w:lvl>
    <w:lvl w:ilvl="8" w:tplc="0426001B" w:tentative="1">
      <w:start w:val="1"/>
      <w:numFmt w:val="lowerRoman"/>
      <w:lvlText w:val="%9."/>
      <w:lvlJc w:val="right"/>
      <w:pPr>
        <w:ind w:left="9020" w:hanging="180"/>
      </w:pPr>
    </w:lvl>
  </w:abstractNum>
  <w:abstractNum w:abstractNumId="1"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E33FF6"/>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F1B314D"/>
    <w:multiLevelType w:val="hybridMultilevel"/>
    <w:tmpl w:val="FA32FF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065A9"/>
    <w:multiLevelType w:val="hybridMultilevel"/>
    <w:tmpl w:val="923C9C02"/>
    <w:lvl w:ilvl="0" w:tplc="0426000F">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5" w15:restartNumberingAfterBreak="0">
    <w:nsid w:val="1A987EE0"/>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3F7691"/>
    <w:multiLevelType w:val="hybridMultilevel"/>
    <w:tmpl w:val="D890CE7E"/>
    <w:lvl w:ilvl="0" w:tplc="4ED2606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586E96"/>
    <w:multiLevelType w:val="multilevel"/>
    <w:tmpl w:val="37B8009C"/>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57001A"/>
    <w:multiLevelType w:val="hybridMultilevel"/>
    <w:tmpl w:val="5EAEA174"/>
    <w:lvl w:ilvl="0" w:tplc="D67E31CA">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7E4FE2"/>
    <w:multiLevelType w:val="hybridMultilevel"/>
    <w:tmpl w:val="244026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017DA9"/>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B511D6E"/>
    <w:multiLevelType w:val="hybridMultilevel"/>
    <w:tmpl w:val="F15C206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FC67B0"/>
    <w:multiLevelType w:val="hybridMultilevel"/>
    <w:tmpl w:val="359AC1B6"/>
    <w:lvl w:ilvl="0" w:tplc="E488C224">
      <w:start w:val="1"/>
      <w:numFmt w:val="decimal"/>
      <w:lvlText w:val="%1."/>
      <w:lvlJc w:val="left"/>
      <w:pPr>
        <w:ind w:left="1080" w:hanging="360"/>
      </w:pPr>
      <w:rPr>
        <w:rFonts w:hint="default"/>
        <w:b/>
        <w:bCs/>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392A44"/>
    <w:multiLevelType w:val="hybridMultilevel"/>
    <w:tmpl w:val="F022EB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F4133"/>
    <w:multiLevelType w:val="hybridMultilevel"/>
    <w:tmpl w:val="3DD0BE0C"/>
    <w:lvl w:ilvl="0" w:tplc="7526C558">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1">
    <w:nsid w:val="69442782"/>
    <w:multiLevelType w:val="hybridMultilevel"/>
    <w:tmpl w:val="ADBEFE50"/>
    <w:lvl w:ilvl="0" w:tplc="C7DA7342">
      <w:start w:val="1"/>
      <w:numFmt w:val="decimal"/>
      <w:lvlText w:val="%1."/>
      <w:lvlJc w:val="left"/>
      <w:pPr>
        <w:ind w:left="720" w:hanging="360"/>
      </w:pPr>
      <w:rPr>
        <w:rFonts w:hint="default"/>
        <w:u w:val="none"/>
      </w:rPr>
    </w:lvl>
    <w:lvl w:ilvl="1" w:tplc="4C6EA304" w:tentative="1">
      <w:start w:val="1"/>
      <w:numFmt w:val="lowerLetter"/>
      <w:lvlText w:val="%2."/>
      <w:lvlJc w:val="left"/>
      <w:pPr>
        <w:ind w:left="1440" w:hanging="360"/>
      </w:pPr>
    </w:lvl>
    <w:lvl w:ilvl="2" w:tplc="571C5F88" w:tentative="1">
      <w:start w:val="1"/>
      <w:numFmt w:val="lowerRoman"/>
      <w:lvlText w:val="%3."/>
      <w:lvlJc w:val="right"/>
      <w:pPr>
        <w:ind w:left="2160" w:hanging="180"/>
      </w:pPr>
    </w:lvl>
    <w:lvl w:ilvl="3" w:tplc="57DCF570" w:tentative="1">
      <w:start w:val="1"/>
      <w:numFmt w:val="decimal"/>
      <w:lvlText w:val="%4."/>
      <w:lvlJc w:val="left"/>
      <w:pPr>
        <w:ind w:left="2880" w:hanging="360"/>
      </w:pPr>
    </w:lvl>
    <w:lvl w:ilvl="4" w:tplc="55E6C986" w:tentative="1">
      <w:start w:val="1"/>
      <w:numFmt w:val="lowerLetter"/>
      <w:lvlText w:val="%5."/>
      <w:lvlJc w:val="left"/>
      <w:pPr>
        <w:ind w:left="3600" w:hanging="360"/>
      </w:pPr>
    </w:lvl>
    <w:lvl w:ilvl="5" w:tplc="92680E9A" w:tentative="1">
      <w:start w:val="1"/>
      <w:numFmt w:val="lowerRoman"/>
      <w:lvlText w:val="%6."/>
      <w:lvlJc w:val="right"/>
      <w:pPr>
        <w:ind w:left="4320" w:hanging="180"/>
      </w:pPr>
    </w:lvl>
    <w:lvl w:ilvl="6" w:tplc="93BC3A7C" w:tentative="1">
      <w:start w:val="1"/>
      <w:numFmt w:val="decimal"/>
      <w:lvlText w:val="%7."/>
      <w:lvlJc w:val="left"/>
      <w:pPr>
        <w:ind w:left="5040" w:hanging="360"/>
      </w:pPr>
    </w:lvl>
    <w:lvl w:ilvl="7" w:tplc="F10053A2" w:tentative="1">
      <w:start w:val="1"/>
      <w:numFmt w:val="lowerLetter"/>
      <w:lvlText w:val="%8."/>
      <w:lvlJc w:val="left"/>
      <w:pPr>
        <w:ind w:left="5760" w:hanging="360"/>
      </w:pPr>
    </w:lvl>
    <w:lvl w:ilvl="8" w:tplc="DC22BBCA" w:tentative="1">
      <w:start w:val="1"/>
      <w:numFmt w:val="lowerRoman"/>
      <w:lvlText w:val="%9."/>
      <w:lvlJc w:val="right"/>
      <w:pPr>
        <w:ind w:left="6480" w:hanging="180"/>
      </w:pPr>
    </w:lvl>
  </w:abstractNum>
  <w:abstractNum w:abstractNumId="17" w15:restartNumberingAfterBreak="0">
    <w:nsid w:val="710B106D"/>
    <w:multiLevelType w:val="hybridMultilevel"/>
    <w:tmpl w:val="4AA61D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2C545CE"/>
    <w:multiLevelType w:val="hybridMultilevel"/>
    <w:tmpl w:val="C4E66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CD1421"/>
    <w:multiLevelType w:val="hybridMultilevel"/>
    <w:tmpl w:val="EAB49BC6"/>
    <w:lvl w:ilvl="0" w:tplc="7D92BF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8"/>
  </w:num>
  <w:num w:numId="3">
    <w:abstractNumId w:val="16"/>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7"/>
  </w:num>
  <w:num w:numId="10">
    <w:abstractNumId w:val="5"/>
  </w:num>
  <w:num w:numId="11">
    <w:abstractNumId w:val="6"/>
  </w:num>
  <w:num w:numId="12">
    <w:abstractNumId w:val="18"/>
  </w:num>
  <w:num w:numId="13">
    <w:abstractNumId w:val="12"/>
  </w:num>
  <w:num w:numId="14">
    <w:abstractNumId w:val="9"/>
  </w:num>
  <w:num w:numId="15">
    <w:abstractNumId w:val="15"/>
  </w:num>
  <w:num w:numId="16">
    <w:abstractNumId w:val="7"/>
  </w:num>
  <w:num w:numId="17">
    <w:abstractNumId w:val="13"/>
  </w:num>
  <w:num w:numId="18">
    <w:abstractNumId w:val="10"/>
  </w:num>
  <w:num w:numId="19">
    <w:abstractNumId w:val="4"/>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DA"/>
    <w:rsid w:val="0000170B"/>
    <w:rsid w:val="000021BE"/>
    <w:rsid w:val="00003275"/>
    <w:rsid w:val="0000476D"/>
    <w:rsid w:val="00004F6B"/>
    <w:rsid w:val="00006F9E"/>
    <w:rsid w:val="00010420"/>
    <w:rsid w:val="000148C4"/>
    <w:rsid w:val="0001557A"/>
    <w:rsid w:val="00015742"/>
    <w:rsid w:val="00016984"/>
    <w:rsid w:val="00021F56"/>
    <w:rsid w:val="0002378C"/>
    <w:rsid w:val="00024615"/>
    <w:rsid w:val="00024716"/>
    <w:rsid w:val="0002526B"/>
    <w:rsid w:val="00026987"/>
    <w:rsid w:val="000278B3"/>
    <w:rsid w:val="000316F2"/>
    <w:rsid w:val="000332DE"/>
    <w:rsid w:val="00034404"/>
    <w:rsid w:val="00040DE1"/>
    <w:rsid w:val="000422CB"/>
    <w:rsid w:val="00042759"/>
    <w:rsid w:val="000447D3"/>
    <w:rsid w:val="00045363"/>
    <w:rsid w:val="000464C3"/>
    <w:rsid w:val="00047704"/>
    <w:rsid w:val="000507A8"/>
    <w:rsid w:val="00050F10"/>
    <w:rsid w:val="00051424"/>
    <w:rsid w:val="0005407B"/>
    <w:rsid w:val="00054868"/>
    <w:rsid w:val="00055537"/>
    <w:rsid w:val="00056EAE"/>
    <w:rsid w:val="0005769F"/>
    <w:rsid w:val="000612DF"/>
    <w:rsid w:val="000625EB"/>
    <w:rsid w:val="000632D7"/>
    <w:rsid w:val="00063DAF"/>
    <w:rsid w:val="000667AC"/>
    <w:rsid w:val="00066FD5"/>
    <w:rsid w:val="00070BAC"/>
    <w:rsid w:val="00070FC4"/>
    <w:rsid w:val="000710EC"/>
    <w:rsid w:val="00072065"/>
    <w:rsid w:val="000739F3"/>
    <w:rsid w:val="00073A5C"/>
    <w:rsid w:val="00074456"/>
    <w:rsid w:val="00080050"/>
    <w:rsid w:val="00080D2C"/>
    <w:rsid w:val="00081ACF"/>
    <w:rsid w:val="00081D8C"/>
    <w:rsid w:val="00081F96"/>
    <w:rsid w:val="00086445"/>
    <w:rsid w:val="00086636"/>
    <w:rsid w:val="00087B2B"/>
    <w:rsid w:val="000908C2"/>
    <w:rsid w:val="00090D69"/>
    <w:rsid w:val="000910A0"/>
    <w:rsid w:val="000955D5"/>
    <w:rsid w:val="00095C9C"/>
    <w:rsid w:val="000A1AF5"/>
    <w:rsid w:val="000A230B"/>
    <w:rsid w:val="000A252A"/>
    <w:rsid w:val="000A2B89"/>
    <w:rsid w:val="000A3522"/>
    <w:rsid w:val="000A3BA7"/>
    <w:rsid w:val="000A57C1"/>
    <w:rsid w:val="000A5FD1"/>
    <w:rsid w:val="000A6E83"/>
    <w:rsid w:val="000B1981"/>
    <w:rsid w:val="000B228E"/>
    <w:rsid w:val="000B3D17"/>
    <w:rsid w:val="000B4BB4"/>
    <w:rsid w:val="000B4E4F"/>
    <w:rsid w:val="000B5D72"/>
    <w:rsid w:val="000B7472"/>
    <w:rsid w:val="000C35F9"/>
    <w:rsid w:val="000C4F3A"/>
    <w:rsid w:val="000C555B"/>
    <w:rsid w:val="000C61B1"/>
    <w:rsid w:val="000D0521"/>
    <w:rsid w:val="000D1CA0"/>
    <w:rsid w:val="000D288A"/>
    <w:rsid w:val="000D431D"/>
    <w:rsid w:val="000D647B"/>
    <w:rsid w:val="000E35DC"/>
    <w:rsid w:val="000E3C1C"/>
    <w:rsid w:val="000E3F2F"/>
    <w:rsid w:val="000E406C"/>
    <w:rsid w:val="000F0778"/>
    <w:rsid w:val="000F0B91"/>
    <w:rsid w:val="000F2D2F"/>
    <w:rsid w:val="000F3758"/>
    <w:rsid w:val="000F38DF"/>
    <w:rsid w:val="000F3CC5"/>
    <w:rsid w:val="000F769A"/>
    <w:rsid w:val="000F791D"/>
    <w:rsid w:val="00102A8C"/>
    <w:rsid w:val="00105202"/>
    <w:rsid w:val="001073D4"/>
    <w:rsid w:val="00111403"/>
    <w:rsid w:val="00112899"/>
    <w:rsid w:val="0011421F"/>
    <w:rsid w:val="00114282"/>
    <w:rsid w:val="00114F3C"/>
    <w:rsid w:val="00114F50"/>
    <w:rsid w:val="001161CA"/>
    <w:rsid w:val="00120CD5"/>
    <w:rsid w:val="001212D9"/>
    <w:rsid w:val="00121FEA"/>
    <w:rsid w:val="00123C16"/>
    <w:rsid w:val="0012554C"/>
    <w:rsid w:val="00125C5D"/>
    <w:rsid w:val="00130298"/>
    <w:rsid w:val="00132AF5"/>
    <w:rsid w:val="0013461E"/>
    <w:rsid w:val="001429C4"/>
    <w:rsid w:val="0014317A"/>
    <w:rsid w:val="001435DD"/>
    <w:rsid w:val="001439B7"/>
    <w:rsid w:val="00143BFE"/>
    <w:rsid w:val="00145378"/>
    <w:rsid w:val="00145898"/>
    <w:rsid w:val="00145E31"/>
    <w:rsid w:val="00146A84"/>
    <w:rsid w:val="001521E2"/>
    <w:rsid w:val="00157DD8"/>
    <w:rsid w:val="00163233"/>
    <w:rsid w:val="00164E43"/>
    <w:rsid w:val="00170B2C"/>
    <w:rsid w:val="00171085"/>
    <w:rsid w:val="00173625"/>
    <w:rsid w:val="00175348"/>
    <w:rsid w:val="00175B22"/>
    <w:rsid w:val="001768B9"/>
    <w:rsid w:val="001808F6"/>
    <w:rsid w:val="00180A46"/>
    <w:rsid w:val="00180BFC"/>
    <w:rsid w:val="001812C8"/>
    <w:rsid w:val="001817F1"/>
    <w:rsid w:val="00184F0E"/>
    <w:rsid w:val="0019021E"/>
    <w:rsid w:val="00191A76"/>
    <w:rsid w:val="0019211D"/>
    <w:rsid w:val="001925C2"/>
    <w:rsid w:val="00192D71"/>
    <w:rsid w:val="00197521"/>
    <w:rsid w:val="001A0116"/>
    <w:rsid w:val="001A0637"/>
    <w:rsid w:val="001A0A52"/>
    <w:rsid w:val="001A1DBB"/>
    <w:rsid w:val="001A239F"/>
    <w:rsid w:val="001A4783"/>
    <w:rsid w:val="001A4CDD"/>
    <w:rsid w:val="001A61AC"/>
    <w:rsid w:val="001B0358"/>
    <w:rsid w:val="001B1213"/>
    <w:rsid w:val="001B1759"/>
    <w:rsid w:val="001B1B70"/>
    <w:rsid w:val="001B776D"/>
    <w:rsid w:val="001C04CA"/>
    <w:rsid w:val="001C19FA"/>
    <w:rsid w:val="001C25EE"/>
    <w:rsid w:val="001C4D70"/>
    <w:rsid w:val="001C52DE"/>
    <w:rsid w:val="001C64E4"/>
    <w:rsid w:val="001D0868"/>
    <w:rsid w:val="001D0A2D"/>
    <w:rsid w:val="001D14C0"/>
    <w:rsid w:val="001D2152"/>
    <w:rsid w:val="001D4024"/>
    <w:rsid w:val="001D67E0"/>
    <w:rsid w:val="001D760D"/>
    <w:rsid w:val="001E0F37"/>
    <w:rsid w:val="001E12AF"/>
    <w:rsid w:val="001E137D"/>
    <w:rsid w:val="001E4B29"/>
    <w:rsid w:val="001E52AA"/>
    <w:rsid w:val="001E617A"/>
    <w:rsid w:val="001E6DDA"/>
    <w:rsid w:val="001E7C47"/>
    <w:rsid w:val="001E7FC7"/>
    <w:rsid w:val="001E7FCD"/>
    <w:rsid w:val="001F0670"/>
    <w:rsid w:val="001F0E59"/>
    <w:rsid w:val="001F4913"/>
    <w:rsid w:val="001F52E4"/>
    <w:rsid w:val="001F79AD"/>
    <w:rsid w:val="001F7F61"/>
    <w:rsid w:val="0020107C"/>
    <w:rsid w:val="00203392"/>
    <w:rsid w:val="0020436C"/>
    <w:rsid w:val="00204E2F"/>
    <w:rsid w:val="0021115C"/>
    <w:rsid w:val="002131AC"/>
    <w:rsid w:val="00213540"/>
    <w:rsid w:val="002143C3"/>
    <w:rsid w:val="0021447D"/>
    <w:rsid w:val="00214696"/>
    <w:rsid w:val="00215B4C"/>
    <w:rsid w:val="00215C78"/>
    <w:rsid w:val="002200FC"/>
    <w:rsid w:val="00220D78"/>
    <w:rsid w:val="00221F5B"/>
    <w:rsid w:val="002223EC"/>
    <w:rsid w:val="0022308A"/>
    <w:rsid w:val="00224790"/>
    <w:rsid w:val="00230B6D"/>
    <w:rsid w:val="0023112F"/>
    <w:rsid w:val="002333D4"/>
    <w:rsid w:val="00241ECB"/>
    <w:rsid w:val="00242D4C"/>
    <w:rsid w:val="00242FFD"/>
    <w:rsid w:val="002470AC"/>
    <w:rsid w:val="002504BA"/>
    <w:rsid w:val="00252A5D"/>
    <w:rsid w:val="00253469"/>
    <w:rsid w:val="00253715"/>
    <w:rsid w:val="00254663"/>
    <w:rsid w:val="002547FB"/>
    <w:rsid w:val="00254C7D"/>
    <w:rsid w:val="00256280"/>
    <w:rsid w:val="0026082D"/>
    <w:rsid w:val="002614E8"/>
    <w:rsid w:val="00265C9F"/>
    <w:rsid w:val="002677D0"/>
    <w:rsid w:val="00270D32"/>
    <w:rsid w:val="00272432"/>
    <w:rsid w:val="00274395"/>
    <w:rsid w:val="00276733"/>
    <w:rsid w:val="0027727C"/>
    <w:rsid w:val="002809A3"/>
    <w:rsid w:val="00282F6B"/>
    <w:rsid w:val="00284096"/>
    <w:rsid w:val="00292A70"/>
    <w:rsid w:val="00292FF2"/>
    <w:rsid w:val="00293AE2"/>
    <w:rsid w:val="002948E6"/>
    <w:rsid w:val="002950D7"/>
    <w:rsid w:val="002A053B"/>
    <w:rsid w:val="002A0A83"/>
    <w:rsid w:val="002A26C6"/>
    <w:rsid w:val="002A4AFF"/>
    <w:rsid w:val="002A4CD6"/>
    <w:rsid w:val="002A79F1"/>
    <w:rsid w:val="002A7E69"/>
    <w:rsid w:val="002B0B46"/>
    <w:rsid w:val="002B1393"/>
    <w:rsid w:val="002B2FCA"/>
    <w:rsid w:val="002B44E5"/>
    <w:rsid w:val="002B4C10"/>
    <w:rsid w:val="002B4D8D"/>
    <w:rsid w:val="002B5A50"/>
    <w:rsid w:val="002B5A6D"/>
    <w:rsid w:val="002C2737"/>
    <w:rsid w:val="002C30C5"/>
    <w:rsid w:val="002C30DA"/>
    <w:rsid w:val="002C37ED"/>
    <w:rsid w:val="002C3D84"/>
    <w:rsid w:val="002C76BB"/>
    <w:rsid w:val="002D4032"/>
    <w:rsid w:val="002D4497"/>
    <w:rsid w:val="002D697D"/>
    <w:rsid w:val="002D6B08"/>
    <w:rsid w:val="002D793D"/>
    <w:rsid w:val="002E0865"/>
    <w:rsid w:val="002E16C3"/>
    <w:rsid w:val="002E3C54"/>
    <w:rsid w:val="002E6DB6"/>
    <w:rsid w:val="002E7C31"/>
    <w:rsid w:val="002F0663"/>
    <w:rsid w:val="002F130F"/>
    <w:rsid w:val="002F2BA6"/>
    <w:rsid w:val="002F2C00"/>
    <w:rsid w:val="002F332B"/>
    <w:rsid w:val="002F3B5E"/>
    <w:rsid w:val="002F42B3"/>
    <w:rsid w:val="00300229"/>
    <w:rsid w:val="00300850"/>
    <w:rsid w:val="00300F3F"/>
    <w:rsid w:val="00302F43"/>
    <w:rsid w:val="00304849"/>
    <w:rsid w:val="00305C2A"/>
    <w:rsid w:val="00311261"/>
    <w:rsid w:val="00312425"/>
    <w:rsid w:val="003127D4"/>
    <w:rsid w:val="00312C2B"/>
    <w:rsid w:val="00313669"/>
    <w:rsid w:val="00316083"/>
    <w:rsid w:val="003162B4"/>
    <w:rsid w:val="003169EC"/>
    <w:rsid w:val="00316BBF"/>
    <w:rsid w:val="00320A60"/>
    <w:rsid w:val="003218DD"/>
    <w:rsid w:val="00321B5B"/>
    <w:rsid w:val="0032525C"/>
    <w:rsid w:val="003257A2"/>
    <w:rsid w:val="00325F8F"/>
    <w:rsid w:val="00327025"/>
    <w:rsid w:val="00327ADA"/>
    <w:rsid w:val="00327EA5"/>
    <w:rsid w:val="00327F88"/>
    <w:rsid w:val="00331E1E"/>
    <w:rsid w:val="00334C9E"/>
    <w:rsid w:val="00335BC4"/>
    <w:rsid w:val="00336A73"/>
    <w:rsid w:val="0034087A"/>
    <w:rsid w:val="003436A0"/>
    <w:rsid w:val="0034377D"/>
    <w:rsid w:val="003439D5"/>
    <w:rsid w:val="003476BA"/>
    <w:rsid w:val="0035035A"/>
    <w:rsid w:val="00352CEE"/>
    <w:rsid w:val="00353B12"/>
    <w:rsid w:val="003547AF"/>
    <w:rsid w:val="003549DC"/>
    <w:rsid w:val="0035500D"/>
    <w:rsid w:val="00356885"/>
    <w:rsid w:val="00357110"/>
    <w:rsid w:val="003610D2"/>
    <w:rsid w:val="00361470"/>
    <w:rsid w:val="00362745"/>
    <w:rsid w:val="0036432D"/>
    <w:rsid w:val="00365755"/>
    <w:rsid w:val="00366606"/>
    <w:rsid w:val="003675F0"/>
    <w:rsid w:val="0037005A"/>
    <w:rsid w:val="003729FE"/>
    <w:rsid w:val="0037611C"/>
    <w:rsid w:val="00376AB0"/>
    <w:rsid w:val="00381BD6"/>
    <w:rsid w:val="00381E34"/>
    <w:rsid w:val="00382FD9"/>
    <w:rsid w:val="00383926"/>
    <w:rsid w:val="00383BCF"/>
    <w:rsid w:val="003848EB"/>
    <w:rsid w:val="00385714"/>
    <w:rsid w:val="003904D8"/>
    <w:rsid w:val="003906ED"/>
    <w:rsid w:val="00390A08"/>
    <w:rsid w:val="0039123E"/>
    <w:rsid w:val="00393ACB"/>
    <w:rsid w:val="00395175"/>
    <w:rsid w:val="00397555"/>
    <w:rsid w:val="003A15B5"/>
    <w:rsid w:val="003A33F9"/>
    <w:rsid w:val="003B1588"/>
    <w:rsid w:val="003B1ECE"/>
    <w:rsid w:val="003B2C74"/>
    <w:rsid w:val="003B4739"/>
    <w:rsid w:val="003B4CBC"/>
    <w:rsid w:val="003B6983"/>
    <w:rsid w:val="003B6C52"/>
    <w:rsid w:val="003B7D7E"/>
    <w:rsid w:val="003C1C5C"/>
    <w:rsid w:val="003C3490"/>
    <w:rsid w:val="003C4B58"/>
    <w:rsid w:val="003D4D94"/>
    <w:rsid w:val="003D50D7"/>
    <w:rsid w:val="003E05A5"/>
    <w:rsid w:val="003E1B30"/>
    <w:rsid w:val="003E2AA0"/>
    <w:rsid w:val="003E35BA"/>
    <w:rsid w:val="003E60AB"/>
    <w:rsid w:val="003E6CD6"/>
    <w:rsid w:val="003E7015"/>
    <w:rsid w:val="003E7F6D"/>
    <w:rsid w:val="003F03A6"/>
    <w:rsid w:val="003F1D69"/>
    <w:rsid w:val="003F3720"/>
    <w:rsid w:val="003F593E"/>
    <w:rsid w:val="003F7C0A"/>
    <w:rsid w:val="00400170"/>
    <w:rsid w:val="004012FC"/>
    <w:rsid w:val="00401B9D"/>
    <w:rsid w:val="00401DB8"/>
    <w:rsid w:val="00407DD2"/>
    <w:rsid w:val="004119B9"/>
    <w:rsid w:val="004131C9"/>
    <w:rsid w:val="00414789"/>
    <w:rsid w:val="00416E15"/>
    <w:rsid w:val="00417402"/>
    <w:rsid w:val="00417E3C"/>
    <w:rsid w:val="00426F4F"/>
    <w:rsid w:val="0042728E"/>
    <w:rsid w:val="00431293"/>
    <w:rsid w:val="00432967"/>
    <w:rsid w:val="00433BB1"/>
    <w:rsid w:val="0043437E"/>
    <w:rsid w:val="00434430"/>
    <w:rsid w:val="004362B9"/>
    <w:rsid w:val="00443215"/>
    <w:rsid w:val="0044382F"/>
    <w:rsid w:val="0044571D"/>
    <w:rsid w:val="00445847"/>
    <w:rsid w:val="00447779"/>
    <w:rsid w:val="00450217"/>
    <w:rsid w:val="004503CC"/>
    <w:rsid w:val="004508ED"/>
    <w:rsid w:val="00451713"/>
    <w:rsid w:val="00453E9A"/>
    <w:rsid w:val="0045435A"/>
    <w:rsid w:val="00454B9B"/>
    <w:rsid w:val="0045579C"/>
    <w:rsid w:val="004563D2"/>
    <w:rsid w:val="0045670F"/>
    <w:rsid w:val="004579E6"/>
    <w:rsid w:val="00457CA3"/>
    <w:rsid w:val="00457DC7"/>
    <w:rsid w:val="004607BB"/>
    <w:rsid w:val="0046245E"/>
    <w:rsid w:val="004633CB"/>
    <w:rsid w:val="00465BE5"/>
    <w:rsid w:val="004661DF"/>
    <w:rsid w:val="00466D71"/>
    <w:rsid w:val="00467E34"/>
    <w:rsid w:val="0047202E"/>
    <w:rsid w:val="00474461"/>
    <w:rsid w:val="00475284"/>
    <w:rsid w:val="004775F8"/>
    <w:rsid w:val="00477DF2"/>
    <w:rsid w:val="0048134C"/>
    <w:rsid w:val="00483B2E"/>
    <w:rsid w:val="00485AF6"/>
    <w:rsid w:val="00490489"/>
    <w:rsid w:val="00491C2A"/>
    <w:rsid w:val="004978BE"/>
    <w:rsid w:val="00497C67"/>
    <w:rsid w:val="004A094E"/>
    <w:rsid w:val="004A1C5E"/>
    <w:rsid w:val="004A4223"/>
    <w:rsid w:val="004A462F"/>
    <w:rsid w:val="004A54DC"/>
    <w:rsid w:val="004A6224"/>
    <w:rsid w:val="004A6410"/>
    <w:rsid w:val="004A6C8A"/>
    <w:rsid w:val="004A7EED"/>
    <w:rsid w:val="004B01EF"/>
    <w:rsid w:val="004B02B7"/>
    <w:rsid w:val="004B0F73"/>
    <w:rsid w:val="004B140B"/>
    <w:rsid w:val="004B3843"/>
    <w:rsid w:val="004B3C5D"/>
    <w:rsid w:val="004C1FDD"/>
    <w:rsid w:val="004C2F10"/>
    <w:rsid w:val="004C3051"/>
    <w:rsid w:val="004C3592"/>
    <w:rsid w:val="004C3FFC"/>
    <w:rsid w:val="004C4274"/>
    <w:rsid w:val="004C43C1"/>
    <w:rsid w:val="004C632A"/>
    <w:rsid w:val="004C726A"/>
    <w:rsid w:val="004D05F4"/>
    <w:rsid w:val="004D3218"/>
    <w:rsid w:val="004D3DAD"/>
    <w:rsid w:val="004D48AC"/>
    <w:rsid w:val="004D4E20"/>
    <w:rsid w:val="004E1052"/>
    <w:rsid w:val="004E1B42"/>
    <w:rsid w:val="004E4DE7"/>
    <w:rsid w:val="004E5AB2"/>
    <w:rsid w:val="004E6016"/>
    <w:rsid w:val="004F1F06"/>
    <w:rsid w:val="004F41C6"/>
    <w:rsid w:val="004F611D"/>
    <w:rsid w:val="00503320"/>
    <w:rsid w:val="0050388E"/>
    <w:rsid w:val="00505412"/>
    <w:rsid w:val="005066F2"/>
    <w:rsid w:val="00506745"/>
    <w:rsid w:val="00507062"/>
    <w:rsid w:val="00512498"/>
    <w:rsid w:val="00515CAC"/>
    <w:rsid w:val="00516958"/>
    <w:rsid w:val="0052205D"/>
    <w:rsid w:val="00522401"/>
    <w:rsid w:val="00523118"/>
    <w:rsid w:val="00525A56"/>
    <w:rsid w:val="005263C2"/>
    <w:rsid w:val="0052657D"/>
    <w:rsid w:val="0052675B"/>
    <w:rsid w:val="005272CB"/>
    <w:rsid w:val="00527ECA"/>
    <w:rsid w:val="0053043B"/>
    <w:rsid w:val="00532094"/>
    <w:rsid w:val="00533972"/>
    <w:rsid w:val="0053409A"/>
    <w:rsid w:val="005346EA"/>
    <w:rsid w:val="00543203"/>
    <w:rsid w:val="00545FAE"/>
    <w:rsid w:val="00551DD2"/>
    <w:rsid w:val="005524CF"/>
    <w:rsid w:val="00552512"/>
    <w:rsid w:val="005534A3"/>
    <w:rsid w:val="00554A36"/>
    <w:rsid w:val="00554ECD"/>
    <w:rsid w:val="005603FD"/>
    <w:rsid w:val="005615AC"/>
    <w:rsid w:val="00562A0A"/>
    <w:rsid w:val="00564165"/>
    <w:rsid w:val="00564265"/>
    <w:rsid w:val="00565CAD"/>
    <w:rsid w:val="005705E4"/>
    <w:rsid w:val="00574140"/>
    <w:rsid w:val="00574317"/>
    <w:rsid w:val="0057519C"/>
    <w:rsid w:val="00577054"/>
    <w:rsid w:val="00583866"/>
    <w:rsid w:val="00583887"/>
    <w:rsid w:val="00583899"/>
    <w:rsid w:val="0058425D"/>
    <w:rsid w:val="00585B7F"/>
    <w:rsid w:val="00586BA6"/>
    <w:rsid w:val="00587684"/>
    <w:rsid w:val="00590EB3"/>
    <w:rsid w:val="00597E3C"/>
    <w:rsid w:val="005A03A2"/>
    <w:rsid w:val="005A05D6"/>
    <w:rsid w:val="005A082A"/>
    <w:rsid w:val="005A1972"/>
    <w:rsid w:val="005A1D80"/>
    <w:rsid w:val="005A25DE"/>
    <w:rsid w:val="005A3554"/>
    <w:rsid w:val="005A3E5B"/>
    <w:rsid w:val="005A5531"/>
    <w:rsid w:val="005A565A"/>
    <w:rsid w:val="005A571C"/>
    <w:rsid w:val="005B00E4"/>
    <w:rsid w:val="005B0152"/>
    <w:rsid w:val="005B12F4"/>
    <w:rsid w:val="005B2ADB"/>
    <w:rsid w:val="005B2B87"/>
    <w:rsid w:val="005B3411"/>
    <w:rsid w:val="005B39B6"/>
    <w:rsid w:val="005B3D9B"/>
    <w:rsid w:val="005B49D0"/>
    <w:rsid w:val="005B626C"/>
    <w:rsid w:val="005C36FC"/>
    <w:rsid w:val="005C3E60"/>
    <w:rsid w:val="005C7E1A"/>
    <w:rsid w:val="005C7F61"/>
    <w:rsid w:val="005D19F1"/>
    <w:rsid w:val="005D206D"/>
    <w:rsid w:val="005D2FA2"/>
    <w:rsid w:val="005D4104"/>
    <w:rsid w:val="005D4B26"/>
    <w:rsid w:val="005D50B7"/>
    <w:rsid w:val="005E0286"/>
    <w:rsid w:val="005E09A1"/>
    <w:rsid w:val="005E0DED"/>
    <w:rsid w:val="005E2C76"/>
    <w:rsid w:val="005E3AAA"/>
    <w:rsid w:val="005E538C"/>
    <w:rsid w:val="005E649A"/>
    <w:rsid w:val="005F14F1"/>
    <w:rsid w:val="005F5603"/>
    <w:rsid w:val="005F6FE9"/>
    <w:rsid w:val="005F7BE2"/>
    <w:rsid w:val="006007E0"/>
    <w:rsid w:val="00604A42"/>
    <w:rsid w:val="00604BD6"/>
    <w:rsid w:val="0060539A"/>
    <w:rsid w:val="00610C5F"/>
    <w:rsid w:val="006120ED"/>
    <w:rsid w:val="00613D9F"/>
    <w:rsid w:val="00615BB4"/>
    <w:rsid w:val="00620EB3"/>
    <w:rsid w:val="00620EE1"/>
    <w:rsid w:val="0062241A"/>
    <w:rsid w:val="00623C5C"/>
    <w:rsid w:val="00623EC7"/>
    <w:rsid w:val="006300ED"/>
    <w:rsid w:val="006328D7"/>
    <w:rsid w:val="00633731"/>
    <w:rsid w:val="00634EAB"/>
    <w:rsid w:val="00635823"/>
    <w:rsid w:val="00635C94"/>
    <w:rsid w:val="00637D6B"/>
    <w:rsid w:val="006405A4"/>
    <w:rsid w:val="00640E25"/>
    <w:rsid w:val="00640F75"/>
    <w:rsid w:val="006426A7"/>
    <w:rsid w:val="0064388C"/>
    <w:rsid w:val="0064541D"/>
    <w:rsid w:val="00647B11"/>
    <w:rsid w:val="0065156C"/>
    <w:rsid w:val="00651D54"/>
    <w:rsid w:val="006540BD"/>
    <w:rsid w:val="006544C7"/>
    <w:rsid w:val="00657E5E"/>
    <w:rsid w:val="006633D6"/>
    <w:rsid w:val="00664D78"/>
    <w:rsid w:val="00665530"/>
    <w:rsid w:val="006671E5"/>
    <w:rsid w:val="006706D4"/>
    <w:rsid w:val="006717C7"/>
    <w:rsid w:val="00671B82"/>
    <w:rsid w:val="0067281B"/>
    <w:rsid w:val="00673290"/>
    <w:rsid w:val="00675AB2"/>
    <w:rsid w:val="0068080F"/>
    <w:rsid w:val="00681E34"/>
    <w:rsid w:val="0068348F"/>
    <w:rsid w:val="006854E5"/>
    <w:rsid w:val="006865FB"/>
    <w:rsid w:val="00687381"/>
    <w:rsid w:val="00687829"/>
    <w:rsid w:val="00687CB7"/>
    <w:rsid w:val="00687D51"/>
    <w:rsid w:val="00690171"/>
    <w:rsid w:val="0069045E"/>
    <w:rsid w:val="006924E1"/>
    <w:rsid w:val="00692673"/>
    <w:rsid w:val="006941D8"/>
    <w:rsid w:val="006943B5"/>
    <w:rsid w:val="00694A04"/>
    <w:rsid w:val="00695A97"/>
    <w:rsid w:val="006972B7"/>
    <w:rsid w:val="006A0048"/>
    <w:rsid w:val="006A1344"/>
    <w:rsid w:val="006A252F"/>
    <w:rsid w:val="006A2D4B"/>
    <w:rsid w:val="006A4928"/>
    <w:rsid w:val="006A6CB0"/>
    <w:rsid w:val="006A7DD2"/>
    <w:rsid w:val="006B1DEC"/>
    <w:rsid w:val="006B274E"/>
    <w:rsid w:val="006B28DB"/>
    <w:rsid w:val="006B337D"/>
    <w:rsid w:val="006B454A"/>
    <w:rsid w:val="006B56C9"/>
    <w:rsid w:val="006B6370"/>
    <w:rsid w:val="006B6F8C"/>
    <w:rsid w:val="006B7B18"/>
    <w:rsid w:val="006B7D6B"/>
    <w:rsid w:val="006C2413"/>
    <w:rsid w:val="006C2C2D"/>
    <w:rsid w:val="006C33E8"/>
    <w:rsid w:val="006C5583"/>
    <w:rsid w:val="006C63A9"/>
    <w:rsid w:val="006C645D"/>
    <w:rsid w:val="006C6824"/>
    <w:rsid w:val="006D1582"/>
    <w:rsid w:val="006D357A"/>
    <w:rsid w:val="006D39EC"/>
    <w:rsid w:val="006D45DB"/>
    <w:rsid w:val="006D50A4"/>
    <w:rsid w:val="006D6490"/>
    <w:rsid w:val="006E2D66"/>
    <w:rsid w:val="006E3AB0"/>
    <w:rsid w:val="006E3EF0"/>
    <w:rsid w:val="006E6B95"/>
    <w:rsid w:val="006E76FB"/>
    <w:rsid w:val="006E77F0"/>
    <w:rsid w:val="006F27DA"/>
    <w:rsid w:val="006F3FF4"/>
    <w:rsid w:val="006F401C"/>
    <w:rsid w:val="006F547C"/>
    <w:rsid w:val="006F669D"/>
    <w:rsid w:val="006F6AD0"/>
    <w:rsid w:val="006F7B06"/>
    <w:rsid w:val="007001CF"/>
    <w:rsid w:val="007005FF"/>
    <w:rsid w:val="00703DA4"/>
    <w:rsid w:val="00704B27"/>
    <w:rsid w:val="00705A4C"/>
    <w:rsid w:val="007061F5"/>
    <w:rsid w:val="0071046F"/>
    <w:rsid w:val="0071084E"/>
    <w:rsid w:val="00710904"/>
    <w:rsid w:val="00712781"/>
    <w:rsid w:val="007205D3"/>
    <w:rsid w:val="007217B8"/>
    <w:rsid w:val="00721805"/>
    <w:rsid w:val="0072188C"/>
    <w:rsid w:val="00721C47"/>
    <w:rsid w:val="00722ED3"/>
    <w:rsid w:val="007305BB"/>
    <w:rsid w:val="007310F7"/>
    <w:rsid w:val="0073578F"/>
    <w:rsid w:val="007363C7"/>
    <w:rsid w:val="00736659"/>
    <w:rsid w:val="00736E71"/>
    <w:rsid w:val="0074255D"/>
    <w:rsid w:val="00743C1E"/>
    <w:rsid w:val="007441DC"/>
    <w:rsid w:val="00747C12"/>
    <w:rsid w:val="0075251D"/>
    <w:rsid w:val="0075419E"/>
    <w:rsid w:val="007576F7"/>
    <w:rsid w:val="007603B5"/>
    <w:rsid w:val="0076520A"/>
    <w:rsid w:val="007653DF"/>
    <w:rsid w:val="007677C7"/>
    <w:rsid w:val="007706DA"/>
    <w:rsid w:val="00770972"/>
    <w:rsid w:val="0077229E"/>
    <w:rsid w:val="00773B0F"/>
    <w:rsid w:val="00774266"/>
    <w:rsid w:val="00775227"/>
    <w:rsid w:val="0077662A"/>
    <w:rsid w:val="00780B2D"/>
    <w:rsid w:val="0078180D"/>
    <w:rsid w:val="00782432"/>
    <w:rsid w:val="00782525"/>
    <w:rsid w:val="0078575A"/>
    <w:rsid w:val="00790BBC"/>
    <w:rsid w:val="00792C17"/>
    <w:rsid w:val="007943FF"/>
    <w:rsid w:val="00796980"/>
    <w:rsid w:val="00797162"/>
    <w:rsid w:val="007A14FB"/>
    <w:rsid w:val="007A179D"/>
    <w:rsid w:val="007A1FC8"/>
    <w:rsid w:val="007A24C4"/>
    <w:rsid w:val="007A3BFB"/>
    <w:rsid w:val="007A544F"/>
    <w:rsid w:val="007A57ED"/>
    <w:rsid w:val="007A7298"/>
    <w:rsid w:val="007A7777"/>
    <w:rsid w:val="007B02EF"/>
    <w:rsid w:val="007B04B6"/>
    <w:rsid w:val="007B1588"/>
    <w:rsid w:val="007B2687"/>
    <w:rsid w:val="007B3055"/>
    <w:rsid w:val="007B5D62"/>
    <w:rsid w:val="007B6763"/>
    <w:rsid w:val="007B7F86"/>
    <w:rsid w:val="007C08C1"/>
    <w:rsid w:val="007C2456"/>
    <w:rsid w:val="007C4D5F"/>
    <w:rsid w:val="007C66CC"/>
    <w:rsid w:val="007C68E0"/>
    <w:rsid w:val="007C77F9"/>
    <w:rsid w:val="007D1A04"/>
    <w:rsid w:val="007D2153"/>
    <w:rsid w:val="007D25EF"/>
    <w:rsid w:val="007D31D0"/>
    <w:rsid w:val="007D3B99"/>
    <w:rsid w:val="007D4094"/>
    <w:rsid w:val="007D4EB8"/>
    <w:rsid w:val="007D510F"/>
    <w:rsid w:val="007E041C"/>
    <w:rsid w:val="007E1D1A"/>
    <w:rsid w:val="007E1F9F"/>
    <w:rsid w:val="007E39DC"/>
    <w:rsid w:val="007E7E1E"/>
    <w:rsid w:val="007F0CBB"/>
    <w:rsid w:val="007F0DC0"/>
    <w:rsid w:val="007F12A1"/>
    <w:rsid w:val="007F1510"/>
    <w:rsid w:val="007F1A0C"/>
    <w:rsid w:val="007F23E0"/>
    <w:rsid w:val="007F30C3"/>
    <w:rsid w:val="007F539C"/>
    <w:rsid w:val="007F61F9"/>
    <w:rsid w:val="007F6F02"/>
    <w:rsid w:val="00800805"/>
    <w:rsid w:val="00801573"/>
    <w:rsid w:val="0080362F"/>
    <w:rsid w:val="00807F69"/>
    <w:rsid w:val="008154A4"/>
    <w:rsid w:val="008170FE"/>
    <w:rsid w:val="0081736E"/>
    <w:rsid w:val="00817B19"/>
    <w:rsid w:val="00821DA1"/>
    <w:rsid w:val="00822A79"/>
    <w:rsid w:val="008237C8"/>
    <w:rsid w:val="0082415E"/>
    <w:rsid w:val="00826038"/>
    <w:rsid w:val="00826A2D"/>
    <w:rsid w:val="00827423"/>
    <w:rsid w:val="0083206D"/>
    <w:rsid w:val="00832546"/>
    <w:rsid w:val="008328DD"/>
    <w:rsid w:val="008348DB"/>
    <w:rsid w:val="00840721"/>
    <w:rsid w:val="00841BB8"/>
    <w:rsid w:val="00841BFE"/>
    <w:rsid w:val="00841C85"/>
    <w:rsid w:val="008422BB"/>
    <w:rsid w:val="008449A9"/>
    <w:rsid w:val="008453A8"/>
    <w:rsid w:val="00847AF6"/>
    <w:rsid w:val="00852CF2"/>
    <w:rsid w:val="008540E2"/>
    <w:rsid w:val="00855607"/>
    <w:rsid w:val="008600F5"/>
    <w:rsid w:val="0086122D"/>
    <w:rsid w:val="0086205D"/>
    <w:rsid w:val="00862FC5"/>
    <w:rsid w:val="00866ED4"/>
    <w:rsid w:val="00867119"/>
    <w:rsid w:val="00870336"/>
    <w:rsid w:val="008706E3"/>
    <w:rsid w:val="0087490C"/>
    <w:rsid w:val="008754E2"/>
    <w:rsid w:val="00876D93"/>
    <w:rsid w:val="00877223"/>
    <w:rsid w:val="00880061"/>
    <w:rsid w:val="00882D4B"/>
    <w:rsid w:val="00885D66"/>
    <w:rsid w:val="00885FDE"/>
    <w:rsid w:val="00886648"/>
    <w:rsid w:val="008879FD"/>
    <w:rsid w:val="00887CFD"/>
    <w:rsid w:val="00890403"/>
    <w:rsid w:val="0089041C"/>
    <w:rsid w:val="008904D3"/>
    <w:rsid w:val="00893AEC"/>
    <w:rsid w:val="00894676"/>
    <w:rsid w:val="00896D22"/>
    <w:rsid w:val="00897FDA"/>
    <w:rsid w:val="008A2C67"/>
    <w:rsid w:val="008A341A"/>
    <w:rsid w:val="008A403D"/>
    <w:rsid w:val="008A4E76"/>
    <w:rsid w:val="008A56A5"/>
    <w:rsid w:val="008A617F"/>
    <w:rsid w:val="008A7B16"/>
    <w:rsid w:val="008B213C"/>
    <w:rsid w:val="008B47C1"/>
    <w:rsid w:val="008B5CC1"/>
    <w:rsid w:val="008B5D1A"/>
    <w:rsid w:val="008C07D2"/>
    <w:rsid w:val="008C10A0"/>
    <w:rsid w:val="008C1EC8"/>
    <w:rsid w:val="008C209F"/>
    <w:rsid w:val="008C541A"/>
    <w:rsid w:val="008C774C"/>
    <w:rsid w:val="008D1098"/>
    <w:rsid w:val="008D135D"/>
    <w:rsid w:val="008D3961"/>
    <w:rsid w:val="008D3CE6"/>
    <w:rsid w:val="008D3D05"/>
    <w:rsid w:val="008D4629"/>
    <w:rsid w:val="008E05CF"/>
    <w:rsid w:val="008E101D"/>
    <w:rsid w:val="008E2264"/>
    <w:rsid w:val="008E2362"/>
    <w:rsid w:val="008E240B"/>
    <w:rsid w:val="008E2DAA"/>
    <w:rsid w:val="008E323F"/>
    <w:rsid w:val="008E40BE"/>
    <w:rsid w:val="008E7B1A"/>
    <w:rsid w:val="008F1518"/>
    <w:rsid w:val="008F2319"/>
    <w:rsid w:val="008F3736"/>
    <w:rsid w:val="008F4D5C"/>
    <w:rsid w:val="008F5842"/>
    <w:rsid w:val="008F6C9D"/>
    <w:rsid w:val="00900A4E"/>
    <w:rsid w:val="0090100A"/>
    <w:rsid w:val="00901820"/>
    <w:rsid w:val="00901ADD"/>
    <w:rsid w:val="009021A1"/>
    <w:rsid w:val="0090223F"/>
    <w:rsid w:val="0090340E"/>
    <w:rsid w:val="00903C92"/>
    <w:rsid w:val="00905BF8"/>
    <w:rsid w:val="0090700A"/>
    <w:rsid w:val="009114F9"/>
    <w:rsid w:val="009123FC"/>
    <w:rsid w:val="00915239"/>
    <w:rsid w:val="00915E3C"/>
    <w:rsid w:val="0091638A"/>
    <w:rsid w:val="009200B0"/>
    <w:rsid w:val="00921EA0"/>
    <w:rsid w:val="0092307C"/>
    <w:rsid w:val="00923C12"/>
    <w:rsid w:val="009253C3"/>
    <w:rsid w:val="00927BDD"/>
    <w:rsid w:val="00927C4B"/>
    <w:rsid w:val="009300C7"/>
    <w:rsid w:val="00931849"/>
    <w:rsid w:val="0093219A"/>
    <w:rsid w:val="00932837"/>
    <w:rsid w:val="009329F2"/>
    <w:rsid w:val="009332FD"/>
    <w:rsid w:val="00933674"/>
    <w:rsid w:val="00937CEB"/>
    <w:rsid w:val="0094218D"/>
    <w:rsid w:val="00942717"/>
    <w:rsid w:val="00943064"/>
    <w:rsid w:val="00943A5A"/>
    <w:rsid w:val="00944C6E"/>
    <w:rsid w:val="009451BA"/>
    <w:rsid w:val="009464DF"/>
    <w:rsid w:val="009500A3"/>
    <w:rsid w:val="00951C20"/>
    <w:rsid w:val="00955BAE"/>
    <w:rsid w:val="00956729"/>
    <w:rsid w:val="00956DBB"/>
    <w:rsid w:val="009606FF"/>
    <w:rsid w:val="0096115D"/>
    <w:rsid w:val="0096145E"/>
    <w:rsid w:val="00962341"/>
    <w:rsid w:val="009627A5"/>
    <w:rsid w:val="0096474B"/>
    <w:rsid w:val="009652E5"/>
    <w:rsid w:val="00965D9D"/>
    <w:rsid w:val="00967D25"/>
    <w:rsid w:val="00970BAE"/>
    <w:rsid w:val="009744A4"/>
    <w:rsid w:val="00976350"/>
    <w:rsid w:val="00977919"/>
    <w:rsid w:val="009837B1"/>
    <w:rsid w:val="00986580"/>
    <w:rsid w:val="00990524"/>
    <w:rsid w:val="00991566"/>
    <w:rsid w:val="00992C2B"/>
    <w:rsid w:val="009946B3"/>
    <w:rsid w:val="00995038"/>
    <w:rsid w:val="009956F6"/>
    <w:rsid w:val="00995D17"/>
    <w:rsid w:val="009A3E71"/>
    <w:rsid w:val="009A46DE"/>
    <w:rsid w:val="009A55FF"/>
    <w:rsid w:val="009B0B16"/>
    <w:rsid w:val="009B1FCC"/>
    <w:rsid w:val="009B3639"/>
    <w:rsid w:val="009B5F28"/>
    <w:rsid w:val="009C0DFE"/>
    <w:rsid w:val="009C4201"/>
    <w:rsid w:val="009D0C83"/>
    <w:rsid w:val="009D168F"/>
    <w:rsid w:val="009E012A"/>
    <w:rsid w:val="009E377D"/>
    <w:rsid w:val="009E5459"/>
    <w:rsid w:val="009F1523"/>
    <w:rsid w:val="009F1F96"/>
    <w:rsid w:val="009F53BB"/>
    <w:rsid w:val="00A00A07"/>
    <w:rsid w:val="00A0275A"/>
    <w:rsid w:val="00A02F9C"/>
    <w:rsid w:val="00A048FE"/>
    <w:rsid w:val="00A06F72"/>
    <w:rsid w:val="00A06F7B"/>
    <w:rsid w:val="00A11817"/>
    <w:rsid w:val="00A11F7D"/>
    <w:rsid w:val="00A12211"/>
    <w:rsid w:val="00A12B2E"/>
    <w:rsid w:val="00A13086"/>
    <w:rsid w:val="00A14E40"/>
    <w:rsid w:val="00A202A9"/>
    <w:rsid w:val="00A21627"/>
    <w:rsid w:val="00A22C28"/>
    <w:rsid w:val="00A243FE"/>
    <w:rsid w:val="00A250A2"/>
    <w:rsid w:val="00A26647"/>
    <w:rsid w:val="00A27303"/>
    <w:rsid w:val="00A2764C"/>
    <w:rsid w:val="00A27A4C"/>
    <w:rsid w:val="00A32693"/>
    <w:rsid w:val="00A339F4"/>
    <w:rsid w:val="00A357DC"/>
    <w:rsid w:val="00A37727"/>
    <w:rsid w:val="00A37E6A"/>
    <w:rsid w:val="00A431C4"/>
    <w:rsid w:val="00A440D6"/>
    <w:rsid w:val="00A44499"/>
    <w:rsid w:val="00A446FF"/>
    <w:rsid w:val="00A455B7"/>
    <w:rsid w:val="00A457DE"/>
    <w:rsid w:val="00A4645D"/>
    <w:rsid w:val="00A46B61"/>
    <w:rsid w:val="00A47EA5"/>
    <w:rsid w:val="00A47FDD"/>
    <w:rsid w:val="00A526D3"/>
    <w:rsid w:val="00A53AC5"/>
    <w:rsid w:val="00A57B0B"/>
    <w:rsid w:val="00A60925"/>
    <w:rsid w:val="00A62710"/>
    <w:rsid w:val="00A63BA4"/>
    <w:rsid w:val="00A66C78"/>
    <w:rsid w:val="00A67F78"/>
    <w:rsid w:val="00A71885"/>
    <w:rsid w:val="00A74E59"/>
    <w:rsid w:val="00A757AA"/>
    <w:rsid w:val="00A75F9B"/>
    <w:rsid w:val="00A77AFD"/>
    <w:rsid w:val="00A8198D"/>
    <w:rsid w:val="00A8291F"/>
    <w:rsid w:val="00A83514"/>
    <w:rsid w:val="00A85149"/>
    <w:rsid w:val="00A87B38"/>
    <w:rsid w:val="00A9090F"/>
    <w:rsid w:val="00A9413D"/>
    <w:rsid w:val="00A94F5B"/>
    <w:rsid w:val="00A95D8C"/>
    <w:rsid w:val="00AA282B"/>
    <w:rsid w:val="00AA547D"/>
    <w:rsid w:val="00AA5B28"/>
    <w:rsid w:val="00AA64F1"/>
    <w:rsid w:val="00AA7351"/>
    <w:rsid w:val="00AA75DA"/>
    <w:rsid w:val="00AB3205"/>
    <w:rsid w:val="00AB77B2"/>
    <w:rsid w:val="00AC4857"/>
    <w:rsid w:val="00AC5751"/>
    <w:rsid w:val="00AD0375"/>
    <w:rsid w:val="00AD09E4"/>
    <w:rsid w:val="00AE49E0"/>
    <w:rsid w:val="00AE50A5"/>
    <w:rsid w:val="00AE7516"/>
    <w:rsid w:val="00AF0249"/>
    <w:rsid w:val="00AF1D53"/>
    <w:rsid w:val="00AF1F1F"/>
    <w:rsid w:val="00AF314E"/>
    <w:rsid w:val="00AF6C67"/>
    <w:rsid w:val="00AF7444"/>
    <w:rsid w:val="00B02982"/>
    <w:rsid w:val="00B03056"/>
    <w:rsid w:val="00B045E3"/>
    <w:rsid w:val="00B066AF"/>
    <w:rsid w:val="00B10859"/>
    <w:rsid w:val="00B13061"/>
    <w:rsid w:val="00B1378C"/>
    <w:rsid w:val="00B1490F"/>
    <w:rsid w:val="00B15822"/>
    <w:rsid w:val="00B16695"/>
    <w:rsid w:val="00B228AD"/>
    <w:rsid w:val="00B236F4"/>
    <w:rsid w:val="00B23C52"/>
    <w:rsid w:val="00B23E90"/>
    <w:rsid w:val="00B259A7"/>
    <w:rsid w:val="00B26D2B"/>
    <w:rsid w:val="00B26EAA"/>
    <w:rsid w:val="00B27BD8"/>
    <w:rsid w:val="00B307D6"/>
    <w:rsid w:val="00B30839"/>
    <w:rsid w:val="00B30A48"/>
    <w:rsid w:val="00B30E38"/>
    <w:rsid w:val="00B336D0"/>
    <w:rsid w:val="00B338E7"/>
    <w:rsid w:val="00B35DD4"/>
    <w:rsid w:val="00B36997"/>
    <w:rsid w:val="00B41D1F"/>
    <w:rsid w:val="00B44E93"/>
    <w:rsid w:val="00B4533D"/>
    <w:rsid w:val="00B45700"/>
    <w:rsid w:val="00B4576A"/>
    <w:rsid w:val="00B45F5C"/>
    <w:rsid w:val="00B46187"/>
    <w:rsid w:val="00B461F1"/>
    <w:rsid w:val="00B51BF6"/>
    <w:rsid w:val="00B54149"/>
    <w:rsid w:val="00B546EF"/>
    <w:rsid w:val="00B54F31"/>
    <w:rsid w:val="00B55068"/>
    <w:rsid w:val="00B5735C"/>
    <w:rsid w:val="00B573D1"/>
    <w:rsid w:val="00B57581"/>
    <w:rsid w:val="00B606CF"/>
    <w:rsid w:val="00B62880"/>
    <w:rsid w:val="00B64A22"/>
    <w:rsid w:val="00B65123"/>
    <w:rsid w:val="00B656B4"/>
    <w:rsid w:val="00B66C19"/>
    <w:rsid w:val="00B66DBD"/>
    <w:rsid w:val="00B67657"/>
    <w:rsid w:val="00B67EB7"/>
    <w:rsid w:val="00B70DFE"/>
    <w:rsid w:val="00B71F67"/>
    <w:rsid w:val="00B72200"/>
    <w:rsid w:val="00B731D2"/>
    <w:rsid w:val="00B73F7C"/>
    <w:rsid w:val="00B770E9"/>
    <w:rsid w:val="00B7784D"/>
    <w:rsid w:val="00B77A7B"/>
    <w:rsid w:val="00B80A55"/>
    <w:rsid w:val="00B8104E"/>
    <w:rsid w:val="00B8431F"/>
    <w:rsid w:val="00B858DA"/>
    <w:rsid w:val="00B85E81"/>
    <w:rsid w:val="00B87A74"/>
    <w:rsid w:val="00B91071"/>
    <w:rsid w:val="00B91560"/>
    <w:rsid w:val="00B9217A"/>
    <w:rsid w:val="00B92745"/>
    <w:rsid w:val="00B9450E"/>
    <w:rsid w:val="00B953A2"/>
    <w:rsid w:val="00BB032A"/>
    <w:rsid w:val="00BB0D58"/>
    <w:rsid w:val="00BB107A"/>
    <w:rsid w:val="00BC0063"/>
    <w:rsid w:val="00BC0419"/>
    <w:rsid w:val="00BC0BA3"/>
    <w:rsid w:val="00BC3516"/>
    <w:rsid w:val="00BC49D6"/>
    <w:rsid w:val="00BC5554"/>
    <w:rsid w:val="00BC5699"/>
    <w:rsid w:val="00BC6630"/>
    <w:rsid w:val="00BD08ED"/>
    <w:rsid w:val="00BD0E82"/>
    <w:rsid w:val="00BD1868"/>
    <w:rsid w:val="00BD38E3"/>
    <w:rsid w:val="00BD3B75"/>
    <w:rsid w:val="00BD4D05"/>
    <w:rsid w:val="00BD7B58"/>
    <w:rsid w:val="00BE1792"/>
    <w:rsid w:val="00BE2BAD"/>
    <w:rsid w:val="00BE376A"/>
    <w:rsid w:val="00BE4177"/>
    <w:rsid w:val="00BE449A"/>
    <w:rsid w:val="00BE4680"/>
    <w:rsid w:val="00BE5721"/>
    <w:rsid w:val="00BE58B4"/>
    <w:rsid w:val="00BF0F55"/>
    <w:rsid w:val="00BF1382"/>
    <w:rsid w:val="00BF4232"/>
    <w:rsid w:val="00BF52DD"/>
    <w:rsid w:val="00BF55B3"/>
    <w:rsid w:val="00BF56BF"/>
    <w:rsid w:val="00C01661"/>
    <w:rsid w:val="00C01BD1"/>
    <w:rsid w:val="00C0245D"/>
    <w:rsid w:val="00C03E40"/>
    <w:rsid w:val="00C04356"/>
    <w:rsid w:val="00C051AD"/>
    <w:rsid w:val="00C07F61"/>
    <w:rsid w:val="00C112B7"/>
    <w:rsid w:val="00C11CC2"/>
    <w:rsid w:val="00C11EB2"/>
    <w:rsid w:val="00C14559"/>
    <w:rsid w:val="00C14D9F"/>
    <w:rsid w:val="00C152BD"/>
    <w:rsid w:val="00C158AC"/>
    <w:rsid w:val="00C15B91"/>
    <w:rsid w:val="00C15CF6"/>
    <w:rsid w:val="00C17524"/>
    <w:rsid w:val="00C22634"/>
    <w:rsid w:val="00C241D2"/>
    <w:rsid w:val="00C247DA"/>
    <w:rsid w:val="00C25630"/>
    <w:rsid w:val="00C26363"/>
    <w:rsid w:val="00C31144"/>
    <w:rsid w:val="00C320AA"/>
    <w:rsid w:val="00C33024"/>
    <w:rsid w:val="00C35720"/>
    <w:rsid w:val="00C35A2A"/>
    <w:rsid w:val="00C41CF7"/>
    <w:rsid w:val="00C4224A"/>
    <w:rsid w:val="00C42782"/>
    <w:rsid w:val="00C4447B"/>
    <w:rsid w:val="00C464E5"/>
    <w:rsid w:val="00C51BEC"/>
    <w:rsid w:val="00C5576C"/>
    <w:rsid w:val="00C57542"/>
    <w:rsid w:val="00C57A6A"/>
    <w:rsid w:val="00C57BBD"/>
    <w:rsid w:val="00C61EBC"/>
    <w:rsid w:val="00C62717"/>
    <w:rsid w:val="00C631DA"/>
    <w:rsid w:val="00C645B4"/>
    <w:rsid w:val="00C65E92"/>
    <w:rsid w:val="00C665F8"/>
    <w:rsid w:val="00C7037E"/>
    <w:rsid w:val="00C71A26"/>
    <w:rsid w:val="00C72EDF"/>
    <w:rsid w:val="00C7395F"/>
    <w:rsid w:val="00C74BF3"/>
    <w:rsid w:val="00C74DC4"/>
    <w:rsid w:val="00C812C4"/>
    <w:rsid w:val="00C82D32"/>
    <w:rsid w:val="00C832DF"/>
    <w:rsid w:val="00C83945"/>
    <w:rsid w:val="00C86234"/>
    <w:rsid w:val="00C8641A"/>
    <w:rsid w:val="00C87586"/>
    <w:rsid w:val="00C87B04"/>
    <w:rsid w:val="00C90434"/>
    <w:rsid w:val="00C91105"/>
    <w:rsid w:val="00C91472"/>
    <w:rsid w:val="00C91604"/>
    <w:rsid w:val="00C916B9"/>
    <w:rsid w:val="00C91BA9"/>
    <w:rsid w:val="00C9296D"/>
    <w:rsid w:val="00C93F3E"/>
    <w:rsid w:val="00C97049"/>
    <w:rsid w:val="00CA191F"/>
    <w:rsid w:val="00CA34CB"/>
    <w:rsid w:val="00CA4A64"/>
    <w:rsid w:val="00CA4B5E"/>
    <w:rsid w:val="00CA6698"/>
    <w:rsid w:val="00CA68E5"/>
    <w:rsid w:val="00CA6F75"/>
    <w:rsid w:val="00CB0C58"/>
    <w:rsid w:val="00CB2570"/>
    <w:rsid w:val="00CB4235"/>
    <w:rsid w:val="00CB587A"/>
    <w:rsid w:val="00CB607D"/>
    <w:rsid w:val="00CB74A8"/>
    <w:rsid w:val="00CC05FD"/>
    <w:rsid w:val="00CC0E16"/>
    <w:rsid w:val="00CC0E4E"/>
    <w:rsid w:val="00CC21C3"/>
    <w:rsid w:val="00CC2769"/>
    <w:rsid w:val="00CC39A1"/>
    <w:rsid w:val="00CC3C71"/>
    <w:rsid w:val="00CC4E09"/>
    <w:rsid w:val="00CC5818"/>
    <w:rsid w:val="00CC6F57"/>
    <w:rsid w:val="00CC7898"/>
    <w:rsid w:val="00CD2A7B"/>
    <w:rsid w:val="00CD4693"/>
    <w:rsid w:val="00CD5382"/>
    <w:rsid w:val="00CD6764"/>
    <w:rsid w:val="00CD6F6D"/>
    <w:rsid w:val="00CD76B1"/>
    <w:rsid w:val="00CD7E9A"/>
    <w:rsid w:val="00CE00F7"/>
    <w:rsid w:val="00CE0F20"/>
    <w:rsid w:val="00CE2D9E"/>
    <w:rsid w:val="00CE2FEC"/>
    <w:rsid w:val="00CE3649"/>
    <w:rsid w:val="00CE388F"/>
    <w:rsid w:val="00CE5E2E"/>
    <w:rsid w:val="00CE7FBF"/>
    <w:rsid w:val="00CF0E03"/>
    <w:rsid w:val="00CF266F"/>
    <w:rsid w:val="00CF2DFC"/>
    <w:rsid w:val="00CF437D"/>
    <w:rsid w:val="00CF46DA"/>
    <w:rsid w:val="00CF4D5E"/>
    <w:rsid w:val="00CF5C41"/>
    <w:rsid w:val="00CF6877"/>
    <w:rsid w:val="00CF6D79"/>
    <w:rsid w:val="00D03BE9"/>
    <w:rsid w:val="00D0489B"/>
    <w:rsid w:val="00D060AE"/>
    <w:rsid w:val="00D06291"/>
    <w:rsid w:val="00D073FE"/>
    <w:rsid w:val="00D10502"/>
    <w:rsid w:val="00D12371"/>
    <w:rsid w:val="00D145E6"/>
    <w:rsid w:val="00D14E0E"/>
    <w:rsid w:val="00D15BC2"/>
    <w:rsid w:val="00D17CDA"/>
    <w:rsid w:val="00D22293"/>
    <w:rsid w:val="00D226D3"/>
    <w:rsid w:val="00D2306F"/>
    <w:rsid w:val="00D24B5C"/>
    <w:rsid w:val="00D26034"/>
    <w:rsid w:val="00D261AD"/>
    <w:rsid w:val="00D275F2"/>
    <w:rsid w:val="00D30B9E"/>
    <w:rsid w:val="00D30FD9"/>
    <w:rsid w:val="00D33349"/>
    <w:rsid w:val="00D3420C"/>
    <w:rsid w:val="00D34E39"/>
    <w:rsid w:val="00D35950"/>
    <w:rsid w:val="00D41E49"/>
    <w:rsid w:val="00D42D16"/>
    <w:rsid w:val="00D42F8D"/>
    <w:rsid w:val="00D444FD"/>
    <w:rsid w:val="00D47C35"/>
    <w:rsid w:val="00D5160F"/>
    <w:rsid w:val="00D537CF"/>
    <w:rsid w:val="00D60988"/>
    <w:rsid w:val="00D60C74"/>
    <w:rsid w:val="00D63464"/>
    <w:rsid w:val="00D661C3"/>
    <w:rsid w:val="00D67C1F"/>
    <w:rsid w:val="00D72535"/>
    <w:rsid w:val="00D74AAE"/>
    <w:rsid w:val="00D74E99"/>
    <w:rsid w:val="00D772BE"/>
    <w:rsid w:val="00D80EDD"/>
    <w:rsid w:val="00D81330"/>
    <w:rsid w:val="00D8134C"/>
    <w:rsid w:val="00D81DF4"/>
    <w:rsid w:val="00D84005"/>
    <w:rsid w:val="00D84F62"/>
    <w:rsid w:val="00D90F7C"/>
    <w:rsid w:val="00D927B7"/>
    <w:rsid w:val="00D947CC"/>
    <w:rsid w:val="00D95422"/>
    <w:rsid w:val="00D96878"/>
    <w:rsid w:val="00DA54C8"/>
    <w:rsid w:val="00DA64D9"/>
    <w:rsid w:val="00DA6CE2"/>
    <w:rsid w:val="00DA6E94"/>
    <w:rsid w:val="00DB0BC5"/>
    <w:rsid w:val="00DB17E3"/>
    <w:rsid w:val="00DB4BCE"/>
    <w:rsid w:val="00DB6192"/>
    <w:rsid w:val="00DB650A"/>
    <w:rsid w:val="00DB7BEE"/>
    <w:rsid w:val="00DC2294"/>
    <w:rsid w:val="00DC3EA7"/>
    <w:rsid w:val="00DC58F6"/>
    <w:rsid w:val="00DC5939"/>
    <w:rsid w:val="00DC74E9"/>
    <w:rsid w:val="00DD0635"/>
    <w:rsid w:val="00DD0D0E"/>
    <w:rsid w:val="00DD34D5"/>
    <w:rsid w:val="00DD35EA"/>
    <w:rsid w:val="00DD3A16"/>
    <w:rsid w:val="00DD3C64"/>
    <w:rsid w:val="00DD4BC1"/>
    <w:rsid w:val="00DD6089"/>
    <w:rsid w:val="00DE2EBF"/>
    <w:rsid w:val="00DE315D"/>
    <w:rsid w:val="00DE3FF1"/>
    <w:rsid w:val="00DE5FD2"/>
    <w:rsid w:val="00DE6E6A"/>
    <w:rsid w:val="00DF2BD8"/>
    <w:rsid w:val="00DF33F9"/>
    <w:rsid w:val="00DF3674"/>
    <w:rsid w:val="00DF4449"/>
    <w:rsid w:val="00DF50A0"/>
    <w:rsid w:val="00DF5513"/>
    <w:rsid w:val="00DF5AC4"/>
    <w:rsid w:val="00DF5EFF"/>
    <w:rsid w:val="00DF6056"/>
    <w:rsid w:val="00E00D9F"/>
    <w:rsid w:val="00E01C92"/>
    <w:rsid w:val="00E02B73"/>
    <w:rsid w:val="00E03416"/>
    <w:rsid w:val="00E034AC"/>
    <w:rsid w:val="00E06CC8"/>
    <w:rsid w:val="00E07BB8"/>
    <w:rsid w:val="00E11B34"/>
    <w:rsid w:val="00E135B1"/>
    <w:rsid w:val="00E155B5"/>
    <w:rsid w:val="00E1582A"/>
    <w:rsid w:val="00E17249"/>
    <w:rsid w:val="00E175F0"/>
    <w:rsid w:val="00E2054B"/>
    <w:rsid w:val="00E21BEE"/>
    <w:rsid w:val="00E23EC6"/>
    <w:rsid w:val="00E23FBE"/>
    <w:rsid w:val="00E24235"/>
    <w:rsid w:val="00E25191"/>
    <w:rsid w:val="00E260D3"/>
    <w:rsid w:val="00E27614"/>
    <w:rsid w:val="00E32305"/>
    <w:rsid w:val="00E324F9"/>
    <w:rsid w:val="00E326C5"/>
    <w:rsid w:val="00E32CB5"/>
    <w:rsid w:val="00E33506"/>
    <w:rsid w:val="00E338FF"/>
    <w:rsid w:val="00E35228"/>
    <w:rsid w:val="00E359B0"/>
    <w:rsid w:val="00E37385"/>
    <w:rsid w:val="00E376A7"/>
    <w:rsid w:val="00E415BF"/>
    <w:rsid w:val="00E420D4"/>
    <w:rsid w:val="00E427F3"/>
    <w:rsid w:val="00E43E26"/>
    <w:rsid w:val="00E503D3"/>
    <w:rsid w:val="00E5069A"/>
    <w:rsid w:val="00E50B81"/>
    <w:rsid w:val="00E50CB3"/>
    <w:rsid w:val="00E515B5"/>
    <w:rsid w:val="00E522FA"/>
    <w:rsid w:val="00E529E4"/>
    <w:rsid w:val="00E52DC6"/>
    <w:rsid w:val="00E53298"/>
    <w:rsid w:val="00E5575F"/>
    <w:rsid w:val="00E56B23"/>
    <w:rsid w:val="00E57EA8"/>
    <w:rsid w:val="00E61BF0"/>
    <w:rsid w:val="00E63682"/>
    <w:rsid w:val="00E6378E"/>
    <w:rsid w:val="00E65394"/>
    <w:rsid w:val="00E6732E"/>
    <w:rsid w:val="00E6751B"/>
    <w:rsid w:val="00E75AC3"/>
    <w:rsid w:val="00E77274"/>
    <w:rsid w:val="00E77796"/>
    <w:rsid w:val="00E80417"/>
    <w:rsid w:val="00E80AA9"/>
    <w:rsid w:val="00E819E2"/>
    <w:rsid w:val="00E83EC3"/>
    <w:rsid w:val="00E87B45"/>
    <w:rsid w:val="00E87BD8"/>
    <w:rsid w:val="00E91574"/>
    <w:rsid w:val="00EA1670"/>
    <w:rsid w:val="00EA16D2"/>
    <w:rsid w:val="00EA35BA"/>
    <w:rsid w:val="00EA3F0E"/>
    <w:rsid w:val="00EA4780"/>
    <w:rsid w:val="00EA5C44"/>
    <w:rsid w:val="00EA5CB8"/>
    <w:rsid w:val="00EA6321"/>
    <w:rsid w:val="00EA684A"/>
    <w:rsid w:val="00EA7679"/>
    <w:rsid w:val="00EB2149"/>
    <w:rsid w:val="00EB2A15"/>
    <w:rsid w:val="00EB2EDA"/>
    <w:rsid w:val="00EB5A95"/>
    <w:rsid w:val="00EB5F92"/>
    <w:rsid w:val="00EB68D6"/>
    <w:rsid w:val="00EC0713"/>
    <w:rsid w:val="00EC411C"/>
    <w:rsid w:val="00EC4A09"/>
    <w:rsid w:val="00EC4B2A"/>
    <w:rsid w:val="00EC661B"/>
    <w:rsid w:val="00EC6CBB"/>
    <w:rsid w:val="00ED2EDF"/>
    <w:rsid w:val="00ED4996"/>
    <w:rsid w:val="00ED4F31"/>
    <w:rsid w:val="00ED5CDA"/>
    <w:rsid w:val="00EE03F6"/>
    <w:rsid w:val="00EE312C"/>
    <w:rsid w:val="00EE49C4"/>
    <w:rsid w:val="00EE6188"/>
    <w:rsid w:val="00EE6EC4"/>
    <w:rsid w:val="00EE78BB"/>
    <w:rsid w:val="00EF05FF"/>
    <w:rsid w:val="00EF0AA7"/>
    <w:rsid w:val="00EF0DFD"/>
    <w:rsid w:val="00EF1371"/>
    <w:rsid w:val="00EF3452"/>
    <w:rsid w:val="00EF44FE"/>
    <w:rsid w:val="00EF4BA6"/>
    <w:rsid w:val="00F00F50"/>
    <w:rsid w:val="00F01E3B"/>
    <w:rsid w:val="00F050CD"/>
    <w:rsid w:val="00F06BA8"/>
    <w:rsid w:val="00F10F95"/>
    <w:rsid w:val="00F11BDC"/>
    <w:rsid w:val="00F11F73"/>
    <w:rsid w:val="00F13E30"/>
    <w:rsid w:val="00F17328"/>
    <w:rsid w:val="00F210A2"/>
    <w:rsid w:val="00F21B62"/>
    <w:rsid w:val="00F2238B"/>
    <w:rsid w:val="00F22492"/>
    <w:rsid w:val="00F2274B"/>
    <w:rsid w:val="00F22A17"/>
    <w:rsid w:val="00F235E1"/>
    <w:rsid w:val="00F23BAD"/>
    <w:rsid w:val="00F2401C"/>
    <w:rsid w:val="00F30295"/>
    <w:rsid w:val="00F326E7"/>
    <w:rsid w:val="00F3337C"/>
    <w:rsid w:val="00F336A9"/>
    <w:rsid w:val="00F337B5"/>
    <w:rsid w:val="00F3477C"/>
    <w:rsid w:val="00F35272"/>
    <w:rsid w:val="00F37854"/>
    <w:rsid w:val="00F379D2"/>
    <w:rsid w:val="00F419FD"/>
    <w:rsid w:val="00F42117"/>
    <w:rsid w:val="00F4492B"/>
    <w:rsid w:val="00F45FA2"/>
    <w:rsid w:val="00F4601E"/>
    <w:rsid w:val="00F47B19"/>
    <w:rsid w:val="00F5203E"/>
    <w:rsid w:val="00F57CC9"/>
    <w:rsid w:val="00F6008D"/>
    <w:rsid w:val="00F61888"/>
    <w:rsid w:val="00F6342F"/>
    <w:rsid w:val="00F643BA"/>
    <w:rsid w:val="00F665CC"/>
    <w:rsid w:val="00F67E88"/>
    <w:rsid w:val="00F67E8A"/>
    <w:rsid w:val="00F70160"/>
    <w:rsid w:val="00F714B7"/>
    <w:rsid w:val="00F726E5"/>
    <w:rsid w:val="00F772CC"/>
    <w:rsid w:val="00F772CF"/>
    <w:rsid w:val="00F7736B"/>
    <w:rsid w:val="00F811D3"/>
    <w:rsid w:val="00F82582"/>
    <w:rsid w:val="00F8687F"/>
    <w:rsid w:val="00F86C28"/>
    <w:rsid w:val="00F8703F"/>
    <w:rsid w:val="00F94367"/>
    <w:rsid w:val="00F95CE3"/>
    <w:rsid w:val="00F966BB"/>
    <w:rsid w:val="00F9679C"/>
    <w:rsid w:val="00F9696F"/>
    <w:rsid w:val="00F96CB2"/>
    <w:rsid w:val="00FA04A1"/>
    <w:rsid w:val="00FA11DE"/>
    <w:rsid w:val="00FA1F8D"/>
    <w:rsid w:val="00FA2DDE"/>
    <w:rsid w:val="00FA46ED"/>
    <w:rsid w:val="00FA61E4"/>
    <w:rsid w:val="00FB0A86"/>
    <w:rsid w:val="00FB1D97"/>
    <w:rsid w:val="00FB2BB8"/>
    <w:rsid w:val="00FB3149"/>
    <w:rsid w:val="00FB5B48"/>
    <w:rsid w:val="00FB6A2E"/>
    <w:rsid w:val="00FB6D00"/>
    <w:rsid w:val="00FC040A"/>
    <w:rsid w:val="00FC10F6"/>
    <w:rsid w:val="00FC222D"/>
    <w:rsid w:val="00FC254D"/>
    <w:rsid w:val="00FC2EAA"/>
    <w:rsid w:val="00FC4911"/>
    <w:rsid w:val="00FC74FF"/>
    <w:rsid w:val="00FD08B1"/>
    <w:rsid w:val="00FD2477"/>
    <w:rsid w:val="00FD274C"/>
    <w:rsid w:val="00FD4631"/>
    <w:rsid w:val="00FD4A66"/>
    <w:rsid w:val="00FD52D3"/>
    <w:rsid w:val="00FD5B11"/>
    <w:rsid w:val="00FD71AB"/>
    <w:rsid w:val="00FD772A"/>
    <w:rsid w:val="00FE221D"/>
    <w:rsid w:val="00FE576C"/>
    <w:rsid w:val="00FE619B"/>
    <w:rsid w:val="00FE6E38"/>
    <w:rsid w:val="00FF022E"/>
    <w:rsid w:val="00FF1692"/>
    <w:rsid w:val="00FF3881"/>
    <w:rsid w:val="00FF4767"/>
    <w:rsid w:val="00FF655D"/>
    <w:rsid w:val="00FF6666"/>
    <w:rsid w:val="00FF6C41"/>
    <w:rsid w:val="00FF7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495E01"/>
  <w15:docId w15:val="{C950114C-EA9C-46EC-A9D3-4EE47C0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2EDA"/>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qFormat/>
    <w:rsid w:val="00A06F7B"/>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B2EDA"/>
    <w:pPr>
      <w:spacing w:after="120"/>
    </w:pPr>
  </w:style>
  <w:style w:type="character" w:customStyle="1" w:styleId="PamattekstsRakstz">
    <w:name w:val="Pamatteksts Rakstz."/>
    <w:basedOn w:val="Noklusjumarindkopasfonts"/>
    <w:link w:val="Pamatteksts"/>
    <w:rsid w:val="00EB2EDA"/>
    <w:rPr>
      <w:rFonts w:ascii="Times New Roman" w:eastAsia="Times New Roman" w:hAnsi="Times New Roman" w:cs="Times New Roman"/>
      <w:sz w:val="24"/>
      <w:szCs w:val="24"/>
      <w:lang w:val="lv-LV" w:eastAsia="lv-LV"/>
    </w:rPr>
  </w:style>
  <w:style w:type="paragraph" w:customStyle="1" w:styleId="naisf">
    <w:name w:val="naisf"/>
    <w:basedOn w:val="Parasts"/>
    <w:rsid w:val="00EB2EDA"/>
    <w:pPr>
      <w:spacing w:before="75" w:after="75"/>
      <w:ind w:firstLine="375"/>
      <w:jc w:val="both"/>
    </w:pPr>
  </w:style>
  <w:style w:type="paragraph" w:customStyle="1" w:styleId="naisnod">
    <w:name w:val="naisnod"/>
    <w:basedOn w:val="Parasts"/>
    <w:rsid w:val="00EB2EDA"/>
    <w:pPr>
      <w:spacing w:before="150" w:after="150"/>
      <w:jc w:val="center"/>
    </w:pPr>
    <w:rPr>
      <w:b/>
      <w:bCs/>
    </w:rPr>
  </w:style>
  <w:style w:type="paragraph" w:customStyle="1" w:styleId="naiskr">
    <w:name w:val="naiskr"/>
    <w:basedOn w:val="Parasts"/>
    <w:rsid w:val="00EB2EDA"/>
    <w:pPr>
      <w:spacing w:before="75" w:after="75"/>
    </w:pPr>
  </w:style>
  <w:style w:type="paragraph" w:customStyle="1" w:styleId="naisc">
    <w:name w:val="naisc"/>
    <w:basedOn w:val="Parasts"/>
    <w:rsid w:val="00EB2EDA"/>
    <w:pPr>
      <w:spacing w:before="75" w:after="75"/>
      <w:jc w:val="center"/>
    </w:pPr>
  </w:style>
  <w:style w:type="character" w:styleId="Hipersaite">
    <w:name w:val="Hyperlink"/>
    <w:uiPriority w:val="99"/>
    <w:rsid w:val="00EB2EDA"/>
    <w:rPr>
      <w:color w:val="0000FF"/>
      <w:u w:val="single"/>
    </w:rPr>
  </w:style>
  <w:style w:type="paragraph" w:customStyle="1" w:styleId="Default">
    <w:name w:val="Default"/>
    <w:rsid w:val="00EB2ED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Bezatstarpm">
    <w:name w:val="No Spacing"/>
    <w:uiPriority w:val="1"/>
    <w:qFormat/>
    <w:rsid w:val="00EB2EDA"/>
    <w:pPr>
      <w:spacing w:after="0" w:line="240" w:lineRule="auto"/>
    </w:pPr>
    <w:rPr>
      <w:rFonts w:ascii="Times New Roman" w:eastAsia="Calibri" w:hAnsi="Times New Roman" w:cs="Times New Roman"/>
      <w:sz w:val="20"/>
      <w:szCs w:val="20"/>
      <w:lang w:val="lv-LV"/>
    </w:rPr>
  </w:style>
  <w:style w:type="paragraph" w:styleId="Galvene">
    <w:name w:val="header"/>
    <w:aliases w:val="encabezado,he,header odd,header odd1,header odd2"/>
    <w:basedOn w:val="Parasts"/>
    <w:link w:val="GalveneRakstz"/>
    <w:unhideWhenUsed/>
    <w:rsid w:val="00640F75"/>
    <w:pPr>
      <w:tabs>
        <w:tab w:val="center" w:pos="4320"/>
        <w:tab w:val="right" w:pos="8640"/>
      </w:tabs>
    </w:pPr>
  </w:style>
  <w:style w:type="character" w:customStyle="1" w:styleId="GalveneRakstz">
    <w:name w:val="Galvene Rakstz."/>
    <w:aliases w:val="encabezado Rakstz.,he Rakstz.,header odd Rakstz.,header odd1 Rakstz.,header odd2 Rakstz."/>
    <w:basedOn w:val="Noklusjumarindkopasfonts"/>
    <w:link w:val="Galvene"/>
    <w:rsid w:val="00640F75"/>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unhideWhenUsed/>
    <w:rsid w:val="00640F75"/>
    <w:pPr>
      <w:tabs>
        <w:tab w:val="center" w:pos="4320"/>
        <w:tab w:val="right" w:pos="8640"/>
      </w:tabs>
    </w:pPr>
  </w:style>
  <w:style w:type="character" w:customStyle="1" w:styleId="KjeneRakstz">
    <w:name w:val="Kājene Rakstz."/>
    <w:basedOn w:val="Noklusjumarindkopasfonts"/>
    <w:link w:val="Kjene"/>
    <w:uiPriority w:val="99"/>
    <w:rsid w:val="00640F75"/>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DF5A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5AC4"/>
    <w:rPr>
      <w:rFonts w:ascii="Tahoma" w:eastAsia="Times New Roman" w:hAnsi="Tahoma" w:cs="Tahoma"/>
      <w:sz w:val="16"/>
      <w:szCs w:val="16"/>
      <w:lang w:val="lv-LV" w:eastAsia="lv-LV"/>
    </w:rPr>
  </w:style>
  <w:style w:type="paragraph" w:styleId="Sarakstarindkopa">
    <w:name w:val="List Paragraph"/>
    <w:aliases w:val="H&amp;P List Paragraph,2"/>
    <w:basedOn w:val="Parasts"/>
    <w:link w:val="SarakstarindkopaRakstz"/>
    <w:uiPriority w:val="34"/>
    <w:qFormat/>
    <w:rsid w:val="00CE00F7"/>
    <w:pPr>
      <w:ind w:left="720"/>
      <w:contextualSpacing/>
    </w:pPr>
  </w:style>
  <w:style w:type="character" w:styleId="Izteiksmgs">
    <w:name w:val="Strong"/>
    <w:basedOn w:val="Noklusjumarindkopasfonts"/>
    <w:uiPriority w:val="22"/>
    <w:qFormat/>
    <w:rsid w:val="00FB6D00"/>
    <w:rPr>
      <w:b/>
      <w:bCs/>
    </w:rPr>
  </w:style>
  <w:style w:type="paragraph" w:customStyle="1" w:styleId="tvhtmlmktable">
    <w:name w:val="tv_html mk_table"/>
    <w:basedOn w:val="Parasts"/>
    <w:uiPriority w:val="99"/>
    <w:rsid w:val="00293AE2"/>
    <w:pPr>
      <w:spacing w:before="100" w:beforeAutospacing="1" w:after="100" w:afterAutospacing="1"/>
    </w:pPr>
    <w:rPr>
      <w:rFonts w:eastAsia="Calibri"/>
    </w:rPr>
  </w:style>
  <w:style w:type="character" w:customStyle="1" w:styleId="apple-converted-space">
    <w:name w:val="apple-converted-space"/>
    <w:basedOn w:val="Noklusjumarindkopasfonts"/>
    <w:rsid w:val="003B7D7E"/>
  </w:style>
  <w:style w:type="character" w:styleId="Izclums">
    <w:name w:val="Emphasis"/>
    <w:basedOn w:val="Noklusjumarindkopasfonts"/>
    <w:uiPriority w:val="20"/>
    <w:qFormat/>
    <w:rsid w:val="0001557A"/>
    <w:rPr>
      <w:i/>
      <w:iCs/>
    </w:rPr>
  </w:style>
  <w:style w:type="paragraph" w:styleId="Paraststmeklis">
    <w:name w:val="Normal (Web)"/>
    <w:basedOn w:val="Parasts"/>
    <w:uiPriority w:val="99"/>
    <w:unhideWhenUsed/>
    <w:rsid w:val="0001557A"/>
    <w:pPr>
      <w:spacing w:before="100" w:beforeAutospacing="1" w:after="100" w:afterAutospacing="1"/>
    </w:pPr>
  </w:style>
  <w:style w:type="paragraph" w:customStyle="1" w:styleId="tvhtml">
    <w:name w:val="tv_html"/>
    <w:basedOn w:val="Parasts"/>
    <w:rsid w:val="002131AC"/>
    <w:pPr>
      <w:spacing w:before="100" w:beforeAutospacing="1" w:after="100" w:afterAutospacing="1"/>
    </w:pPr>
  </w:style>
  <w:style w:type="character" w:styleId="Komentraatsauce">
    <w:name w:val="annotation reference"/>
    <w:basedOn w:val="Noklusjumarindkopasfonts"/>
    <w:uiPriority w:val="99"/>
    <w:semiHidden/>
    <w:unhideWhenUsed/>
    <w:rsid w:val="00832546"/>
    <w:rPr>
      <w:sz w:val="16"/>
      <w:szCs w:val="16"/>
    </w:rPr>
  </w:style>
  <w:style w:type="paragraph" w:customStyle="1" w:styleId="tv213">
    <w:name w:val="tv213"/>
    <w:basedOn w:val="Parasts"/>
    <w:rsid w:val="005A25DE"/>
    <w:pPr>
      <w:spacing w:before="100" w:beforeAutospacing="1" w:after="100" w:afterAutospacing="1"/>
    </w:pPr>
  </w:style>
  <w:style w:type="character" w:customStyle="1" w:styleId="SarakstarindkopaRakstz">
    <w:name w:val="Saraksta rindkopa Rakstz."/>
    <w:aliases w:val="H&amp;P List Paragraph Rakstz.,2 Rakstz."/>
    <w:link w:val="Sarakstarindkopa"/>
    <w:uiPriority w:val="34"/>
    <w:locked/>
    <w:rsid w:val="00FC222D"/>
    <w:rPr>
      <w:rFonts w:ascii="Times New Roman" w:eastAsia="Times New Roman" w:hAnsi="Times New Roman" w:cs="Times New Roman"/>
      <w:sz w:val="24"/>
      <w:szCs w:val="24"/>
      <w:lang w:val="lv-LV" w:eastAsia="lv-LV"/>
    </w:rPr>
  </w:style>
  <w:style w:type="character" w:customStyle="1" w:styleId="Virsraksts2Rakstz">
    <w:name w:val="Virsraksts 2 Rakstz."/>
    <w:basedOn w:val="Noklusjumarindkopasfonts"/>
    <w:link w:val="Virsraksts2"/>
    <w:rsid w:val="00A06F7B"/>
    <w:rPr>
      <w:rFonts w:ascii="Arial" w:eastAsia="Times New Roman" w:hAnsi="Arial" w:cs="Arial"/>
      <w:b/>
      <w:bCs/>
      <w:i/>
      <w:iCs/>
      <w:sz w:val="28"/>
      <w:szCs w:val="28"/>
      <w:lang w:val="lv-LV" w:eastAsia="lv-LV"/>
    </w:rPr>
  </w:style>
  <w:style w:type="paragraph" w:styleId="Komentrateksts">
    <w:name w:val="annotation text"/>
    <w:basedOn w:val="Parasts"/>
    <w:link w:val="KomentratekstsRakstz"/>
    <w:uiPriority w:val="99"/>
    <w:semiHidden/>
    <w:unhideWhenUsed/>
    <w:rsid w:val="006F669D"/>
    <w:pPr>
      <w:widowControl w:val="0"/>
      <w:spacing w:after="200"/>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uiPriority w:val="99"/>
    <w:semiHidden/>
    <w:rsid w:val="006F669D"/>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E03416"/>
    <w:pPr>
      <w:widowControl/>
      <w:spacing w:after="0"/>
    </w:pPr>
    <w:rPr>
      <w:rFonts w:ascii="Times New Roman" w:eastAsia="Times New Roman" w:hAnsi="Times New Roman"/>
      <w:b/>
      <w:bCs/>
      <w:lang w:eastAsia="lv-LV"/>
    </w:rPr>
  </w:style>
  <w:style w:type="character" w:customStyle="1" w:styleId="KomentratmaRakstz">
    <w:name w:val="Komentāra tēma Rakstz."/>
    <w:basedOn w:val="KomentratekstsRakstz"/>
    <w:link w:val="Komentratma"/>
    <w:uiPriority w:val="99"/>
    <w:semiHidden/>
    <w:rsid w:val="00E03416"/>
    <w:rPr>
      <w:rFonts w:ascii="Times New Roman" w:eastAsia="Times New Roman" w:hAnsi="Times New Roman" w:cs="Times New Roman"/>
      <w:b/>
      <w:bCs/>
      <w:sz w:val="20"/>
      <w:szCs w:val="20"/>
      <w:lang w:val="lv-LV" w:eastAsia="lv-LV"/>
    </w:rPr>
  </w:style>
  <w:style w:type="character" w:styleId="Vietturateksts">
    <w:name w:val="Placeholder Text"/>
    <w:basedOn w:val="Noklusjumarindkopasfonts"/>
    <w:uiPriority w:val="99"/>
    <w:semiHidden/>
    <w:rsid w:val="00DD0635"/>
    <w:rPr>
      <w:color w:val="808080"/>
    </w:rPr>
  </w:style>
  <w:style w:type="table" w:styleId="Reatabula">
    <w:name w:val="Table Grid"/>
    <w:basedOn w:val="Parastatabula"/>
    <w:uiPriority w:val="59"/>
    <w:rsid w:val="00C1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D80EDD"/>
  </w:style>
  <w:style w:type="character" w:customStyle="1" w:styleId="Style3TimesNewRoman12">
    <w:name w:val="Style3TimesNewRoman12"/>
    <w:basedOn w:val="Noklusjumarindkopasfonts"/>
    <w:uiPriority w:val="1"/>
    <w:qFormat/>
    <w:rsid w:val="0074255D"/>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8657">
      <w:bodyDiv w:val="1"/>
      <w:marLeft w:val="0"/>
      <w:marRight w:val="0"/>
      <w:marTop w:val="0"/>
      <w:marBottom w:val="0"/>
      <w:divBdr>
        <w:top w:val="none" w:sz="0" w:space="0" w:color="auto"/>
        <w:left w:val="none" w:sz="0" w:space="0" w:color="auto"/>
        <w:bottom w:val="none" w:sz="0" w:space="0" w:color="auto"/>
        <w:right w:val="none" w:sz="0" w:space="0" w:color="auto"/>
      </w:divBdr>
    </w:div>
    <w:div w:id="57171124">
      <w:bodyDiv w:val="1"/>
      <w:marLeft w:val="0"/>
      <w:marRight w:val="0"/>
      <w:marTop w:val="0"/>
      <w:marBottom w:val="0"/>
      <w:divBdr>
        <w:top w:val="none" w:sz="0" w:space="0" w:color="auto"/>
        <w:left w:val="none" w:sz="0" w:space="0" w:color="auto"/>
        <w:bottom w:val="none" w:sz="0" w:space="0" w:color="auto"/>
        <w:right w:val="none" w:sz="0" w:space="0" w:color="auto"/>
      </w:divBdr>
    </w:div>
    <w:div w:id="58748529">
      <w:bodyDiv w:val="1"/>
      <w:marLeft w:val="0"/>
      <w:marRight w:val="0"/>
      <w:marTop w:val="0"/>
      <w:marBottom w:val="0"/>
      <w:divBdr>
        <w:top w:val="none" w:sz="0" w:space="0" w:color="auto"/>
        <w:left w:val="none" w:sz="0" w:space="0" w:color="auto"/>
        <w:bottom w:val="none" w:sz="0" w:space="0" w:color="auto"/>
        <w:right w:val="none" w:sz="0" w:space="0" w:color="auto"/>
      </w:divBdr>
    </w:div>
    <w:div w:id="283274384">
      <w:bodyDiv w:val="1"/>
      <w:marLeft w:val="0"/>
      <w:marRight w:val="0"/>
      <w:marTop w:val="0"/>
      <w:marBottom w:val="0"/>
      <w:divBdr>
        <w:top w:val="none" w:sz="0" w:space="0" w:color="auto"/>
        <w:left w:val="none" w:sz="0" w:space="0" w:color="auto"/>
        <w:bottom w:val="none" w:sz="0" w:space="0" w:color="auto"/>
        <w:right w:val="none" w:sz="0" w:space="0" w:color="auto"/>
      </w:divBdr>
    </w:div>
    <w:div w:id="322398165">
      <w:bodyDiv w:val="1"/>
      <w:marLeft w:val="0"/>
      <w:marRight w:val="0"/>
      <w:marTop w:val="0"/>
      <w:marBottom w:val="0"/>
      <w:divBdr>
        <w:top w:val="none" w:sz="0" w:space="0" w:color="auto"/>
        <w:left w:val="none" w:sz="0" w:space="0" w:color="auto"/>
        <w:bottom w:val="none" w:sz="0" w:space="0" w:color="auto"/>
        <w:right w:val="none" w:sz="0" w:space="0" w:color="auto"/>
      </w:divBdr>
    </w:div>
    <w:div w:id="605117581">
      <w:bodyDiv w:val="1"/>
      <w:marLeft w:val="0"/>
      <w:marRight w:val="0"/>
      <w:marTop w:val="0"/>
      <w:marBottom w:val="0"/>
      <w:divBdr>
        <w:top w:val="none" w:sz="0" w:space="0" w:color="auto"/>
        <w:left w:val="none" w:sz="0" w:space="0" w:color="auto"/>
        <w:bottom w:val="none" w:sz="0" w:space="0" w:color="auto"/>
        <w:right w:val="none" w:sz="0" w:space="0" w:color="auto"/>
      </w:divBdr>
    </w:div>
    <w:div w:id="800534652">
      <w:bodyDiv w:val="1"/>
      <w:marLeft w:val="0"/>
      <w:marRight w:val="0"/>
      <w:marTop w:val="0"/>
      <w:marBottom w:val="0"/>
      <w:divBdr>
        <w:top w:val="none" w:sz="0" w:space="0" w:color="auto"/>
        <w:left w:val="none" w:sz="0" w:space="0" w:color="auto"/>
        <w:bottom w:val="none" w:sz="0" w:space="0" w:color="auto"/>
        <w:right w:val="none" w:sz="0" w:space="0" w:color="auto"/>
      </w:divBdr>
    </w:div>
    <w:div w:id="893270271">
      <w:bodyDiv w:val="1"/>
      <w:marLeft w:val="0"/>
      <w:marRight w:val="0"/>
      <w:marTop w:val="0"/>
      <w:marBottom w:val="0"/>
      <w:divBdr>
        <w:top w:val="none" w:sz="0" w:space="0" w:color="auto"/>
        <w:left w:val="none" w:sz="0" w:space="0" w:color="auto"/>
        <w:bottom w:val="none" w:sz="0" w:space="0" w:color="auto"/>
        <w:right w:val="none" w:sz="0" w:space="0" w:color="auto"/>
      </w:divBdr>
    </w:div>
    <w:div w:id="958875252">
      <w:bodyDiv w:val="1"/>
      <w:marLeft w:val="0"/>
      <w:marRight w:val="0"/>
      <w:marTop w:val="0"/>
      <w:marBottom w:val="0"/>
      <w:divBdr>
        <w:top w:val="none" w:sz="0" w:space="0" w:color="auto"/>
        <w:left w:val="none" w:sz="0" w:space="0" w:color="auto"/>
        <w:bottom w:val="none" w:sz="0" w:space="0" w:color="auto"/>
        <w:right w:val="none" w:sz="0" w:space="0" w:color="auto"/>
      </w:divBdr>
    </w:div>
    <w:div w:id="1114248241">
      <w:bodyDiv w:val="1"/>
      <w:marLeft w:val="0"/>
      <w:marRight w:val="0"/>
      <w:marTop w:val="0"/>
      <w:marBottom w:val="0"/>
      <w:divBdr>
        <w:top w:val="none" w:sz="0" w:space="0" w:color="auto"/>
        <w:left w:val="none" w:sz="0" w:space="0" w:color="auto"/>
        <w:bottom w:val="none" w:sz="0" w:space="0" w:color="auto"/>
        <w:right w:val="none" w:sz="0" w:space="0" w:color="auto"/>
      </w:divBdr>
    </w:div>
    <w:div w:id="1199316748">
      <w:bodyDiv w:val="1"/>
      <w:marLeft w:val="0"/>
      <w:marRight w:val="0"/>
      <w:marTop w:val="0"/>
      <w:marBottom w:val="0"/>
      <w:divBdr>
        <w:top w:val="none" w:sz="0" w:space="0" w:color="auto"/>
        <w:left w:val="none" w:sz="0" w:space="0" w:color="auto"/>
        <w:bottom w:val="none" w:sz="0" w:space="0" w:color="auto"/>
        <w:right w:val="none" w:sz="0" w:space="0" w:color="auto"/>
      </w:divBdr>
    </w:div>
    <w:div w:id="1202671455">
      <w:bodyDiv w:val="1"/>
      <w:marLeft w:val="0"/>
      <w:marRight w:val="0"/>
      <w:marTop w:val="0"/>
      <w:marBottom w:val="0"/>
      <w:divBdr>
        <w:top w:val="none" w:sz="0" w:space="0" w:color="auto"/>
        <w:left w:val="none" w:sz="0" w:space="0" w:color="auto"/>
        <w:bottom w:val="none" w:sz="0" w:space="0" w:color="auto"/>
        <w:right w:val="none" w:sz="0" w:space="0" w:color="auto"/>
      </w:divBdr>
    </w:div>
    <w:div w:id="1379433926">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6">
          <w:marLeft w:val="0"/>
          <w:marRight w:val="0"/>
          <w:marTop w:val="0"/>
          <w:marBottom w:val="0"/>
          <w:divBdr>
            <w:top w:val="none" w:sz="0" w:space="0" w:color="auto"/>
            <w:left w:val="none" w:sz="0" w:space="0" w:color="auto"/>
            <w:bottom w:val="none" w:sz="0" w:space="0" w:color="auto"/>
            <w:right w:val="none" w:sz="0" w:space="0" w:color="auto"/>
          </w:divBdr>
          <w:divsChild>
            <w:div w:id="1756126668">
              <w:marLeft w:val="0"/>
              <w:marRight w:val="0"/>
              <w:marTop w:val="0"/>
              <w:marBottom w:val="0"/>
              <w:divBdr>
                <w:top w:val="none" w:sz="0" w:space="0" w:color="auto"/>
                <w:left w:val="none" w:sz="0" w:space="0" w:color="auto"/>
                <w:bottom w:val="none" w:sz="0" w:space="0" w:color="auto"/>
                <w:right w:val="none" w:sz="0" w:space="0" w:color="auto"/>
              </w:divBdr>
              <w:divsChild>
                <w:div w:id="788822624">
                  <w:marLeft w:val="0"/>
                  <w:marRight w:val="0"/>
                  <w:marTop w:val="0"/>
                  <w:marBottom w:val="0"/>
                  <w:divBdr>
                    <w:top w:val="none" w:sz="0" w:space="0" w:color="auto"/>
                    <w:left w:val="none" w:sz="0" w:space="0" w:color="auto"/>
                    <w:bottom w:val="none" w:sz="0" w:space="0" w:color="auto"/>
                    <w:right w:val="none" w:sz="0" w:space="0" w:color="auto"/>
                  </w:divBdr>
                  <w:divsChild>
                    <w:div w:id="1117259037">
                      <w:marLeft w:val="0"/>
                      <w:marRight w:val="0"/>
                      <w:marTop w:val="0"/>
                      <w:marBottom w:val="0"/>
                      <w:divBdr>
                        <w:top w:val="none" w:sz="0" w:space="0" w:color="auto"/>
                        <w:left w:val="none" w:sz="0" w:space="0" w:color="auto"/>
                        <w:bottom w:val="none" w:sz="0" w:space="0" w:color="auto"/>
                        <w:right w:val="none" w:sz="0" w:space="0" w:color="auto"/>
                      </w:divBdr>
                      <w:divsChild>
                        <w:div w:id="1871382790">
                          <w:marLeft w:val="0"/>
                          <w:marRight w:val="0"/>
                          <w:marTop w:val="0"/>
                          <w:marBottom w:val="0"/>
                          <w:divBdr>
                            <w:top w:val="none" w:sz="0" w:space="0" w:color="auto"/>
                            <w:left w:val="none" w:sz="0" w:space="0" w:color="auto"/>
                            <w:bottom w:val="none" w:sz="0" w:space="0" w:color="auto"/>
                            <w:right w:val="none" w:sz="0" w:space="0" w:color="auto"/>
                          </w:divBdr>
                          <w:divsChild>
                            <w:div w:id="10060098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125110">
      <w:bodyDiv w:val="1"/>
      <w:marLeft w:val="0"/>
      <w:marRight w:val="0"/>
      <w:marTop w:val="0"/>
      <w:marBottom w:val="0"/>
      <w:divBdr>
        <w:top w:val="none" w:sz="0" w:space="0" w:color="auto"/>
        <w:left w:val="none" w:sz="0" w:space="0" w:color="auto"/>
        <w:bottom w:val="none" w:sz="0" w:space="0" w:color="auto"/>
        <w:right w:val="none" w:sz="0" w:space="0" w:color="auto"/>
      </w:divBdr>
    </w:div>
    <w:div w:id="1553154226">
      <w:bodyDiv w:val="1"/>
      <w:marLeft w:val="0"/>
      <w:marRight w:val="0"/>
      <w:marTop w:val="0"/>
      <w:marBottom w:val="0"/>
      <w:divBdr>
        <w:top w:val="none" w:sz="0" w:space="0" w:color="auto"/>
        <w:left w:val="none" w:sz="0" w:space="0" w:color="auto"/>
        <w:bottom w:val="none" w:sz="0" w:space="0" w:color="auto"/>
        <w:right w:val="none" w:sz="0" w:space="0" w:color="auto"/>
      </w:divBdr>
    </w:div>
    <w:div w:id="1761876196">
      <w:bodyDiv w:val="1"/>
      <w:marLeft w:val="0"/>
      <w:marRight w:val="0"/>
      <w:marTop w:val="0"/>
      <w:marBottom w:val="0"/>
      <w:divBdr>
        <w:top w:val="none" w:sz="0" w:space="0" w:color="auto"/>
        <w:left w:val="none" w:sz="0" w:space="0" w:color="auto"/>
        <w:bottom w:val="none" w:sz="0" w:space="0" w:color="auto"/>
        <w:right w:val="none" w:sz="0" w:space="0" w:color="auto"/>
      </w:divBdr>
    </w:div>
    <w:div w:id="1787968390">
      <w:bodyDiv w:val="1"/>
      <w:marLeft w:val="0"/>
      <w:marRight w:val="0"/>
      <w:marTop w:val="0"/>
      <w:marBottom w:val="0"/>
      <w:divBdr>
        <w:top w:val="none" w:sz="0" w:space="0" w:color="auto"/>
        <w:left w:val="none" w:sz="0" w:space="0" w:color="auto"/>
        <w:bottom w:val="none" w:sz="0" w:space="0" w:color="auto"/>
        <w:right w:val="none" w:sz="0" w:space="0" w:color="auto"/>
      </w:divBdr>
    </w:div>
    <w:div w:id="1918513982">
      <w:bodyDiv w:val="1"/>
      <w:marLeft w:val="0"/>
      <w:marRight w:val="0"/>
      <w:marTop w:val="0"/>
      <w:marBottom w:val="0"/>
      <w:divBdr>
        <w:top w:val="none" w:sz="0" w:space="0" w:color="auto"/>
        <w:left w:val="none" w:sz="0" w:space="0" w:color="auto"/>
        <w:bottom w:val="none" w:sz="0" w:space="0" w:color="auto"/>
        <w:right w:val="none" w:sz="0" w:space="0" w:color="auto"/>
      </w:divBdr>
    </w:div>
    <w:div w:id="2042781998">
      <w:bodyDiv w:val="1"/>
      <w:marLeft w:val="0"/>
      <w:marRight w:val="0"/>
      <w:marTop w:val="0"/>
      <w:marBottom w:val="0"/>
      <w:divBdr>
        <w:top w:val="none" w:sz="0" w:space="0" w:color="auto"/>
        <w:left w:val="none" w:sz="0" w:space="0" w:color="auto"/>
        <w:bottom w:val="none" w:sz="0" w:space="0" w:color="auto"/>
        <w:right w:val="none" w:sz="0" w:space="0" w:color="auto"/>
      </w:divBdr>
    </w:div>
    <w:div w:id="21375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8328-numura-saglabasanas-pakalpojuma-nodrosinasanas-noteikum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78328-numura-saglabasanas-pakalpojuma-nodrosinasanas-noteikum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2483-par-sabiedrisko-pakalpojumu-regulatorie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ja.vav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9" ma:contentTypeDescription="Izveidot jaunu dokumentu." ma:contentTypeScope="" ma:versionID="6b42afca3a5d54044d7b5f1ba0ed72d9">
  <xsd:schema xmlns:xsd="http://www.w3.org/2001/XMLSchema" xmlns:xs="http://www.w3.org/2001/XMLSchema" xmlns:p="http://schemas.microsoft.com/office/2006/metadata/properties" xmlns:ns3="ace8e44c-fa88-44c0-8590-dfda63664a63" targetNamespace="http://schemas.microsoft.com/office/2006/metadata/properties" ma:root="true" ma:fieldsID="81172e3b53824632b0c7defed4de2651" ns3:_="">
    <xsd:import namespace="ace8e44c-fa88-44c0-8590-dfda63664a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74234-5A4A-4C38-BD82-A2AFDB134772}">
  <ds:schemaRefs>
    <ds:schemaRef ds:uri="http://schemas.openxmlformats.org/officeDocument/2006/bibliography"/>
  </ds:schemaRefs>
</ds:datastoreItem>
</file>

<file path=customXml/itemProps2.xml><?xml version="1.0" encoding="utf-8"?>
<ds:datastoreItem xmlns:ds="http://schemas.openxmlformats.org/officeDocument/2006/customXml" ds:itemID="{0187FFE0-8D0E-44B2-AFB0-DF350C0BA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83BD7-3194-4B84-8D21-AE05C2B9C1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97DD58-A963-4893-850D-81A2A1DF7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16208</Words>
  <Characters>9239</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 par atzinumos sniegtajiem iebildumiem</dc:subject>
  <dc:creator>AijaVavere</dc:creator>
  <dc:description>Vāvere 67026936_x000d_
aija.vavere@varam.gov.lv</dc:description>
  <cp:lastModifiedBy>Aija Vāvere</cp:lastModifiedBy>
  <cp:revision>3</cp:revision>
  <cp:lastPrinted>2020-08-28T10:26:00Z</cp:lastPrinted>
  <dcterms:created xsi:type="dcterms:W3CDTF">2020-10-12T11:08:00Z</dcterms:created>
  <dcterms:modified xsi:type="dcterms:W3CDTF">2020-10-12T11:14:00Z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