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0068" w14:textId="682F080A" w:rsidR="0022446F" w:rsidRDefault="0022446F" w:rsidP="00036EF5">
      <w:pPr>
        <w:tabs>
          <w:tab w:val="left" w:pos="6663"/>
        </w:tabs>
        <w:rPr>
          <w:sz w:val="28"/>
          <w:szCs w:val="28"/>
        </w:rPr>
      </w:pPr>
    </w:p>
    <w:p w14:paraId="6F5461C3" w14:textId="77777777" w:rsidR="00036EF5" w:rsidRDefault="00036EF5" w:rsidP="00036EF5">
      <w:pPr>
        <w:tabs>
          <w:tab w:val="left" w:pos="6663"/>
        </w:tabs>
        <w:rPr>
          <w:sz w:val="28"/>
          <w:szCs w:val="28"/>
        </w:rPr>
      </w:pPr>
    </w:p>
    <w:p w14:paraId="2EAD1701" w14:textId="192A1943" w:rsidR="00036EF5" w:rsidRPr="00EC1B09" w:rsidRDefault="00036EF5" w:rsidP="00036EF5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9E3B02">
        <w:rPr>
          <w:sz w:val="28"/>
          <w:szCs w:val="28"/>
        </w:rPr>
        <w:t>3. novembrī</w:t>
      </w:r>
      <w:r w:rsidRPr="00EC1B09">
        <w:rPr>
          <w:sz w:val="28"/>
          <w:szCs w:val="28"/>
        </w:rPr>
        <w:tab/>
        <w:t>Rīkojums Nr.</w:t>
      </w:r>
      <w:r w:rsidR="009E3B02">
        <w:rPr>
          <w:sz w:val="28"/>
          <w:szCs w:val="28"/>
        </w:rPr>
        <w:t> 640</w:t>
      </w:r>
    </w:p>
    <w:p w14:paraId="4158482C" w14:textId="602E787C" w:rsidR="00036EF5" w:rsidRPr="00EC1B09" w:rsidRDefault="00036EF5" w:rsidP="00036EF5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9E3B02">
        <w:rPr>
          <w:sz w:val="28"/>
          <w:szCs w:val="28"/>
        </w:rPr>
        <w:t>67</w:t>
      </w:r>
      <w:r w:rsidRPr="00EC1B09">
        <w:rPr>
          <w:sz w:val="28"/>
          <w:szCs w:val="28"/>
        </w:rPr>
        <w:t> </w:t>
      </w:r>
      <w:r w:rsidR="009E3B02">
        <w:rPr>
          <w:sz w:val="28"/>
          <w:szCs w:val="28"/>
        </w:rPr>
        <w:t>5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EBA6C0C" w14:textId="77777777" w:rsidR="00205847" w:rsidRDefault="00205847" w:rsidP="00036EF5">
      <w:pPr>
        <w:rPr>
          <w:b/>
          <w:sz w:val="28"/>
          <w:szCs w:val="28"/>
        </w:rPr>
      </w:pPr>
    </w:p>
    <w:p w14:paraId="20CFC774" w14:textId="77777777" w:rsidR="002B7BBD" w:rsidRPr="00E024FD" w:rsidRDefault="002B7BBD" w:rsidP="00036EF5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5E235E5E" w14:textId="6A61A54F" w:rsidR="002B7BBD" w:rsidRPr="00E024FD" w:rsidRDefault="00036EF5" w:rsidP="0003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0DE822F4" w14:textId="77777777" w:rsidR="002B7BBD" w:rsidRPr="00E024FD" w:rsidRDefault="002B7BBD" w:rsidP="00036EF5">
      <w:pPr>
        <w:jc w:val="both"/>
        <w:rPr>
          <w:sz w:val="28"/>
          <w:szCs w:val="28"/>
        </w:rPr>
      </w:pPr>
    </w:p>
    <w:p w14:paraId="5D503BB3" w14:textId="24BE8634" w:rsidR="0038178D" w:rsidRDefault="00036EF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B7BBD" w:rsidRPr="003E6434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2B7BBD" w:rsidRPr="003E6434">
          <w:rPr>
            <w:sz w:val="28"/>
            <w:szCs w:val="28"/>
          </w:rPr>
          <w:t>02.00.00</w:t>
        </w:r>
      </w:smartTag>
      <w:r w:rsidR="002B7BBD" w:rsidRPr="003E643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B7BBD" w:rsidRPr="003E6434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2B7BBD" w:rsidRPr="003E6434">
        <w:rPr>
          <w:sz w:val="28"/>
          <w:szCs w:val="28"/>
        </w:rPr>
        <w:t xml:space="preserve"> piešķirt Veselības ministrijai</w:t>
      </w:r>
      <w:r w:rsidR="006B434B" w:rsidRPr="003E6434">
        <w:rPr>
          <w:sz w:val="28"/>
          <w:szCs w:val="28"/>
        </w:rPr>
        <w:t xml:space="preserve"> </w:t>
      </w:r>
      <w:r w:rsidR="009D1CC9" w:rsidRPr="003E6434">
        <w:rPr>
          <w:sz w:val="28"/>
          <w:szCs w:val="28"/>
        </w:rPr>
        <w:t xml:space="preserve">finansējumu </w:t>
      </w:r>
      <w:r w:rsidR="00214908">
        <w:rPr>
          <w:sz w:val="28"/>
          <w:szCs w:val="28"/>
        </w:rPr>
        <w:t>1</w:t>
      </w:r>
      <w:r w:rsidR="001F5945">
        <w:rPr>
          <w:sz w:val="28"/>
          <w:szCs w:val="28"/>
        </w:rPr>
        <w:t> </w:t>
      </w:r>
      <w:r w:rsidR="00214908">
        <w:rPr>
          <w:sz w:val="28"/>
          <w:szCs w:val="28"/>
        </w:rPr>
        <w:t>2</w:t>
      </w:r>
      <w:r w:rsidR="00EF2B0C">
        <w:rPr>
          <w:sz w:val="28"/>
          <w:szCs w:val="28"/>
        </w:rPr>
        <w:t>4</w:t>
      </w:r>
      <w:r w:rsidR="00214908">
        <w:rPr>
          <w:sz w:val="28"/>
          <w:szCs w:val="28"/>
        </w:rPr>
        <w:t>6</w:t>
      </w:r>
      <w:r w:rsidR="001F5945">
        <w:rPr>
          <w:sz w:val="28"/>
          <w:szCs w:val="28"/>
        </w:rPr>
        <w:t> </w:t>
      </w:r>
      <w:r w:rsidR="00EF2B0C">
        <w:rPr>
          <w:sz w:val="28"/>
          <w:szCs w:val="28"/>
        </w:rPr>
        <w:t>07</w:t>
      </w:r>
      <w:r w:rsidR="00214908">
        <w:rPr>
          <w:sz w:val="28"/>
          <w:szCs w:val="28"/>
        </w:rPr>
        <w:t>1</w:t>
      </w:r>
      <w:r w:rsidR="002B7BBD" w:rsidRPr="003E6434">
        <w:rPr>
          <w:sz w:val="28"/>
          <w:szCs w:val="28"/>
        </w:rPr>
        <w:t> </w:t>
      </w:r>
      <w:proofErr w:type="spellStart"/>
      <w:r w:rsidR="002B7BBD" w:rsidRPr="003E6434">
        <w:rPr>
          <w:i/>
          <w:sz w:val="28"/>
          <w:szCs w:val="28"/>
        </w:rPr>
        <w:t>euro</w:t>
      </w:r>
      <w:proofErr w:type="spellEnd"/>
      <w:r w:rsidR="00864F85">
        <w:rPr>
          <w:i/>
          <w:sz w:val="28"/>
          <w:szCs w:val="28"/>
        </w:rPr>
        <w:t xml:space="preserve"> </w:t>
      </w:r>
      <w:r w:rsidR="00864F85">
        <w:rPr>
          <w:iCs/>
          <w:sz w:val="28"/>
          <w:szCs w:val="28"/>
        </w:rPr>
        <w:t>apmērā</w:t>
      </w:r>
      <w:r w:rsidR="002B7BBD" w:rsidRPr="003E6434">
        <w:rPr>
          <w:sz w:val="28"/>
          <w:szCs w:val="28"/>
        </w:rPr>
        <w:t>,</w:t>
      </w:r>
      <w:r w:rsidR="00864F85" w:rsidRPr="00864F85">
        <w:rPr>
          <w:sz w:val="28"/>
          <w:szCs w:val="28"/>
        </w:rPr>
        <w:t xml:space="preserve"> </w:t>
      </w:r>
      <w:r w:rsidR="00864F85">
        <w:rPr>
          <w:sz w:val="28"/>
          <w:szCs w:val="28"/>
        </w:rPr>
        <w:t xml:space="preserve">lai </w:t>
      </w:r>
      <w:r w:rsidR="001F5945">
        <w:rPr>
          <w:sz w:val="28"/>
          <w:szCs w:val="28"/>
        </w:rPr>
        <w:t xml:space="preserve">kompensētu </w:t>
      </w:r>
      <w:r w:rsidR="00864F85">
        <w:rPr>
          <w:sz w:val="28"/>
          <w:szCs w:val="28"/>
        </w:rPr>
        <w:t>atbildīgo institūciju ārstniecības personām un pārējiem nodarbinātajiem virsstundu darb</w:t>
      </w:r>
      <w:r w:rsidR="001F5945">
        <w:rPr>
          <w:sz w:val="28"/>
          <w:szCs w:val="28"/>
        </w:rPr>
        <w:t>u</w:t>
      </w:r>
      <w:r w:rsidR="00864F85">
        <w:rPr>
          <w:sz w:val="28"/>
          <w:szCs w:val="28"/>
        </w:rPr>
        <w:t xml:space="preserve">, kas saistīts ar </w:t>
      </w:r>
      <w:r w:rsidR="00864F85" w:rsidRPr="00B949F9">
        <w:rPr>
          <w:sz w:val="28"/>
          <w:szCs w:val="28"/>
        </w:rPr>
        <w:t>Covid-19</w:t>
      </w:r>
      <w:r w:rsidR="00B949F9" w:rsidRPr="00B949F9">
        <w:rPr>
          <w:sz w:val="28"/>
          <w:szCs w:val="28"/>
        </w:rPr>
        <w:t xml:space="preserve"> infekcijas izplatības ierobežošanu</w:t>
      </w:r>
      <w:r w:rsidR="00864F85" w:rsidRPr="00B949F9">
        <w:rPr>
          <w:sz w:val="28"/>
          <w:szCs w:val="28"/>
        </w:rPr>
        <w:t xml:space="preserve"> un seku</w:t>
      </w:r>
      <w:r w:rsidR="00864F85">
        <w:rPr>
          <w:sz w:val="28"/>
          <w:szCs w:val="28"/>
        </w:rPr>
        <w:t xml:space="preserve"> novēršanu</w:t>
      </w:r>
      <w:r w:rsidR="001F5945">
        <w:rPr>
          <w:sz w:val="28"/>
          <w:szCs w:val="28"/>
        </w:rPr>
        <w:t xml:space="preserve"> laikposmā</w:t>
      </w:r>
      <w:r w:rsidR="00864F85">
        <w:rPr>
          <w:sz w:val="28"/>
          <w:szCs w:val="28"/>
        </w:rPr>
        <w:t xml:space="preserve"> no 2020.</w:t>
      </w:r>
      <w:r w:rsidR="00B949F9">
        <w:rPr>
          <w:sz w:val="28"/>
          <w:szCs w:val="28"/>
        </w:rPr>
        <w:t> </w:t>
      </w:r>
      <w:r w:rsidR="00864F85">
        <w:rPr>
          <w:sz w:val="28"/>
          <w:szCs w:val="28"/>
        </w:rPr>
        <w:t>gada 1.</w:t>
      </w:r>
      <w:r w:rsidR="00B949F9">
        <w:rPr>
          <w:sz w:val="28"/>
          <w:szCs w:val="28"/>
        </w:rPr>
        <w:t> </w:t>
      </w:r>
      <w:r w:rsidR="00864F85">
        <w:rPr>
          <w:sz w:val="28"/>
          <w:szCs w:val="28"/>
        </w:rPr>
        <w:t>marta līdz 2020.</w:t>
      </w:r>
      <w:r w:rsidR="00B949F9">
        <w:rPr>
          <w:sz w:val="28"/>
          <w:szCs w:val="28"/>
        </w:rPr>
        <w:t> </w:t>
      </w:r>
      <w:r w:rsidR="00864F85">
        <w:rPr>
          <w:sz w:val="28"/>
          <w:szCs w:val="28"/>
        </w:rPr>
        <w:t>gada 9.</w:t>
      </w:r>
      <w:r w:rsidR="00B949F9">
        <w:rPr>
          <w:sz w:val="28"/>
          <w:szCs w:val="28"/>
        </w:rPr>
        <w:t> </w:t>
      </w:r>
      <w:r w:rsidR="00864F85">
        <w:rPr>
          <w:sz w:val="28"/>
          <w:szCs w:val="28"/>
        </w:rPr>
        <w:t>jūnijam</w:t>
      </w:r>
      <w:r w:rsidR="0038178D">
        <w:rPr>
          <w:sz w:val="28"/>
          <w:szCs w:val="28"/>
        </w:rPr>
        <w:t>, tai skaitā:</w:t>
      </w:r>
    </w:p>
    <w:p w14:paraId="3D3EAC54" w14:textId="3C2F44DE" w:rsidR="0038178D" w:rsidRPr="0038178D" w:rsidRDefault="00036EF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8178D" w:rsidRPr="0038178D">
        <w:rPr>
          <w:sz w:val="28"/>
          <w:szCs w:val="28"/>
        </w:rPr>
        <w:t xml:space="preserve">Nacionālajam veselības dienestam </w:t>
      </w:r>
      <w:r w:rsidR="0038178D">
        <w:rPr>
          <w:sz w:val="28"/>
          <w:szCs w:val="28"/>
        </w:rPr>
        <w:t>796 921</w:t>
      </w:r>
      <w:r w:rsidR="0038178D" w:rsidRPr="0038178D">
        <w:rPr>
          <w:sz w:val="28"/>
          <w:szCs w:val="28"/>
        </w:rPr>
        <w:t xml:space="preserve"> </w:t>
      </w:r>
      <w:r w:rsidR="0038178D" w:rsidRPr="0038178D">
        <w:rPr>
          <w:i/>
          <w:iCs/>
          <w:sz w:val="28"/>
          <w:szCs w:val="28"/>
        </w:rPr>
        <w:t>euro</w:t>
      </w:r>
      <w:r w:rsidR="0038178D" w:rsidRPr="0038178D">
        <w:rPr>
          <w:sz w:val="28"/>
          <w:szCs w:val="28"/>
        </w:rPr>
        <w:t xml:space="preserve"> apmērā, lai  veiktu samaksu ārstniecības iestādēm (</w:t>
      </w:r>
      <w:r w:rsidR="0038178D">
        <w:rPr>
          <w:sz w:val="28"/>
          <w:szCs w:val="28"/>
        </w:rPr>
        <w:t>753 955</w:t>
      </w:r>
      <w:r w:rsidR="0038178D" w:rsidRPr="0038178D">
        <w:rPr>
          <w:sz w:val="28"/>
          <w:szCs w:val="28"/>
        </w:rPr>
        <w:t xml:space="preserve"> </w:t>
      </w:r>
      <w:proofErr w:type="spellStart"/>
      <w:r w:rsidR="0038178D" w:rsidRPr="0038178D">
        <w:rPr>
          <w:i/>
          <w:iCs/>
          <w:sz w:val="28"/>
          <w:szCs w:val="28"/>
        </w:rPr>
        <w:t>euro</w:t>
      </w:r>
      <w:proofErr w:type="spellEnd"/>
      <w:r w:rsidR="0038178D">
        <w:rPr>
          <w:sz w:val="28"/>
          <w:szCs w:val="28"/>
        </w:rPr>
        <w:t>)</w:t>
      </w:r>
      <w:r w:rsidR="0038178D" w:rsidRPr="0038178D">
        <w:rPr>
          <w:sz w:val="28"/>
          <w:szCs w:val="28"/>
        </w:rPr>
        <w:t xml:space="preserve"> un Nacionālā veselības dienesta darbiniekiem (</w:t>
      </w:r>
      <w:r w:rsidR="0038178D">
        <w:rPr>
          <w:sz w:val="28"/>
          <w:szCs w:val="28"/>
        </w:rPr>
        <w:t>42 966</w:t>
      </w:r>
      <w:r w:rsidR="0038178D" w:rsidRPr="0038178D">
        <w:rPr>
          <w:sz w:val="28"/>
          <w:szCs w:val="28"/>
        </w:rPr>
        <w:t xml:space="preserve"> </w:t>
      </w:r>
      <w:r w:rsidR="0038178D" w:rsidRPr="0038178D">
        <w:rPr>
          <w:i/>
          <w:iCs/>
          <w:sz w:val="28"/>
          <w:szCs w:val="28"/>
        </w:rPr>
        <w:t>euro</w:t>
      </w:r>
      <w:r w:rsidR="0038178D" w:rsidRPr="004E28FE">
        <w:rPr>
          <w:sz w:val="28"/>
          <w:szCs w:val="28"/>
        </w:rPr>
        <w:t>)</w:t>
      </w:r>
      <w:r w:rsidR="0038178D" w:rsidRPr="0038178D">
        <w:rPr>
          <w:color w:val="000000"/>
          <w:sz w:val="28"/>
          <w:szCs w:val="28"/>
        </w:rPr>
        <w:t>;</w:t>
      </w:r>
    </w:p>
    <w:p w14:paraId="041A4F3E" w14:textId="100EE433" w:rsidR="0038178D" w:rsidRPr="0038178D" w:rsidRDefault="00036EF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8178D" w:rsidRPr="0038178D">
        <w:rPr>
          <w:sz w:val="28"/>
          <w:szCs w:val="28"/>
        </w:rPr>
        <w:t xml:space="preserve">Neatliekamās medicīniskās palīdzības dienestam </w:t>
      </w:r>
      <w:r w:rsidR="00FA213C">
        <w:rPr>
          <w:sz w:val="28"/>
          <w:szCs w:val="28"/>
        </w:rPr>
        <w:t>331</w:t>
      </w:r>
      <w:r w:rsidR="001F5945">
        <w:rPr>
          <w:sz w:val="28"/>
          <w:szCs w:val="28"/>
        </w:rPr>
        <w:t> </w:t>
      </w:r>
      <w:r w:rsidR="00FA213C">
        <w:rPr>
          <w:sz w:val="28"/>
          <w:szCs w:val="28"/>
        </w:rPr>
        <w:t>647</w:t>
      </w:r>
      <w:r w:rsidR="00F13352">
        <w:rPr>
          <w:sz w:val="28"/>
          <w:szCs w:val="28"/>
        </w:rPr>
        <w:t> </w:t>
      </w:r>
      <w:proofErr w:type="spellStart"/>
      <w:r w:rsidR="0038178D" w:rsidRPr="0038178D">
        <w:rPr>
          <w:i/>
          <w:iCs/>
          <w:sz w:val="28"/>
          <w:szCs w:val="28"/>
        </w:rPr>
        <w:t>euro</w:t>
      </w:r>
      <w:proofErr w:type="spellEnd"/>
      <w:r w:rsidR="0038178D" w:rsidRPr="0038178D">
        <w:rPr>
          <w:i/>
          <w:iCs/>
          <w:sz w:val="28"/>
          <w:szCs w:val="28"/>
        </w:rPr>
        <w:t xml:space="preserve"> </w:t>
      </w:r>
      <w:r w:rsidR="0038178D" w:rsidRPr="0038178D">
        <w:rPr>
          <w:sz w:val="28"/>
          <w:szCs w:val="28"/>
        </w:rPr>
        <w:t>apmērā;</w:t>
      </w:r>
    </w:p>
    <w:p w14:paraId="073D389D" w14:textId="300BDD64" w:rsidR="0038178D" w:rsidRDefault="00036EF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38178D" w:rsidRPr="0038178D">
        <w:rPr>
          <w:sz w:val="28"/>
          <w:szCs w:val="28"/>
        </w:rPr>
        <w:t xml:space="preserve">Slimību profilakses un kontroles centram </w:t>
      </w:r>
      <w:r w:rsidR="00FA213C">
        <w:rPr>
          <w:sz w:val="28"/>
          <w:szCs w:val="28"/>
        </w:rPr>
        <w:t>84 695</w:t>
      </w:r>
      <w:r w:rsidR="0038178D" w:rsidRPr="0038178D">
        <w:rPr>
          <w:sz w:val="28"/>
          <w:szCs w:val="28"/>
        </w:rPr>
        <w:t xml:space="preserve"> </w:t>
      </w:r>
      <w:r w:rsidR="0038178D" w:rsidRPr="0038178D">
        <w:rPr>
          <w:i/>
          <w:iCs/>
          <w:sz w:val="28"/>
          <w:szCs w:val="28"/>
        </w:rPr>
        <w:t xml:space="preserve">euro </w:t>
      </w:r>
      <w:r w:rsidR="0038178D" w:rsidRPr="0038178D">
        <w:rPr>
          <w:sz w:val="28"/>
          <w:szCs w:val="28"/>
        </w:rPr>
        <w:t>apmērā</w:t>
      </w:r>
      <w:r w:rsidR="00FA213C">
        <w:rPr>
          <w:sz w:val="28"/>
          <w:szCs w:val="28"/>
        </w:rPr>
        <w:t>;</w:t>
      </w:r>
    </w:p>
    <w:p w14:paraId="27F531CD" w14:textId="0729D564" w:rsidR="00FA213C" w:rsidRPr="00FA213C" w:rsidRDefault="00036EF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A213C">
        <w:rPr>
          <w:sz w:val="28"/>
          <w:szCs w:val="28"/>
        </w:rPr>
        <w:t>Veselības ministrijai</w:t>
      </w:r>
      <w:r w:rsidR="00FA213C" w:rsidRPr="0038178D">
        <w:rPr>
          <w:sz w:val="28"/>
          <w:szCs w:val="28"/>
        </w:rPr>
        <w:t xml:space="preserve"> </w:t>
      </w:r>
      <w:r w:rsidR="00FA213C">
        <w:rPr>
          <w:sz w:val="28"/>
          <w:szCs w:val="28"/>
        </w:rPr>
        <w:t>32 808</w:t>
      </w:r>
      <w:r w:rsidR="00FA213C" w:rsidRPr="0038178D">
        <w:rPr>
          <w:sz w:val="28"/>
          <w:szCs w:val="28"/>
        </w:rPr>
        <w:t xml:space="preserve"> </w:t>
      </w:r>
      <w:r w:rsidR="00FA213C" w:rsidRPr="0038178D">
        <w:rPr>
          <w:i/>
          <w:iCs/>
          <w:sz w:val="28"/>
          <w:szCs w:val="28"/>
        </w:rPr>
        <w:t xml:space="preserve">euro </w:t>
      </w:r>
      <w:r w:rsidR="00FA213C" w:rsidRPr="0038178D">
        <w:rPr>
          <w:sz w:val="28"/>
          <w:szCs w:val="28"/>
        </w:rPr>
        <w:t>apmērā</w:t>
      </w:r>
      <w:r w:rsidR="00FA213C">
        <w:rPr>
          <w:sz w:val="28"/>
          <w:szCs w:val="28"/>
        </w:rPr>
        <w:t>.</w:t>
      </w:r>
    </w:p>
    <w:p w14:paraId="608DF4CC" w14:textId="77777777" w:rsidR="00864F85" w:rsidRDefault="00864F8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54D82C" w14:textId="16C9C6FC" w:rsidR="00770B8C" w:rsidRDefault="00036EF5" w:rsidP="00036EF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64F85" w:rsidRPr="00864F85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F13352">
        <w:rPr>
          <w:sz w:val="28"/>
          <w:szCs w:val="28"/>
        </w:rPr>
        <w:t> </w:t>
      </w:r>
      <w:r w:rsidR="00864F85" w:rsidRPr="00864F85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864F85" w:rsidRPr="00864F85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864F85" w:rsidRPr="00864F85">
        <w:rPr>
          <w:sz w:val="28"/>
          <w:szCs w:val="28"/>
        </w:rPr>
        <w:t>.</w:t>
      </w:r>
    </w:p>
    <w:p w14:paraId="0AE2F349" w14:textId="77777777" w:rsidR="00864F85" w:rsidRDefault="00864F85" w:rsidP="00036EF5">
      <w:pPr>
        <w:pStyle w:val="ListParagraph"/>
        <w:ind w:left="0" w:firstLine="709"/>
        <w:rPr>
          <w:sz w:val="28"/>
          <w:szCs w:val="28"/>
        </w:rPr>
      </w:pPr>
    </w:p>
    <w:p w14:paraId="1BE7137A" w14:textId="24B0A6CD" w:rsidR="00864F85" w:rsidRPr="0038178D" w:rsidRDefault="00036EF5" w:rsidP="00036EF5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64F85" w:rsidRPr="00B63619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1F5945" w:rsidRPr="00B63619">
        <w:rPr>
          <w:sz w:val="28"/>
          <w:szCs w:val="28"/>
        </w:rPr>
        <w:t xml:space="preserve">apropriācijas izmaiņām </w:t>
      </w:r>
      <w:r w:rsidR="001F5945">
        <w:rPr>
          <w:sz w:val="28"/>
          <w:szCs w:val="28"/>
        </w:rPr>
        <w:t xml:space="preserve">atbilstoši </w:t>
      </w:r>
      <w:r w:rsidR="00864F85" w:rsidRPr="00B63619">
        <w:rPr>
          <w:sz w:val="28"/>
          <w:szCs w:val="28"/>
        </w:rPr>
        <w:t>šā rīkojuma 1.</w:t>
      </w:r>
      <w:r w:rsidR="00B949F9">
        <w:rPr>
          <w:sz w:val="28"/>
          <w:szCs w:val="28"/>
        </w:rPr>
        <w:t> </w:t>
      </w:r>
      <w:r w:rsidR="00864F85" w:rsidRPr="00B63619">
        <w:rPr>
          <w:sz w:val="28"/>
          <w:szCs w:val="28"/>
        </w:rPr>
        <w:t>punkt</w:t>
      </w:r>
      <w:r w:rsidR="001F5945">
        <w:rPr>
          <w:sz w:val="28"/>
          <w:szCs w:val="28"/>
        </w:rPr>
        <w:t>am</w:t>
      </w:r>
      <w:r w:rsidR="00864F85" w:rsidRPr="00B63619">
        <w:rPr>
          <w:sz w:val="28"/>
          <w:szCs w:val="28"/>
        </w:rPr>
        <w:t xml:space="preserve"> un, ja Saeimas Budžeta un finanšu (nodokļu) komisija piecu darbdienu laikā </w:t>
      </w:r>
      <w:r w:rsidR="001F5945">
        <w:rPr>
          <w:sz w:val="28"/>
          <w:szCs w:val="28"/>
        </w:rPr>
        <w:t>pēc</w:t>
      </w:r>
      <w:r w:rsidR="00864F85" w:rsidRPr="00B63619">
        <w:rPr>
          <w:sz w:val="28"/>
          <w:szCs w:val="28"/>
        </w:rPr>
        <w:t xml:space="preserve"> attiecīgās informācijas saņemšanas nav </w:t>
      </w:r>
      <w:r w:rsidR="001F5945">
        <w:rPr>
          <w:sz w:val="28"/>
          <w:szCs w:val="28"/>
        </w:rPr>
        <w:t xml:space="preserve">izteikusi </w:t>
      </w:r>
      <w:r w:rsidR="00864F85" w:rsidRPr="00B63619">
        <w:rPr>
          <w:sz w:val="28"/>
          <w:szCs w:val="28"/>
        </w:rPr>
        <w:t>iebildu</w:t>
      </w:r>
      <w:r w:rsidR="001F5945">
        <w:rPr>
          <w:sz w:val="28"/>
          <w:szCs w:val="28"/>
        </w:rPr>
        <w:t>mus</w:t>
      </w:r>
      <w:r w:rsidR="00864F85" w:rsidRPr="00B63619">
        <w:rPr>
          <w:sz w:val="28"/>
          <w:szCs w:val="28"/>
        </w:rPr>
        <w:t>, veikt apropriācijas izmaiņas.</w:t>
      </w:r>
    </w:p>
    <w:p w14:paraId="12A0511F" w14:textId="1EBB16DD" w:rsidR="00770B8C" w:rsidRDefault="00770B8C" w:rsidP="00036EF5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0A68EE09" w14:textId="7B2558A7" w:rsidR="0038178D" w:rsidRDefault="0038178D" w:rsidP="00036EF5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62C708E9" w14:textId="77777777" w:rsidR="00036EF5" w:rsidRPr="00770B8C" w:rsidRDefault="00036EF5" w:rsidP="00036EF5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40B8DF49" w14:textId="77777777" w:rsidR="00036EF5" w:rsidRPr="00DE283C" w:rsidRDefault="00036EF5" w:rsidP="00036E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F5AB8D5" w14:textId="77777777" w:rsidR="00036EF5" w:rsidRDefault="00036EF5" w:rsidP="00036EF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036010" w14:textId="08ADB16F" w:rsidR="00036EF5" w:rsidRDefault="00036EF5" w:rsidP="00036EF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7C9A30" w14:textId="77777777" w:rsidR="00036EF5" w:rsidRDefault="00036EF5" w:rsidP="00036EF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8946D7" w14:textId="77777777" w:rsidR="00036EF5" w:rsidRPr="00333282" w:rsidRDefault="00036EF5" w:rsidP="00036E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036EF5" w:rsidRPr="00333282" w:rsidSect="00036E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8B68" w14:textId="77777777" w:rsidR="001E7C2E" w:rsidRDefault="001E7C2E">
      <w:r>
        <w:separator/>
      </w:r>
    </w:p>
  </w:endnote>
  <w:endnote w:type="continuationSeparator" w:id="0">
    <w:p w14:paraId="38CE78C6" w14:textId="77777777" w:rsidR="001E7C2E" w:rsidRDefault="001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DBD4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409" w14:textId="281FA853" w:rsidR="002831B0" w:rsidRPr="00036EF5" w:rsidRDefault="00036EF5" w:rsidP="005C01E5">
    <w:pPr>
      <w:pStyle w:val="Footer"/>
      <w:rPr>
        <w:sz w:val="16"/>
        <w:szCs w:val="16"/>
      </w:rPr>
    </w:pPr>
    <w:r w:rsidRPr="00036EF5">
      <w:rPr>
        <w:sz w:val="16"/>
        <w:szCs w:val="16"/>
      </w:rPr>
      <w:t>R2034_0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52FB" w14:textId="77777777" w:rsidR="001E7C2E" w:rsidRDefault="001E7C2E">
      <w:r>
        <w:separator/>
      </w:r>
    </w:p>
  </w:footnote>
  <w:footnote w:type="continuationSeparator" w:id="0">
    <w:p w14:paraId="0BFC6CA7" w14:textId="77777777" w:rsidR="001E7C2E" w:rsidRDefault="001E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976D5A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1F5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EB83D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787C" w14:textId="77777777" w:rsidR="00036EF5" w:rsidRPr="003629D6" w:rsidRDefault="00036EF5">
    <w:pPr>
      <w:pStyle w:val="Header"/>
    </w:pPr>
  </w:p>
  <w:p w14:paraId="2674B0BD" w14:textId="23E375E8" w:rsidR="00036EF5" w:rsidRDefault="00036EF5">
    <w:pPr>
      <w:pStyle w:val="Header"/>
    </w:pPr>
    <w:r>
      <w:rPr>
        <w:noProof/>
        <w:lang w:val="en-US" w:eastAsia="en-US"/>
      </w:rPr>
      <w:drawing>
        <wp:inline distT="0" distB="0" distL="0" distR="0" wp14:anchorId="5ACC6BA7" wp14:editId="6F4ACE9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3F5C"/>
    <w:multiLevelType w:val="multilevel"/>
    <w:tmpl w:val="E45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2627A3C"/>
    <w:multiLevelType w:val="multilevel"/>
    <w:tmpl w:val="563A5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D9383E"/>
    <w:multiLevelType w:val="hybridMultilevel"/>
    <w:tmpl w:val="C9ECFF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7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13C0"/>
    <w:rsid w:val="00034872"/>
    <w:rsid w:val="00034D3B"/>
    <w:rsid w:val="00035E9D"/>
    <w:rsid w:val="00036EF5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1057FB"/>
    <w:rsid w:val="001128C5"/>
    <w:rsid w:val="00116CE0"/>
    <w:rsid w:val="00120016"/>
    <w:rsid w:val="00122270"/>
    <w:rsid w:val="00126FD9"/>
    <w:rsid w:val="00131C8F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1103"/>
    <w:rsid w:val="001658D8"/>
    <w:rsid w:val="0017372D"/>
    <w:rsid w:val="00191006"/>
    <w:rsid w:val="00192E63"/>
    <w:rsid w:val="0019784D"/>
    <w:rsid w:val="001A0EEB"/>
    <w:rsid w:val="001A2540"/>
    <w:rsid w:val="001A472E"/>
    <w:rsid w:val="001B66FF"/>
    <w:rsid w:val="001C2268"/>
    <w:rsid w:val="001C4B51"/>
    <w:rsid w:val="001C71B8"/>
    <w:rsid w:val="001D72D8"/>
    <w:rsid w:val="001E7C2E"/>
    <w:rsid w:val="001E7DF3"/>
    <w:rsid w:val="001F5945"/>
    <w:rsid w:val="001F7203"/>
    <w:rsid w:val="00204654"/>
    <w:rsid w:val="00205847"/>
    <w:rsid w:val="00210DCC"/>
    <w:rsid w:val="002117DC"/>
    <w:rsid w:val="00212ECF"/>
    <w:rsid w:val="00214908"/>
    <w:rsid w:val="00222B73"/>
    <w:rsid w:val="0022446F"/>
    <w:rsid w:val="00226760"/>
    <w:rsid w:val="00231FA1"/>
    <w:rsid w:val="0024084E"/>
    <w:rsid w:val="00241428"/>
    <w:rsid w:val="00241867"/>
    <w:rsid w:val="002423ED"/>
    <w:rsid w:val="00246E72"/>
    <w:rsid w:val="00250A85"/>
    <w:rsid w:val="00251847"/>
    <w:rsid w:val="002539F2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594F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66CE"/>
    <w:rsid w:val="002E7DD6"/>
    <w:rsid w:val="002F1BC7"/>
    <w:rsid w:val="00305BB7"/>
    <w:rsid w:val="003142B9"/>
    <w:rsid w:val="00317C01"/>
    <w:rsid w:val="00321CB5"/>
    <w:rsid w:val="00325314"/>
    <w:rsid w:val="00325F81"/>
    <w:rsid w:val="00336B30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37F4"/>
    <w:rsid w:val="0037506B"/>
    <w:rsid w:val="00380BCB"/>
    <w:rsid w:val="0038178D"/>
    <w:rsid w:val="00383F6A"/>
    <w:rsid w:val="00385897"/>
    <w:rsid w:val="00386807"/>
    <w:rsid w:val="0039257A"/>
    <w:rsid w:val="00394CF0"/>
    <w:rsid w:val="003A1DEB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5E18"/>
    <w:rsid w:val="003E61B8"/>
    <w:rsid w:val="003E6434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1854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28FE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0594"/>
    <w:rsid w:val="0054065D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D51"/>
    <w:rsid w:val="00594408"/>
    <w:rsid w:val="00596F1B"/>
    <w:rsid w:val="005B6DEF"/>
    <w:rsid w:val="005C01E5"/>
    <w:rsid w:val="005C371C"/>
    <w:rsid w:val="005C6B2E"/>
    <w:rsid w:val="005E2F07"/>
    <w:rsid w:val="005E351B"/>
    <w:rsid w:val="005E4E51"/>
    <w:rsid w:val="005F58EC"/>
    <w:rsid w:val="005F7ADA"/>
    <w:rsid w:val="00603072"/>
    <w:rsid w:val="00604EC5"/>
    <w:rsid w:val="00610377"/>
    <w:rsid w:val="0062303F"/>
    <w:rsid w:val="00624BEE"/>
    <w:rsid w:val="00630992"/>
    <w:rsid w:val="0063158D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0B8C"/>
    <w:rsid w:val="00773793"/>
    <w:rsid w:val="00773CAD"/>
    <w:rsid w:val="00773D27"/>
    <w:rsid w:val="0077483C"/>
    <w:rsid w:val="0077525F"/>
    <w:rsid w:val="00787C43"/>
    <w:rsid w:val="007963CE"/>
    <w:rsid w:val="007A1E0F"/>
    <w:rsid w:val="007A6BD1"/>
    <w:rsid w:val="007B1024"/>
    <w:rsid w:val="007B1137"/>
    <w:rsid w:val="007B1E4D"/>
    <w:rsid w:val="007C0D6B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1B6C"/>
    <w:rsid w:val="007F4521"/>
    <w:rsid w:val="007F4CCF"/>
    <w:rsid w:val="007F566E"/>
    <w:rsid w:val="00801B82"/>
    <w:rsid w:val="0080218B"/>
    <w:rsid w:val="008065EB"/>
    <w:rsid w:val="008067BD"/>
    <w:rsid w:val="00821FD3"/>
    <w:rsid w:val="008237BD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4F85"/>
    <w:rsid w:val="008662D8"/>
    <w:rsid w:val="00877F4B"/>
    <w:rsid w:val="00882CA9"/>
    <w:rsid w:val="00895FE1"/>
    <w:rsid w:val="00897679"/>
    <w:rsid w:val="008B5A9F"/>
    <w:rsid w:val="008B7EDE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050E"/>
    <w:rsid w:val="009C5C60"/>
    <w:rsid w:val="009C69EC"/>
    <w:rsid w:val="009D1CC9"/>
    <w:rsid w:val="009D33A6"/>
    <w:rsid w:val="009D718D"/>
    <w:rsid w:val="009E0F24"/>
    <w:rsid w:val="009E3B02"/>
    <w:rsid w:val="009F14CC"/>
    <w:rsid w:val="009F2050"/>
    <w:rsid w:val="009F59C5"/>
    <w:rsid w:val="009F5EFC"/>
    <w:rsid w:val="00A0138B"/>
    <w:rsid w:val="00A04E26"/>
    <w:rsid w:val="00A126B8"/>
    <w:rsid w:val="00A163F2"/>
    <w:rsid w:val="00A23359"/>
    <w:rsid w:val="00A24396"/>
    <w:rsid w:val="00A307D1"/>
    <w:rsid w:val="00A328DF"/>
    <w:rsid w:val="00A32C71"/>
    <w:rsid w:val="00A36414"/>
    <w:rsid w:val="00A43F4F"/>
    <w:rsid w:val="00A456E6"/>
    <w:rsid w:val="00A55295"/>
    <w:rsid w:val="00A5554A"/>
    <w:rsid w:val="00A61170"/>
    <w:rsid w:val="00A61C5D"/>
    <w:rsid w:val="00A62338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A90"/>
    <w:rsid w:val="00AB2C77"/>
    <w:rsid w:val="00AB7EF5"/>
    <w:rsid w:val="00AC0921"/>
    <w:rsid w:val="00AC54D5"/>
    <w:rsid w:val="00AC65C8"/>
    <w:rsid w:val="00AD7A39"/>
    <w:rsid w:val="00AE1E38"/>
    <w:rsid w:val="00AE3764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7A5D"/>
    <w:rsid w:val="00B72E2F"/>
    <w:rsid w:val="00B75DC6"/>
    <w:rsid w:val="00B75FE1"/>
    <w:rsid w:val="00B7618D"/>
    <w:rsid w:val="00B8122B"/>
    <w:rsid w:val="00B85590"/>
    <w:rsid w:val="00B86FDB"/>
    <w:rsid w:val="00B949F9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3485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07826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66F8E"/>
    <w:rsid w:val="00E73E7E"/>
    <w:rsid w:val="00E8056B"/>
    <w:rsid w:val="00E85B42"/>
    <w:rsid w:val="00E9724E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E08CD"/>
    <w:rsid w:val="00EE1D8A"/>
    <w:rsid w:val="00EE6652"/>
    <w:rsid w:val="00EE7287"/>
    <w:rsid w:val="00EE73EE"/>
    <w:rsid w:val="00EF2B0C"/>
    <w:rsid w:val="00F01B73"/>
    <w:rsid w:val="00F039AA"/>
    <w:rsid w:val="00F053E3"/>
    <w:rsid w:val="00F05B6F"/>
    <w:rsid w:val="00F116CE"/>
    <w:rsid w:val="00F12809"/>
    <w:rsid w:val="00F13352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5D24"/>
    <w:rsid w:val="00F46939"/>
    <w:rsid w:val="00F534A8"/>
    <w:rsid w:val="00F5399C"/>
    <w:rsid w:val="00F63314"/>
    <w:rsid w:val="00F66A76"/>
    <w:rsid w:val="00F701F2"/>
    <w:rsid w:val="00F710D3"/>
    <w:rsid w:val="00F71288"/>
    <w:rsid w:val="00F73640"/>
    <w:rsid w:val="00F73D59"/>
    <w:rsid w:val="00F91CED"/>
    <w:rsid w:val="00F9264A"/>
    <w:rsid w:val="00F92CD1"/>
    <w:rsid w:val="00F97767"/>
    <w:rsid w:val="00FA213C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6625"/>
    <o:shapelayout v:ext="edit">
      <o:idmap v:ext="edit" data="1"/>
    </o:shapelayout>
  </w:shapeDefaults>
  <w:decimalSymbol w:val=","/>
  <w:listSeparator w:val=";"/>
  <w14:docId w14:val="7829E74B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3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3C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C0"/>
    <w:rPr>
      <w:b/>
      <w:bCs/>
      <w:lang w:val="lv-LV" w:eastAsia="lv-LV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locked/>
    <w:rsid w:val="0038178D"/>
    <w:rPr>
      <w:lang w:val="lv-LV"/>
    </w:rPr>
  </w:style>
  <w:style w:type="paragraph" w:customStyle="1" w:styleId="Body">
    <w:name w:val="Body"/>
    <w:rsid w:val="00036E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AD7F-C6DB-4026-9941-B655A87A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1608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liene.abola@vm.gov.lv</dc:creator>
  <dc:description>67876169, Ivita.Lazdina@vm.gov.lv, Nozares budžeta plānošanas departamenta _x000d_
vecākā eksperte</dc:description>
  <cp:lastModifiedBy>Leontine Babkina</cp:lastModifiedBy>
  <cp:revision>9</cp:revision>
  <cp:lastPrinted>2020-03-25T11:46:00Z</cp:lastPrinted>
  <dcterms:created xsi:type="dcterms:W3CDTF">2020-10-20T07:03:00Z</dcterms:created>
  <dcterms:modified xsi:type="dcterms:W3CDTF">2020-11-04T06:43:00Z</dcterms:modified>
</cp:coreProperties>
</file>