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4B0A" w14:textId="77777777" w:rsidR="006544D1" w:rsidRPr="00AB0A81" w:rsidRDefault="006544D1" w:rsidP="00654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CDBCDD66CA854E62BABF5118010DEBC9"/>
          </w:placeholder>
        </w:sdtPr>
        <w:sdtContent>
          <w:r w:rsidRPr="00AB0A81">
            <w:rPr>
              <w:rFonts w:ascii="Times New Roman" w:eastAsia="Times New Roman" w:hAnsi="Times New Roman" w:cs="Times New Roman"/>
              <w:b/>
              <w:bCs/>
              <w:color w:val="000000" w:themeColor="text1"/>
              <w:sz w:val="28"/>
              <w:szCs w:val="24"/>
              <w:lang w:eastAsia="lv-LV"/>
            </w:rPr>
            <w:t>Ministru kabineta noteikumu projekta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sdtContent>
      </w:sdt>
      <w:r w:rsidRPr="00AB0A81">
        <w:rPr>
          <w:rFonts w:ascii="Times New Roman" w:eastAsia="Times New Roman" w:hAnsi="Times New Roman" w:cs="Times New Roman"/>
          <w:b/>
          <w:bCs/>
          <w:color w:val="000000" w:themeColor="text1"/>
          <w:sz w:val="28"/>
          <w:szCs w:val="24"/>
          <w:lang w:eastAsia="lv-LV"/>
        </w:rPr>
        <w:br/>
        <w:t>sākotnējās ietekmes novērtējuma ziņojums (anotācija)</w:t>
      </w:r>
    </w:p>
    <w:p w14:paraId="64A1B338" w14:textId="77777777" w:rsidR="006544D1" w:rsidRPr="00AB0A81" w:rsidRDefault="006544D1" w:rsidP="006544D1">
      <w:pPr>
        <w:shd w:val="clear" w:color="auto" w:fill="FFFFFF"/>
        <w:spacing w:after="0" w:line="240" w:lineRule="auto"/>
        <w:rPr>
          <w:rFonts w:ascii="Times New Roman" w:eastAsia="Times New Roman" w:hAnsi="Times New Roman" w:cs="Times New Roman"/>
          <w:b/>
          <w:bCs/>
          <w:color w:val="000000" w:themeColor="text1"/>
          <w:sz w:val="28"/>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3"/>
        <w:gridCol w:w="6703"/>
      </w:tblGrid>
      <w:tr w:rsidR="006544D1" w:rsidRPr="00AB0A81" w14:paraId="0DBF43D9" w14:textId="77777777" w:rsidTr="00463E28">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A655D76" w14:textId="77777777" w:rsidR="006544D1" w:rsidRPr="00AB0A81" w:rsidRDefault="006544D1" w:rsidP="00463E28">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Tiesību akta projekta anotācijas kopsavilkums</w:t>
            </w:r>
          </w:p>
        </w:tc>
      </w:tr>
      <w:tr w:rsidR="006544D1" w:rsidRPr="00AB0A81" w14:paraId="124A3335" w14:textId="77777777" w:rsidTr="00463E28">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14:paraId="7D9A9659"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02" w:type="pct"/>
            <w:tcBorders>
              <w:top w:val="outset" w:sz="6" w:space="0" w:color="auto"/>
              <w:left w:val="outset" w:sz="6" w:space="0" w:color="auto"/>
              <w:bottom w:val="outset" w:sz="6" w:space="0" w:color="auto"/>
              <w:right w:val="outset" w:sz="6" w:space="0" w:color="auto"/>
            </w:tcBorders>
            <w:hideMark/>
          </w:tcPr>
          <w:p w14:paraId="2E86CF37" w14:textId="77777777" w:rsidR="006544D1" w:rsidRDefault="006544D1" w:rsidP="00463E28">
            <w:pPr>
              <w:spacing w:after="0" w:line="240" w:lineRule="auto"/>
              <w:ind w:firstLine="363"/>
              <w:jc w:val="both"/>
              <w:rPr>
                <w:rFonts w:ascii="Times New Roman" w:eastAsia="Times New Roman" w:hAnsi="Times New Roman" w:cs="Times New Roman"/>
                <w:iCs/>
                <w:color w:val="000000" w:themeColor="text1"/>
                <w:sz w:val="24"/>
                <w:szCs w:val="24"/>
                <w:lang w:eastAsia="lv-LV"/>
              </w:rPr>
            </w:pPr>
            <w:bookmarkStart w:id="0" w:name="_Hlk20126694"/>
            <w:r>
              <w:rPr>
                <w:rFonts w:ascii="Times New Roman" w:eastAsia="Times New Roman" w:hAnsi="Times New Roman" w:cs="Times New Roman"/>
                <w:iCs/>
                <w:color w:val="000000" w:themeColor="text1"/>
                <w:sz w:val="24"/>
                <w:szCs w:val="24"/>
                <w:lang w:eastAsia="lv-LV"/>
              </w:rPr>
              <w:t>Tiesību akts paredz</w:t>
            </w:r>
            <w:r w:rsidRPr="00AB0A81">
              <w:rPr>
                <w:rFonts w:ascii="Times New Roman" w:eastAsia="Times New Roman" w:hAnsi="Times New Roman" w:cs="Times New Roman"/>
                <w:iCs/>
                <w:color w:val="000000" w:themeColor="text1"/>
                <w:sz w:val="24"/>
                <w:szCs w:val="24"/>
                <w:lang w:eastAsia="lv-LV"/>
              </w:rPr>
              <w:t xml:space="preserve"> Ministru kabineta 2016. gada 15. marta noteikum</w:t>
            </w:r>
            <w:r>
              <w:rPr>
                <w:rFonts w:ascii="Times New Roman" w:eastAsia="Times New Roman" w:hAnsi="Times New Roman" w:cs="Times New Roman"/>
                <w:iCs/>
                <w:color w:val="000000" w:themeColor="text1"/>
                <w:sz w:val="24"/>
                <w:szCs w:val="24"/>
                <w:lang w:eastAsia="lv-LV"/>
              </w:rPr>
              <w:t>us</w:t>
            </w:r>
            <w:r w:rsidRPr="00AB0A81">
              <w:rPr>
                <w:rFonts w:ascii="Times New Roman" w:eastAsia="Times New Roman" w:hAnsi="Times New Roman" w:cs="Times New Roman"/>
                <w:iCs/>
                <w:color w:val="000000" w:themeColor="text1"/>
                <w:sz w:val="24"/>
                <w:szCs w:val="24"/>
                <w:lang w:eastAsia="lv-LV"/>
              </w:rPr>
              <w:t xml:space="preserve">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w:t>
            </w:r>
            <w:r>
              <w:rPr>
                <w:rFonts w:ascii="Times New Roman" w:eastAsia="Times New Roman" w:hAnsi="Times New Roman" w:cs="Times New Roman"/>
                <w:iCs/>
                <w:color w:val="000000" w:themeColor="text1"/>
                <w:sz w:val="24"/>
                <w:szCs w:val="24"/>
                <w:lang w:eastAsia="lv-LV"/>
              </w:rPr>
              <w:t>MK noteikumi Nr. 160</w:t>
            </w:r>
            <w:r w:rsidRPr="00AB0A81">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papildināt ar terminu, kura ietvaros noteikta cita finansētāja</w:t>
            </w:r>
            <w:r w:rsidRPr="003D216A">
              <w:rPr>
                <w:rFonts w:ascii="Times New Roman" w:eastAsia="Times New Roman" w:hAnsi="Times New Roman" w:cs="Times New Roman"/>
                <w:iCs/>
                <w:color w:val="000000" w:themeColor="text1"/>
                <w:sz w:val="24"/>
                <w:szCs w:val="24"/>
                <w:lang w:eastAsia="lv-LV"/>
              </w:rPr>
              <w:t xml:space="preserve"> apliecinājum</w:t>
            </w:r>
            <w:r>
              <w:rPr>
                <w:rFonts w:ascii="Times New Roman" w:eastAsia="Times New Roman" w:hAnsi="Times New Roman" w:cs="Times New Roman"/>
                <w:iCs/>
                <w:color w:val="000000" w:themeColor="text1"/>
                <w:sz w:val="24"/>
                <w:szCs w:val="24"/>
                <w:lang w:eastAsia="lv-LV"/>
              </w:rPr>
              <w:t>a definīcija.</w:t>
            </w:r>
          </w:p>
          <w:p w14:paraId="04C846A1" w14:textId="77777777" w:rsidR="006544D1" w:rsidRPr="00AB0A81" w:rsidRDefault="006544D1" w:rsidP="00463E28">
            <w:pPr>
              <w:spacing w:after="0" w:line="240" w:lineRule="auto"/>
              <w:ind w:firstLine="363"/>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0"/>
          </w:p>
        </w:tc>
      </w:tr>
    </w:tbl>
    <w:p w14:paraId="439B2BE1"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797"/>
        <w:gridCol w:w="6691"/>
      </w:tblGrid>
      <w:tr w:rsidR="006544D1" w:rsidRPr="00AB0A81" w14:paraId="1E04C57B" w14:textId="77777777" w:rsidTr="00463E2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2EF3659" w14:textId="77777777" w:rsidR="006544D1" w:rsidRPr="00AB0A81" w:rsidRDefault="006544D1" w:rsidP="00463E28">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544D1" w:rsidRPr="00AB0A81" w14:paraId="0BD2BDD2"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818CEA9"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14:paraId="2ABCEE1B"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Pamatojums</w:t>
            </w:r>
          </w:p>
        </w:tc>
        <w:tc>
          <w:tcPr>
            <w:tcW w:w="3291" w:type="pct"/>
            <w:tcBorders>
              <w:top w:val="outset" w:sz="6" w:space="0" w:color="auto"/>
              <w:left w:val="outset" w:sz="6" w:space="0" w:color="auto"/>
              <w:bottom w:val="outset" w:sz="6" w:space="0" w:color="auto"/>
              <w:right w:val="outset" w:sz="6" w:space="0" w:color="auto"/>
            </w:tcBorders>
            <w:hideMark/>
          </w:tcPr>
          <w:p w14:paraId="2D074AF1" w14:textId="77777777" w:rsidR="006544D1" w:rsidRPr="00AB0A81" w:rsidRDefault="006544D1" w:rsidP="00463E28">
            <w:pPr>
              <w:pStyle w:val="ListParagraph"/>
              <w:ind w:left="0" w:firstLine="360"/>
              <w:jc w:val="both"/>
              <w:rPr>
                <w:iCs/>
                <w:color w:val="000000" w:themeColor="text1"/>
                <w:sz w:val="24"/>
                <w:szCs w:val="24"/>
              </w:rPr>
            </w:pPr>
            <w:r w:rsidRPr="006C73AA">
              <w:rPr>
                <w:iCs/>
                <w:color w:val="000000" w:themeColor="text1"/>
                <w:sz w:val="24"/>
                <w:szCs w:val="24"/>
              </w:rPr>
              <w:t>Eiropas Savienības struktūrfondu un Kohēzijas fonda 2014.–2020. gada plānošanas perioda vadības likuma 20. panta 13. un 14.</w:t>
            </w:r>
            <w:r>
              <w:rPr>
                <w:iCs/>
                <w:color w:val="000000" w:themeColor="text1"/>
                <w:sz w:val="24"/>
                <w:szCs w:val="24"/>
              </w:rPr>
              <w:t> </w:t>
            </w:r>
            <w:r w:rsidRPr="006C73AA">
              <w:rPr>
                <w:iCs/>
                <w:color w:val="000000" w:themeColor="text1"/>
                <w:sz w:val="24"/>
                <w:szCs w:val="24"/>
              </w:rPr>
              <w:t>punkts</w:t>
            </w:r>
            <w:r>
              <w:rPr>
                <w:iCs/>
                <w:color w:val="000000" w:themeColor="text1"/>
                <w:sz w:val="24"/>
                <w:szCs w:val="24"/>
              </w:rPr>
              <w:t>.</w:t>
            </w:r>
          </w:p>
        </w:tc>
      </w:tr>
      <w:tr w:rsidR="006544D1" w:rsidRPr="00AB0A81" w14:paraId="479F6979"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EC8D298"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383" w:type="pct"/>
            <w:tcBorders>
              <w:top w:val="outset" w:sz="6" w:space="0" w:color="auto"/>
              <w:left w:val="outset" w:sz="6" w:space="0" w:color="auto"/>
              <w:bottom w:val="outset" w:sz="6" w:space="0" w:color="auto"/>
              <w:right w:val="outset" w:sz="6" w:space="0" w:color="auto"/>
            </w:tcBorders>
            <w:hideMark/>
          </w:tcPr>
          <w:p w14:paraId="6943D8A0" w14:textId="77777777" w:rsidR="006544D1" w:rsidRPr="004067D3" w:rsidRDefault="006544D1" w:rsidP="00463E28">
            <w:pPr>
              <w:jc w:val="both"/>
              <w:rPr>
                <w:rFonts w:ascii="Times New Roman" w:eastAsia="Times New Roman" w:hAnsi="Times New Roman" w:cs="Times New Roman"/>
                <w:sz w:val="24"/>
                <w:szCs w:val="24"/>
                <w:lang w:eastAsia="lv-LV"/>
              </w:rPr>
            </w:pPr>
            <w:r w:rsidRPr="00AB0A8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91" w:type="pct"/>
            <w:tcBorders>
              <w:top w:val="outset" w:sz="6" w:space="0" w:color="auto"/>
              <w:left w:val="outset" w:sz="6" w:space="0" w:color="auto"/>
              <w:bottom w:val="outset" w:sz="6" w:space="0" w:color="auto"/>
              <w:right w:val="outset" w:sz="6" w:space="0" w:color="auto"/>
            </w:tcBorders>
          </w:tcPr>
          <w:p w14:paraId="6ADA4FEF" w14:textId="77777777" w:rsidR="006544D1" w:rsidRDefault="006544D1" w:rsidP="00463E28">
            <w:pPr>
              <w:pStyle w:val="ListParagraph"/>
              <w:ind w:left="0" w:firstLine="360"/>
              <w:jc w:val="both"/>
              <w:rPr>
                <w:iCs/>
                <w:color w:val="000000" w:themeColor="text1"/>
                <w:sz w:val="24"/>
                <w:szCs w:val="24"/>
              </w:rPr>
            </w:pPr>
            <w:r>
              <w:rPr>
                <w:iCs/>
                <w:color w:val="000000" w:themeColor="text1"/>
                <w:sz w:val="24"/>
                <w:szCs w:val="24"/>
              </w:rPr>
              <w:t>Ekonomikas ministrija (turpmāk – EM) ierosina papildināt MK noteikumus Nr. 160 ar terminu, kas nosaka, ka, n</w:t>
            </w:r>
            <w:r w:rsidRPr="00AA3515">
              <w:rPr>
                <w:iCs/>
                <w:color w:val="000000" w:themeColor="text1"/>
                <w:sz w:val="24"/>
                <w:szCs w:val="24"/>
              </w:rPr>
              <w:t xml:space="preserve">esaņemot kredītiestādes apliecinājumu </w:t>
            </w:r>
            <w:r>
              <w:rPr>
                <w:iCs/>
                <w:color w:val="000000" w:themeColor="text1"/>
                <w:sz w:val="24"/>
                <w:szCs w:val="24"/>
              </w:rPr>
              <w:t>20 darba dienu</w:t>
            </w:r>
            <w:r w:rsidRPr="00AA3515">
              <w:rPr>
                <w:iCs/>
                <w:color w:val="000000" w:themeColor="text1"/>
                <w:sz w:val="24"/>
                <w:szCs w:val="24"/>
              </w:rPr>
              <w:t xml:space="preserve"> laikā, uzskatāms, ka kredītiestāde pēc noklusējuma ir apliecinājusi, ka dzīvokļa īpašnieki var pieteikties aizdevumam </w:t>
            </w:r>
            <w:r>
              <w:rPr>
                <w:iCs/>
                <w:color w:val="000000" w:themeColor="text1"/>
                <w:sz w:val="24"/>
                <w:szCs w:val="24"/>
              </w:rPr>
              <w:t>akciju sabiedrībā (</w:t>
            </w:r>
            <w:r w:rsidRPr="000561C4">
              <w:rPr>
                <w:iCs/>
                <w:color w:val="000000" w:themeColor="text1"/>
                <w:sz w:val="24"/>
                <w:szCs w:val="24"/>
              </w:rPr>
              <w:t>AS</w:t>
            </w:r>
            <w:r>
              <w:rPr>
                <w:iCs/>
                <w:color w:val="000000" w:themeColor="text1"/>
                <w:sz w:val="24"/>
                <w:szCs w:val="24"/>
              </w:rPr>
              <w:t>)</w:t>
            </w:r>
            <w:r w:rsidRPr="000561C4">
              <w:rPr>
                <w:iCs/>
                <w:color w:val="000000" w:themeColor="text1"/>
                <w:sz w:val="24"/>
                <w:szCs w:val="24"/>
              </w:rPr>
              <w:t xml:space="preserve"> "Attīstības finanšu institūcija </w:t>
            </w:r>
            <w:proofErr w:type="spellStart"/>
            <w:r w:rsidRPr="000561C4">
              <w:rPr>
                <w:iCs/>
                <w:color w:val="000000" w:themeColor="text1"/>
                <w:sz w:val="24"/>
                <w:szCs w:val="24"/>
              </w:rPr>
              <w:t>Altum</w:t>
            </w:r>
            <w:proofErr w:type="spellEnd"/>
            <w:r w:rsidRPr="000561C4">
              <w:rPr>
                <w:iCs/>
                <w:color w:val="000000" w:themeColor="text1"/>
                <w:sz w:val="24"/>
                <w:szCs w:val="24"/>
              </w:rPr>
              <w:t xml:space="preserve">" </w:t>
            </w:r>
            <w:r>
              <w:rPr>
                <w:iCs/>
                <w:color w:val="000000" w:themeColor="text1"/>
                <w:sz w:val="24"/>
                <w:szCs w:val="24"/>
              </w:rPr>
              <w:t xml:space="preserve">(turpmāk – </w:t>
            </w:r>
            <w:r w:rsidRPr="00AA3515">
              <w:rPr>
                <w:iCs/>
                <w:color w:val="000000" w:themeColor="text1"/>
                <w:sz w:val="24"/>
                <w:szCs w:val="24"/>
              </w:rPr>
              <w:t>sabiedrīb</w:t>
            </w:r>
            <w:r>
              <w:rPr>
                <w:iCs/>
                <w:color w:val="000000" w:themeColor="text1"/>
                <w:sz w:val="24"/>
                <w:szCs w:val="24"/>
              </w:rPr>
              <w:t xml:space="preserve">a </w:t>
            </w:r>
            <w:r w:rsidRPr="005A57B2">
              <w:rPr>
                <w:iCs/>
                <w:sz w:val="24"/>
                <w:szCs w:val="24"/>
              </w:rPr>
              <w:t>"</w:t>
            </w:r>
            <w:proofErr w:type="spellStart"/>
            <w:r w:rsidRPr="00C27EA0">
              <w:rPr>
                <w:iCs/>
                <w:sz w:val="24"/>
                <w:szCs w:val="24"/>
              </w:rPr>
              <w:t>Altum</w:t>
            </w:r>
            <w:proofErr w:type="spellEnd"/>
            <w:r w:rsidRPr="005A57B2">
              <w:rPr>
                <w:iCs/>
                <w:sz w:val="24"/>
                <w:szCs w:val="24"/>
              </w:rPr>
              <w:t>"</w:t>
            </w:r>
            <w:r>
              <w:rPr>
                <w:iCs/>
                <w:sz w:val="24"/>
                <w:szCs w:val="24"/>
              </w:rPr>
              <w:t>)</w:t>
            </w:r>
            <w:r>
              <w:rPr>
                <w:iCs/>
                <w:color w:val="000000" w:themeColor="text1"/>
                <w:sz w:val="24"/>
                <w:szCs w:val="24"/>
              </w:rPr>
              <w:t xml:space="preserve"> </w:t>
            </w:r>
            <w:r w:rsidRPr="00B4109F">
              <w:rPr>
                <w:iCs/>
                <w:color w:val="000000" w:themeColor="text1"/>
                <w:sz w:val="24"/>
                <w:szCs w:val="24"/>
              </w:rPr>
              <w:t>4.2.1.1. specifiskā atbalsta mērķa pasākuma "Veicināt energoefektivitātes paaugstināšanu dzīvojamās ēkās" (turpmāk – 4.2.1.1. pasākums)</w:t>
            </w:r>
            <w:r>
              <w:rPr>
                <w:iCs/>
                <w:color w:val="000000" w:themeColor="text1"/>
                <w:sz w:val="24"/>
                <w:szCs w:val="24"/>
              </w:rPr>
              <w:t xml:space="preserve"> ietvaros. EM ierosinātās izmaiņas nepieciešamas, lai veicinātu 4.2.1.1. pasākuma apguvi, nodrošinot ātrāku projektu īstenošanu.</w:t>
            </w:r>
          </w:p>
          <w:p w14:paraId="54396D8C" w14:textId="77777777" w:rsidR="006544D1" w:rsidRPr="00C27EA0" w:rsidRDefault="006544D1" w:rsidP="00463E28">
            <w:pPr>
              <w:pStyle w:val="ListParagraph"/>
              <w:ind w:left="0" w:firstLine="360"/>
              <w:jc w:val="both"/>
              <w:rPr>
                <w:iCs/>
                <w:sz w:val="24"/>
                <w:szCs w:val="24"/>
              </w:rPr>
            </w:pPr>
            <w:r>
              <w:rPr>
                <w:iCs/>
                <w:sz w:val="24"/>
                <w:szCs w:val="24"/>
              </w:rPr>
              <w:t>Līdz</w:t>
            </w:r>
            <w:r w:rsidRPr="001A0F99">
              <w:rPr>
                <w:iCs/>
                <w:sz w:val="24"/>
                <w:szCs w:val="24"/>
              </w:rPr>
              <w:t xml:space="preserve"> 2020</w:t>
            </w:r>
            <w:r>
              <w:rPr>
                <w:iCs/>
                <w:sz w:val="24"/>
                <w:szCs w:val="24"/>
              </w:rPr>
              <w:t>.gada 21.augustam</w:t>
            </w:r>
            <w:r w:rsidRPr="001A0F99">
              <w:rPr>
                <w:iCs/>
                <w:sz w:val="24"/>
                <w:szCs w:val="24"/>
              </w:rPr>
              <w:t xml:space="preserve"> </w:t>
            </w:r>
            <w:r>
              <w:rPr>
                <w:iCs/>
                <w:sz w:val="24"/>
                <w:szCs w:val="24"/>
              </w:rPr>
              <w:t xml:space="preserve">sabiedrība </w:t>
            </w:r>
            <w:r w:rsidRPr="006C73AA">
              <w:rPr>
                <w:iCs/>
                <w:color w:val="000000" w:themeColor="text1"/>
                <w:sz w:val="24"/>
                <w:szCs w:val="24"/>
              </w:rPr>
              <w:t>"</w:t>
            </w:r>
            <w:proofErr w:type="spellStart"/>
            <w:r w:rsidRPr="001A0F99">
              <w:rPr>
                <w:iCs/>
                <w:sz w:val="24"/>
                <w:szCs w:val="24"/>
              </w:rPr>
              <w:t>Altum</w:t>
            </w:r>
            <w:proofErr w:type="spellEnd"/>
            <w:r w:rsidRPr="006C73AA">
              <w:rPr>
                <w:iCs/>
                <w:color w:val="000000" w:themeColor="text1"/>
                <w:sz w:val="24"/>
                <w:szCs w:val="24"/>
              </w:rPr>
              <w:t>"</w:t>
            </w:r>
            <w:r w:rsidRPr="001A0F99">
              <w:rPr>
                <w:iCs/>
                <w:sz w:val="24"/>
                <w:szCs w:val="24"/>
              </w:rPr>
              <w:t xml:space="preserve"> ir saņēm</w:t>
            </w:r>
            <w:r>
              <w:rPr>
                <w:iCs/>
                <w:sz w:val="24"/>
                <w:szCs w:val="24"/>
              </w:rPr>
              <w:t>usi</w:t>
            </w:r>
            <w:r w:rsidRPr="001A0F99">
              <w:rPr>
                <w:iCs/>
                <w:sz w:val="24"/>
                <w:szCs w:val="24"/>
              </w:rPr>
              <w:t xml:space="preserve"> 887 pieteikumus dalībai </w:t>
            </w:r>
            <w:r>
              <w:rPr>
                <w:iCs/>
                <w:sz w:val="24"/>
                <w:szCs w:val="24"/>
              </w:rPr>
              <w:t>4.2.1.1. pasākumā, n</w:t>
            </w:r>
            <w:r w:rsidRPr="001A0F99">
              <w:rPr>
                <w:iCs/>
                <w:sz w:val="24"/>
                <w:szCs w:val="24"/>
              </w:rPr>
              <w:t xml:space="preserve">o </w:t>
            </w:r>
            <w:r>
              <w:rPr>
                <w:iCs/>
                <w:sz w:val="24"/>
                <w:szCs w:val="24"/>
              </w:rPr>
              <w:t xml:space="preserve">kuriem </w:t>
            </w:r>
            <w:r w:rsidRPr="00C27EA0">
              <w:rPr>
                <w:iCs/>
                <w:sz w:val="24"/>
                <w:szCs w:val="24"/>
              </w:rPr>
              <w:t>10 projekti precizē savu</w:t>
            </w:r>
            <w:r>
              <w:rPr>
                <w:iCs/>
                <w:sz w:val="24"/>
                <w:szCs w:val="24"/>
              </w:rPr>
              <w:t>s</w:t>
            </w:r>
            <w:r w:rsidRPr="00C27EA0">
              <w:rPr>
                <w:iCs/>
                <w:sz w:val="24"/>
                <w:szCs w:val="24"/>
              </w:rPr>
              <w:t xml:space="preserve"> pieteikumu</w:t>
            </w:r>
            <w:r>
              <w:rPr>
                <w:iCs/>
                <w:sz w:val="24"/>
                <w:szCs w:val="24"/>
              </w:rPr>
              <w:t>s</w:t>
            </w:r>
            <w:r w:rsidRPr="00C27EA0">
              <w:rPr>
                <w:iCs/>
                <w:sz w:val="24"/>
                <w:szCs w:val="24"/>
              </w:rPr>
              <w:t xml:space="preserve">, </w:t>
            </w:r>
            <w:r>
              <w:rPr>
                <w:iCs/>
                <w:sz w:val="24"/>
                <w:szCs w:val="24"/>
              </w:rPr>
              <w:t>kā arī</w:t>
            </w:r>
            <w:r w:rsidRPr="00C27EA0">
              <w:rPr>
                <w:iCs/>
                <w:sz w:val="24"/>
                <w:szCs w:val="24"/>
              </w:rPr>
              <w:t xml:space="preserve"> 27 projekti ir iesnieguši oficiālus atteikumus no dalības </w:t>
            </w:r>
            <w:r>
              <w:rPr>
                <w:iCs/>
                <w:sz w:val="24"/>
                <w:szCs w:val="24"/>
              </w:rPr>
              <w:t>4.2.1.1. pasākumā</w:t>
            </w:r>
            <w:r w:rsidRPr="00C27EA0">
              <w:rPr>
                <w:iCs/>
                <w:sz w:val="24"/>
                <w:szCs w:val="24"/>
              </w:rPr>
              <w:t xml:space="preserve">. </w:t>
            </w:r>
            <w:r>
              <w:rPr>
                <w:iCs/>
                <w:sz w:val="24"/>
                <w:szCs w:val="24"/>
              </w:rPr>
              <w:t>Atlikušie</w:t>
            </w:r>
            <w:r w:rsidRPr="00C27EA0">
              <w:rPr>
                <w:iCs/>
                <w:sz w:val="24"/>
                <w:szCs w:val="24"/>
              </w:rPr>
              <w:t xml:space="preserve"> projekti </w:t>
            </w:r>
            <w:r>
              <w:rPr>
                <w:iCs/>
                <w:sz w:val="24"/>
                <w:szCs w:val="24"/>
              </w:rPr>
              <w:t>atrodas šādos īstenošanas</w:t>
            </w:r>
            <w:r w:rsidRPr="00C27EA0">
              <w:rPr>
                <w:iCs/>
                <w:sz w:val="24"/>
                <w:szCs w:val="24"/>
              </w:rPr>
              <w:t xml:space="preserve"> pos</w:t>
            </w:r>
            <w:r>
              <w:rPr>
                <w:iCs/>
                <w:sz w:val="24"/>
                <w:szCs w:val="24"/>
              </w:rPr>
              <w:t>mos</w:t>
            </w:r>
            <w:r w:rsidRPr="00C27EA0">
              <w:rPr>
                <w:iCs/>
                <w:sz w:val="24"/>
                <w:szCs w:val="24"/>
              </w:rPr>
              <w:t>:</w:t>
            </w:r>
          </w:p>
          <w:p w14:paraId="3A2C7917" w14:textId="77777777" w:rsidR="006544D1" w:rsidRDefault="006544D1" w:rsidP="00463E28">
            <w:pPr>
              <w:pStyle w:val="ListParagraph"/>
              <w:numPr>
                <w:ilvl w:val="0"/>
                <w:numId w:val="20"/>
              </w:numPr>
              <w:tabs>
                <w:tab w:val="left" w:pos="529"/>
              </w:tabs>
              <w:ind w:left="0" w:firstLine="311"/>
              <w:jc w:val="both"/>
              <w:rPr>
                <w:iCs/>
                <w:sz w:val="24"/>
                <w:szCs w:val="24"/>
              </w:rPr>
            </w:pPr>
            <w:r w:rsidRPr="00C27EA0">
              <w:rPr>
                <w:iCs/>
                <w:sz w:val="24"/>
                <w:szCs w:val="24"/>
              </w:rPr>
              <w:t>242 projektiem notiek tehniskās dokumentācijas saskaņošanas un precizēšanas process</w:t>
            </w:r>
            <w:r>
              <w:rPr>
                <w:iCs/>
                <w:sz w:val="24"/>
                <w:szCs w:val="24"/>
              </w:rPr>
              <w:t>;</w:t>
            </w:r>
          </w:p>
          <w:p w14:paraId="572E2A0A" w14:textId="77777777" w:rsidR="006544D1" w:rsidRDefault="006544D1" w:rsidP="00463E28">
            <w:pPr>
              <w:pStyle w:val="ListParagraph"/>
              <w:numPr>
                <w:ilvl w:val="0"/>
                <w:numId w:val="20"/>
              </w:numPr>
              <w:tabs>
                <w:tab w:val="left" w:pos="529"/>
              </w:tabs>
              <w:ind w:left="0" w:firstLine="246"/>
              <w:jc w:val="both"/>
              <w:rPr>
                <w:iCs/>
                <w:sz w:val="24"/>
                <w:szCs w:val="24"/>
              </w:rPr>
            </w:pPr>
            <w:r w:rsidRPr="00C27EA0">
              <w:rPr>
                <w:iCs/>
                <w:sz w:val="24"/>
                <w:szCs w:val="24"/>
              </w:rPr>
              <w:t>176 projektos</w:t>
            </w:r>
            <w:r>
              <w:rPr>
                <w:iCs/>
                <w:sz w:val="24"/>
                <w:szCs w:val="24"/>
              </w:rPr>
              <w:t xml:space="preserve"> tiek organizēti</w:t>
            </w:r>
            <w:r w:rsidRPr="00C27EA0">
              <w:rPr>
                <w:iCs/>
                <w:sz w:val="24"/>
                <w:szCs w:val="24"/>
              </w:rPr>
              <w:t xml:space="preserve"> </w:t>
            </w:r>
            <w:r>
              <w:rPr>
                <w:iCs/>
                <w:sz w:val="24"/>
                <w:szCs w:val="24"/>
              </w:rPr>
              <w:t>i</w:t>
            </w:r>
            <w:r w:rsidRPr="00C27EA0">
              <w:rPr>
                <w:iCs/>
                <w:sz w:val="24"/>
                <w:szCs w:val="24"/>
              </w:rPr>
              <w:t>epirkumi</w:t>
            </w:r>
            <w:r>
              <w:rPr>
                <w:iCs/>
                <w:sz w:val="24"/>
                <w:szCs w:val="24"/>
              </w:rPr>
              <w:t>;</w:t>
            </w:r>
          </w:p>
          <w:p w14:paraId="210FB4CD" w14:textId="77777777" w:rsidR="006544D1" w:rsidRDefault="006544D1" w:rsidP="00463E28">
            <w:pPr>
              <w:pStyle w:val="ListParagraph"/>
              <w:numPr>
                <w:ilvl w:val="0"/>
                <w:numId w:val="20"/>
              </w:numPr>
              <w:tabs>
                <w:tab w:val="left" w:pos="529"/>
              </w:tabs>
              <w:ind w:left="0" w:firstLine="246"/>
              <w:jc w:val="both"/>
              <w:rPr>
                <w:iCs/>
                <w:sz w:val="24"/>
                <w:szCs w:val="24"/>
              </w:rPr>
            </w:pPr>
            <w:r>
              <w:rPr>
                <w:iCs/>
                <w:sz w:val="24"/>
                <w:szCs w:val="24"/>
              </w:rPr>
              <w:t>79 projektos i</w:t>
            </w:r>
            <w:r w:rsidRPr="00C27EA0">
              <w:rPr>
                <w:iCs/>
                <w:sz w:val="24"/>
                <w:szCs w:val="24"/>
              </w:rPr>
              <w:t>epirkum</w:t>
            </w:r>
            <w:r>
              <w:rPr>
                <w:iCs/>
                <w:sz w:val="24"/>
                <w:szCs w:val="24"/>
              </w:rPr>
              <w:t>a process ir</w:t>
            </w:r>
            <w:r w:rsidRPr="00C27EA0">
              <w:rPr>
                <w:iCs/>
                <w:sz w:val="24"/>
                <w:szCs w:val="24"/>
              </w:rPr>
              <w:t xml:space="preserve"> pabeigts, bet nav saņemts </w:t>
            </w:r>
            <w:proofErr w:type="spellStart"/>
            <w:r w:rsidRPr="00C27EA0">
              <w:rPr>
                <w:iCs/>
                <w:sz w:val="24"/>
                <w:szCs w:val="24"/>
              </w:rPr>
              <w:t>granta</w:t>
            </w:r>
            <w:proofErr w:type="spellEnd"/>
            <w:r w:rsidRPr="00C27EA0">
              <w:rPr>
                <w:iCs/>
                <w:sz w:val="24"/>
                <w:szCs w:val="24"/>
              </w:rPr>
              <w:t xml:space="preserve"> pieteikums. Granta pieteikuma iesniegšana kavējās dažādu iemeslu dēļ, kā piemēram, nav 2.kopsapulces lēmums pieņemts vai tiek gaidīta informācija par finansējuma piešķiršanu no komercbankas, vai arī ir saņemts atteikums no komercbankas, taču ņemot vērā to, ka </w:t>
            </w:r>
            <w:r>
              <w:rPr>
                <w:iCs/>
                <w:sz w:val="24"/>
                <w:szCs w:val="24"/>
              </w:rPr>
              <w:t xml:space="preserve">sabiedrība </w:t>
            </w:r>
            <w:r w:rsidRPr="005A57B2">
              <w:rPr>
                <w:iCs/>
                <w:sz w:val="24"/>
                <w:szCs w:val="24"/>
              </w:rPr>
              <w:t>"</w:t>
            </w:r>
            <w:proofErr w:type="spellStart"/>
            <w:r w:rsidRPr="00C27EA0">
              <w:rPr>
                <w:iCs/>
                <w:sz w:val="24"/>
                <w:szCs w:val="24"/>
              </w:rPr>
              <w:t>Altum</w:t>
            </w:r>
            <w:proofErr w:type="spellEnd"/>
            <w:r w:rsidRPr="005A57B2">
              <w:rPr>
                <w:iCs/>
                <w:sz w:val="24"/>
                <w:szCs w:val="24"/>
              </w:rPr>
              <w:t>"</w:t>
            </w:r>
            <w:r w:rsidRPr="00C27EA0">
              <w:rPr>
                <w:iCs/>
                <w:sz w:val="24"/>
                <w:szCs w:val="24"/>
              </w:rPr>
              <w:t xml:space="preserve"> nevar</w:t>
            </w:r>
            <w:r>
              <w:rPr>
                <w:iCs/>
                <w:sz w:val="24"/>
                <w:szCs w:val="24"/>
              </w:rPr>
              <w:t xml:space="preserve"> </w:t>
            </w:r>
            <w:r w:rsidRPr="00C27EA0">
              <w:rPr>
                <w:iCs/>
                <w:sz w:val="24"/>
                <w:szCs w:val="24"/>
              </w:rPr>
              <w:t xml:space="preserve">komercbanku atteikumu </w:t>
            </w:r>
            <w:r w:rsidRPr="00C27EA0">
              <w:rPr>
                <w:iCs/>
                <w:sz w:val="24"/>
                <w:szCs w:val="24"/>
              </w:rPr>
              <w:lastRenderedPageBreak/>
              <w:t xml:space="preserve">gadījumā finansēt projektu ar neattiecināmām izmaksām, projekta turpmākā </w:t>
            </w:r>
            <w:r>
              <w:rPr>
                <w:iCs/>
                <w:sz w:val="24"/>
                <w:szCs w:val="24"/>
              </w:rPr>
              <w:t>īstenošana</w:t>
            </w:r>
            <w:r w:rsidRPr="00C27EA0">
              <w:rPr>
                <w:iCs/>
                <w:sz w:val="24"/>
                <w:szCs w:val="24"/>
              </w:rPr>
              <w:t xml:space="preserve"> ir apstājusies</w:t>
            </w:r>
            <w:r>
              <w:rPr>
                <w:iCs/>
                <w:sz w:val="24"/>
                <w:szCs w:val="24"/>
              </w:rPr>
              <w:t>;</w:t>
            </w:r>
          </w:p>
          <w:p w14:paraId="7297D6EA" w14:textId="77777777" w:rsidR="006544D1" w:rsidRDefault="006544D1" w:rsidP="00463E28">
            <w:pPr>
              <w:pStyle w:val="ListParagraph"/>
              <w:numPr>
                <w:ilvl w:val="0"/>
                <w:numId w:val="20"/>
              </w:numPr>
              <w:tabs>
                <w:tab w:val="left" w:pos="529"/>
              </w:tabs>
              <w:ind w:left="0" w:firstLine="246"/>
              <w:jc w:val="both"/>
              <w:rPr>
                <w:iCs/>
                <w:sz w:val="24"/>
                <w:szCs w:val="24"/>
              </w:rPr>
            </w:pPr>
            <w:r w:rsidRPr="00C27EA0">
              <w:rPr>
                <w:iCs/>
                <w:sz w:val="24"/>
                <w:szCs w:val="24"/>
              </w:rPr>
              <w:t xml:space="preserve">55 </w:t>
            </w:r>
            <w:proofErr w:type="spellStart"/>
            <w:r>
              <w:rPr>
                <w:iCs/>
                <w:sz w:val="24"/>
                <w:szCs w:val="24"/>
              </w:rPr>
              <w:t>g</w:t>
            </w:r>
            <w:r w:rsidRPr="00C27EA0">
              <w:rPr>
                <w:iCs/>
                <w:sz w:val="24"/>
                <w:szCs w:val="24"/>
              </w:rPr>
              <w:t>ranta</w:t>
            </w:r>
            <w:proofErr w:type="spellEnd"/>
            <w:r w:rsidRPr="00C27EA0">
              <w:rPr>
                <w:iCs/>
                <w:sz w:val="24"/>
                <w:szCs w:val="24"/>
              </w:rPr>
              <w:t xml:space="preserve"> pieteikumi </w:t>
            </w:r>
            <w:r>
              <w:rPr>
                <w:iCs/>
                <w:sz w:val="24"/>
                <w:szCs w:val="24"/>
              </w:rPr>
              <w:t xml:space="preserve">ir </w:t>
            </w:r>
            <w:r w:rsidRPr="00C27EA0">
              <w:rPr>
                <w:iCs/>
                <w:sz w:val="24"/>
                <w:szCs w:val="24"/>
              </w:rPr>
              <w:t>izskatīšanā</w:t>
            </w:r>
            <w:r>
              <w:rPr>
                <w:iCs/>
                <w:sz w:val="24"/>
                <w:szCs w:val="24"/>
              </w:rPr>
              <w:t>;</w:t>
            </w:r>
          </w:p>
          <w:p w14:paraId="461CC2EC" w14:textId="77777777" w:rsidR="006544D1" w:rsidRDefault="006544D1" w:rsidP="00463E28">
            <w:pPr>
              <w:pStyle w:val="ListParagraph"/>
              <w:numPr>
                <w:ilvl w:val="0"/>
                <w:numId w:val="20"/>
              </w:numPr>
              <w:tabs>
                <w:tab w:val="left" w:pos="529"/>
              </w:tabs>
              <w:ind w:left="0" w:firstLine="246"/>
              <w:jc w:val="both"/>
              <w:rPr>
                <w:iCs/>
                <w:sz w:val="24"/>
                <w:szCs w:val="24"/>
              </w:rPr>
            </w:pPr>
            <w:r w:rsidRPr="00C27EA0">
              <w:rPr>
                <w:iCs/>
                <w:sz w:val="24"/>
                <w:szCs w:val="24"/>
              </w:rPr>
              <w:t xml:space="preserve">43 projektos </w:t>
            </w:r>
            <w:r>
              <w:rPr>
                <w:iCs/>
                <w:sz w:val="24"/>
                <w:szCs w:val="24"/>
              </w:rPr>
              <w:t>ir p</w:t>
            </w:r>
            <w:r w:rsidRPr="00C27EA0">
              <w:rPr>
                <w:iCs/>
                <w:sz w:val="24"/>
                <w:szCs w:val="24"/>
              </w:rPr>
              <w:t xml:space="preserve">ieņemti lēmumi par </w:t>
            </w:r>
            <w:proofErr w:type="spellStart"/>
            <w:r w:rsidRPr="00C27EA0">
              <w:rPr>
                <w:iCs/>
                <w:sz w:val="24"/>
                <w:szCs w:val="24"/>
              </w:rPr>
              <w:t>granta</w:t>
            </w:r>
            <w:proofErr w:type="spellEnd"/>
            <w:r w:rsidRPr="00C27EA0">
              <w:rPr>
                <w:iCs/>
                <w:sz w:val="24"/>
                <w:szCs w:val="24"/>
              </w:rPr>
              <w:t xml:space="preserve"> piešķiršanu, bet projekti nav uzsākti.</w:t>
            </w:r>
          </w:p>
          <w:p w14:paraId="586EB192" w14:textId="77777777" w:rsidR="006544D1" w:rsidRPr="00603BE6" w:rsidRDefault="006544D1" w:rsidP="00463E28">
            <w:pPr>
              <w:pStyle w:val="ListParagraph"/>
              <w:numPr>
                <w:ilvl w:val="0"/>
                <w:numId w:val="20"/>
              </w:numPr>
              <w:tabs>
                <w:tab w:val="left" w:pos="529"/>
              </w:tabs>
              <w:ind w:left="0" w:firstLine="246"/>
              <w:jc w:val="both"/>
              <w:rPr>
                <w:iCs/>
                <w:sz w:val="24"/>
                <w:szCs w:val="24"/>
              </w:rPr>
            </w:pPr>
            <w:r w:rsidRPr="00603BE6">
              <w:rPr>
                <w:iCs/>
                <w:sz w:val="24"/>
                <w:szCs w:val="24"/>
              </w:rPr>
              <w:t>56 projektos notiek būvniecība</w:t>
            </w:r>
            <w:r>
              <w:rPr>
                <w:iCs/>
                <w:sz w:val="24"/>
                <w:szCs w:val="24"/>
              </w:rPr>
              <w:t>;</w:t>
            </w:r>
          </w:p>
          <w:p w14:paraId="299F2613" w14:textId="77777777" w:rsidR="006544D1" w:rsidRDefault="006544D1" w:rsidP="00463E28">
            <w:pPr>
              <w:pStyle w:val="ListParagraph"/>
              <w:numPr>
                <w:ilvl w:val="0"/>
                <w:numId w:val="20"/>
              </w:numPr>
              <w:tabs>
                <w:tab w:val="left" w:pos="529"/>
              </w:tabs>
              <w:ind w:left="0" w:firstLine="246"/>
              <w:jc w:val="both"/>
              <w:rPr>
                <w:iCs/>
                <w:sz w:val="24"/>
                <w:szCs w:val="24"/>
              </w:rPr>
            </w:pPr>
            <w:r w:rsidRPr="00C27EA0">
              <w:rPr>
                <w:iCs/>
                <w:sz w:val="24"/>
                <w:szCs w:val="24"/>
              </w:rPr>
              <w:t>1</w:t>
            </w:r>
            <w:r>
              <w:rPr>
                <w:iCs/>
                <w:sz w:val="24"/>
                <w:szCs w:val="24"/>
              </w:rPr>
              <w:t>99</w:t>
            </w:r>
            <w:r w:rsidRPr="00C27EA0">
              <w:rPr>
                <w:iCs/>
                <w:sz w:val="24"/>
                <w:szCs w:val="24"/>
              </w:rPr>
              <w:t xml:space="preserve"> projektos </w:t>
            </w:r>
            <w:r>
              <w:rPr>
                <w:iCs/>
                <w:sz w:val="24"/>
                <w:szCs w:val="24"/>
              </w:rPr>
              <w:t>b</w:t>
            </w:r>
            <w:r w:rsidRPr="00C27EA0">
              <w:rPr>
                <w:iCs/>
                <w:sz w:val="24"/>
                <w:szCs w:val="24"/>
              </w:rPr>
              <w:t xml:space="preserve">ūvniecība </w:t>
            </w:r>
            <w:r>
              <w:rPr>
                <w:iCs/>
                <w:sz w:val="24"/>
                <w:szCs w:val="24"/>
              </w:rPr>
              <w:t xml:space="preserve">ir </w:t>
            </w:r>
            <w:r w:rsidRPr="00C27EA0">
              <w:rPr>
                <w:iCs/>
                <w:sz w:val="24"/>
                <w:szCs w:val="24"/>
              </w:rPr>
              <w:t>pabeigta.</w:t>
            </w:r>
          </w:p>
          <w:p w14:paraId="5984804A" w14:textId="77777777" w:rsidR="006544D1" w:rsidRPr="0059628F" w:rsidRDefault="006544D1" w:rsidP="00463E28">
            <w:pPr>
              <w:spacing w:after="0"/>
              <w:ind w:firstLine="246"/>
              <w:jc w:val="both"/>
              <w:rPr>
                <w:rFonts w:ascii="Times New Roman" w:hAnsi="Times New Roman" w:cs="Times New Roman"/>
                <w:iCs/>
                <w:sz w:val="24"/>
                <w:szCs w:val="24"/>
              </w:rPr>
            </w:pPr>
            <w:r w:rsidRPr="0059628F">
              <w:rPr>
                <w:rFonts w:ascii="Times New Roman" w:hAnsi="Times New Roman" w:cs="Times New Roman"/>
                <w:iCs/>
                <w:sz w:val="24"/>
                <w:szCs w:val="24"/>
              </w:rPr>
              <w:t>Kā būtiskākie 4.2.1.1. pasākuma īstenošanu kavējošie iemesli ir identificēti:</w:t>
            </w:r>
          </w:p>
          <w:p w14:paraId="4B3A8B79" w14:textId="77777777" w:rsidR="006544D1" w:rsidRPr="004067D3" w:rsidRDefault="006544D1" w:rsidP="00463E28">
            <w:pPr>
              <w:pStyle w:val="ListParagraph"/>
              <w:numPr>
                <w:ilvl w:val="0"/>
                <w:numId w:val="22"/>
              </w:numPr>
              <w:tabs>
                <w:tab w:val="left" w:pos="246"/>
              </w:tabs>
              <w:ind w:left="0" w:firstLine="360"/>
              <w:jc w:val="both"/>
              <w:rPr>
                <w:iCs/>
                <w:sz w:val="24"/>
                <w:szCs w:val="24"/>
              </w:rPr>
            </w:pPr>
            <w:r w:rsidRPr="004067D3">
              <w:rPr>
                <w:iCs/>
                <w:sz w:val="24"/>
                <w:szCs w:val="24"/>
              </w:rPr>
              <w:t>pilnvaroto personu kapacitāte savlaicīgi iesniegt kvalitatīvu projektu dokumentāciju;</w:t>
            </w:r>
          </w:p>
          <w:p w14:paraId="20056CB6" w14:textId="77777777" w:rsidR="006544D1" w:rsidRPr="004067D3" w:rsidRDefault="006544D1" w:rsidP="00463E28">
            <w:pPr>
              <w:pStyle w:val="ListParagraph"/>
              <w:numPr>
                <w:ilvl w:val="0"/>
                <w:numId w:val="22"/>
              </w:numPr>
              <w:tabs>
                <w:tab w:val="left" w:pos="246"/>
              </w:tabs>
              <w:ind w:left="0" w:firstLine="360"/>
              <w:jc w:val="both"/>
              <w:rPr>
                <w:iCs/>
                <w:sz w:val="24"/>
                <w:szCs w:val="24"/>
              </w:rPr>
            </w:pPr>
            <w:r w:rsidRPr="004067D3">
              <w:rPr>
                <w:iCs/>
                <w:sz w:val="24"/>
                <w:szCs w:val="24"/>
              </w:rPr>
              <w:t>būvkomersantu nespēja savlaicīgi iesniegt nepieciešamās apdrošināšanas polises vai garantijas laika garantijas;</w:t>
            </w:r>
          </w:p>
          <w:p w14:paraId="0B284E19" w14:textId="77777777" w:rsidR="006544D1" w:rsidRPr="004067D3" w:rsidRDefault="006544D1" w:rsidP="00463E28">
            <w:pPr>
              <w:pStyle w:val="ListParagraph"/>
              <w:numPr>
                <w:ilvl w:val="0"/>
                <w:numId w:val="22"/>
              </w:numPr>
              <w:ind w:left="0" w:firstLine="360"/>
              <w:jc w:val="both"/>
              <w:rPr>
                <w:iCs/>
                <w:sz w:val="24"/>
                <w:szCs w:val="24"/>
              </w:rPr>
            </w:pPr>
            <w:r w:rsidRPr="004067D3">
              <w:rPr>
                <w:iCs/>
                <w:sz w:val="24"/>
                <w:szCs w:val="24"/>
              </w:rPr>
              <w:t>Augstāk minētie kavēkļi tek mazināti aktīvi strādājot gan ar pilnvarotajām personām un būvkomersantiem, lai uzlabotu iesniegto dokumentu kvalitāti un šo dokumentu iesniegšanas savlaicīgumu.</w:t>
            </w:r>
          </w:p>
          <w:p w14:paraId="2448CF9A" w14:textId="77777777" w:rsidR="006544D1" w:rsidRPr="004067D3" w:rsidRDefault="006544D1" w:rsidP="00463E28">
            <w:pPr>
              <w:pStyle w:val="ListParagraph"/>
              <w:numPr>
                <w:ilvl w:val="0"/>
                <w:numId w:val="22"/>
              </w:numPr>
              <w:tabs>
                <w:tab w:val="left" w:pos="246"/>
              </w:tabs>
              <w:ind w:left="0" w:firstLine="360"/>
              <w:jc w:val="both"/>
              <w:rPr>
                <w:iCs/>
                <w:sz w:val="24"/>
                <w:szCs w:val="24"/>
              </w:rPr>
            </w:pPr>
            <w:r w:rsidRPr="004067D3">
              <w:rPr>
                <w:iCs/>
                <w:sz w:val="24"/>
                <w:szCs w:val="24"/>
              </w:rPr>
              <w:t>sabiedrības "</w:t>
            </w:r>
            <w:proofErr w:type="spellStart"/>
            <w:r w:rsidRPr="004067D3">
              <w:rPr>
                <w:iCs/>
                <w:sz w:val="24"/>
                <w:szCs w:val="24"/>
              </w:rPr>
              <w:t>Altum</w:t>
            </w:r>
            <w:proofErr w:type="spellEnd"/>
            <w:r w:rsidRPr="004067D3">
              <w:rPr>
                <w:iCs/>
                <w:sz w:val="24"/>
                <w:szCs w:val="24"/>
              </w:rPr>
              <w:t>" kapacitāte ātri apstrādāt visu projektu tehnisko dokumentāciju, kas tiek ievērojami stiprināta, nodrošinot papildu speciālistus juridiskajos un būvniecības jautājumos;</w:t>
            </w:r>
          </w:p>
          <w:p w14:paraId="18511B78" w14:textId="77777777" w:rsidR="006544D1" w:rsidRDefault="006544D1" w:rsidP="00463E28">
            <w:pPr>
              <w:pStyle w:val="ListParagraph"/>
              <w:numPr>
                <w:ilvl w:val="0"/>
                <w:numId w:val="22"/>
              </w:numPr>
              <w:tabs>
                <w:tab w:val="left" w:pos="246"/>
              </w:tabs>
              <w:ind w:left="0" w:firstLine="360"/>
              <w:jc w:val="both"/>
              <w:rPr>
                <w:iCs/>
                <w:sz w:val="24"/>
                <w:szCs w:val="24"/>
              </w:rPr>
            </w:pPr>
            <w:r w:rsidRPr="004067D3">
              <w:rPr>
                <w:iCs/>
                <w:sz w:val="24"/>
                <w:szCs w:val="24"/>
              </w:rPr>
              <w:t>siltumenerģijas tarifu samazināšanas rezultātā daudziem projektiem pieaug neattiecināmās izmaksas, kas attiecīgi prasa lielāku ieguldījumu no māju iedzīvotājiem vai ir jāatrod finansētājs šīm izmaksām. Šobrīd tiek meklēti risinājumi, lai sabiedrībai "</w:t>
            </w:r>
            <w:proofErr w:type="spellStart"/>
            <w:r w:rsidRPr="004067D3">
              <w:rPr>
                <w:iCs/>
                <w:sz w:val="24"/>
                <w:szCs w:val="24"/>
              </w:rPr>
              <w:t>Altum</w:t>
            </w:r>
            <w:proofErr w:type="spellEnd"/>
            <w:r w:rsidRPr="004067D3">
              <w:rPr>
                <w:iCs/>
                <w:sz w:val="24"/>
                <w:szCs w:val="24"/>
              </w:rPr>
              <w:t>" būtu iespēja nodrošināt arī 4.2.1.1. pasākuma projektu neattiecināmo izmaksu finansēšanu;</w:t>
            </w:r>
          </w:p>
          <w:p w14:paraId="7A9779DF" w14:textId="77777777" w:rsidR="006544D1" w:rsidRDefault="006544D1" w:rsidP="00463E28">
            <w:pPr>
              <w:pStyle w:val="ListParagraph"/>
              <w:numPr>
                <w:ilvl w:val="0"/>
                <w:numId w:val="22"/>
              </w:numPr>
              <w:tabs>
                <w:tab w:val="left" w:pos="246"/>
              </w:tabs>
              <w:ind w:left="0" w:firstLine="360"/>
              <w:jc w:val="both"/>
              <w:rPr>
                <w:iCs/>
                <w:sz w:val="24"/>
                <w:szCs w:val="24"/>
              </w:rPr>
            </w:pPr>
            <w:r w:rsidRPr="004067D3">
              <w:rPr>
                <w:iCs/>
                <w:sz w:val="24"/>
                <w:szCs w:val="24"/>
              </w:rPr>
              <w:t>Covid-19 ietekmes rezultātā ir ievērojami palēninājies dzīvokļu īpašnieku lēmumu pieņemšanas process, jo iedzīvotāji nevēlas uzņemties papildu saistības;</w:t>
            </w:r>
          </w:p>
          <w:p w14:paraId="202B5175" w14:textId="77777777" w:rsidR="006544D1" w:rsidRDefault="006544D1" w:rsidP="00463E28">
            <w:pPr>
              <w:pStyle w:val="ListParagraph"/>
              <w:numPr>
                <w:ilvl w:val="0"/>
                <w:numId w:val="22"/>
              </w:numPr>
              <w:tabs>
                <w:tab w:val="left" w:pos="246"/>
              </w:tabs>
              <w:ind w:left="0" w:firstLine="360"/>
              <w:jc w:val="both"/>
              <w:rPr>
                <w:iCs/>
                <w:sz w:val="24"/>
                <w:szCs w:val="24"/>
              </w:rPr>
            </w:pPr>
            <w:r w:rsidRPr="004067D3">
              <w:rPr>
                <w:iCs/>
                <w:sz w:val="24"/>
                <w:szCs w:val="24"/>
              </w:rPr>
              <w:t>komercbanku piesardzīgāka pieeja projektu izvērtēšanā projektiem piemēroto finanšu korekciju dēļ. Līdz ar to klientam ir nepieciešams ilgāks laiks līdz tās saņem komercbankas finansējuma piedāvājumu vai apliecinājumu, ka projekts ir finansējams 4.2.1.1. pasākuma ietvaros.</w:t>
            </w:r>
          </w:p>
          <w:p w14:paraId="38E0A948" w14:textId="77777777" w:rsidR="006544D1" w:rsidRPr="00DC0CBF" w:rsidRDefault="006544D1" w:rsidP="00463E28">
            <w:pPr>
              <w:tabs>
                <w:tab w:val="left" w:pos="246"/>
              </w:tabs>
              <w:spacing w:after="0"/>
              <w:ind w:firstLine="397"/>
              <w:contextualSpacing/>
              <w:jc w:val="both"/>
              <w:rPr>
                <w:rFonts w:ascii="Times New Roman" w:hAnsi="Times New Roman" w:cs="Times New Roman"/>
                <w:iCs/>
                <w:sz w:val="24"/>
                <w:szCs w:val="24"/>
              </w:rPr>
            </w:pPr>
            <w:r w:rsidRPr="00DC0CBF">
              <w:rPr>
                <w:rFonts w:ascii="Times New Roman" w:hAnsi="Times New Roman" w:cs="Times New Roman"/>
                <w:iCs/>
                <w:sz w:val="24"/>
                <w:szCs w:val="24"/>
              </w:rPr>
              <w:t xml:space="preserve">Turklāt būtiski ir ņemt vērā, ka programmas projekta ietvaros veiktās darbības un aktivitātes ir cita ar citu saistīta, turklāt ietekmē viena otru. Piemēram, lai īstenotu projektu, ir nepieciešams saņemt sertificētu iestāžu apliecinājumus </w:t>
            </w:r>
            <w:r>
              <w:rPr>
                <w:rFonts w:ascii="Times New Roman" w:hAnsi="Times New Roman" w:cs="Times New Roman"/>
                <w:iCs/>
                <w:sz w:val="24"/>
                <w:szCs w:val="24"/>
              </w:rPr>
              <w:t>projekta tehniskajiem noteikumiem, kam ir noteikts derīguma termiņš. T</w:t>
            </w:r>
            <w:r w:rsidRPr="00DC0CBF">
              <w:rPr>
                <w:rFonts w:ascii="Times New Roman" w:hAnsi="Times New Roman" w:cs="Times New Roman"/>
                <w:iCs/>
                <w:sz w:val="24"/>
                <w:szCs w:val="24"/>
              </w:rPr>
              <w:t>āpat arī iepirkto pakalpojumu piedāvājumiem ir noteikti termiņi</w:t>
            </w:r>
            <w:r>
              <w:rPr>
                <w:rFonts w:ascii="Times New Roman" w:hAnsi="Times New Roman" w:cs="Times New Roman"/>
                <w:iCs/>
                <w:sz w:val="24"/>
                <w:szCs w:val="24"/>
              </w:rPr>
              <w:t>, cik ilgi ir spēkā piedāvājumi</w:t>
            </w:r>
            <w:r w:rsidRPr="00DC0CBF">
              <w:rPr>
                <w:rFonts w:ascii="Times New Roman" w:hAnsi="Times New Roman" w:cs="Times New Roman"/>
                <w:iCs/>
                <w:sz w:val="24"/>
                <w:szCs w:val="24"/>
              </w:rPr>
              <w:t xml:space="preserve">. Būvnieks, piedāvājot savu piedāvājumu, ir paredzējis sniegt pakalpojumu par konkrētu cenu, kas jau pēc pusgada var būt mainījusies, ņemot vērā tirgus mainīgos apstākļus. </w:t>
            </w:r>
          </w:p>
          <w:p w14:paraId="1DCAF657" w14:textId="77777777" w:rsidR="006544D1" w:rsidRDefault="006544D1" w:rsidP="00463E28">
            <w:pPr>
              <w:spacing w:after="0"/>
              <w:ind w:firstLine="397"/>
              <w:contextualSpacing/>
              <w:jc w:val="both"/>
              <w:rPr>
                <w:rFonts w:ascii="Times New Roman" w:hAnsi="Times New Roman" w:cs="Times New Roman"/>
                <w:iCs/>
                <w:sz w:val="24"/>
                <w:szCs w:val="24"/>
              </w:rPr>
            </w:pPr>
          </w:p>
          <w:p w14:paraId="0E593084" w14:textId="77777777" w:rsidR="006544D1" w:rsidRDefault="006544D1" w:rsidP="00463E28">
            <w:pPr>
              <w:spacing w:after="0"/>
              <w:ind w:firstLine="397"/>
              <w:contextualSpacing/>
              <w:jc w:val="both"/>
              <w:rPr>
                <w:rFonts w:ascii="Times New Roman" w:hAnsi="Times New Roman" w:cs="Times New Roman"/>
                <w:iCs/>
                <w:sz w:val="24"/>
                <w:szCs w:val="24"/>
              </w:rPr>
            </w:pPr>
            <w:r>
              <w:rPr>
                <w:rFonts w:ascii="Times New Roman" w:hAnsi="Times New Roman" w:cs="Times New Roman"/>
                <w:iCs/>
                <w:sz w:val="24"/>
                <w:szCs w:val="24"/>
              </w:rPr>
              <w:t>Lielākai daļai identificēto 4.2.1.1. pasākuma īstenošanu kavējošajiem iemesliem jau šobrīd ir rasti vai ir ierosināti risinājumi.</w:t>
            </w:r>
          </w:p>
          <w:p w14:paraId="0EA6E151" w14:textId="77777777" w:rsidR="006544D1" w:rsidRPr="00786CB8" w:rsidRDefault="006544D1" w:rsidP="00463E28">
            <w:pPr>
              <w:spacing w:after="0"/>
              <w:ind w:firstLine="387"/>
              <w:jc w:val="both"/>
              <w:rPr>
                <w:rFonts w:ascii="Times New Roman" w:hAnsi="Times New Roman" w:cs="Times New Roman"/>
                <w:sz w:val="24"/>
                <w:szCs w:val="24"/>
              </w:rPr>
            </w:pPr>
            <w:r>
              <w:rPr>
                <w:rFonts w:ascii="Times New Roman" w:hAnsi="Times New Roman" w:cs="Times New Roman"/>
                <w:iCs/>
                <w:sz w:val="24"/>
                <w:szCs w:val="24"/>
              </w:rPr>
              <w:t>Ņemot vērā, ka n</w:t>
            </w:r>
            <w:r w:rsidRPr="00C27EA0">
              <w:rPr>
                <w:rFonts w:ascii="Times New Roman" w:hAnsi="Times New Roman" w:cs="Times New Roman"/>
                <w:iCs/>
                <w:sz w:val="24"/>
                <w:szCs w:val="24"/>
              </w:rPr>
              <w:t xml:space="preserve">o 4.2.1.1. pasākumā pieteiktajiem projektiem vairāk kā 500 </w:t>
            </w:r>
            <w:r>
              <w:rPr>
                <w:rFonts w:ascii="Times New Roman" w:hAnsi="Times New Roman" w:cs="Times New Roman"/>
                <w:iCs/>
                <w:sz w:val="24"/>
                <w:szCs w:val="24"/>
              </w:rPr>
              <w:t xml:space="preserve">projektiem tuvāko divu gadu laikā </w:t>
            </w:r>
            <w:r w:rsidRPr="00C27EA0">
              <w:rPr>
                <w:rFonts w:ascii="Times New Roman" w:hAnsi="Times New Roman" w:cs="Times New Roman"/>
                <w:iCs/>
                <w:sz w:val="24"/>
                <w:szCs w:val="24"/>
              </w:rPr>
              <w:t>būs nepieciešams piesaistīt finansējumu no kredītiestādēm</w:t>
            </w:r>
            <w:r>
              <w:rPr>
                <w:rFonts w:ascii="Times New Roman" w:hAnsi="Times New Roman" w:cs="Times New Roman"/>
                <w:iCs/>
                <w:sz w:val="24"/>
                <w:szCs w:val="24"/>
              </w:rPr>
              <w:t>,</w:t>
            </w:r>
            <w:r w:rsidRPr="00C27EA0">
              <w:rPr>
                <w:rFonts w:ascii="Times New Roman" w:hAnsi="Times New Roman" w:cs="Times New Roman"/>
                <w:iCs/>
                <w:sz w:val="24"/>
                <w:szCs w:val="24"/>
              </w:rPr>
              <w:t xml:space="preserve"> sabiedrības </w:t>
            </w:r>
            <w:r w:rsidRPr="00C27EA0">
              <w:rPr>
                <w:rFonts w:ascii="Times New Roman" w:hAnsi="Times New Roman" w:cs="Times New Roman"/>
                <w:iCs/>
                <w:color w:val="000000" w:themeColor="text1"/>
                <w:sz w:val="24"/>
                <w:szCs w:val="24"/>
              </w:rPr>
              <w:t>"</w:t>
            </w:r>
            <w:proofErr w:type="spellStart"/>
            <w:r w:rsidRPr="00C27EA0">
              <w:rPr>
                <w:rFonts w:ascii="Times New Roman" w:hAnsi="Times New Roman" w:cs="Times New Roman"/>
                <w:iCs/>
                <w:sz w:val="24"/>
                <w:szCs w:val="24"/>
              </w:rPr>
              <w:t>Altum</w:t>
            </w:r>
            <w:proofErr w:type="spellEnd"/>
            <w:r w:rsidRPr="00C27EA0">
              <w:rPr>
                <w:rFonts w:ascii="Times New Roman" w:hAnsi="Times New Roman" w:cs="Times New Roman"/>
                <w:iCs/>
                <w:color w:val="000000" w:themeColor="text1"/>
                <w:sz w:val="24"/>
                <w:szCs w:val="24"/>
              </w:rPr>
              <w:t>"</w:t>
            </w:r>
            <w:r w:rsidRPr="00C27EA0">
              <w:rPr>
                <w:rFonts w:ascii="Times New Roman" w:hAnsi="Times New Roman" w:cs="Times New Roman"/>
                <w:iCs/>
                <w:sz w:val="24"/>
                <w:szCs w:val="24"/>
              </w:rPr>
              <w:t xml:space="preserve"> vai</w:t>
            </w:r>
            <w:r>
              <w:rPr>
                <w:rFonts w:ascii="Times New Roman" w:hAnsi="Times New Roman" w:cs="Times New Roman"/>
                <w:iCs/>
                <w:sz w:val="24"/>
                <w:szCs w:val="24"/>
              </w:rPr>
              <w:t xml:space="preserve"> </w:t>
            </w:r>
            <w:r w:rsidRPr="00C27EA0">
              <w:rPr>
                <w:rFonts w:ascii="Times New Roman" w:hAnsi="Times New Roman" w:cs="Times New Roman"/>
                <w:iCs/>
                <w:sz w:val="24"/>
                <w:szCs w:val="24"/>
              </w:rPr>
              <w:t xml:space="preserve">izmantojot </w:t>
            </w:r>
            <w:proofErr w:type="spellStart"/>
            <w:r w:rsidRPr="00C27EA0">
              <w:rPr>
                <w:rFonts w:ascii="Times New Roman" w:hAnsi="Times New Roman" w:cs="Times New Roman"/>
                <w:iCs/>
                <w:sz w:val="24"/>
                <w:szCs w:val="24"/>
              </w:rPr>
              <w:t>energoservisa</w:t>
            </w:r>
            <w:proofErr w:type="spellEnd"/>
            <w:r w:rsidRPr="00C27EA0">
              <w:rPr>
                <w:rFonts w:ascii="Times New Roman" w:hAnsi="Times New Roman" w:cs="Times New Roman"/>
                <w:iCs/>
                <w:sz w:val="24"/>
                <w:szCs w:val="24"/>
              </w:rPr>
              <w:t xml:space="preserve"> kompāniju pakalpojumus, projekt</w:t>
            </w:r>
            <w:r>
              <w:rPr>
                <w:rFonts w:ascii="Times New Roman" w:hAnsi="Times New Roman" w:cs="Times New Roman"/>
                <w:iCs/>
                <w:sz w:val="24"/>
                <w:szCs w:val="24"/>
              </w:rPr>
              <w:t>u</w:t>
            </w:r>
            <w:r w:rsidRPr="00C27EA0">
              <w:rPr>
                <w:rFonts w:ascii="Times New Roman" w:hAnsi="Times New Roman" w:cs="Times New Roman"/>
                <w:iCs/>
                <w:sz w:val="24"/>
                <w:szCs w:val="24"/>
              </w:rPr>
              <w:t xml:space="preserve"> </w:t>
            </w:r>
            <w:r w:rsidRPr="00C27EA0">
              <w:rPr>
                <w:rFonts w:ascii="Times New Roman" w:hAnsi="Times New Roman" w:cs="Times New Roman"/>
                <w:iCs/>
                <w:sz w:val="24"/>
                <w:szCs w:val="24"/>
              </w:rPr>
              <w:lastRenderedPageBreak/>
              <w:t>īstenošan</w:t>
            </w:r>
            <w:r>
              <w:rPr>
                <w:rFonts w:ascii="Times New Roman" w:hAnsi="Times New Roman" w:cs="Times New Roman"/>
                <w:iCs/>
                <w:sz w:val="24"/>
                <w:szCs w:val="24"/>
              </w:rPr>
              <w:t>ai, k</w:t>
            </w:r>
            <w:r w:rsidRPr="00786CB8">
              <w:rPr>
                <w:rFonts w:ascii="Times New Roman" w:hAnsi="Times New Roman" w:cs="Times New Roman"/>
                <w:iCs/>
                <w:sz w:val="24"/>
                <w:szCs w:val="24"/>
              </w:rPr>
              <w:t xml:space="preserve">ā arī </w:t>
            </w:r>
            <w:r w:rsidRPr="00786CB8">
              <w:rPr>
                <w:rFonts w:ascii="Times New Roman" w:hAnsi="Times New Roman" w:cs="Times New Roman"/>
                <w:sz w:val="24"/>
                <w:szCs w:val="24"/>
              </w:rPr>
              <w:t xml:space="preserve">ņemot vērā līdzšinējos 4.2.1.1. pasākuma apguves tempus, </w:t>
            </w:r>
            <w:r>
              <w:rPr>
                <w:rFonts w:ascii="Times New Roman" w:hAnsi="Times New Roman" w:cs="Times New Roman"/>
                <w:iCs/>
                <w:sz w:val="24"/>
                <w:szCs w:val="24"/>
              </w:rPr>
              <w:t>EM ierosina ar šo noteikumu projektu risināt finansējuma pieejamības problēmu.</w:t>
            </w:r>
          </w:p>
          <w:p w14:paraId="331E9E18" w14:textId="77777777" w:rsidR="006544D1" w:rsidRPr="001A0F99" w:rsidRDefault="006544D1" w:rsidP="00463E28">
            <w:pPr>
              <w:pStyle w:val="ListParagraph"/>
              <w:ind w:left="0" w:firstLine="360"/>
              <w:jc w:val="both"/>
              <w:rPr>
                <w:iCs/>
                <w:sz w:val="24"/>
                <w:szCs w:val="24"/>
              </w:rPr>
            </w:pPr>
            <w:r>
              <w:rPr>
                <w:iCs/>
                <w:sz w:val="24"/>
                <w:szCs w:val="24"/>
              </w:rPr>
              <w:t xml:space="preserve">Sabiedrība </w:t>
            </w:r>
            <w:r w:rsidRPr="005A57B2">
              <w:rPr>
                <w:iCs/>
                <w:sz w:val="24"/>
                <w:szCs w:val="24"/>
              </w:rPr>
              <w:t>"</w:t>
            </w:r>
            <w:proofErr w:type="spellStart"/>
            <w:r>
              <w:rPr>
                <w:iCs/>
                <w:sz w:val="24"/>
                <w:szCs w:val="24"/>
              </w:rPr>
              <w:t>Altum</w:t>
            </w:r>
            <w:proofErr w:type="spellEnd"/>
            <w:r w:rsidRPr="005A57B2">
              <w:rPr>
                <w:iCs/>
                <w:sz w:val="24"/>
                <w:szCs w:val="24"/>
              </w:rPr>
              <w:t>"</w:t>
            </w:r>
            <w:r>
              <w:rPr>
                <w:iCs/>
                <w:sz w:val="24"/>
                <w:szCs w:val="24"/>
              </w:rPr>
              <w:t xml:space="preserve"> ir noslēgusi s</w:t>
            </w:r>
            <w:r w:rsidRPr="001A0F99">
              <w:rPr>
                <w:iCs/>
                <w:sz w:val="24"/>
                <w:szCs w:val="24"/>
              </w:rPr>
              <w:t>adarbības līgum</w:t>
            </w:r>
            <w:r>
              <w:rPr>
                <w:iCs/>
                <w:sz w:val="24"/>
                <w:szCs w:val="24"/>
              </w:rPr>
              <w:t>us</w:t>
            </w:r>
            <w:r w:rsidRPr="001A0F99">
              <w:rPr>
                <w:iCs/>
                <w:sz w:val="24"/>
                <w:szCs w:val="24"/>
              </w:rPr>
              <w:t xml:space="preserve"> par projektu finansēšanu </w:t>
            </w:r>
            <w:r>
              <w:rPr>
                <w:iCs/>
                <w:sz w:val="24"/>
                <w:szCs w:val="24"/>
              </w:rPr>
              <w:t>4.2.1.1. pasākuma</w:t>
            </w:r>
            <w:r w:rsidRPr="001A0F99">
              <w:rPr>
                <w:iCs/>
                <w:sz w:val="24"/>
                <w:szCs w:val="24"/>
              </w:rPr>
              <w:t xml:space="preserve"> ietvaros ar četrām komercbankām – </w:t>
            </w:r>
            <w:r>
              <w:rPr>
                <w:iCs/>
                <w:sz w:val="24"/>
                <w:szCs w:val="24"/>
              </w:rPr>
              <w:t xml:space="preserve">AS </w:t>
            </w:r>
            <w:r w:rsidRPr="005A57B2">
              <w:rPr>
                <w:iCs/>
                <w:sz w:val="24"/>
                <w:szCs w:val="24"/>
              </w:rPr>
              <w:t>"</w:t>
            </w:r>
            <w:r w:rsidRPr="001A0F99">
              <w:rPr>
                <w:iCs/>
                <w:sz w:val="24"/>
                <w:szCs w:val="24"/>
              </w:rPr>
              <w:t>Swedbank</w:t>
            </w:r>
            <w:r w:rsidRPr="005A57B2">
              <w:rPr>
                <w:iCs/>
                <w:sz w:val="24"/>
                <w:szCs w:val="24"/>
              </w:rPr>
              <w:t>"</w:t>
            </w:r>
            <w:r w:rsidRPr="001A0F99">
              <w:rPr>
                <w:iCs/>
                <w:sz w:val="24"/>
                <w:szCs w:val="24"/>
              </w:rPr>
              <w:t xml:space="preserve">, </w:t>
            </w:r>
            <w:r>
              <w:rPr>
                <w:iCs/>
                <w:sz w:val="24"/>
                <w:szCs w:val="24"/>
              </w:rPr>
              <w:t xml:space="preserve">AS </w:t>
            </w:r>
            <w:r w:rsidRPr="005A57B2">
              <w:rPr>
                <w:iCs/>
                <w:sz w:val="24"/>
                <w:szCs w:val="24"/>
              </w:rPr>
              <w:t>"</w:t>
            </w:r>
            <w:r w:rsidRPr="001A0F99">
              <w:rPr>
                <w:iCs/>
                <w:sz w:val="24"/>
                <w:szCs w:val="24"/>
              </w:rPr>
              <w:t>SEB</w:t>
            </w:r>
            <w:r>
              <w:rPr>
                <w:iCs/>
                <w:sz w:val="24"/>
                <w:szCs w:val="24"/>
              </w:rPr>
              <w:t xml:space="preserve"> banka</w:t>
            </w:r>
            <w:r w:rsidRPr="005A57B2">
              <w:rPr>
                <w:iCs/>
                <w:sz w:val="24"/>
                <w:szCs w:val="24"/>
              </w:rPr>
              <w:t>"</w:t>
            </w:r>
            <w:r w:rsidRPr="001A0F99">
              <w:rPr>
                <w:iCs/>
                <w:sz w:val="24"/>
                <w:szCs w:val="24"/>
              </w:rPr>
              <w:t xml:space="preserve">, </w:t>
            </w:r>
            <w:r>
              <w:rPr>
                <w:iCs/>
                <w:sz w:val="24"/>
                <w:szCs w:val="24"/>
              </w:rPr>
              <w:t xml:space="preserve">AS </w:t>
            </w:r>
            <w:r w:rsidRPr="005A57B2">
              <w:rPr>
                <w:iCs/>
                <w:sz w:val="24"/>
                <w:szCs w:val="24"/>
              </w:rPr>
              <w:t>"</w:t>
            </w:r>
            <w:proofErr w:type="spellStart"/>
            <w:r w:rsidRPr="001A0F99">
              <w:rPr>
                <w:iCs/>
                <w:sz w:val="24"/>
                <w:szCs w:val="24"/>
              </w:rPr>
              <w:t>Luminor</w:t>
            </w:r>
            <w:proofErr w:type="spellEnd"/>
            <w:r>
              <w:rPr>
                <w:iCs/>
                <w:sz w:val="24"/>
                <w:szCs w:val="24"/>
              </w:rPr>
              <w:t xml:space="preserve"> </w:t>
            </w:r>
            <w:proofErr w:type="spellStart"/>
            <w:r>
              <w:rPr>
                <w:iCs/>
                <w:sz w:val="24"/>
                <w:szCs w:val="24"/>
              </w:rPr>
              <w:t>bank</w:t>
            </w:r>
            <w:proofErr w:type="spellEnd"/>
            <w:r w:rsidRPr="005A57B2">
              <w:rPr>
                <w:iCs/>
                <w:sz w:val="24"/>
                <w:szCs w:val="24"/>
              </w:rPr>
              <w:t>"</w:t>
            </w:r>
            <w:r w:rsidRPr="001A0F99">
              <w:rPr>
                <w:iCs/>
                <w:sz w:val="24"/>
                <w:szCs w:val="24"/>
              </w:rPr>
              <w:t xml:space="preserve"> un </w:t>
            </w:r>
            <w:r w:rsidRPr="00E165BC">
              <w:rPr>
                <w:iCs/>
                <w:sz w:val="24"/>
                <w:szCs w:val="24"/>
              </w:rPr>
              <w:t>AS</w:t>
            </w:r>
            <w:r>
              <w:rPr>
                <w:iCs/>
                <w:sz w:val="24"/>
                <w:szCs w:val="24"/>
              </w:rPr>
              <w:t> </w:t>
            </w:r>
            <w:r w:rsidRPr="00E165BC">
              <w:rPr>
                <w:iCs/>
                <w:sz w:val="24"/>
                <w:szCs w:val="24"/>
              </w:rPr>
              <w:t>"Citadele banka"</w:t>
            </w:r>
            <w:r w:rsidRPr="001A0F99">
              <w:rPr>
                <w:iCs/>
                <w:sz w:val="24"/>
                <w:szCs w:val="24"/>
              </w:rPr>
              <w:t>.</w:t>
            </w:r>
            <w:r>
              <w:rPr>
                <w:iCs/>
                <w:sz w:val="24"/>
                <w:szCs w:val="24"/>
              </w:rPr>
              <w:t xml:space="preserve"> Kopš 4.2.1.1. pasākuma uzsākšanas 2016. gadā līdz 2020. gada 21. augustam (aptuveni 4 gadi) komercbankas ir nodrošinājušas 260 4.2.1.1. </w:t>
            </w:r>
            <w:r>
              <w:t xml:space="preserve">pasākuma </w:t>
            </w:r>
            <w:r>
              <w:rPr>
                <w:iCs/>
                <w:sz w:val="24"/>
                <w:szCs w:val="24"/>
              </w:rPr>
              <w:t>projektu finansēšanu, savukārt s</w:t>
            </w:r>
            <w:r w:rsidRPr="001A0F99">
              <w:rPr>
                <w:iCs/>
                <w:sz w:val="24"/>
                <w:szCs w:val="24"/>
              </w:rPr>
              <w:t xml:space="preserve">abiedrība </w:t>
            </w:r>
            <w:r w:rsidRPr="005A57B2">
              <w:rPr>
                <w:iCs/>
                <w:sz w:val="24"/>
                <w:szCs w:val="24"/>
              </w:rPr>
              <w:t>"</w:t>
            </w:r>
            <w:proofErr w:type="spellStart"/>
            <w:r w:rsidRPr="001A0F99">
              <w:rPr>
                <w:iCs/>
                <w:sz w:val="24"/>
                <w:szCs w:val="24"/>
              </w:rPr>
              <w:t>Altum</w:t>
            </w:r>
            <w:proofErr w:type="spellEnd"/>
            <w:r w:rsidRPr="005A57B2">
              <w:rPr>
                <w:iCs/>
                <w:sz w:val="24"/>
                <w:szCs w:val="24"/>
              </w:rPr>
              <w:t>"</w:t>
            </w:r>
            <w:r w:rsidRPr="001A0F99">
              <w:rPr>
                <w:iCs/>
                <w:sz w:val="24"/>
                <w:szCs w:val="24"/>
              </w:rPr>
              <w:t xml:space="preserve"> ir piešķīrusi aizdevumus 52 projektiem.</w:t>
            </w:r>
            <w:r>
              <w:rPr>
                <w:iCs/>
                <w:sz w:val="24"/>
                <w:szCs w:val="24"/>
              </w:rPr>
              <w:t xml:space="preserve"> </w:t>
            </w:r>
            <w:r w:rsidRPr="001A0F99">
              <w:rPr>
                <w:iCs/>
                <w:sz w:val="24"/>
                <w:szCs w:val="24"/>
              </w:rPr>
              <w:t xml:space="preserve">Sabiedrības </w:t>
            </w:r>
            <w:r w:rsidRPr="005A57B2">
              <w:rPr>
                <w:iCs/>
                <w:sz w:val="24"/>
                <w:szCs w:val="24"/>
              </w:rPr>
              <w:t>"</w:t>
            </w:r>
            <w:proofErr w:type="spellStart"/>
            <w:r w:rsidRPr="001A0F99">
              <w:rPr>
                <w:iCs/>
                <w:sz w:val="24"/>
                <w:szCs w:val="24"/>
              </w:rPr>
              <w:t>Altum</w:t>
            </w:r>
            <w:proofErr w:type="spellEnd"/>
            <w:r w:rsidRPr="005A57B2">
              <w:rPr>
                <w:iCs/>
                <w:sz w:val="24"/>
                <w:szCs w:val="24"/>
              </w:rPr>
              <w:t>"</w:t>
            </w:r>
            <w:r w:rsidRPr="001A0F99">
              <w:rPr>
                <w:iCs/>
                <w:sz w:val="24"/>
                <w:szCs w:val="24"/>
              </w:rPr>
              <w:t xml:space="preserve"> aizdevums ir</w:t>
            </w:r>
            <w:r>
              <w:rPr>
                <w:iCs/>
                <w:sz w:val="24"/>
                <w:szCs w:val="24"/>
              </w:rPr>
              <w:t xml:space="preserve"> ticis</w:t>
            </w:r>
            <w:r w:rsidRPr="001A0F99">
              <w:rPr>
                <w:iCs/>
                <w:sz w:val="24"/>
                <w:szCs w:val="24"/>
              </w:rPr>
              <w:t xml:space="preserve"> izmantots 16</w:t>
            </w:r>
            <w:r>
              <w:rPr>
                <w:iCs/>
                <w:sz w:val="24"/>
                <w:szCs w:val="24"/>
              </w:rPr>
              <w:t>.</w:t>
            </w:r>
            <w:r w:rsidRPr="001A0F99">
              <w:rPr>
                <w:iCs/>
                <w:sz w:val="24"/>
                <w:szCs w:val="24"/>
              </w:rPr>
              <w:t>35% gadījum</w:t>
            </w:r>
            <w:r>
              <w:rPr>
                <w:iCs/>
                <w:sz w:val="24"/>
                <w:szCs w:val="24"/>
              </w:rPr>
              <w:t>u</w:t>
            </w:r>
            <w:r w:rsidRPr="001A0F99">
              <w:rPr>
                <w:iCs/>
                <w:sz w:val="24"/>
                <w:szCs w:val="24"/>
              </w:rPr>
              <w:t xml:space="preserve"> no kopēja apstiprināto projektu skaita</w:t>
            </w:r>
            <w:r>
              <w:rPr>
                <w:iCs/>
                <w:sz w:val="24"/>
                <w:szCs w:val="24"/>
              </w:rPr>
              <w:t>, nodrošinot finansējumu</w:t>
            </w:r>
            <w:r w:rsidRPr="001A0F99">
              <w:rPr>
                <w:iCs/>
                <w:sz w:val="24"/>
                <w:szCs w:val="24"/>
              </w:rPr>
              <w:t xml:space="preserve"> daudzdzīvokļu māj</w:t>
            </w:r>
            <w:r>
              <w:rPr>
                <w:iCs/>
                <w:sz w:val="24"/>
                <w:szCs w:val="24"/>
              </w:rPr>
              <w:t>ām, kas</w:t>
            </w:r>
            <w:r w:rsidRPr="001A0F99">
              <w:rPr>
                <w:iCs/>
                <w:sz w:val="24"/>
                <w:szCs w:val="24"/>
              </w:rPr>
              <w:t xml:space="preserve"> atrodas mazāk attīstītos reģionos,  nelielās pilsētās vai ciematos</w:t>
            </w:r>
            <w:r>
              <w:rPr>
                <w:iCs/>
                <w:sz w:val="24"/>
                <w:szCs w:val="24"/>
              </w:rPr>
              <w:t xml:space="preserve"> vai citu iemeslu dēļ </w:t>
            </w:r>
            <w:r w:rsidRPr="001A0F99">
              <w:rPr>
                <w:iCs/>
                <w:sz w:val="24"/>
                <w:szCs w:val="24"/>
              </w:rPr>
              <w:t>neatbilst komercbank</w:t>
            </w:r>
            <w:r>
              <w:rPr>
                <w:iCs/>
                <w:sz w:val="24"/>
                <w:szCs w:val="24"/>
              </w:rPr>
              <w:t>u</w:t>
            </w:r>
            <w:r w:rsidRPr="001A0F99">
              <w:rPr>
                <w:iCs/>
                <w:sz w:val="24"/>
                <w:szCs w:val="24"/>
              </w:rPr>
              <w:t xml:space="preserve"> kreditēšanas </w:t>
            </w:r>
            <w:r>
              <w:rPr>
                <w:iCs/>
                <w:sz w:val="24"/>
                <w:szCs w:val="24"/>
              </w:rPr>
              <w:t>politikai</w:t>
            </w:r>
            <w:r w:rsidRPr="001A0F99">
              <w:rPr>
                <w:iCs/>
                <w:sz w:val="24"/>
                <w:szCs w:val="24"/>
              </w:rPr>
              <w:t>.</w:t>
            </w:r>
            <w:r>
              <w:rPr>
                <w:iCs/>
                <w:sz w:val="24"/>
                <w:szCs w:val="24"/>
              </w:rPr>
              <w:t xml:space="preserve"> </w:t>
            </w:r>
          </w:p>
          <w:p w14:paraId="38A3C501" w14:textId="77777777" w:rsidR="006544D1" w:rsidRDefault="006544D1" w:rsidP="00463E28">
            <w:pPr>
              <w:pStyle w:val="ListParagraph"/>
              <w:ind w:left="0" w:firstLine="360"/>
              <w:jc w:val="both"/>
              <w:rPr>
                <w:iCs/>
                <w:sz w:val="24"/>
                <w:szCs w:val="24"/>
              </w:rPr>
            </w:pPr>
            <w:r>
              <w:rPr>
                <w:iCs/>
                <w:sz w:val="24"/>
                <w:szCs w:val="24"/>
              </w:rPr>
              <w:t xml:space="preserve">Ņemot vērā, ka finansējuma piesaiste pilnvarotajai personai var aizņemt līdz pat trīs mēnešiem, EM ieskatā, ir nepieciešams atvieglot pieejamību sabiedrības </w:t>
            </w:r>
            <w:r w:rsidRPr="005A57B2">
              <w:rPr>
                <w:iCs/>
                <w:sz w:val="24"/>
                <w:szCs w:val="24"/>
              </w:rPr>
              <w:t>"</w:t>
            </w:r>
            <w:proofErr w:type="spellStart"/>
            <w:r>
              <w:rPr>
                <w:iCs/>
                <w:sz w:val="24"/>
                <w:szCs w:val="24"/>
              </w:rPr>
              <w:t>Altum</w:t>
            </w:r>
            <w:proofErr w:type="spellEnd"/>
            <w:r w:rsidRPr="005A57B2">
              <w:rPr>
                <w:iCs/>
                <w:sz w:val="24"/>
                <w:szCs w:val="24"/>
              </w:rPr>
              <w:t>"</w:t>
            </w:r>
            <w:r>
              <w:rPr>
                <w:iCs/>
                <w:sz w:val="24"/>
                <w:szCs w:val="24"/>
              </w:rPr>
              <w:t xml:space="preserve"> aizdevumiem, nosakot, ka, ja kredītiestāde nav pieņēmusi lēmumu par projekta finansēšanu 20 darba dienu laikā no aizdevuma pieteikuma iesniegšanas brīža, ir uzskatāms, ka kredītiestāde ir akceptējusi pilnvarotās personas vēršanos pēc sabiedrības </w:t>
            </w:r>
            <w:r w:rsidRPr="005A57B2">
              <w:rPr>
                <w:iCs/>
                <w:sz w:val="24"/>
                <w:szCs w:val="24"/>
              </w:rPr>
              <w:t>"</w:t>
            </w:r>
            <w:proofErr w:type="spellStart"/>
            <w:r w:rsidRPr="005F5CF5">
              <w:rPr>
                <w:iCs/>
                <w:sz w:val="24"/>
                <w:szCs w:val="24"/>
              </w:rPr>
              <w:t>Altum</w:t>
            </w:r>
            <w:proofErr w:type="spellEnd"/>
            <w:r w:rsidRPr="005A57B2">
              <w:rPr>
                <w:iCs/>
                <w:sz w:val="24"/>
                <w:szCs w:val="24"/>
              </w:rPr>
              <w:t>"</w:t>
            </w:r>
            <w:r w:rsidRPr="005F5CF5">
              <w:rPr>
                <w:iCs/>
                <w:sz w:val="24"/>
                <w:szCs w:val="24"/>
              </w:rPr>
              <w:t xml:space="preserve"> </w:t>
            </w:r>
            <w:r>
              <w:rPr>
                <w:iCs/>
                <w:sz w:val="24"/>
                <w:szCs w:val="24"/>
              </w:rPr>
              <w:t xml:space="preserve"> aizdevuma, tādejādi paātrinot šo projekta finansējuma piesaistes posmu. Ņemot vērā, ka komercbankām var atšķirties aizdevuma pieteikumam pievienojamo dokumentu kopums, EM ieskatā, normatīvajam regulējumam jānosaka, ka 20 darba dienu atskaite tiek sākta no aizdevuma pieteikuma iesniegšanas datuma. Ņemot vērā, ka aizdevuma pieteikumam jau jāpievieno pieteikumā norādītie dokumenti, EM uzskata, ka lielākajā daļā gadījumu 20 darba dienu laikā pilnvarotā persona var nodrošināt trūkstošo vai citu papildu dokumentu iesniegšanu kredītiestādē.</w:t>
            </w:r>
          </w:p>
          <w:p w14:paraId="7DC9795F" w14:textId="77777777" w:rsidR="006544D1" w:rsidRDefault="006544D1" w:rsidP="00463E28">
            <w:pPr>
              <w:pStyle w:val="ListParagraph"/>
              <w:ind w:left="0" w:firstLine="360"/>
              <w:jc w:val="both"/>
              <w:rPr>
                <w:iCs/>
                <w:sz w:val="24"/>
                <w:szCs w:val="24"/>
              </w:rPr>
            </w:pPr>
            <w:r>
              <w:rPr>
                <w:iCs/>
                <w:sz w:val="24"/>
                <w:szCs w:val="24"/>
              </w:rPr>
              <w:t xml:space="preserve">Lai novērstu riskus par sabiedrības </w:t>
            </w:r>
            <w:r w:rsidRPr="005A57B2">
              <w:rPr>
                <w:iCs/>
                <w:sz w:val="24"/>
                <w:szCs w:val="24"/>
              </w:rPr>
              <w:t>"</w:t>
            </w:r>
            <w:proofErr w:type="spellStart"/>
            <w:r w:rsidRPr="005F5CF5">
              <w:rPr>
                <w:iCs/>
                <w:sz w:val="24"/>
                <w:szCs w:val="24"/>
              </w:rPr>
              <w:t>Altum</w:t>
            </w:r>
            <w:proofErr w:type="spellEnd"/>
            <w:r w:rsidRPr="005A57B2">
              <w:rPr>
                <w:iCs/>
                <w:sz w:val="24"/>
                <w:szCs w:val="24"/>
              </w:rPr>
              <w:t>"</w:t>
            </w:r>
            <w:r>
              <w:rPr>
                <w:iCs/>
                <w:sz w:val="24"/>
                <w:szCs w:val="24"/>
              </w:rPr>
              <w:t xml:space="preserve"> iejaukšanos komercbanku kreditēšanā, pilnvarotajām personām, piesakoties sabiedrības </w:t>
            </w:r>
            <w:r w:rsidRPr="005A57B2">
              <w:rPr>
                <w:iCs/>
                <w:sz w:val="24"/>
                <w:szCs w:val="24"/>
              </w:rPr>
              <w:t>"</w:t>
            </w:r>
            <w:proofErr w:type="spellStart"/>
            <w:r w:rsidRPr="005F5CF5">
              <w:rPr>
                <w:iCs/>
                <w:sz w:val="24"/>
                <w:szCs w:val="24"/>
              </w:rPr>
              <w:t>Altum</w:t>
            </w:r>
            <w:proofErr w:type="spellEnd"/>
            <w:r w:rsidRPr="005A57B2">
              <w:rPr>
                <w:iCs/>
                <w:sz w:val="24"/>
                <w:szCs w:val="24"/>
              </w:rPr>
              <w:t>"</w:t>
            </w:r>
            <w:r w:rsidRPr="005F5CF5">
              <w:rPr>
                <w:iCs/>
                <w:sz w:val="24"/>
                <w:szCs w:val="24"/>
              </w:rPr>
              <w:t xml:space="preserve"> </w:t>
            </w:r>
            <w:r>
              <w:rPr>
                <w:iCs/>
                <w:sz w:val="24"/>
                <w:szCs w:val="24"/>
              </w:rPr>
              <w:t xml:space="preserve">aizdevumam, aizdevuma pieteikumā būs jāapraksta tās sadarbība ar komercbanku, norādot komercbanku, kurā tika iesniegts pieteikums, pieteikuma iesniegšanas datumu un aizdevuma izskatīšanai nepieciešamo dokumentu iesniegšanas komercbankā datumus, kā arī komunikācijas gaitu ar komercbanku, par kuru sabiedrība </w:t>
            </w:r>
            <w:r w:rsidRPr="005A57B2">
              <w:rPr>
                <w:iCs/>
                <w:sz w:val="24"/>
                <w:szCs w:val="24"/>
              </w:rPr>
              <w:t>"</w:t>
            </w:r>
            <w:proofErr w:type="spellStart"/>
            <w:r w:rsidRPr="005F5CF5">
              <w:rPr>
                <w:iCs/>
                <w:sz w:val="24"/>
                <w:szCs w:val="24"/>
              </w:rPr>
              <w:t>Altum</w:t>
            </w:r>
            <w:proofErr w:type="spellEnd"/>
            <w:r w:rsidRPr="005A57B2">
              <w:rPr>
                <w:iCs/>
                <w:sz w:val="24"/>
                <w:szCs w:val="24"/>
              </w:rPr>
              <w:t>"</w:t>
            </w:r>
            <w:r w:rsidRPr="005F5CF5">
              <w:rPr>
                <w:iCs/>
                <w:sz w:val="24"/>
                <w:szCs w:val="24"/>
              </w:rPr>
              <w:t xml:space="preserve"> </w:t>
            </w:r>
            <w:r>
              <w:rPr>
                <w:iCs/>
                <w:sz w:val="24"/>
                <w:szCs w:val="24"/>
              </w:rPr>
              <w:t xml:space="preserve">pārliecināsies jau esošās sadarbības ietvaros ar komercbankām. Ja sabiedrība </w:t>
            </w:r>
            <w:r w:rsidRPr="005A57B2">
              <w:rPr>
                <w:iCs/>
                <w:sz w:val="24"/>
                <w:szCs w:val="24"/>
              </w:rPr>
              <w:t>"</w:t>
            </w:r>
            <w:proofErr w:type="spellStart"/>
            <w:r w:rsidRPr="005F5CF5">
              <w:rPr>
                <w:iCs/>
                <w:sz w:val="24"/>
                <w:szCs w:val="24"/>
              </w:rPr>
              <w:t>Altum</w:t>
            </w:r>
            <w:proofErr w:type="spellEnd"/>
            <w:r w:rsidRPr="005A57B2">
              <w:rPr>
                <w:iCs/>
                <w:sz w:val="24"/>
                <w:szCs w:val="24"/>
              </w:rPr>
              <w:t>"</w:t>
            </w:r>
            <w:r>
              <w:rPr>
                <w:iCs/>
                <w:sz w:val="24"/>
                <w:szCs w:val="24"/>
              </w:rPr>
              <w:t xml:space="preserve"> konstatēs, ka komercbanka nav varējusi pieņemt lēmumu, jo pilnvarotā persona nav iesniegusi nepieciešamos dokumentus (piemēram, maksājumu disciplīnu apliecinošos dokumentus, dzīvokļu īpašnieku kopsapulces protokolu), sabiedrība </w:t>
            </w:r>
            <w:r w:rsidRPr="005A57B2">
              <w:rPr>
                <w:iCs/>
                <w:sz w:val="24"/>
                <w:szCs w:val="24"/>
              </w:rPr>
              <w:t>"</w:t>
            </w:r>
            <w:proofErr w:type="spellStart"/>
            <w:r w:rsidRPr="005F5CF5">
              <w:rPr>
                <w:iCs/>
                <w:sz w:val="24"/>
                <w:szCs w:val="24"/>
              </w:rPr>
              <w:t>Altum</w:t>
            </w:r>
            <w:proofErr w:type="spellEnd"/>
            <w:r w:rsidRPr="005A57B2">
              <w:rPr>
                <w:iCs/>
                <w:sz w:val="24"/>
                <w:szCs w:val="24"/>
              </w:rPr>
              <w:t>"</w:t>
            </w:r>
            <w:r>
              <w:rPr>
                <w:iCs/>
                <w:sz w:val="24"/>
                <w:szCs w:val="24"/>
              </w:rPr>
              <w:t xml:space="preserve"> tai aizdevumu nepiešķirs un lūgs vērsties attiecīgajā komercbankā. Sabiedrība </w:t>
            </w:r>
            <w:r w:rsidRPr="005A57B2">
              <w:rPr>
                <w:iCs/>
                <w:sz w:val="24"/>
                <w:szCs w:val="24"/>
              </w:rPr>
              <w:t>"</w:t>
            </w:r>
            <w:proofErr w:type="spellStart"/>
            <w:r w:rsidRPr="005F5CF5">
              <w:rPr>
                <w:iCs/>
                <w:sz w:val="24"/>
                <w:szCs w:val="24"/>
              </w:rPr>
              <w:t>Altum</w:t>
            </w:r>
            <w:proofErr w:type="spellEnd"/>
            <w:r w:rsidRPr="005A57B2">
              <w:rPr>
                <w:iCs/>
                <w:sz w:val="24"/>
                <w:szCs w:val="24"/>
              </w:rPr>
              <w:t>"</w:t>
            </w:r>
            <w:r>
              <w:rPr>
                <w:iCs/>
                <w:sz w:val="24"/>
                <w:szCs w:val="24"/>
              </w:rPr>
              <w:t xml:space="preserve"> precizēto aizdevuma veidlapu saskaņo ar komercbankām. </w:t>
            </w:r>
            <w:r w:rsidRPr="005F5CF5">
              <w:rPr>
                <w:iCs/>
                <w:sz w:val="24"/>
                <w:szCs w:val="24"/>
              </w:rPr>
              <w:t xml:space="preserve">Papildus vēršam uzmanību, ka jau šobrīd sabiedrība </w:t>
            </w:r>
            <w:r w:rsidRPr="005A57B2">
              <w:rPr>
                <w:iCs/>
                <w:sz w:val="24"/>
                <w:szCs w:val="24"/>
              </w:rPr>
              <w:t>"</w:t>
            </w:r>
            <w:proofErr w:type="spellStart"/>
            <w:r w:rsidRPr="005F5CF5">
              <w:rPr>
                <w:iCs/>
                <w:sz w:val="24"/>
                <w:szCs w:val="24"/>
              </w:rPr>
              <w:t>Altum</w:t>
            </w:r>
            <w:proofErr w:type="spellEnd"/>
            <w:r w:rsidRPr="005A57B2">
              <w:rPr>
                <w:iCs/>
                <w:sz w:val="24"/>
                <w:szCs w:val="24"/>
              </w:rPr>
              <w:t>"</w:t>
            </w:r>
            <w:r w:rsidRPr="005F5CF5">
              <w:rPr>
                <w:iCs/>
                <w:sz w:val="24"/>
                <w:szCs w:val="24"/>
              </w:rPr>
              <w:t xml:space="preserve"> seko līdzi tam, lai 4.2.1.1. pasākuma aizdevumu procentu likmes būtiski neatšķirtos no komercbanku piedāvājuma.</w:t>
            </w:r>
          </w:p>
          <w:p w14:paraId="354232B0" w14:textId="77777777" w:rsidR="006544D1" w:rsidRPr="00C10407" w:rsidRDefault="006544D1" w:rsidP="00463E28">
            <w:pPr>
              <w:pStyle w:val="ListParagraph"/>
              <w:ind w:left="0" w:firstLine="360"/>
              <w:jc w:val="both"/>
            </w:pPr>
            <w:r>
              <w:rPr>
                <w:iCs/>
                <w:sz w:val="24"/>
                <w:szCs w:val="24"/>
              </w:rPr>
              <w:t>EM ierosinātās izmaiņas arī</w:t>
            </w:r>
            <w:r w:rsidRPr="001A0F99">
              <w:rPr>
                <w:iCs/>
                <w:sz w:val="24"/>
                <w:szCs w:val="24"/>
              </w:rPr>
              <w:t xml:space="preserve"> pozitīvi iespaidos būvk</w:t>
            </w:r>
            <w:r>
              <w:rPr>
                <w:iCs/>
                <w:sz w:val="24"/>
                <w:szCs w:val="24"/>
              </w:rPr>
              <w:t>omersantus</w:t>
            </w:r>
            <w:r w:rsidRPr="001A0F99">
              <w:rPr>
                <w:iCs/>
                <w:sz w:val="24"/>
                <w:szCs w:val="24"/>
              </w:rPr>
              <w:t xml:space="preserve"> un </w:t>
            </w:r>
            <w:r>
              <w:rPr>
                <w:iCs/>
                <w:sz w:val="24"/>
                <w:szCs w:val="24"/>
              </w:rPr>
              <w:t xml:space="preserve">citus </w:t>
            </w:r>
            <w:r w:rsidRPr="001A0F99">
              <w:rPr>
                <w:iCs/>
                <w:sz w:val="24"/>
                <w:szCs w:val="24"/>
              </w:rPr>
              <w:t>pakalpojuma sniedzējus</w:t>
            </w:r>
            <w:r>
              <w:rPr>
                <w:iCs/>
                <w:sz w:val="24"/>
                <w:szCs w:val="24"/>
              </w:rPr>
              <w:t xml:space="preserve"> 4.2.1.1. pasākuma ietvaros</w:t>
            </w:r>
            <w:r w:rsidRPr="001A0F99">
              <w:rPr>
                <w:iCs/>
                <w:sz w:val="24"/>
                <w:szCs w:val="24"/>
              </w:rPr>
              <w:t xml:space="preserve">, t.i., </w:t>
            </w:r>
            <w:r w:rsidRPr="001A0F99">
              <w:rPr>
                <w:iCs/>
                <w:sz w:val="24"/>
                <w:szCs w:val="24"/>
              </w:rPr>
              <w:lastRenderedPageBreak/>
              <w:t xml:space="preserve">notiks ātrāka </w:t>
            </w:r>
            <w:r>
              <w:rPr>
                <w:iCs/>
                <w:sz w:val="24"/>
                <w:szCs w:val="24"/>
              </w:rPr>
              <w:t>finansējuma</w:t>
            </w:r>
            <w:r w:rsidRPr="001A0F99">
              <w:rPr>
                <w:iCs/>
                <w:sz w:val="24"/>
                <w:szCs w:val="24"/>
              </w:rPr>
              <w:t xml:space="preserve"> aprite no piedāvājuma iesniegšanas līdz būvniecības darbu uzsākšanai un attiecīgi arī pabeigšanai.</w:t>
            </w:r>
          </w:p>
        </w:tc>
      </w:tr>
      <w:tr w:rsidR="006544D1" w:rsidRPr="00AB0A81" w14:paraId="36B9C535"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99E1123"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lastRenderedPageBreak/>
              <w:t>3.</w:t>
            </w:r>
          </w:p>
        </w:tc>
        <w:tc>
          <w:tcPr>
            <w:tcW w:w="1383" w:type="pct"/>
            <w:tcBorders>
              <w:top w:val="outset" w:sz="6" w:space="0" w:color="auto"/>
              <w:left w:val="outset" w:sz="6" w:space="0" w:color="auto"/>
              <w:bottom w:val="outset" w:sz="6" w:space="0" w:color="auto"/>
              <w:right w:val="outset" w:sz="6" w:space="0" w:color="auto"/>
            </w:tcBorders>
            <w:hideMark/>
          </w:tcPr>
          <w:p w14:paraId="50043ECF"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91" w:type="pct"/>
            <w:tcBorders>
              <w:top w:val="outset" w:sz="6" w:space="0" w:color="auto"/>
              <w:left w:val="outset" w:sz="6" w:space="0" w:color="auto"/>
              <w:bottom w:val="outset" w:sz="6" w:space="0" w:color="auto"/>
              <w:right w:val="outset" w:sz="6" w:space="0" w:color="auto"/>
            </w:tcBorders>
            <w:hideMark/>
          </w:tcPr>
          <w:p w14:paraId="4DEA75E6"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Ekonomikas ministrija, sabiedrība “</w:t>
            </w:r>
            <w:proofErr w:type="spellStart"/>
            <w:r w:rsidRPr="00AB0A81">
              <w:rPr>
                <w:rFonts w:ascii="Times New Roman" w:eastAsia="Times New Roman" w:hAnsi="Times New Roman" w:cs="Times New Roman"/>
                <w:iCs/>
                <w:color w:val="000000" w:themeColor="text1"/>
                <w:sz w:val="24"/>
                <w:szCs w:val="24"/>
                <w:lang w:eastAsia="lv-LV"/>
              </w:rPr>
              <w:t>Altum</w:t>
            </w:r>
            <w:proofErr w:type="spellEnd"/>
            <w:r w:rsidRPr="00AB0A81">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Latvijas Finanšu nozares asociācija</w:t>
            </w:r>
          </w:p>
        </w:tc>
      </w:tr>
      <w:tr w:rsidR="006544D1" w:rsidRPr="00AB0A81" w14:paraId="7A3BA535"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CF5521"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14:paraId="2001826C"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74F51BE2"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5D3DE90C"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2803"/>
        <w:gridCol w:w="6703"/>
      </w:tblGrid>
      <w:tr w:rsidR="006544D1" w:rsidRPr="00AB0A81" w14:paraId="621E01FC" w14:textId="77777777" w:rsidTr="00463E2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B2268DF" w14:textId="77777777" w:rsidR="006544D1" w:rsidRPr="00AB0A81" w:rsidRDefault="006544D1" w:rsidP="00463E28">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544D1" w:rsidRPr="00AB0A81" w14:paraId="092E8640" w14:textId="77777777" w:rsidTr="00463E2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343F0B9F"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386" w:type="pct"/>
            <w:tcBorders>
              <w:top w:val="outset" w:sz="6" w:space="0" w:color="auto"/>
              <w:left w:val="outset" w:sz="6" w:space="0" w:color="auto"/>
              <w:bottom w:val="outset" w:sz="6" w:space="0" w:color="auto"/>
              <w:right w:val="outset" w:sz="6" w:space="0" w:color="auto"/>
            </w:tcBorders>
            <w:hideMark/>
          </w:tcPr>
          <w:p w14:paraId="71AD9BE4"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Sabiedrības </w:t>
            </w:r>
            <w:proofErr w:type="spellStart"/>
            <w:r w:rsidRPr="00AB0A81">
              <w:rPr>
                <w:rFonts w:ascii="Times New Roman" w:eastAsia="Times New Roman" w:hAnsi="Times New Roman" w:cs="Times New Roman"/>
                <w:iCs/>
                <w:color w:val="000000" w:themeColor="text1"/>
                <w:sz w:val="24"/>
                <w:szCs w:val="24"/>
                <w:lang w:eastAsia="lv-LV"/>
              </w:rPr>
              <w:t>mērķgrupas</w:t>
            </w:r>
            <w:proofErr w:type="spellEnd"/>
            <w:r w:rsidRPr="00AB0A81">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97" w:type="pct"/>
            <w:tcBorders>
              <w:top w:val="outset" w:sz="6" w:space="0" w:color="auto"/>
              <w:left w:val="outset" w:sz="6" w:space="0" w:color="auto"/>
              <w:bottom w:val="outset" w:sz="6" w:space="0" w:color="auto"/>
              <w:right w:val="outset" w:sz="6" w:space="0" w:color="auto"/>
            </w:tcBorders>
            <w:hideMark/>
          </w:tcPr>
          <w:p w14:paraId="2C425E75"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Dzīvokļu īpašnieki un to pilnvarotās personas</w:t>
            </w:r>
            <w:r>
              <w:rPr>
                <w:rFonts w:ascii="Times New Roman" w:eastAsia="Times New Roman" w:hAnsi="Times New Roman" w:cs="Times New Roman"/>
                <w:iCs/>
                <w:color w:val="000000" w:themeColor="text1"/>
                <w:sz w:val="24"/>
                <w:szCs w:val="24"/>
                <w:lang w:eastAsia="lv-LV"/>
              </w:rPr>
              <w:t>, kredītiestādes.</w:t>
            </w:r>
          </w:p>
        </w:tc>
      </w:tr>
      <w:tr w:rsidR="006544D1" w:rsidRPr="00AB0A81" w14:paraId="15957836" w14:textId="77777777" w:rsidTr="00463E2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58E0ED43"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386" w:type="pct"/>
            <w:tcBorders>
              <w:top w:val="outset" w:sz="6" w:space="0" w:color="auto"/>
              <w:left w:val="outset" w:sz="6" w:space="0" w:color="auto"/>
              <w:bottom w:val="outset" w:sz="6" w:space="0" w:color="auto"/>
              <w:right w:val="outset" w:sz="6" w:space="0" w:color="auto"/>
            </w:tcBorders>
            <w:hideMark/>
          </w:tcPr>
          <w:p w14:paraId="47FAFD07"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97" w:type="pct"/>
            <w:tcBorders>
              <w:top w:val="outset" w:sz="6" w:space="0" w:color="auto"/>
              <w:left w:val="outset" w:sz="6" w:space="0" w:color="auto"/>
              <w:bottom w:val="outset" w:sz="6" w:space="0" w:color="auto"/>
              <w:right w:val="outset" w:sz="6" w:space="0" w:color="auto"/>
            </w:tcBorders>
            <w:hideMark/>
          </w:tcPr>
          <w:p w14:paraId="02C9DFA5"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Pr="00AB0A81">
              <w:rPr>
                <w:rFonts w:ascii="Times New Roman" w:eastAsia="Times New Roman" w:hAnsi="Times New Roman" w:cs="Times New Roman"/>
                <w:iCs/>
                <w:color w:val="000000" w:themeColor="text1"/>
                <w:sz w:val="24"/>
                <w:szCs w:val="24"/>
                <w:lang w:eastAsia="lv-LV"/>
              </w:rPr>
              <w:t>rojekts neparedz ietekmi uz administratīvo slogu.</w:t>
            </w:r>
          </w:p>
        </w:tc>
      </w:tr>
      <w:tr w:rsidR="006544D1" w:rsidRPr="00AB0A81" w14:paraId="1A389DDD" w14:textId="77777777" w:rsidTr="00463E2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22317D19"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1386" w:type="pct"/>
            <w:tcBorders>
              <w:top w:val="outset" w:sz="6" w:space="0" w:color="auto"/>
              <w:left w:val="outset" w:sz="6" w:space="0" w:color="auto"/>
              <w:bottom w:val="outset" w:sz="6" w:space="0" w:color="auto"/>
              <w:right w:val="outset" w:sz="6" w:space="0" w:color="auto"/>
            </w:tcBorders>
            <w:hideMark/>
          </w:tcPr>
          <w:p w14:paraId="5F98EB84"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Administratīvo izmaksu monetārs novērtējums</w:t>
            </w:r>
          </w:p>
        </w:tc>
        <w:tc>
          <w:tcPr>
            <w:tcW w:w="3297" w:type="pct"/>
            <w:tcBorders>
              <w:top w:val="outset" w:sz="6" w:space="0" w:color="auto"/>
              <w:left w:val="outset" w:sz="6" w:space="0" w:color="auto"/>
              <w:bottom w:val="outset" w:sz="6" w:space="0" w:color="auto"/>
              <w:right w:val="outset" w:sz="6" w:space="0" w:color="auto"/>
            </w:tcBorders>
            <w:hideMark/>
          </w:tcPr>
          <w:p w14:paraId="08901314" w14:textId="77777777" w:rsidR="006544D1" w:rsidRPr="00C10407" w:rsidRDefault="006544D1" w:rsidP="00463E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lang w:eastAsia="lv-LV"/>
              </w:rPr>
              <w:t>P</w:t>
            </w:r>
            <w:r w:rsidRPr="00AB0A81">
              <w:rPr>
                <w:rFonts w:ascii="Times New Roman" w:eastAsia="Times New Roman" w:hAnsi="Times New Roman" w:cs="Times New Roman"/>
                <w:iCs/>
                <w:color w:val="000000" w:themeColor="text1"/>
                <w:sz w:val="24"/>
                <w:szCs w:val="24"/>
                <w:lang w:eastAsia="lv-LV"/>
              </w:rPr>
              <w:t>rojekts neparedz ietekmi uz administratīvo slogu un izmaksām</w:t>
            </w:r>
          </w:p>
        </w:tc>
      </w:tr>
      <w:tr w:rsidR="006544D1" w:rsidRPr="00AB0A81" w14:paraId="21B38A1D" w14:textId="77777777" w:rsidTr="00463E2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090CF896"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1386" w:type="pct"/>
            <w:tcBorders>
              <w:top w:val="outset" w:sz="6" w:space="0" w:color="auto"/>
              <w:left w:val="outset" w:sz="6" w:space="0" w:color="auto"/>
              <w:bottom w:val="outset" w:sz="6" w:space="0" w:color="auto"/>
              <w:right w:val="outset" w:sz="6" w:space="0" w:color="auto"/>
            </w:tcBorders>
            <w:hideMark/>
          </w:tcPr>
          <w:p w14:paraId="51A9490A"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Atbilstības izmaksu monetārs novērtējums</w:t>
            </w:r>
          </w:p>
        </w:tc>
        <w:tc>
          <w:tcPr>
            <w:tcW w:w="3297" w:type="pct"/>
            <w:tcBorders>
              <w:top w:val="outset" w:sz="6" w:space="0" w:color="auto"/>
              <w:left w:val="outset" w:sz="6" w:space="0" w:color="auto"/>
              <w:bottom w:val="outset" w:sz="6" w:space="0" w:color="auto"/>
              <w:right w:val="outset" w:sz="6" w:space="0" w:color="auto"/>
            </w:tcBorders>
            <w:hideMark/>
          </w:tcPr>
          <w:p w14:paraId="6663E776"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Pr="00AB0A81">
              <w:rPr>
                <w:rFonts w:ascii="Times New Roman" w:eastAsia="Times New Roman" w:hAnsi="Times New Roman" w:cs="Times New Roman"/>
                <w:iCs/>
                <w:color w:val="000000" w:themeColor="text1"/>
                <w:sz w:val="24"/>
                <w:szCs w:val="24"/>
                <w:lang w:eastAsia="lv-LV"/>
              </w:rPr>
              <w:t>rojekts neparedz ietekmi uz atbilstības izmaksām.</w:t>
            </w:r>
          </w:p>
        </w:tc>
      </w:tr>
      <w:tr w:rsidR="006544D1" w:rsidRPr="00AB0A81" w14:paraId="5E5F23DF" w14:textId="77777777" w:rsidTr="00463E2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7FC631C1"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5.</w:t>
            </w:r>
          </w:p>
        </w:tc>
        <w:tc>
          <w:tcPr>
            <w:tcW w:w="1386" w:type="pct"/>
            <w:tcBorders>
              <w:top w:val="outset" w:sz="6" w:space="0" w:color="auto"/>
              <w:left w:val="outset" w:sz="6" w:space="0" w:color="auto"/>
              <w:bottom w:val="outset" w:sz="6" w:space="0" w:color="auto"/>
              <w:right w:val="outset" w:sz="6" w:space="0" w:color="auto"/>
            </w:tcBorders>
            <w:hideMark/>
          </w:tcPr>
          <w:p w14:paraId="716FB44B"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297" w:type="pct"/>
            <w:tcBorders>
              <w:top w:val="outset" w:sz="6" w:space="0" w:color="auto"/>
              <w:left w:val="outset" w:sz="6" w:space="0" w:color="auto"/>
              <w:bottom w:val="outset" w:sz="6" w:space="0" w:color="auto"/>
              <w:right w:val="outset" w:sz="6" w:space="0" w:color="auto"/>
            </w:tcBorders>
            <w:hideMark/>
          </w:tcPr>
          <w:p w14:paraId="656492C3"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02F00479"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6544D1" w:rsidRPr="00AB0A81" w14:paraId="0478CE78" w14:textId="77777777" w:rsidTr="00463E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CE83CFF" w14:textId="77777777" w:rsidR="006544D1" w:rsidRPr="005D1F0C" w:rsidRDefault="006544D1" w:rsidP="00463E28">
            <w:pPr>
              <w:spacing w:after="0" w:line="240" w:lineRule="auto"/>
              <w:rPr>
                <w:rFonts w:ascii="Times New Roman" w:eastAsia="Times New Roman" w:hAnsi="Times New Roman" w:cs="Times New Roman"/>
                <w:b/>
                <w:bCs/>
                <w:iCs/>
                <w:color w:val="000000" w:themeColor="text1"/>
                <w:sz w:val="24"/>
                <w:szCs w:val="24"/>
                <w:lang w:eastAsia="lv-LV"/>
              </w:rPr>
            </w:pPr>
            <w:r w:rsidRPr="005D1F0C">
              <w:rPr>
                <w:rFonts w:ascii="Times New Roman" w:hAnsi="Times New Roman" w:cs="Times New Roman"/>
                <w:b/>
                <w:bCs/>
                <w:sz w:val="26"/>
                <w:szCs w:val="26"/>
                <w:lang w:eastAsia="ja-JP"/>
              </w:rPr>
              <w:t>III. Tiesību akta projekta ietekme uz valsts budžetu un pašvaldību budžetiem</w:t>
            </w:r>
          </w:p>
        </w:tc>
      </w:tr>
      <w:tr w:rsidR="006544D1" w:rsidRPr="00AB0A81" w14:paraId="6A88D967" w14:textId="77777777" w:rsidTr="00463E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995952E" w14:textId="77777777" w:rsidR="006544D1" w:rsidRPr="00AB0A81" w:rsidRDefault="006544D1" w:rsidP="00463E28">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Projekts šo jomu neskar</w:t>
            </w:r>
          </w:p>
        </w:tc>
      </w:tr>
    </w:tbl>
    <w:p w14:paraId="1F094080"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6544D1" w:rsidRPr="00AB0A81" w14:paraId="284510BB" w14:textId="77777777" w:rsidTr="00463E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0FC408C" w14:textId="77777777" w:rsidR="006544D1" w:rsidRPr="00AB0A81" w:rsidRDefault="006544D1" w:rsidP="00463E28">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6544D1" w:rsidRPr="00AB0A81" w14:paraId="10530837" w14:textId="77777777" w:rsidTr="00463E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7C9F8F8D" w14:textId="77777777" w:rsidR="006544D1" w:rsidRPr="00AB0A81" w:rsidRDefault="006544D1" w:rsidP="00463E28">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Projekts šo jomu neskar</w:t>
            </w:r>
          </w:p>
        </w:tc>
      </w:tr>
    </w:tbl>
    <w:p w14:paraId="5C6EE059"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6544D1" w:rsidRPr="00AB0A81" w14:paraId="6801B8AD" w14:textId="77777777" w:rsidTr="00463E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4A1A348" w14:textId="77777777" w:rsidR="006544D1" w:rsidRPr="00AB0A81" w:rsidRDefault="006544D1" w:rsidP="00463E28">
            <w:pPr>
              <w:spacing w:after="0" w:line="240" w:lineRule="auto"/>
              <w:rPr>
                <w:rFonts w:ascii="Times New Roman" w:eastAsia="Times New Roman" w:hAnsi="Times New Roman" w:cs="Times New Roman"/>
                <w:b/>
                <w:bCs/>
                <w:iCs/>
                <w:sz w:val="24"/>
                <w:szCs w:val="24"/>
                <w:lang w:eastAsia="lv-LV"/>
              </w:rPr>
            </w:pPr>
            <w:r w:rsidRPr="00AB0A8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544D1" w:rsidRPr="00AB0A81" w14:paraId="733F502A" w14:textId="77777777" w:rsidTr="00463E28">
        <w:trPr>
          <w:trHeight w:val="245"/>
          <w:tblCellSpacing w:w="15" w:type="dxa"/>
        </w:trPr>
        <w:tc>
          <w:tcPr>
            <w:tcW w:w="4970" w:type="pct"/>
            <w:tcBorders>
              <w:top w:val="outset" w:sz="6" w:space="0" w:color="auto"/>
              <w:left w:val="outset" w:sz="6" w:space="0" w:color="auto"/>
              <w:right w:val="outset" w:sz="6" w:space="0" w:color="auto"/>
            </w:tcBorders>
          </w:tcPr>
          <w:p w14:paraId="2516B58B" w14:textId="77777777" w:rsidR="006544D1" w:rsidRPr="00AB0A81" w:rsidRDefault="006544D1" w:rsidP="00463E28">
            <w:pPr>
              <w:spacing w:after="0" w:line="240" w:lineRule="auto"/>
              <w:jc w:val="center"/>
              <w:rPr>
                <w:rFonts w:ascii="Times New Roman" w:hAnsi="Times New Roman" w:cs="Times New Roman"/>
                <w:iCs/>
                <w:sz w:val="24"/>
                <w:szCs w:val="24"/>
              </w:rPr>
            </w:pPr>
            <w:r w:rsidRPr="00AB0A81">
              <w:rPr>
                <w:rFonts w:ascii="Times New Roman" w:eastAsia="Times New Roman" w:hAnsi="Times New Roman" w:cs="Times New Roman"/>
                <w:iCs/>
                <w:sz w:val="24"/>
                <w:szCs w:val="24"/>
                <w:lang w:eastAsia="lv-LV"/>
              </w:rPr>
              <w:t>Projekts šo jomu neskar</w:t>
            </w:r>
          </w:p>
        </w:tc>
      </w:tr>
    </w:tbl>
    <w:p w14:paraId="5EF33DB6"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844"/>
        <w:gridCol w:w="6663"/>
      </w:tblGrid>
      <w:tr w:rsidR="006544D1" w:rsidRPr="00AB0A81" w14:paraId="154B03AC" w14:textId="77777777" w:rsidTr="00463E28">
        <w:trPr>
          <w:tblCellSpacing w:w="15" w:type="dxa"/>
        </w:trPr>
        <w:tc>
          <w:tcPr>
            <w:tcW w:w="10006" w:type="dxa"/>
            <w:gridSpan w:val="3"/>
            <w:tcBorders>
              <w:top w:val="outset" w:sz="6" w:space="0" w:color="auto"/>
              <w:left w:val="outset" w:sz="6" w:space="0" w:color="auto"/>
              <w:bottom w:val="outset" w:sz="6" w:space="0" w:color="auto"/>
              <w:right w:val="outset" w:sz="6" w:space="0" w:color="auto"/>
            </w:tcBorders>
            <w:vAlign w:val="center"/>
            <w:hideMark/>
          </w:tcPr>
          <w:p w14:paraId="34936308" w14:textId="77777777" w:rsidR="006544D1" w:rsidRPr="00AB0A81" w:rsidRDefault="006544D1" w:rsidP="00463E28">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6544D1" w:rsidRPr="00AB0A81" w14:paraId="69D35F43" w14:textId="77777777" w:rsidTr="00463E2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9D8A82F"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2814" w:type="dxa"/>
            <w:tcBorders>
              <w:top w:val="outset" w:sz="6" w:space="0" w:color="auto"/>
              <w:left w:val="outset" w:sz="6" w:space="0" w:color="auto"/>
              <w:bottom w:val="outset" w:sz="6" w:space="0" w:color="auto"/>
              <w:right w:val="outset" w:sz="6" w:space="0" w:color="auto"/>
            </w:tcBorders>
            <w:hideMark/>
          </w:tcPr>
          <w:p w14:paraId="07B916F4"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618" w:type="dxa"/>
            <w:tcBorders>
              <w:top w:val="outset" w:sz="6" w:space="0" w:color="auto"/>
              <w:left w:val="outset" w:sz="6" w:space="0" w:color="auto"/>
              <w:bottom w:val="outset" w:sz="6" w:space="0" w:color="auto"/>
              <w:right w:val="outset" w:sz="6" w:space="0" w:color="auto"/>
            </w:tcBorders>
            <w:hideMark/>
          </w:tcPr>
          <w:p w14:paraId="62B23620"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Pēc noteikumu projekta apstiprināšanas sabiedrība “</w:t>
            </w:r>
            <w:proofErr w:type="spellStart"/>
            <w:r w:rsidRPr="00AB0A81">
              <w:rPr>
                <w:rFonts w:ascii="Times New Roman" w:eastAsia="Times New Roman" w:hAnsi="Times New Roman" w:cs="Times New Roman"/>
                <w:iCs/>
                <w:color w:val="000000" w:themeColor="text1"/>
                <w:sz w:val="24"/>
                <w:szCs w:val="24"/>
                <w:lang w:eastAsia="lv-LV"/>
              </w:rPr>
              <w:t>Altum</w:t>
            </w:r>
            <w:proofErr w:type="spellEnd"/>
            <w:r w:rsidRPr="00AB0A81">
              <w:rPr>
                <w:rFonts w:ascii="Times New Roman" w:eastAsia="Times New Roman" w:hAnsi="Times New Roman" w:cs="Times New Roman"/>
                <w:iCs/>
                <w:color w:val="000000" w:themeColor="text1"/>
                <w:sz w:val="24"/>
                <w:szCs w:val="24"/>
                <w:lang w:eastAsia="lv-LV"/>
              </w:rPr>
              <w:t>” nodrošinās informēšanas pasākumus.</w:t>
            </w:r>
          </w:p>
        </w:tc>
      </w:tr>
      <w:tr w:rsidR="006544D1" w:rsidRPr="00AB0A81" w14:paraId="736B61BF" w14:textId="77777777" w:rsidTr="00463E2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CFA6DEC"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2814" w:type="dxa"/>
            <w:tcBorders>
              <w:top w:val="outset" w:sz="6" w:space="0" w:color="auto"/>
              <w:left w:val="outset" w:sz="6" w:space="0" w:color="auto"/>
              <w:bottom w:val="outset" w:sz="6" w:space="0" w:color="auto"/>
              <w:right w:val="outset" w:sz="6" w:space="0" w:color="auto"/>
            </w:tcBorders>
            <w:hideMark/>
          </w:tcPr>
          <w:p w14:paraId="5E57D5BE"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līdzdalība projekta izstrādē</w:t>
            </w:r>
          </w:p>
        </w:tc>
        <w:tc>
          <w:tcPr>
            <w:tcW w:w="6618" w:type="dxa"/>
            <w:tcBorders>
              <w:top w:val="outset" w:sz="6" w:space="0" w:color="auto"/>
              <w:left w:val="outset" w:sz="6" w:space="0" w:color="auto"/>
              <w:bottom w:val="outset" w:sz="6" w:space="0" w:color="auto"/>
              <w:right w:val="outset" w:sz="6" w:space="0" w:color="auto"/>
            </w:tcBorders>
            <w:hideMark/>
          </w:tcPr>
          <w:p w14:paraId="6AAFC026"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 izstrādē tika iesaistīta Latvijas Finanšu nozares asociācija, rīkojot saskaņošanas sanāksmi, kas norisinājās 2020. gada 27. oktobrī.</w:t>
            </w:r>
          </w:p>
        </w:tc>
      </w:tr>
      <w:tr w:rsidR="006544D1" w:rsidRPr="00AB0A81" w14:paraId="571DEB05" w14:textId="77777777" w:rsidTr="00463E2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991C475"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2814" w:type="dxa"/>
            <w:tcBorders>
              <w:top w:val="outset" w:sz="6" w:space="0" w:color="auto"/>
              <w:left w:val="outset" w:sz="6" w:space="0" w:color="auto"/>
              <w:bottom w:val="outset" w:sz="6" w:space="0" w:color="auto"/>
              <w:right w:val="outset" w:sz="6" w:space="0" w:color="auto"/>
            </w:tcBorders>
            <w:hideMark/>
          </w:tcPr>
          <w:p w14:paraId="682AC83E"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līdzdalības rezultāti</w:t>
            </w:r>
          </w:p>
        </w:tc>
        <w:tc>
          <w:tcPr>
            <w:tcW w:w="6618" w:type="dxa"/>
            <w:tcBorders>
              <w:top w:val="outset" w:sz="6" w:space="0" w:color="auto"/>
              <w:left w:val="outset" w:sz="6" w:space="0" w:color="auto"/>
              <w:bottom w:val="outset" w:sz="6" w:space="0" w:color="auto"/>
              <w:right w:val="outset" w:sz="6" w:space="0" w:color="auto"/>
            </w:tcBorders>
            <w:hideMark/>
          </w:tcPr>
          <w:p w14:paraId="4C50E996" w14:textId="77777777" w:rsidR="006544D1" w:rsidRPr="00B1367B"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B1367B">
              <w:rPr>
                <w:rFonts w:ascii="Times New Roman" w:eastAsia="Times New Roman" w:hAnsi="Times New Roman" w:cs="Times New Roman"/>
                <w:iCs/>
                <w:color w:val="000000" w:themeColor="text1"/>
                <w:sz w:val="24"/>
                <w:szCs w:val="24"/>
                <w:lang w:eastAsia="lv-LV"/>
              </w:rPr>
              <w:t xml:space="preserve">Latvijas Finanšu nozaru asociācija ir saskaņojusi Noteikumu projektu, vēršot uzmanību, ka spēja informēt par lēmumu noteiktajā termiņā ir atkarīga gan no iesniedzamo dokumentu kvalitātes (nereti netiek iesniegti visi nepieciešamie dokumenti, kuru uzskaitījums ir </w:t>
            </w:r>
            <w:r w:rsidRPr="00B1367B">
              <w:rPr>
                <w:rFonts w:ascii="Times New Roman" w:eastAsia="Times New Roman" w:hAnsi="Times New Roman" w:cs="Times New Roman"/>
                <w:iCs/>
                <w:color w:val="000000" w:themeColor="text1"/>
                <w:sz w:val="24"/>
                <w:szCs w:val="24"/>
                <w:lang w:eastAsia="lv-LV"/>
              </w:rPr>
              <w:lastRenderedPageBreak/>
              <w:t xml:space="preserve">pieejams kredītiestāžu mājaslapā, vai iesniegtā informācija nav pilnīga), gan arī no </w:t>
            </w:r>
            <w:r>
              <w:rPr>
                <w:rFonts w:ascii="Times New Roman" w:eastAsia="Times New Roman" w:hAnsi="Times New Roman" w:cs="Times New Roman"/>
                <w:iCs/>
                <w:color w:val="000000" w:themeColor="text1"/>
                <w:sz w:val="24"/>
                <w:szCs w:val="24"/>
                <w:lang w:eastAsia="lv-LV"/>
              </w:rPr>
              <w:t>sabiedrības “</w:t>
            </w:r>
            <w:proofErr w:type="spellStart"/>
            <w:r w:rsidRPr="00B1367B">
              <w:rPr>
                <w:rFonts w:ascii="Times New Roman" w:eastAsia="Times New Roman" w:hAnsi="Times New Roman" w:cs="Times New Roman"/>
                <w:iCs/>
                <w:color w:val="000000" w:themeColor="text1"/>
                <w:sz w:val="24"/>
                <w:szCs w:val="24"/>
                <w:lang w:eastAsia="lv-LV"/>
              </w:rPr>
              <w:t>Altum</w:t>
            </w:r>
            <w:proofErr w:type="spellEnd"/>
            <w:r>
              <w:rPr>
                <w:rFonts w:ascii="Times New Roman" w:eastAsia="Times New Roman" w:hAnsi="Times New Roman" w:cs="Times New Roman"/>
                <w:iCs/>
                <w:color w:val="000000" w:themeColor="text1"/>
                <w:sz w:val="24"/>
                <w:szCs w:val="24"/>
                <w:lang w:eastAsia="lv-LV"/>
              </w:rPr>
              <w:t>”</w:t>
            </w:r>
            <w:r w:rsidRPr="00B1367B">
              <w:rPr>
                <w:rFonts w:ascii="Times New Roman" w:eastAsia="Times New Roman" w:hAnsi="Times New Roman" w:cs="Times New Roman"/>
                <w:iCs/>
                <w:color w:val="000000" w:themeColor="text1"/>
                <w:sz w:val="24"/>
                <w:szCs w:val="24"/>
                <w:lang w:eastAsia="lv-LV"/>
              </w:rPr>
              <w:t xml:space="preserve"> papildinātās/precizētās veidlapas “Paziņojums Granta apmēra noteikšanai” savlaicīgas saņemšanas, kurā tiek norādīta informācija par </w:t>
            </w:r>
            <w:proofErr w:type="spellStart"/>
            <w:r w:rsidRPr="00B1367B">
              <w:rPr>
                <w:rFonts w:ascii="Times New Roman" w:eastAsia="Times New Roman" w:hAnsi="Times New Roman" w:cs="Times New Roman"/>
                <w:iCs/>
                <w:color w:val="000000" w:themeColor="text1"/>
                <w:sz w:val="24"/>
                <w:szCs w:val="24"/>
                <w:lang w:eastAsia="lv-LV"/>
              </w:rPr>
              <w:t>granta</w:t>
            </w:r>
            <w:proofErr w:type="spellEnd"/>
            <w:r w:rsidRPr="00B1367B">
              <w:rPr>
                <w:rFonts w:ascii="Times New Roman" w:eastAsia="Times New Roman" w:hAnsi="Times New Roman" w:cs="Times New Roman"/>
                <w:iCs/>
                <w:color w:val="000000" w:themeColor="text1"/>
                <w:sz w:val="24"/>
                <w:szCs w:val="24"/>
                <w:lang w:eastAsia="lv-LV"/>
              </w:rPr>
              <w:t xml:space="preserve"> apmēru, attiecināmajām un neattiecināmajām izmaksām utt. Savstarpējā sadarbība ir pārrunāta ar </w:t>
            </w:r>
            <w:r>
              <w:rPr>
                <w:rFonts w:ascii="Times New Roman" w:eastAsia="Times New Roman" w:hAnsi="Times New Roman" w:cs="Times New Roman"/>
                <w:iCs/>
                <w:color w:val="000000" w:themeColor="text1"/>
                <w:sz w:val="24"/>
                <w:szCs w:val="24"/>
                <w:lang w:eastAsia="lv-LV"/>
              </w:rPr>
              <w:t>sabiedrību “</w:t>
            </w:r>
            <w:proofErr w:type="spellStart"/>
            <w:r w:rsidRPr="00B1367B">
              <w:rPr>
                <w:rFonts w:ascii="Times New Roman" w:eastAsia="Times New Roman" w:hAnsi="Times New Roman" w:cs="Times New Roman"/>
                <w:iCs/>
                <w:color w:val="000000" w:themeColor="text1"/>
                <w:sz w:val="24"/>
                <w:szCs w:val="24"/>
                <w:lang w:eastAsia="lv-LV"/>
              </w:rPr>
              <w:t>Altum</w:t>
            </w:r>
            <w:proofErr w:type="spellEnd"/>
            <w:r>
              <w:rPr>
                <w:rFonts w:ascii="Times New Roman" w:eastAsia="Times New Roman" w:hAnsi="Times New Roman" w:cs="Times New Roman"/>
                <w:iCs/>
                <w:color w:val="000000" w:themeColor="text1"/>
                <w:sz w:val="24"/>
                <w:szCs w:val="24"/>
                <w:lang w:eastAsia="lv-LV"/>
              </w:rPr>
              <w:t>”</w:t>
            </w:r>
            <w:r w:rsidRPr="00B1367B">
              <w:rPr>
                <w:rFonts w:ascii="Times New Roman" w:eastAsia="Times New Roman" w:hAnsi="Times New Roman" w:cs="Times New Roman"/>
                <w:iCs/>
                <w:color w:val="000000" w:themeColor="text1"/>
                <w:sz w:val="24"/>
                <w:szCs w:val="24"/>
                <w:lang w:eastAsia="lv-LV"/>
              </w:rPr>
              <w:t xml:space="preserve">, tāpat informācijas apmaiņa ir paredzēta </w:t>
            </w:r>
            <w:r>
              <w:rPr>
                <w:rFonts w:ascii="Times New Roman" w:eastAsia="Times New Roman" w:hAnsi="Times New Roman" w:cs="Times New Roman"/>
                <w:iCs/>
                <w:color w:val="000000" w:themeColor="text1"/>
                <w:sz w:val="24"/>
                <w:szCs w:val="24"/>
                <w:lang w:eastAsia="lv-LV"/>
              </w:rPr>
              <w:t>sabiedrības “</w:t>
            </w:r>
            <w:proofErr w:type="spellStart"/>
            <w:r w:rsidRPr="00B1367B">
              <w:rPr>
                <w:rFonts w:ascii="Times New Roman" w:eastAsia="Times New Roman" w:hAnsi="Times New Roman" w:cs="Times New Roman"/>
                <w:iCs/>
                <w:color w:val="000000" w:themeColor="text1"/>
                <w:sz w:val="24"/>
                <w:szCs w:val="24"/>
                <w:lang w:eastAsia="lv-LV"/>
              </w:rPr>
              <w:t>Altum</w:t>
            </w:r>
            <w:proofErr w:type="spellEnd"/>
            <w:r>
              <w:rPr>
                <w:rFonts w:ascii="Times New Roman" w:eastAsia="Times New Roman" w:hAnsi="Times New Roman" w:cs="Times New Roman"/>
                <w:iCs/>
                <w:color w:val="000000" w:themeColor="text1"/>
                <w:sz w:val="24"/>
                <w:szCs w:val="24"/>
                <w:lang w:eastAsia="lv-LV"/>
              </w:rPr>
              <w:t>”</w:t>
            </w:r>
            <w:r w:rsidRPr="00B1367B">
              <w:rPr>
                <w:rFonts w:ascii="Times New Roman" w:eastAsia="Times New Roman" w:hAnsi="Times New Roman" w:cs="Times New Roman"/>
                <w:iCs/>
                <w:color w:val="000000" w:themeColor="text1"/>
                <w:sz w:val="24"/>
                <w:szCs w:val="24"/>
                <w:lang w:eastAsia="lv-LV"/>
              </w:rPr>
              <w:t xml:space="preserve"> izstrādātajā pieteikuma DME </w:t>
            </w:r>
            <w:r>
              <w:rPr>
                <w:rFonts w:ascii="Times New Roman" w:eastAsia="Times New Roman" w:hAnsi="Times New Roman" w:cs="Times New Roman"/>
                <w:iCs/>
                <w:color w:val="000000" w:themeColor="text1"/>
                <w:sz w:val="24"/>
                <w:szCs w:val="24"/>
                <w:lang w:eastAsia="lv-LV"/>
              </w:rPr>
              <w:t xml:space="preserve"> (</w:t>
            </w:r>
            <w:r w:rsidRPr="00666E64">
              <w:rPr>
                <w:rFonts w:ascii="Times New Roman" w:eastAsia="Times New Roman" w:hAnsi="Times New Roman" w:cs="Times New Roman"/>
                <w:iCs/>
                <w:color w:val="000000" w:themeColor="text1"/>
                <w:sz w:val="24"/>
                <w:szCs w:val="24"/>
                <w:lang w:eastAsia="lv-LV"/>
              </w:rPr>
              <w:t>Daudzdzīvokļu māju energoefektivitātes</w:t>
            </w:r>
            <w:r>
              <w:rPr>
                <w:rFonts w:ascii="Times New Roman" w:eastAsia="Times New Roman" w:hAnsi="Times New Roman" w:cs="Times New Roman"/>
                <w:iCs/>
                <w:color w:val="000000" w:themeColor="text1"/>
                <w:sz w:val="24"/>
                <w:szCs w:val="24"/>
                <w:lang w:eastAsia="lv-LV"/>
              </w:rPr>
              <w:t xml:space="preserve">) programmas </w:t>
            </w:r>
            <w:r w:rsidRPr="00B1367B">
              <w:rPr>
                <w:rFonts w:ascii="Times New Roman" w:eastAsia="Times New Roman" w:hAnsi="Times New Roman" w:cs="Times New Roman"/>
                <w:iCs/>
                <w:color w:val="000000" w:themeColor="text1"/>
                <w:sz w:val="24"/>
                <w:szCs w:val="24"/>
                <w:lang w:eastAsia="lv-LV"/>
              </w:rPr>
              <w:t>aizdevumam formā, kur klients norādīs informāciju par sadarbību ar kredītiestādi, iesniegtajiem dokumentiem utt.</w:t>
            </w:r>
          </w:p>
        </w:tc>
      </w:tr>
      <w:tr w:rsidR="006544D1" w:rsidRPr="00AB0A81" w14:paraId="2A3D609E" w14:textId="77777777" w:rsidTr="00463E2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1CDFC41"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lastRenderedPageBreak/>
              <w:t>4.</w:t>
            </w:r>
          </w:p>
        </w:tc>
        <w:tc>
          <w:tcPr>
            <w:tcW w:w="2814" w:type="dxa"/>
            <w:tcBorders>
              <w:top w:val="outset" w:sz="6" w:space="0" w:color="auto"/>
              <w:left w:val="outset" w:sz="6" w:space="0" w:color="auto"/>
              <w:bottom w:val="outset" w:sz="6" w:space="0" w:color="auto"/>
              <w:right w:val="outset" w:sz="6" w:space="0" w:color="auto"/>
            </w:tcBorders>
            <w:hideMark/>
          </w:tcPr>
          <w:p w14:paraId="4653107F"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6618" w:type="dxa"/>
            <w:tcBorders>
              <w:top w:val="outset" w:sz="6" w:space="0" w:color="auto"/>
              <w:left w:val="outset" w:sz="6" w:space="0" w:color="auto"/>
              <w:bottom w:val="outset" w:sz="6" w:space="0" w:color="auto"/>
              <w:right w:val="outset" w:sz="6" w:space="0" w:color="auto"/>
            </w:tcBorders>
            <w:hideMark/>
          </w:tcPr>
          <w:p w14:paraId="7BACAB87"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0FB04992" w14:textId="77777777" w:rsidR="006544D1" w:rsidRPr="00AB0A81" w:rsidRDefault="006544D1" w:rsidP="006544D1">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6438"/>
      </w:tblGrid>
      <w:tr w:rsidR="006544D1" w:rsidRPr="00AB0A81" w14:paraId="0624D812" w14:textId="77777777" w:rsidTr="00463E2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903140B" w14:textId="77777777" w:rsidR="006544D1" w:rsidRPr="00AB0A81" w:rsidRDefault="006544D1" w:rsidP="00463E28">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544D1" w:rsidRPr="00AB0A81" w14:paraId="65D2C03D"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E81D792"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6637DC3F"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izpildē iesaistītās institūcijas</w:t>
            </w:r>
          </w:p>
        </w:tc>
        <w:tc>
          <w:tcPr>
            <w:tcW w:w="3165" w:type="pct"/>
            <w:tcBorders>
              <w:top w:val="outset" w:sz="6" w:space="0" w:color="auto"/>
              <w:left w:val="outset" w:sz="6" w:space="0" w:color="auto"/>
              <w:bottom w:val="outset" w:sz="6" w:space="0" w:color="auto"/>
              <w:right w:val="outset" w:sz="6" w:space="0" w:color="auto"/>
            </w:tcBorders>
            <w:hideMark/>
          </w:tcPr>
          <w:p w14:paraId="08093F6C"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izpildi nodrošinās Ekonomikas ministrija un sabiedrība “</w:t>
            </w:r>
            <w:proofErr w:type="spellStart"/>
            <w:r w:rsidRPr="00AB0A81">
              <w:rPr>
                <w:rFonts w:ascii="Times New Roman" w:eastAsia="Times New Roman" w:hAnsi="Times New Roman" w:cs="Times New Roman"/>
                <w:iCs/>
                <w:color w:val="000000" w:themeColor="text1"/>
                <w:sz w:val="24"/>
                <w:szCs w:val="24"/>
                <w:lang w:eastAsia="lv-LV"/>
              </w:rPr>
              <w:t>Altum</w:t>
            </w:r>
            <w:proofErr w:type="spellEnd"/>
            <w:r w:rsidRPr="00AB0A81">
              <w:rPr>
                <w:rFonts w:ascii="Times New Roman" w:eastAsia="Times New Roman" w:hAnsi="Times New Roman" w:cs="Times New Roman"/>
                <w:iCs/>
                <w:color w:val="000000" w:themeColor="text1"/>
                <w:sz w:val="24"/>
                <w:szCs w:val="24"/>
                <w:lang w:eastAsia="lv-LV"/>
              </w:rPr>
              <w:t>”.</w:t>
            </w:r>
          </w:p>
        </w:tc>
      </w:tr>
      <w:tr w:rsidR="006544D1" w:rsidRPr="00AB0A81" w14:paraId="5D39A952"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125D23A"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02FEF4C2"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AB0A81">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165" w:type="pct"/>
            <w:tcBorders>
              <w:top w:val="outset" w:sz="6" w:space="0" w:color="auto"/>
              <w:left w:val="outset" w:sz="6" w:space="0" w:color="auto"/>
              <w:bottom w:val="outset" w:sz="6" w:space="0" w:color="auto"/>
              <w:right w:val="outset" w:sz="6" w:space="0" w:color="auto"/>
            </w:tcBorders>
            <w:hideMark/>
          </w:tcPr>
          <w:p w14:paraId="0A00695B"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izpilde tiks nodrošināta sabiedrības “</w:t>
            </w:r>
            <w:proofErr w:type="spellStart"/>
            <w:r w:rsidRPr="00AB0A81">
              <w:rPr>
                <w:rFonts w:ascii="Times New Roman" w:eastAsia="Times New Roman" w:hAnsi="Times New Roman" w:cs="Times New Roman"/>
                <w:iCs/>
                <w:color w:val="000000" w:themeColor="text1"/>
                <w:sz w:val="24"/>
                <w:szCs w:val="24"/>
                <w:lang w:eastAsia="lv-LV"/>
              </w:rPr>
              <w:t>Altum</w:t>
            </w:r>
            <w:proofErr w:type="spellEnd"/>
            <w:r w:rsidRPr="00AB0A81">
              <w:rPr>
                <w:rFonts w:ascii="Times New Roman" w:eastAsia="Times New Roman" w:hAnsi="Times New Roman" w:cs="Times New Roman"/>
                <w:iCs/>
                <w:color w:val="000000" w:themeColor="text1"/>
                <w:sz w:val="24"/>
                <w:szCs w:val="24"/>
                <w:lang w:eastAsia="lv-LV"/>
              </w:rPr>
              <w:t>” esošo funkciju ietvaros, nav nepieciešams izveidot jaunas institūcijas, likvidēt esošas institūcijas vai veikt reorganizāciju.</w:t>
            </w:r>
          </w:p>
          <w:p w14:paraId="4CD68859" w14:textId="77777777" w:rsidR="006544D1" w:rsidRPr="00AB0A81" w:rsidRDefault="006544D1" w:rsidP="00463E28">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6544D1" w:rsidRPr="00AB0A81" w14:paraId="3FE32D1F" w14:textId="77777777" w:rsidTr="00463E28">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8218808"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096C5B33"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165" w:type="pct"/>
            <w:tcBorders>
              <w:top w:val="outset" w:sz="6" w:space="0" w:color="auto"/>
              <w:left w:val="outset" w:sz="6" w:space="0" w:color="auto"/>
              <w:bottom w:val="outset" w:sz="6" w:space="0" w:color="auto"/>
              <w:right w:val="outset" w:sz="6" w:space="0" w:color="auto"/>
            </w:tcBorders>
            <w:hideMark/>
          </w:tcPr>
          <w:p w14:paraId="1CF36129" w14:textId="77777777" w:rsidR="006544D1" w:rsidRPr="00AB0A81" w:rsidRDefault="006544D1" w:rsidP="00463E28">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0946E631" w14:textId="77777777" w:rsidR="006544D1" w:rsidRDefault="006544D1" w:rsidP="006544D1">
      <w:pPr>
        <w:spacing w:after="0" w:line="240" w:lineRule="auto"/>
        <w:rPr>
          <w:rFonts w:ascii="Times New Roman" w:hAnsi="Times New Roman" w:cs="Times New Roman"/>
          <w:color w:val="000000" w:themeColor="text1"/>
          <w:sz w:val="24"/>
          <w:szCs w:val="24"/>
        </w:rPr>
      </w:pPr>
    </w:p>
    <w:p w14:paraId="7FF996CD" w14:textId="77777777" w:rsidR="006544D1" w:rsidRPr="00AB0A81" w:rsidRDefault="006544D1" w:rsidP="006544D1">
      <w:pPr>
        <w:spacing w:after="0" w:line="240" w:lineRule="auto"/>
        <w:rPr>
          <w:rFonts w:ascii="Times New Roman" w:hAnsi="Times New Roman" w:cs="Times New Roman"/>
          <w:color w:val="000000" w:themeColor="text1"/>
          <w:sz w:val="24"/>
          <w:szCs w:val="24"/>
        </w:rPr>
      </w:pPr>
    </w:p>
    <w:p w14:paraId="251B2EBC" w14:textId="77777777" w:rsidR="006544D1" w:rsidRPr="00AB0A81" w:rsidRDefault="006544D1" w:rsidP="006544D1">
      <w:pPr>
        <w:tabs>
          <w:tab w:val="left" w:pos="7230"/>
        </w:tabs>
        <w:contextualSpacing/>
        <w:rPr>
          <w:rFonts w:ascii="Times New Roman" w:hAnsi="Times New Roman" w:cs="Times New Roman"/>
          <w:color w:val="000000" w:themeColor="text1"/>
          <w:sz w:val="24"/>
          <w:szCs w:val="24"/>
        </w:rPr>
      </w:pPr>
      <w:r w:rsidRPr="00AB0A81">
        <w:rPr>
          <w:rFonts w:ascii="Times New Roman" w:hAnsi="Times New Roman" w:cs="Times New Roman"/>
          <w:color w:val="000000" w:themeColor="text1"/>
          <w:sz w:val="24"/>
          <w:szCs w:val="24"/>
        </w:rPr>
        <w:t>Ekonomikas ministrs</w:t>
      </w:r>
      <w:r w:rsidRPr="00AB0A81">
        <w:rPr>
          <w:rFonts w:ascii="Times New Roman" w:hAnsi="Times New Roman" w:cs="Times New Roman"/>
          <w:color w:val="000000" w:themeColor="text1"/>
          <w:sz w:val="24"/>
          <w:szCs w:val="24"/>
        </w:rPr>
        <w:tab/>
        <w:t>J. </w:t>
      </w:r>
      <w:proofErr w:type="spellStart"/>
      <w:r w:rsidRPr="00AB0A81">
        <w:rPr>
          <w:rFonts w:ascii="Times New Roman" w:hAnsi="Times New Roman" w:cs="Times New Roman"/>
          <w:color w:val="000000" w:themeColor="text1"/>
          <w:sz w:val="24"/>
          <w:szCs w:val="24"/>
        </w:rPr>
        <w:t>Vitenbergs</w:t>
      </w:r>
      <w:proofErr w:type="spellEnd"/>
    </w:p>
    <w:p w14:paraId="1EDCAA4E" w14:textId="77777777" w:rsidR="006544D1" w:rsidRDefault="006544D1" w:rsidP="006544D1">
      <w:pPr>
        <w:contextualSpacing/>
        <w:rPr>
          <w:rFonts w:ascii="Times New Roman" w:hAnsi="Times New Roman" w:cs="Times New Roman"/>
          <w:color w:val="000000" w:themeColor="text1"/>
          <w:sz w:val="24"/>
          <w:szCs w:val="24"/>
        </w:rPr>
      </w:pPr>
    </w:p>
    <w:p w14:paraId="127E3B2B" w14:textId="77777777" w:rsidR="006544D1" w:rsidRDefault="006544D1" w:rsidP="006544D1">
      <w:pPr>
        <w:contextualSpacing/>
        <w:rPr>
          <w:rFonts w:ascii="Times New Roman" w:hAnsi="Times New Roman" w:cs="Times New Roman"/>
          <w:color w:val="000000" w:themeColor="text1"/>
          <w:sz w:val="24"/>
          <w:szCs w:val="24"/>
        </w:rPr>
      </w:pPr>
    </w:p>
    <w:p w14:paraId="0FB0A961" w14:textId="77777777" w:rsidR="006544D1" w:rsidRDefault="006544D1" w:rsidP="006544D1">
      <w:pPr>
        <w:tabs>
          <w:tab w:val="left" w:pos="7938"/>
        </w:tabs>
        <w:contextualSpacing/>
        <w:rPr>
          <w:rFonts w:ascii="Times New Roman" w:hAnsi="Times New Roman" w:cs="Times New Roman"/>
          <w:color w:val="000000" w:themeColor="text1"/>
          <w:sz w:val="24"/>
          <w:szCs w:val="24"/>
        </w:rPr>
      </w:pPr>
      <w:r w:rsidRPr="00AB0A81">
        <w:rPr>
          <w:rFonts w:ascii="Times New Roman" w:hAnsi="Times New Roman" w:cs="Times New Roman"/>
          <w:color w:val="000000" w:themeColor="text1"/>
          <w:sz w:val="24"/>
          <w:szCs w:val="24"/>
        </w:rPr>
        <w:t>Vīza:</w:t>
      </w:r>
    </w:p>
    <w:p w14:paraId="075EB007" w14:textId="77777777" w:rsidR="006544D1" w:rsidRPr="00FF662C" w:rsidRDefault="006544D1" w:rsidP="006544D1">
      <w:pPr>
        <w:tabs>
          <w:tab w:val="left" w:pos="7938"/>
        </w:tabs>
        <w:contextualSpacing/>
        <w:rPr>
          <w:rFonts w:ascii="Times New Roman" w:hAnsi="Times New Roman" w:cs="Times New Roman"/>
          <w:bCs/>
          <w:color w:val="000000" w:themeColor="text1"/>
          <w:sz w:val="24"/>
          <w:szCs w:val="24"/>
        </w:rPr>
      </w:pPr>
      <w:r w:rsidRPr="00FF662C">
        <w:rPr>
          <w:rFonts w:ascii="Times New Roman" w:hAnsi="Times New Roman" w:cs="Times New Roman"/>
          <w:bCs/>
          <w:color w:val="000000" w:themeColor="text1"/>
          <w:sz w:val="24"/>
          <w:szCs w:val="24"/>
        </w:rPr>
        <w:t>Valsts sekretāra vietā –</w:t>
      </w:r>
    </w:p>
    <w:p w14:paraId="5693C273" w14:textId="77777777" w:rsidR="006544D1" w:rsidRPr="00FF662C" w:rsidRDefault="006544D1" w:rsidP="006544D1">
      <w:pPr>
        <w:tabs>
          <w:tab w:val="left" w:pos="7230"/>
        </w:tabs>
        <w:contextualSpacing/>
        <w:rPr>
          <w:rFonts w:ascii="Times New Roman" w:hAnsi="Times New Roman" w:cs="Times New Roman"/>
          <w:color w:val="000000" w:themeColor="text1"/>
          <w:sz w:val="24"/>
          <w:szCs w:val="24"/>
        </w:rPr>
      </w:pPr>
      <w:r w:rsidRPr="00FF662C">
        <w:rPr>
          <w:rFonts w:ascii="Times New Roman" w:hAnsi="Times New Roman" w:cs="Times New Roman"/>
          <w:bCs/>
          <w:color w:val="000000" w:themeColor="text1"/>
          <w:sz w:val="24"/>
          <w:szCs w:val="24"/>
        </w:rPr>
        <w:t>Valsts sekretāra vietniece</w:t>
      </w:r>
      <w:r w:rsidRPr="00FF662C">
        <w:rPr>
          <w:rFonts w:ascii="Times New Roman" w:hAnsi="Times New Roman" w:cs="Times New Roman"/>
          <w:bCs/>
          <w:color w:val="000000" w:themeColor="text1"/>
          <w:sz w:val="24"/>
          <w:szCs w:val="24"/>
        </w:rPr>
        <w:tab/>
        <w:t>Z. Liepiņa</w:t>
      </w:r>
    </w:p>
    <w:p w14:paraId="7D97A1AC" w14:textId="77777777" w:rsidR="006544D1" w:rsidRDefault="006544D1" w:rsidP="006544D1">
      <w:pPr>
        <w:tabs>
          <w:tab w:val="left" w:pos="6237"/>
        </w:tabs>
        <w:spacing w:after="0" w:line="240" w:lineRule="auto"/>
        <w:rPr>
          <w:rFonts w:ascii="Times New Roman" w:hAnsi="Times New Roman" w:cs="Times New Roman"/>
          <w:color w:val="000000" w:themeColor="text1"/>
          <w:sz w:val="20"/>
          <w:szCs w:val="20"/>
        </w:rPr>
      </w:pPr>
    </w:p>
    <w:p w14:paraId="3D2232E7" w14:textId="77777777" w:rsidR="006544D1" w:rsidRDefault="006544D1" w:rsidP="006544D1">
      <w:pPr>
        <w:tabs>
          <w:tab w:val="left" w:pos="6237"/>
        </w:tabs>
        <w:spacing w:after="0" w:line="240" w:lineRule="auto"/>
        <w:rPr>
          <w:rFonts w:ascii="Times New Roman" w:hAnsi="Times New Roman" w:cs="Times New Roman"/>
          <w:color w:val="000000" w:themeColor="text1"/>
          <w:sz w:val="20"/>
          <w:szCs w:val="20"/>
        </w:rPr>
      </w:pPr>
    </w:p>
    <w:p w14:paraId="6407A5A7" w14:textId="77777777" w:rsidR="006544D1" w:rsidRPr="00AB0A81" w:rsidRDefault="006544D1" w:rsidP="006544D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Valgača</w:t>
      </w:r>
      <w:r w:rsidRPr="00C51A6A">
        <w:rPr>
          <w:rFonts w:ascii="Times New Roman" w:hAnsi="Times New Roman" w:cs="Times New Roman"/>
          <w:color w:val="000000" w:themeColor="text1"/>
          <w:sz w:val="20"/>
          <w:szCs w:val="20"/>
        </w:rPr>
        <w:t xml:space="preserve"> 67013</w:t>
      </w:r>
      <w:r>
        <w:rPr>
          <w:rFonts w:ascii="Times New Roman" w:hAnsi="Times New Roman" w:cs="Times New Roman"/>
          <w:color w:val="000000" w:themeColor="text1"/>
          <w:sz w:val="20"/>
          <w:szCs w:val="20"/>
        </w:rPr>
        <w:t>298</w:t>
      </w:r>
    </w:p>
    <w:p w14:paraId="7433BAEF" w14:textId="58BBF049" w:rsidR="00C51A6A" w:rsidRPr="006544D1" w:rsidRDefault="00C51A6A" w:rsidP="006544D1">
      <w:bookmarkStart w:id="1" w:name="_GoBack"/>
      <w:bookmarkEnd w:id="1"/>
    </w:p>
    <w:sectPr w:rsidR="00C51A6A" w:rsidRPr="006544D1" w:rsidSect="00D76C7F">
      <w:headerReference w:type="default" r:id="rId14"/>
      <w:footerReference w:type="default" r:id="rId15"/>
      <w:footerReference w:type="first" r:id="rId16"/>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2892" w14:textId="77777777" w:rsidR="00935B80" w:rsidRDefault="00935B80" w:rsidP="00894C55">
      <w:pPr>
        <w:spacing w:after="0" w:line="240" w:lineRule="auto"/>
      </w:pPr>
      <w:r>
        <w:separator/>
      </w:r>
    </w:p>
  </w:endnote>
  <w:endnote w:type="continuationSeparator" w:id="0">
    <w:p w14:paraId="31A80E55" w14:textId="77777777" w:rsidR="00935B80" w:rsidRDefault="00935B80" w:rsidP="00894C55">
      <w:pPr>
        <w:spacing w:after="0" w:line="240" w:lineRule="auto"/>
      </w:pPr>
      <w:r>
        <w:continuationSeparator/>
      </w:r>
    </w:p>
  </w:endnote>
  <w:endnote w:type="continuationNotice" w:id="1">
    <w:p w14:paraId="3E01630C" w14:textId="77777777" w:rsidR="00935B80" w:rsidRDefault="00935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91F4" w14:textId="6CE54930" w:rsidR="00C10407" w:rsidRPr="00FA1F16" w:rsidRDefault="00C10407" w:rsidP="00C10407">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00175904">
      <w:rPr>
        <w:rFonts w:ascii="Times New Roman" w:hAnsi="Times New Roman" w:cs="Times New Roman"/>
        <w:noProof/>
        <w:sz w:val="20"/>
        <w:szCs w:val="20"/>
      </w:rPr>
      <w:t>EMAnot_</w:t>
    </w:r>
    <w:r w:rsidR="00B1367B">
      <w:rPr>
        <w:rFonts w:ascii="Times New Roman" w:hAnsi="Times New Roman" w:cs="Times New Roman"/>
        <w:noProof/>
        <w:sz w:val="20"/>
        <w:szCs w:val="20"/>
      </w:rPr>
      <w:t>11</w:t>
    </w:r>
    <w:r w:rsidR="00175904">
      <w:rPr>
        <w:rFonts w:ascii="Times New Roman" w:hAnsi="Times New Roman" w:cs="Times New Roman"/>
        <w:noProof/>
        <w:sz w:val="20"/>
        <w:szCs w:val="20"/>
      </w:rPr>
      <w:t>1</w:t>
    </w:r>
    <w:r w:rsidR="00B1367B">
      <w:rPr>
        <w:rFonts w:ascii="Times New Roman" w:hAnsi="Times New Roman" w:cs="Times New Roman"/>
        <w:noProof/>
        <w:sz w:val="20"/>
        <w:szCs w:val="20"/>
      </w:rPr>
      <w:t>1</w:t>
    </w:r>
    <w:r w:rsidR="00175904">
      <w:rPr>
        <w:rFonts w:ascii="Times New Roman" w:hAnsi="Times New Roman" w:cs="Times New Roman"/>
        <w:noProof/>
        <w:sz w:val="20"/>
        <w:szCs w:val="20"/>
      </w:rPr>
      <w:t>2020_Groz160.docx</w:t>
    </w:r>
    <w:r w:rsidRPr="00FA1F1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9950" w14:textId="1D83DC8A"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004067D3">
      <w:rPr>
        <w:rFonts w:ascii="Times New Roman" w:hAnsi="Times New Roman" w:cs="Times New Roman"/>
        <w:noProof/>
        <w:sz w:val="20"/>
        <w:szCs w:val="20"/>
      </w:rPr>
      <w:t>EMAnot_2</w:t>
    </w:r>
    <w:r w:rsidR="00C84E1D">
      <w:rPr>
        <w:rFonts w:ascii="Times New Roman" w:hAnsi="Times New Roman" w:cs="Times New Roman"/>
        <w:noProof/>
        <w:sz w:val="20"/>
        <w:szCs w:val="20"/>
      </w:rPr>
      <w:t>7</w:t>
    </w:r>
    <w:r w:rsidR="004067D3">
      <w:rPr>
        <w:rFonts w:ascii="Times New Roman" w:hAnsi="Times New Roman" w:cs="Times New Roman"/>
        <w:noProof/>
        <w:sz w:val="20"/>
        <w:szCs w:val="20"/>
      </w:rPr>
      <w:t>102020_Groz160.docx</w:t>
    </w:r>
    <w:r w:rsidRPr="00FA1F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DB8C" w14:textId="77777777" w:rsidR="00935B80" w:rsidRDefault="00935B80" w:rsidP="00894C55">
      <w:pPr>
        <w:spacing w:after="0" w:line="240" w:lineRule="auto"/>
      </w:pPr>
      <w:r>
        <w:separator/>
      </w:r>
    </w:p>
  </w:footnote>
  <w:footnote w:type="continuationSeparator" w:id="0">
    <w:p w14:paraId="5E10D0A2" w14:textId="77777777" w:rsidR="00935B80" w:rsidRDefault="00935B80" w:rsidP="00894C55">
      <w:pPr>
        <w:spacing w:after="0" w:line="240" w:lineRule="auto"/>
      </w:pPr>
      <w:r>
        <w:continuationSeparator/>
      </w:r>
    </w:p>
  </w:footnote>
  <w:footnote w:type="continuationNotice" w:id="1">
    <w:p w14:paraId="70666800" w14:textId="77777777" w:rsidR="00935B80" w:rsidRDefault="00935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65C80D68" w:rsidR="00700481" w:rsidRPr="00C25B49" w:rsidRDefault="007004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6A1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2D1"/>
    <w:multiLevelType w:val="hybridMultilevel"/>
    <w:tmpl w:val="B23E6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60350"/>
    <w:multiLevelType w:val="hybridMultilevel"/>
    <w:tmpl w:val="EAD2F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B35A1"/>
    <w:multiLevelType w:val="multilevel"/>
    <w:tmpl w:val="557CE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0C374C33"/>
    <w:multiLevelType w:val="hybridMultilevel"/>
    <w:tmpl w:val="17B25F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E14A0F"/>
    <w:multiLevelType w:val="multilevel"/>
    <w:tmpl w:val="E65CEF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0FED2B95"/>
    <w:multiLevelType w:val="hybridMultilevel"/>
    <w:tmpl w:val="87E61B9E"/>
    <w:lvl w:ilvl="0" w:tplc="03AE850E">
      <w:start w:val="1"/>
      <w:numFmt w:val="decimal"/>
      <w:lvlText w:val="%1)"/>
      <w:lvlJc w:val="left"/>
      <w:pPr>
        <w:ind w:left="360" w:hanging="360"/>
      </w:pPr>
      <w:rPr>
        <w:rFonts w:hint="default"/>
        <w:b/>
        <w:bCs w:val="0"/>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7" w15:restartNumberingAfterBreak="0">
    <w:nsid w:val="2BD836B4"/>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C114067"/>
    <w:multiLevelType w:val="hybridMultilevel"/>
    <w:tmpl w:val="3FE834AC"/>
    <w:lvl w:ilvl="0" w:tplc="37F8972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5B01A9"/>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42C2D96"/>
    <w:multiLevelType w:val="hybridMultilevel"/>
    <w:tmpl w:val="2E0E51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1FF23F0"/>
    <w:multiLevelType w:val="hybridMultilevel"/>
    <w:tmpl w:val="55FAD448"/>
    <w:lvl w:ilvl="0" w:tplc="A0A8FAE2">
      <w:start w:val="1"/>
      <w:numFmt w:val="decimal"/>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2" w15:restartNumberingAfterBreak="0">
    <w:nsid w:val="455478B8"/>
    <w:multiLevelType w:val="hybridMultilevel"/>
    <w:tmpl w:val="06C06286"/>
    <w:lvl w:ilvl="0" w:tplc="A9DE4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7B1273"/>
    <w:multiLevelType w:val="hybridMultilevel"/>
    <w:tmpl w:val="ED76692E"/>
    <w:lvl w:ilvl="0" w:tplc="04260001">
      <w:start w:val="1"/>
      <w:numFmt w:val="bullet"/>
      <w:lvlText w:val=""/>
      <w:lvlJc w:val="left"/>
      <w:pPr>
        <w:ind w:left="966" w:hanging="360"/>
      </w:pPr>
      <w:rPr>
        <w:rFonts w:ascii="Symbol" w:hAnsi="Symbol"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14" w15:restartNumberingAfterBreak="0">
    <w:nsid w:val="58F201F1"/>
    <w:multiLevelType w:val="hybridMultilevel"/>
    <w:tmpl w:val="390CDF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9A2A95"/>
    <w:multiLevelType w:val="hybridMultilevel"/>
    <w:tmpl w:val="D5BE66CE"/>
    <w:lvl w:ilvl="0" w:tplc="63CA92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8E7898"/>
    <w:multiLevelType w:val="hybridMultilevel"/>
    <w:tmpl w:val="4D68E83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8" w15:restartNumberingAfterBreak="0">
    <w:nsid w:val="6DCE5455"/>
    <w:multiLevelType w:val="hybridMultilevel"/>
    <w:tmpl w:val="03AE8CF4"/>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9" w15:restartNumberingAfterBreak="0">
    <w:nsid w:val="74B05174"/>
    <w:multiLevelType w:val="hybridMultilevel"/>
    <w:tmpl w:val="40DEF5A6"/>
    <w:lvl w:ilvl="0" w:tplc="CA246F90">
      <w:start w:val="2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4C5125"/>
    <w:multiLevelType w:val="hybridMultilevel"/>
    <w:tmpl w:val="700ABCFA"/>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22" w15:restartNumberingAfterBreak="0">
    <w:nsid w:val="7E37648A"/>
    <w:multiLevelType w:val="hybridMultilevel"/>
    <w:tmpl w:val="9E84D71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abstractNumId w:val="6"/>
  </w:num>
  <w:num w:numId="2">
    <w:abstractNumId w:val="20"/>
  </w:num>
  <w:num w:numId="3">
    <w:abstractNumId w:val="21"/>
  </w:num>
  <w:num w:numId="4">
    <w:abstractNumId w:val="16"/>
  </w:num>
  <w:num w:numId="5">
    <w:abstractNumId w:val="4"/>
  </w:num>
  <w:num w:numId="6">
    <w:abstractNumId w:val="9"/>
  </w:num>
  <w:num w:numId="7">
    <w:abstractNumId w:val="2"/>
  </w:num>
  <w:num w:numId="8">
    <w:abstractNumId w:val="7"/>
  </w:num>
  <w:num w:numId="9">
    <w:abstractNumId w:val="12"/>
  </w:num>
  <w:num w:numId="10">
    <w:abstractNumId w:val="15"/>
  </w:num>
  <w:num w:numId="11">
    <w:abstractNumId w:val="11"/>
  </w:num>
  <w:num w:numId="12">
    <w:abstractNumId w:val="0"/>
  </w:num>
  <w:num w:numId="13">
    <w:abstractNumId w:val="1"/>
  </w:num>
  <w:num w:numId="14">
    <w:abstractNumId w:val="5"/>
  </w:num>
  <w:num w:numId="15">
    <w:abstractNumId w:val="17"/>
  </w:num>
  <w:num w:numId="16">
    <w:abstractNumId w:val="18"/>
  </w:num>
  <w:num w:numId="17">
    <w:abstractNumId w:val="8"/>
  </w:num>
  <w:num w:numId="18">
    <w:abstractNumId w:val="10"/>
  </w:num>
  <w:num w:numId="19">
    <w:abstractNumId w:val="22"/>
  </w:num>
  <w:num w:numId="20">
    <w:abstractNumId w:val="14"/>
  </w:num>
  <w:num w:numId="21">
    <w:abstractNumId w:val="13"/>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42"/>
    <w:rsid w:val="00003316"/>
    <w:rsid w:val="00003A14"/>
    <w:rsid w:val="00010E0F"/>
    <w:rsid w:val="00011A56"/>
    <w:rsid w:val="000152F8"/>
    <w:rsid w:val="00016332"/>
    <w:rsid w:val="00022657"/>
    <w:rsid w:val="00022B95"/>
    <w:rsid w:val="000331E1"/>
    <w:rsid w:val="0003689C"/>
    <w:rsid w:val="000377D1"/>
    <w:rsid w:val="000472AB"/>
    <w:rsid w:val="0007029A"/>
    <w:rsid w:val="00091E2F"/>
    <w:rsid w:val="000A653A"/>
    <w:rsid w:val="000B2764"/>
    <w:rsid w:val="000B541A"/>
    <w:rsid w:val="000E432D"/>
    <w:rsid w:val="000E6D14"/>
    <w:rsid w:val="000F06E8"/>
    <w:rsid w:val="000F71AD"/>
    <w:rsid w:val="00114642"/>
    <w:rsid w:val="00115EAC"/>
    <w:rsid w:val="00122363"/>
    <w:rsid w:val="00122848"/>
    <w:rsid w:val="00124E01"/>
    <w:rsid w:val="00126A10"/>
    <w:rsid w:val="00127577"/>
    <w:rsid w:val="00141930"/>
    <w:rsid w:val="00155CB2"/>
    <w:rsid w:val="00156323"/>
    <w:rsid w:val="00175904"/>
    <w:rsid w:val="001A0F99"/>
    <w:rsid w:val="001A10E7"/>
    <w:rsid w:val="001A15DA"/>
    <w:rsid w:val="001A787B"/>
    <w:rsid w:val="001A7903"/>
    <w:rsid w:val="001B06CB"/>
    <w:rsid w:val="001D0551"/>
    <w:rsid w:val="001D6351"/>
    <w:rsid w:val="001D6941"/>
    <w:rsid w:val="001E567D"/>
    <w:rsid w:val="001E6E18"/>
    <w:rsid w:val="001E7E40"/>
    <w:rsid w:val="001F0C25"/>
    <w:rsid w:val="001F6E74"/>
    <w:rsid w:val="0020009D"/>
    <w:rsid w:val="00202519"/>
    <w:rsid w:val="002159E0"/>
    <w:rsid w:val="00224972"/>
    <w:rsid w:val="00232346"/>
    <w:rsid w:val="002409DC"/>
    <w:rsid w:val="00243426"/>
    <w:rsid w:val="00254397"/>
    <w:rsid w:val="00254D5A"/>
    <w:rsid w:val="00255C93"/>
    <w:rsid w:val="002565AF"/>
    <w:rsid w:val="00270D14"/>
    <w:rsid w:val="00272303"/>
    <w:rsid w:val="0027371A"/>
    <w:rsid w:val="0028437F"/>
    <w:rsid w:val="00284A29"/>
    <w:rsid w:val="002854FE"/>
    <w:rsid w:val="002B24DE"/>
    <w:rsid w:val="002B73AF"/>
    <w:rsid w:val="002C6145"/>
    <w:rsid w:val="002D3082"/>
    <w:rsid w:val="002E1C05"/>
    <w:rsid w:val="002E725A"/>
    <w:rsid w:val="002F242F"/>
    <w:rsid w:val="002F3626"/>
    <w:rsid w:val="002F674D"/>
    <w:rsid w:val="00306F89"/>
    <w:rsid w:val="003072A1"/>
    <w:rsid w:val="003109DB"/>
    <w:rsid w:val="00312B7C"/>
    <w:rsid w:val="00314E97"/>
    <w:rsid w:val="0032134F"/>
    <w:rsid w:val="00323D65"/>
    <w:rsid w:val="003264D2"/>
    <w:rsid w:val="00326B2C"/>
    <w:rsid w:val="00335666"/>
    <w:rsid w:val="00337D95"/>
    <w:rsid w:val="00343462"/>
    <w:rsid w:val="00347AE9"/>
    <w:rsid w:val="00354CD3"/>
    <w:rsid w:val="00355D8F"/>
    <w:rsid w:val="00360AC8"/>
    <w:rsid w:val="00365146"/>
    <w:rsid w:val="0039108D"/>
    <w:rsid w:val="00392C47"/>
    <w:rsid w:val="00394366"/>
    <w:rsid w:val="003B0BF9"/>
    <w:rsid w:val="003C1CD4"/>
    <w:rsid w:val="003D1800"/>
    <w:rsid w:val="003D216A"/>
    <w:rsid w:val="003D54E4"/>
    <w:rsid w:val="003D5A50"/>
    <w:rsid w:val="003D6339"/>
    <w:rsid w:val="003D6372"/>
    <w:rsid w:val="003E0791"/>
    <w:rsid w:val="003E75DC"/>
    <w:rsid w:val="003F19FB"/>
    <w:rsid w:val="003F2084"/>
    <w:rsid w:val="003F28AC"/>
    <w:rsid w:val="003F2965"/>
    <w:rsid w:val="003F3F8B"/>
    <w:rsid w:val="004067D3"/>
    <w:rsid w:val="0041474E"/>
    <w:rsid w:val="004174ED"/>
    <w:rsid w:val="0042366F"/>
    <w:rsid w:val="00424006"/>
    <w:rsid w:val="00431B9F"/>
    <w:rsid w:val="004349A0"/>
    <w:rsid w:val="004454FE"/>
    <w:rsid w:val="00446DBE"/>
    <w:rsid w:val="00456E40"/>
    <w:rsid w:val="00457F16"/>
    <w:rsid w:val="004625E6"/>
    <w:rsid w:val="004656D5"/>
    <w:rsid w:val="00471F27"/>
    <w:rsid w:val="0047471A"/>
    <w:rsid w:val="00474881"/>
    <w:rsid w:val="00477003"/>
    <w:rsid w:val="00492282"/>
    <w:rsid w:val="004A4336"/>
    <w:rsid w:val="004C3524"/>
    <w:rsid w:val="004C72A4"/>
    <w:rsid w:val="004D1E90"/>
    <w:rsid w:val="004D3E1C"/>
    <w:rsid w:val="004E61F8"/>
    <w:rsid w:val="004E6557"/>
    <w:rsid w:val="004F3400"/>
    <w:rsid w:val="004F4D03"/>
    <w:rsid w:val="00500622"/>
    <w:rsid w:val="0050178F"/>
    <w:rsid w:val="00512ECA"/>
    <w:rsid w:val="005360C5"/>
    <w:rsid w:val="0054488C"/>
    <w:rsid w:val="0055018D"/>
    <w:rsid w:val="00550D57"/>
    <w:rsid w:val="005523DC"/>
    <w:rsid w:val="00562A3A"/>
    <w:rsid w:val="00566EDD"/>
    <w:rsid w:val="0058611F"/>
    <w:rsid w:val="00590A43"/>
    <w:rsid w:val="0059628F"/>
    <w:rsid w:val="005A57B2"/>
    <w:rsid w:val="005B6863"/>
    <w:rsid w:val="005C2D32"/>
    <w:rsid w:val="005C52EB"/>
    <w:rsid w:val="005C5F23"/>
    <w:rsid w:val="005C7E25"/>
    <w:rsid w:val="005D1F0C"/>
    <w:rsid w:val="005D21DE"/>
    <w:rsid w:val="005D469E"/>
    <w:rsid w:val="005E41A2"/>
    <w:rsid w:val="005E6441"/>
    <w:rsid w:val="005E7430"/>
    <w:rsid w:val="005F5CF5"/>
    <w:rsid w:val="005F5ED2"/>
    <w:rsid w:val="00603BE6"/>
    <w:rsid w:val="00607401"/>
    <w:rsid w:val="00611DED"/>
    <w:rsid w:val="00615524"/>
    <w:rsid w:val="006316B6"/>
    <w:rsid w:val="006425CD"/>
    <w:rsid w:val="00643CC6"/>
    <w:rsid w:val="006449F2"/>
    <w:rsid w:val="0065018B"/>
    <w:rsid w:val="00651063"/>
    <w:rsid w:val="00651859"/>
    <w:rsid w:val="006544D1"/>
    <w:rsid w:val="00655F2C"/>
    <w:rsid w:val="00665AF0"/>
    <w:rsid w:val="006763DB"/>
    <w:rsid w:val="006952A8"/>
    <w:rsid w:val="006A39F5"/>
    <w:rsid w:val="006C73AA"/>
    <w:rsid w:val="006D3672"/>
    <w:rsid w:val="006E1081"/>
    <w:rsid w:val="006F766D"/>
    <w:rsid w:val="0070007C"/>
    <w:rsid w:val="00700481"/>
    <w:rsid w:val="007143AB"/>
    <w:rsid w:val="00720585"/>
    <w:rsid w:val="00720DE9"/>
    <w:rsid w:val="007230FE"/>
    <w:rsid w:val="00724A85"/>
    <w:rsid w:val="00727EF7"/>
    <w:rsid w:val="0074044E"/>
    <w:rsid w:val="00751AA1"/>
    <w:rsid w:val="00766BFE"/>
    <w:rsid w:val="0077033E"/>
    <w:rsid w:val="00773AF6"/>
    <w:rsid w:val="00775E88"/>
    <w:rsid w:val="00783EE1"/>
    <w:rsid w:val="00786CB8"/>
    <w:rsid w:val="00792D83"/>
    <w:rsid w:val="00795DD7"/>
    <w:rsid w:val="00795F71"/>
    <w:rsid w:val="007B35F2"/>
    <w:rsid w:val="007B7CFA"/>
    <w:rsid w:val="007C2B4B"/>
    <w:rsid w:val="007D13F1"/>
    <w:rsid w:val="007D4A10"/>
    <w:rsid w:val="007D50C5"/>
    <w:rsid w:val="007D7968"/>
    <w:rsid w:val="007D7C09"/>
    <w:rsid w:val="007E5E18"/>
    <w:rsid w:val="007E5F7A"/>
    <w:rsid w:val="007E73AB"/>
    <w:rsid w:val="00805ED6"/>
    <w:rsid w:val="0081673D"/>
    <w:rsid w:val="00816C11"/>
    <w:rsid w:val="00825A16"/>
    <w:rsid w:val="008278A3"/>
    <w:rsid w:val="00835AC1"/>
    <w:rsid w:val="00841A28"/>
    <w:rsid w:val="00843F9B"/>
    <w:rsid w:val="008444D1"/>
    <w:rsid w:val="0084535C"/>
    <w:rsid w:val="00847A5A"/>
    <w:rsid w:val="008538A1"/>
    <w:rsid w:val="008824C5"/>
    <w:rsid w:val="0088564C"/>
    <w:rsid w:val="008874D4"/>
    <w:rsid w:val="00893365"/>
    <w:rsid w:val="00894C55"/>
    <w:rsid w:val="008A1B0E"/>
    <w:rsid w:val="008B01FB"/>
    <w:rsid w:val="008B6F86"/>
    <w:rsid w:val="008C318B"/>
    <w:rsid w:val="008C715F"/>
    <w:rsid w:val="008E044E"/>
    <w:rsid w:val="008E601C"/>
    <w:rsid w:val="008E6FFD"/>
    <w:rsid w:val="008E7ED7"/>
    <w:rsid w:val="009024D7"/>
    <w:rsid w:val="00902D23"/>
    <w:rsid w:val="00904F2B"/>
    <w:rsid w:val="009111E4"/>
    <w:rsid w:val="009148E2"/>
    <w:rsid w:val="00916C59"/>
    <w:rsid w:val="00925F18"/>
    <w:rsid w:val="009265C1"/>
    <w:rsid w:val="00935B80"/>
    <w:rsid w:val="009405B1"/>
    <w:rsid w:val="00965455"/>
    <w:rsid w:val="00972930"/>
    <w:rsid w:val="0098077B"/>
    <w:rsid w:val="00980C3C"/>
    <w:rsid w:val="00984CB5"/>
    <w:rsid w:val="00985EEE"/>
    <w:rsid w:val="00996422"/>
    <w:rsid w:val="0099670C"/>
    <w:rsid w:val="009A2654"/>
    <w:rsid w:val="009C7BFA"/>
    <w:rsid w:val="009D11E1"/>
    <w:rsid w:val="009F10AC"/>
    <w:rsid w:val="009F396A"/>
    <w:rsid w:val="009F4991"/>
    <w:rsid w:val="00A10FC3"/>
    <w:rsid w:val="00A1112A"/>
    <w:rsid w:val="00A270BA"/>
    <w:rsid w:val="00A271D0"/>
    <w:rsid w:val="00A34E63"/>
    <w:rsid w:val="00A40471"/>
    <w:rsid w:val="00A40FD9"/>
    <w:rsid w:val="00A43DE6"/>
    <w:rsid w:val="00A47CDE"/>
    <w:rsid w:val="00A50301"/>
    <w:rsid w:val="00A52F16"/>
    <w:rsid w:val="00A54E65"/>
    <w:rsid w:val="00A56575"/>
    <w:rsid w:val="00A578A9"/>
    <w:rsid w:val="00A6073E"/>
    <w:rsid w:val="00A637B7"/>
    <w:rsid w:val="00A6572F"/>
    <w:rsid w:val="00A76AEA"/>
    <w:rsid w:val="00A7755F"/>
    <w:rsid w:val="00A81BD9"/>
    <w:rsid w:val="00A96A65"/>
    <w:rsid w:val="00A97B10"/>
    <w:rsid w:val="00AA3515"/>
    <w:rsid w:val="00AB0A81"/>
    <w:rsid w:val="00AB2496"/>
    <w:rsid w:val="00AB272C"/>
    <w:rsid w:val="00AC49CD"/>
    <w:rsid w:val="00AD309A"/>
    <w:rsid w:val="00AD5851"/>
    <w:rsid w:val="00AE34E5"/>
    <w:rsid w:val="00AE4FAF"/>
    <w:rsid w:val="00AE5567"/>
    <w:rsid w:val="00AE5878"/>
    <w:rsid w:val="00AF1239"/>
    <w:rsid w:val="00AF24A5"/>
    <w:rsid w:val="00B1367B"/>
    <w:rsid w:val="00B13B90"/>
    <w:rsid w:val="00B14492"/>
    <w:rsid w:val="00B16480"/>
    <w:rsid w:val="00B2165C"/>
    <w:rsid w:val="00B30691"/>
    <w:rsid w:val="00B336C8"/>
    <w:rsid w:val="00B4109F"/>
    <w:rsid w:val="00B44468"/>
    <w:rsid w:val="00B478CF"/>
    <w:rsid w:val="00B53C4A"/>
    <w:rsid w:val="00B56629"/>
    <w:rsid w:val="00B577DF"/>
    <w:rsid w:val="00B631A9"/>
    <w:rsid w:val="00B6589C"/>
    <w:rsid w:val="00B6646D"/>
    <w:rsid w:val="00B77AB7"/>
    <w:rsid w:val="00B87E6E"/>
    <w:rsid w:val="00B925D0"/>
    <w:rsid w:val="00BA20AA"/>
    <w:rsid w:val="00BC4970"/>
    <w:rsid w:val="00BC798F"/>
    <w:rsid w:val="00BD4425"/>
    <w:rsid w:val="00BE01A5"/>
    <w:rsid w:val="00BE0B3B"/>
    <w:rsid w:val="00BE1FEB"/>
    <w:rsid w:val="00BF4E50"/>
    <w:rsid w:val="00C062C5"/>
    <w:rsid w:val="00C10407"/>
    <w:rsid w:val="00C12329"/>
    <w:rsid w:val="00C1730D"/>
    <w:rsid w:val="00C20B69"/>
    <w:rsid w:val="00C2356D"/>
    <w:rsid w:val="00C24108"/>
    <w:rsid w:val="00C25B49"/>
    <w:rsid w:val="00C27EA0"/>
    <w:rsid w:val="00C312FB"/>
    <w:rsid w:val="00C32F69"/>
    <w:rsid w:val="00C423F9"/>
    <w:rsid w:val="00C5175B"/>
    <w:rsid w:val="00C51A6A"/>
    <w:rsid w:val="00C5294A"/>
    <w:rsid w:val="00C65B5C"/>
    <w:rsid w:val="00C708D9"/>
    <w:rsid w:val="00C709F9"/>
    <w:rsid w:val="00C725A0"/>
    <w:rsid w:val="00C76291"/>
    <w:rsid w:val="00C84E1D"/>
    <w:rsid w:val="00C86F48"/>
    <w:rsid w:val="00C92B4B"/>
    <w:rsid w:val="00C953D6"/>
    <w:rsid w:val="00CA3D3E"/>
    <w:rsid w:val="00CA5562"/>
    <w:rsid w:val="00CA63C6"/>
    <w:rsid w:val="00CB53BD"/>
    <w:rsid w:val="00CC0D2D"/>
    <w:rsid w:val="00CC5F0D"/>
    <w:rsid w:val="00CD2F80"/>
    <w:rsid w:val="00CD5B50"/>
    <w:rsid w:val="00CD5DB4"/>
    <w:rsid w:val="00CE5657"/>
    <w:rsid w:val="00CF0422"/>
    <w:rsid w:val="00CF544A"/>
    <w:rsid w:val="00D00DE3"/>
    <w:rsid w:val="00D01BF6"/>
    <w:rsid w:val="00D02C31"/>
    <w:rsid w:val="00D103E6"/>
    <w:rsid w:val="00D133F8"/>
    <w:rsid w:val="00D148FC"/>
    <w:rsid w:val="00D14A3E"/>
    <w:rsid w:val="00D24EAD"/>
    <w:rsid w:val="00D32380"/>
    <w:rsid w:val="00D339AD"/>
    <w:rsid w:val="00D4114C"/>
    <w:rsid w:val="00D5167C"/>
    <w:rsid w:val="00D51FB8"/>
    <w:rsid w:val="00D55C77"/>
    <w:rsid w:val="00D55ED8"/>
    <w:rsid w:val="00D62BCA"/>
    <w:rsid w:val="00D717CB"/>
    <w:rsid w:val="00D76C7F"/>
    <w:rsid w:val="00D85E5E"/>
    <w:rsid w:val="00D91AD0"/>
    <w:rsid w:val="00D9483B"/>
    <w:rsid w:val="00DA5C24"/>
    <w:rsid w:val="00DB2A59"/>
    <w:rsid w:val="00DC0CBF"/>
    <w:rsid w:val="00DC254F"/>
    <w:rsid w:val="00DC402A"/>
    <w:rsid w:val="00DD3434"/>
    <w:rsid w:val="00DF2C3B"/>
    <w:rsid w:val="00DF4400"/>
    <w:rsid w:val="00E04044"/>
    <w:rsid w:val="00E043FC"/>
    <w:rsid w:val="00E134F4"/>
    <w:rsid w:val="00E13A54"/>
    <w:rsid w:val="00E165BC"/>
    <w:rsid w:val="00E16BBC"/>
    <w:rsid w:val="00E16CDF"/>
    <w:rsid w:val="00E34282"/>
    <w:rsid w:val="00E3716B"/>
    <w:rsid w:val="00E37CE0"/>
    <w:rsid w:val="00E425E7"/>
    <w:rsid w:val="00E44EBC"/>
    <w:rsid w:val="00E5323B"/>
    <w:rsid w:val="00E6013E"/>
    <w:rsid w:val="00E65939"/>
    <w:rsid w:val="00E72389"/>
    <w:rsid w:val="00E75D95"/>
    <w:rsid w:val="00E86DB9"/>
    <w:rsid w:val="00E8749E"/>
    <w:rsid w:val="00E90C01"/>
    <w:rsid w:val="00E91901"/>
    <w:rsid w:val="00E937E5"/>
    <w:rsid w:val="00E971B0"/>
    <w:rsid w:val="00EA3E5B"/>
    <w:rsid w:val="00EA486E"/>
    <w:rsid w:val="00EC2678"/>
    <w:rsid w:val="00ED2B23"/>
    <w:rsid w:val="00ED2EEA"/>
    <w:rsid w:val="00EE0258"/>
    <w:rsid w:val="00EF6317"/>
    <w:rsid w:val="00EF6D10"/>
    <w:rsid w:val="00F0056A"/>
    <w:rsid w:val="00F06294"/>
    <w:rsid w:val="00F11DEA"/>
    <w:rsid w:val="00F202DD"/>
    <w:rsid w:val="00F246EF"/>
    <w:rsid w:val="00F27A4C"/>
    <w:rsid w:val="00F429AF"/>
    <w:rsid w:val="00F441DB"/>
    <w:rsid w:val="00F57755"/>
    <w:rsid w:val="00F57B0C"/>
    <w:rsid w:val="00F60E5F"/>
    <w:rsid w:val="00F730A0"/>
    <w:rsid w:val="00F75FB9"/>
    <w:rsid w:val="00F800B4"/>
    <w:rsid w:val="00F81E55"/>
    <w:rsid w:val="00F879AD"/>
    <w:rsid w:val="00F94B18"/>
    <w:rsid w:val="00FA1F16"/>
    <w:rsid w:val="00FA47F3"/>
    <w:rsid w:val="00FB3EBB"/>
    <w:rsid w:val="00FB5642"/>
    <w:rsid w:val="00FB566F"/>
    <w:rsid w:val="00FB6A51"/>
    <w:rsid w:val="00FC69DF"/>
    <w:rsid w:val="00FD5EA0"/>
    <w:rsid w:val="00FE0850"/>
    <w:rsid w:val="00FE2185"/>
    <w:rsid w:val="00F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2C3B"/>
    <w:rPr>
      <w:sz w:val="16"/>
      <w:szCs w:val="16"/>
    </w:rPr>
  </w:style>
  <w:style w:type="paragraph" w:styleId="CommentText">
    <w:name w:val="annotation text"/>
    <w:basedOn w:val="Normal"/>
    <w:link w:val="CommentTextChar"/>
    <w:uiPriority w:val="99"/>
    <w:semiHidden/>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iPriority w:val="99"/>
    <w:semiHidden/>
    <w:unhideWhenUsed/>
    <w:rsid w:val="001E5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67D"/>
    <w:rPr>
      <w:sz w:val="20"/>
      <w:szCs w:val="20"/>
    </w:rPr>
  </w:style>
  <w:style w:type="character" w:styleId="FootnoteReference">
    <w:name w:val="footnote reference"/>
    <w:basedOn w:val="DefaultParagraphFont"/>
    <w:uiPriority w:val="99"/>
    <w:semiHidden/>
    <w:unhideWhenUsed/>
    <w:rsid w:val="001E567D"/>
    <w:rPr>
      <w:vertAlign w:val="superscript"/>
    </w:rPr>
  </w:style>
  <w:style w:type="character" w:customStyle="1" w:styleId="UnresolvedMention1">
    <w:name w:val="Unresolved Mention1"/>
    <w:basedOn w:val="DefaultParagraphFont"/>
    <w:uiPriority w:val="99"/>
    <w:semiHidden/>
    <w:unhideWhenUsed/>
    <w:rsid w:val="001E567D"/>
    <w:rPr>
      <w:color w:val="605E5C"/>
      <w:shd w:val="clear" w:color="auto" w:fill="E1DFDD"/>
    </w:rPr>
  </w:style>
  <w:style w:type="paragraph" w:styleId="Revision">
    <w:name w:val="Revision"/>
    <w:hidden/>
    <w:uiPriority w:val="99"/>
    <w:semiHidden/>
    <w:rsid w:val="008E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2755310">
      <w:bodyDiv w:val="1"/>
      <w:marLeft w:val="0"/>
      <w:marRight w:val="0"/>
      <w:marTop w:val="0"/>
      <w:marBottom w:val="0"/>
      <w:divBdr>
        <w:top w:val="none" w:sz="0" w:space="0" w:color="auto"/>
        <w:left w:val="none" w:sz="0" w:space="0" w:color="auto"/>
        <w:bottom w:val="none" w:sz="0" w:space="0" w:color="auto"/>
        <w:right w:val="none" w:sz="0" w:space="0" w:color="auto"/>
      </w:divBdr>
    </w:div>
    <w:div w:id="8724969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BCDD66CA854E62BABF5118010DEBC9"/>
        <w:category>
          <w:name w:val="General"/>
          <w:gallery w:val="placeholder"/>
        </w:category>
        <w:types>
          <w:type w:val="bbPlcHdr"/>
        </w:types>
        <w:behaviors>
          <w:behavior w:val="content"/>
        </w:behaviors>
        <w:guid w:val="{F6AA2250-0988-48D1-89B5-285AF1B2E481}"/>
      </w:docPartPr>
      <w:docPartBody>
        <w:p w:rsidR="00000000" w:rsidRDefault="00FF1BAF" w:rsidP="00FF1BAF">
          <w:pPr>
            <w:pStyle w:val="CDBCDD66CA854E62BABF5118010DEBC9"/>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333C"/>
    <w:rsid w:val="00057C8B"/>
    <w:rsid w:val="0007248D"/>
    <w:rsid w:val="00084514"/>
    <w:rsid w:val="000B162F"/>
    <w:rsid w:val="00137DE1"/>
    <w:rsid w:val="00141C0A"/>
    <w:rsid w:val="00177E07"/>
    <w:rsid w:val="00202461"/>
    <w:rsid w:val="00257482"/>
    <w:rsid w:val="002D6FF7"/>
    <w:rsid w:val="00300903"/>
    <w:rsid w:val="003425CF"/>
    <w:rsid w:val="00344186"/>
    <w:rsid w:val="00375922"/>
    <w:rsid w:val="003766DC"/>
    <w:rsid w:val="00385832"/>
    <w:rsid w:val="003A40B4"/>
    <w:rsid w:val="003C6ED4"/>
    <w:rsid w:val="003F19F8"/>
    <w:rsid w:val="00402C52"/>
    <w:rsid w:val="0044445F"/>
    <w:rsid w:val="004675CB"/>
    <w:rsid w:val="00472F39"/>
    <w:rsid w:val="004A2E09"/>
    <w:rsid w:val="004D4D0E"/>
    <w:rsid w:val="00523A63"/>
    <w:rsid w:val="005B3529"/>
    <w:rsid w:val="005C7516"/>
    <w:rsid w:val="0067652F"/>
    <w:rsid w:val="0069624F"/>
    <w:rsid w:val="006F1566"/>
    <w:rsid w:val="007030C4"/>
    <w:rsid w:val="007117EC"/>
    <w:rsid w:val="00715BE1"/>
    <w:rsid w:val="007D5079"/>
    <w:rsid w:val="008334BF"/>
    <w:rsid w:val="008B623B"/>
    <w:rsid w:val="008C69D9"/>
    <w:rsid w:val="008D39C9"/>
    <w:rsid w:val="009318A2"/>
    <w:rsid w:val="009518D0"/>
    <w:rsid w:val="00957E11"/>
    <w:rsid w:val="009632CF"/>
    <w:rsid w:val="00995346"/>
    <w:rsid w:val="009B07EE"/>
    <w:rsid w:val="009B36AB"/>
    <w:rsid w:val="009B55AC"/>
    <w:rsid w:val="009C1314"/>
    <w:rsid w:val="009C1B4C"/>
    <w:rsid w:val="00AD4A2F"/>
    <w:rsid w:val="00AF45E7"/>
    <w:rsid w:val="00B04FB7"/>
    <w:rsid w:val="00B062B4"/>
    <w:rsid w:val="00B13CE5"/>
    <w:rsid w:val="00B3767C"/>
    <w:rsid w:val="00B757E9"/>
    <w:rsid w:val="00C00671"/>
    <w:rsid w:val="00C01626"/>
    <w:rsid w:val="00C81D5A"/>
    <w:rsid w:val="00CE0143"/>
    <w:rsid w:val="00D36FC9"/>
    <w:rsid w:val="00DA4926"/>
    <w:rsid w:val="00DB05D4"/>
    <w:rsid w:val="00DB413A"/>
    <w:rsid w:val="00DE3D16"/>
    <w:rsid w:val="00E0483C"/>
    <w:rsid w:val="00EB2187"/>
    <w:rsid w:val="00EB4993"/>
    <w:rsid w:val="00ED4ED0"/>
    <w:rsid w:val="00ED5869"/>
    <w:rsid w:val="00EF53C9"/>
    <w:rsid w:val="00F36C7D"/>
    <w:rsid w:val="00F95F73"/>
    <w:rsid w:val="00FA3C4D"/>
    <w:rsid w:val="00FF1BA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BAF"/>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CDBCDD66CA854E62BABF5118010DEBC9">
    <w:name w:val="CDBCDD66CA854E62BABF5118010DEBC9"/>
    <w:rsid w:val="00FF1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224C-9457-4E3E-9A3D-4E05D6317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DBCD0-1411-4B0C-8E4D-EED82478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0E05D-A98C-4747-8944-3669F164B66C}">
  <ds:schemaRefs>
    <ds:schemaRef ds:uri="http://schemas.microsoft.com/sharepoint/v3/contenttype/forms"/>
  </ds:schemaRefs>
</ds:datastoreItem>
</file>

<file path=customXml/itemProps4.xml><?xml version="1.0" encoding="utf-8"?>
<ds:datastoreItem xmlns:ds="http://schemas.openxmlformats.org/officeDocument/2006/customXml" ds:itemID="{115341BC-940F-44D7-91D1-D83B7B152B3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5bfda95-7fad-4336-b839-9f16f5c9f2fe"/>
    <ds:schemaRef ds:uri="http://schemas.microsoft.com/office/2006/documentManagement/types"/>
    <ds:schemaRef ds:uri="860946da-6400-4646-97d2-c91a636ef2d1"/>
    <ds:schemaRef ds:uri="http://www.w3.org/XML/1998/namespace"/>
    <ds:schemaRef ds:uri="http://purl.org/dc/dcmitype/"/>
  </ds:schemaRefs>
</ds:datastoreItem>
</file>

<file path=customXml/itemProps5.xml><?xml version="1.0" encoding="utf-8"?>
<ds:datastoreItem xmlns:ds="http://schemas.openxmlformats.org/officeDocument/2006/customXml" ds:itemID="{A30BA681-3389-47DD-8D9F-41528E40B209}">
  <ds:schemaRefs>
    <ds:schemaRef ds:uri="http://schemas.microsoft.com/sharepoint/v3/contenttype/forms"/>
  </ds:schemaRefs>
</ds:datastoreItem>
</file>

<file path=customXml/itemProps6.xml><?xml version="1.0" encoding="utf-8"?>
<ds:datastoreItem xmlns:ds="http://schemas.openxmlformats.org/officeDocument/2006/customXml" ds:itemID="{B58589F6-0922-4A95-944D-F21C1AD5B56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28C0DD5-196C-4484-84D0-0ED92807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7675</Words>
  <Characters>4376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EMAnot_01112019_Groz160</vt:lpstr>
    </vt:vector>
  </TitlesOfParts>
  <Company>Iestādes nosaukums</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EMAnot_01112019_Groz160</dc:title>
  <dc:subject>Anotācija</dc:subject>
  <dc:creator>Janis.Silins@em.gov.lv</dc:creator>
  <dc:description>67013005, Janis.Silins@em.gov.lv</dc:description>
  <cp:lastModifiedBy>Indra Stepanova</cp:lastModifiedBy>
  <cp:revision>4</cp:revision>
  <dcterms:created xsi:type="dcterms:W3CDTF">2020-11-11T08:28:00Z</dcterms:created>
  <dcterms:modified xsi:type="dcterms:W3CDTF">2020-11-16T12:28:00Z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