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71A15" w14:textId="77777777" w:rsidR="007116C7" w:rsidRPr="00712FE5" w:rsidRDefault="007116C7" w:rsidP="00F22BD8">
      <w:pPr>
        <w:pStyle w:val="naisnod"/>
        <w:spacing w:before="0" w:after="0"/>
        <w:rPr>
          <w:sz w:val="28"/>
          <w:szCs w:val="28"/>
        </w:rPr>
      </w:pPr>
      <w:r w:rsidRPr="00712FE5">
        <w:rPr>
          <w:sz w:val="28"/>
          <w:szCs w:val="28"/>
        </w:rPr>
        <w:t>Izziņa par atzinumos sniegtajiem iebildumiem</w:t>
      </w:r>
    </w:p>
    <w:p w14:paraId="3BB08CBE" w14:textId="77777777" w:rsidR="007116C7" w:rsidRPr="00712FE5" w:rsidRDefault="007116C7" w:rsidP="00F22BD8">
      <w:pPr>
        <w:pStyle w:val="naisf"/>
        <w:spacing w:before="0" w:after="0"/>
        <w:ind w:firstLine="0"/>
      </w:pPr>
    </w:p>
    <w:tbl>
      <w:tblPr>
        <w:tblW w:w="0" w:type="auto"/>
        <w:jc w:val="center"/>
        <w:tblLook w:val="00A0" w:firstRow="1" w:lastRow="0" w:firstColumn="1" w:lastColumn="0" w:noHBand="0" w:noVBand="0"/>
      </w:tblPr>
      <w:tblGrid>
        <w:gridCol w:w="10188"/>
      </w:tblGrid>
      <w:tr w:rsidR="00712FE5" w:rsidRPr="00712FE5" w14:paraId="43CCAC2A" w14:textId="77777777">
        <w:trPr>
          <w:jc w:val="center"/>
        </w:trPr>
        <w:tc>
          <w:tcPr>
            <w:tcW w:w="10188" w:type="dxa"/>
            <w:tcBorders>
              <w:bottom w:val="single" w:sz="6" w:space="0" w:color="000000"/>
            </w:tcBorders>
          </w:tcPr>
          <w:p w14:paraId="7F142B43" w14:textId="77777777" w:rsidR="007116C7" w:rsidRPr="00712FE5" w:rsidRDefault="00346001" w:rsidP="004F2C0E">
            <w:pPr>
              <w:jc w:val="center"/>
            </w:pPr>
            <w:r w:rsidRPr="00712FE5">
              <w:rPr>
                <w:b/>
                <w:bCs/>
              </w:rPr>
              <w:t>Ministru kabineta noteikumu projekts “</w:t>
            </w:r>
            <w:r w:rsidRPr="00712FE5">
              <w:rPr>
                <w:rStyle w:val="normaltextrun"/>
                <w:b/>
                <w:bCs/>
              </w:rPr>
              <w:t>Ekspluatējamu ēku energoefektivitātes minimālās prasības</w:t>
            </w:r>
            <w:r w:rsidRPr="00712FE5">
              <w:rPr>
                <w:b/>
                <w:bCs/>
              </w:rPr>
              <w:t>”</w:t>
            </w:r>
            <w:r w:rsidR="004F2C0E" w:rsidRPr="00712FE5">
              <w:rPr>
                <w:b/>
              </w:rPr>
              <w:t xml:space="preserve"> (VSS-</w:t>
            </w:r>
            <w:r w:rsidRPr="00712FE5">
              <w:rPr>
                <w:b/>
              </w:rPr>
              <w:t>94</w:t>
            </w:r>
            <w:r w:rsidR="004F2C0E" w:rsidRPr="00712FE5">
              <w:rPr>
                <w:b/>
              </w:rPr>
              <w:t>)</w:t>
            </w:r>
          </w:p>
        </w:tc>
      </w:tr>
    </w:tbl>
    <w:p w14:paraId="1DF5A6CB" w14:textId="77777777" w:rsidR="007116C7" w:rsidRPr="00712FE5" w:rsidRDefault="007116C7" w:rsidP="00F22BD8">
      <w:pPr>
        <w:pStyle w:val="naisc"/>
        <w:spacing w:before="0" w:after="0"/>
      </w:pPr>
      <w:r w:rsidRPr="00712FE5">
        <w:t>(dokumenta veids un nosaukums)</w:t>
      </w:r>
    </w:p>
    <w:p w14:paraId="740C83EC" w14:textId="77777777" w:rsidR="007B4C0F" w:rsidRPr="00712FE5" w:rsidRDefault="007B4C0F" w:rsidP="00F22BD8">
      <w:pPr>
        <w:pStyle w:val="naisf"/>
        <w:spacing w:before="0" w:after="0"/>
        <w:ind w:firstLine="0"/>
      </w:pPr>
    </w:p>
    <w:p w14:paraId="1F2DEE32" w14:textId="77777777" w:rsidR="007B4C0F" w:rsidRPr="00712FE5" w:rsidRDefault="007B4C0F" w:rsidP="00F22BD8">
      <w:pPr>
        <w:pStyle w:val="naisf"/>
        <w:spacing w:before="0" w:after="0"/>
        <w:ind w:firstLine="0"/>
        <w:jc w:val="center"/>
        <w:rPr>
          <w:b/>
        </w:rPr>
      </w:pPr>
      <w:r w:rsidRPr="00712FE5">
        <w:rPr>
          <w:b/>
        </w:rPr>
        <w:t xml:space="preserve">I. Jautājumi, par kuriem saskaņošanā </w:t>
      </w:r>
      <w:r w:rsidR="00134188" w:rsidRPr="00712FE5">
        <w:rPr>
          <w:b/>
        </w:rPr>
        <w:t xml:space="preserve">vienošanās </w:t>
      </w:r>
      <w:r w:rsidRPr="00712FE5">
        <w:rPr>
          <w:b/>
        </w:rPr>
        <w:t>nav panākta</w:t>
      </w:r>
    </w:p>
    <w:p w14:paraId="4017B893" w14:textId="77777777" w:rsidR="007B4C0F" w:rsidRPr="00712FE5" w:rsidRDefault="007B4C0F" w:rsidP="00DB7395">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377"/>
        <w:gridCol w:w="3827"/>
        <w:gridCol w:w="2977"/>
        <w:gridCol w:w="2126"/>
        <w:gridCol w:w="2410"/>
      </w:tblGrid>
      <w:tr w:rsidR="00712FE5" w:rsidRPr="00712FE5" w14:paraId="4273327B" w14:textId="77777777" w:rsidTr="000372EB">
        <w:tc>
          <w:tcPr>
            <w:tcW w:w="708" w:type="dxa"/>
            <w:tcBorders>
              <w:top w:val="single" w:sz="6" w:space="0" w:color="000000"/>
              <w:left w:val="single" w:sz="6" w:space="0" w:color="000000"/>
              <w:bottom w:val="single" w:sz="6" w:space="0" w:color="000000"/>
              <w:right w:val="single" w:sz="6" w:space="0" w:color="000000"/>
            </w:tcBorders>
            <w:vAlign w:val="center"/>
          </w:tcPr>
          <w:p w14:paraId="6910B305" w14:textId="77777777" w:rsidR="005F4BFD" w:rsidRPr="00712FE5" w:rsidRDefault="005F4BFD" w:rsidP="005F0B43">
            <w:pPr>
              <w:pStyle w:val="naisc"/>
              <w:spacing w:before="0" w:after="0"/>
            </w:pPr>
            <w:r w:rsidRPr="00712FE5">
              <w:t>Nr. p.</w:t>
            </w:r>
            <w:r w:rsidR="00D64FB0" w:rsidRPr="00712FE5">
              <w:t> </w:t>
            </w:r>
            <w:r w:rsidRPr="00712FE5">
              <w:t>k.</w:t>
            </w:r>
          </w:p>
        </w:tc>
        <w:tc>
          <w:tcPr>
            <w:tcW w:w="2377" w:type="dxa"/>
            <w:tcBorders>
              <w:top w:val="single" w:sz="6" w:space="0" w:color="000000"/>
              <w:left w:val="single" w:sz="6" w:space="0" w:color="000000"/>
              <w:bottom w:val="single" w:sz="6" w:space="0" w:color="000000"/>
              <w:right w:val="single" w:sz="6" w:space="0" w:color="000000"/>
            </w:tcBorders>
            <w:vAlign w:val="center"/>
          </w:tcPr>
          <w:p w14:paraId="40B0BBEE" w14:textId="77777777" w:rsidR="005F4BFD" w:rsidRPr="00712FE5" w:rsidRDefault="005F4BFD" w:rsidP="00364BB6">
            <w:pPr>
              <w:pStyle w:val="naisc"/>
              <w:spacing w:before="0" w:after="0"/>
              <w:ind w:firstLine="12"/>
            </w:pPr>
            <w:r w:rsidRPr="00712FE5">
              <w:t>Saskaņošanai nosūtītā projekta redakcija (konkrēta punkta (panta) redakcija)</w:t>
            </w:r>
          </w:p>
        </w:tc>
        <w:tc>
          <w:tcPr>
            <w:tcW w:w="3827" w:type="dxa"/>
            <w:tcBorders>
              <w:top w:val="single" w:sz="6" w:space="0" w:color="000000"/>
              <w:left w:val="single" w:sz="6" w:space="0" w:color="000000"/>
              <w:bottom w:val="single" w:sz="6" w:space="0" w:color="000000"/>
              <w:right w:val="single" w:sz="6" w:space="0" w:color="000000"/>
            </w:tcBorders>
            <w:vAlign w:val="center"/>
          </w:tcPr>
          <w:p w14:paraId="57266FA1" w14:textId="77777777" w:rsidR="005F4BFD" w:rsidRPr="00712FE5" w:rsidRDefault="005F4BFD" w:rsidP="00364BB6">
            <w:pPr>
              <w:pStyle w:val="naisc"/>
              <w:spacing w:before="0" w:after="0"/>
              <w:ind w:right="3"/>
            </w:pPr>
            <w:r w:rsidRPr="00712FE5">
              <w:t>Atzinumā norādītais ministrijas (citas institūcijas) iebildums</w:t>
            </w:r>
            <w:r w:rsidR="00184479" w:rsidRPr="00712FE5">
              <w:t>,</w:t>
            </w:r>
            <w:r w:rsidR="000E5509" w:rsidRPr="00712FE5">
              <w:t xml:space="preserve"> kā arī saskaņošanā papildus izteiktais iebildums</w:t>
            </w:r>
            <w:r w:rsidRPr="00712FE5">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789548FA" w14:textId="77777777" w:rsidR="005F4BFD" w:rsidRPr="00712FE5" w:rsidRDefault="005F4BFD" w:rsidP="0034786D">
            <w:pPr>
              <w:pStyle w:val="naisc"/>
              <w:spacing w:before="0" w:after="0"/>
              <w:ind w:firstLine="21"/>
            </w:pPr>
            <w:r w:rsidRPr="00712FE5">
              <w:t>Atbildīgās ministrijas pamatojums</w:t>
            </w:r>
            <w:r w:rsidR="009307F2" w:rsidRPr="00712FE5">
              <w:t xml:space="preserve">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121DA8B1" w14:textId="77777777" w:rsidR="005F4BFD" w:rsidRPr="00712FE5" w:rsidRDefault="005F4BFD" w:rsidP="00364BB6">
            <w:pPr>
              <w:jc w:val="center"/>
            </w:pPr>
            <w:r w:rsidRPr="00712FE5">
              <w:t>Atzinuma sniedzēja uzturētais iebildums, ja tas atšķiras no atzinumā norādītā iebilduma pamatojuma</w:t>
            </w:r>
          </w:p>
        </w:tc>
        <w:tc>
          <w:tcPr>
            <w:tcW w:w="2410" w:type="dxa"/>
            <w:tcBorders>
              <w:top w:val="single" w:sz="4" w:space="0" w:color="auto"/>
              <w:left w:val="single" w:sz="4" w:space="0" w:color="auto"/>
              <w:bottom w:val="single" w:sz="4" w:space="0" w:color="auto"/>
            </w:tcBorders>
            <w:vAlign w:val="center"/>
          </w:tcPr>
          <w:p w14:paraId="16DD4A2C" w14:textId="77777777" w:rsidR="005F4BFD" w:rsidRPr="00712FE5" w:rsidRDefault="005F4BFD" w:rsidP="00364BB6">
            <w:pPr>
              <w:jc w:val="center"/>
            </w:pPr>
            <w:r w:rsidRPr="00712FE5">
              <w:t>Projekta attiecīgā punkta (panta) galīgā redakcija</w:t>
            </w:r>
          </w:p>
        </w:tc>
      </w:tr>
      <w:tr w:rsidR="00712FE5" w:rsidRPr="00712FE5" w14:paraId="7B144795" w14:textId="77777777" w:rsidTr="000372EB">
        <w:tc>
          <w:tcPr>
            <w:tcW w:w="708" w:type="dxa"/>
            <w:tcBorders>
              <w:top w:val="single" w:sz="6" w:space="0" w:color="000000"/>
              <w:left w:val="single" w:sz="6" w:space="0" w:color="000000"/>
              <w:bottom w:val="single" w:sz="4" w:space="0" w:color="auto"/>
              <w:right w:val="single" w:sz="6" w:space="0" w:color="000000"/>
            </w:tcBorders>
          </w:tcPr>
          <w:p w14:paraId="586470DF" w14:textId="77777777" w:rsidR="005F4BFD" w:rsidRPr="00712FE5" w:rsidRDefault="008A36C9" w:rsidP="005F0B43">
            <w:pPr>
              <w:pStyle w:val="naisc"/>
              <w:spacing w:before="0" w:after="0"/>
              <w:rPr>
                <w:sz w:val="20"/>
                <w:szCs w:val="20"/>
              </w:rPr>
            </w:pPr>
            <w:r w:rsidRPr="00712FE5">
              <w:rPr>
                <w:sz w:val="20"/>
                <w:szCs w:val="20"/>
              </w:rPr>
              <w:t>1</w:t>
            </w:r>
          </w:p>
        </w:tc>
        <w:tc>
          <w:tcPr>
            <w:tcW w:w="2377" w:type="dxa"/>
            <w:tcBorders>
              <w:top w:val="single" w:sz="6" w:space="0" w:color="000000"/>
              <w:left w:val="single" w:sz="6" w:space="0" w:color="000000"/>
              <w:bottom w:val="single" w:sz="4" w:space="0" w:color="auto"/>
              <w:right w:val="single" w:sz="6" w:space="0" w:color="000000"/>
            </w:tcBorders>
          </w:tcPr>
          <w:p w14:paraId="204B1333" w14:textId="77777777" w:rsidR="005F4BFD" w:rsidRPr="00712FE5" w:rsidRDefault="008A36C9" w:rsidP="004F2C0E">
            <w:pPr>
              <w:pStyle w:val="naisc"/>
              <w:spacing w:before="0" w:after="0"/>
              <w:rPr>
                <w:sz w:val="20"/>
                <w:szCs w:val="20"/>
              </w:rPr>
            </w:pPr>
            <w:r w:rsidRPr="00712FE5">
              <w:rPr>
                <w:sz w:val="20"/>
                <w:szCs w:val="20"/>
              </w:rPr>
              <w:t>2</w:t>
            </w:r>
          </w:p>
        </w:tc>
        <w:tc>
          <w:tcPr>
            <w:tcW w:w="3827" w:type="dxa"/>
            <w:tcBorders>
              <w:top w:val="single" w:sz="6" w:space="0" w:color="000000"/>
              <w:left w:val="single" w:sz="6" w:space="0" w:color="000000"/>
              <w:bottom w:val="single" w:sz="4" w:space="0" w:color="auto"/>
              <w:right w:val="single" w:sz="6" w:space="0" w:color="000000"/>
            </w:tcBorders>
          </w:tcPr>
          <w:p w14:paraId="7B2C4C7D" w14:textId="77777777" w:rsidR="005F4BFD" w:rsidRPr="00712FE5" w:rsidRDefault="008A36C9" w:rsidP="004F2C0E">
            <w:pPr>
              <w:pStyle w:val="naisc"/>
              <w:spacing w:before="0" w:after="0"/>
              <w:rPr>
                <w:sz w:val="20"/>
                <w:szCs w:val="20"/>
              </w:rPr>
            </w:pPr>
            <w:r w:rsidRPr="00712FE5">
              <w:rPr>
                <w:sz w:val="20"/>
                <w:szCs w:val="20"/>
              </w:rPr>
              <w:t>3</w:t>
            </w:r>
          </w:p>
        </w:tc>
        <w:tc>
          <w:tcPr>
            <w:tcW w:w="2977" w:type="dxa"/>
            <w:tcBorders>
              <w:top w:val="single" w:sz="6" w:space="0" w:color="000000"/>
              <w:left w:val="single" w:sz="6" w:space="0" w:color="000000"/>
              <w:bottom w:val="single" w:sz="4" w:space="0" w:color="auto"/>
              <w:right w:val="single" w:sz="6" w:space="0" w:color="000000"/>
            </w:tcBorders>
          </w:tcPr>
          <w:p w14:paraId="6D7F43C1" w14:textId="77777777" w:rsidR="005F4BFD" w:rsidRPr="00712FE5" w:rsidRDefault="008A36C9" w:rsidP="0034786D">
            <w:pPr>
              <w:pStyle w:val="naisc"/>
              <w:spacing w:before="0" w:after="0"/>
              <w:rPr>
                <w:sz w:val="20"/>
                <w:szCs w:val="20"/>
              </w:rPr>
            </w:pPr>
            <w:r w:rsidRPr="00712FE5">
              <w:rPr>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46573621" w14:textId="77777777" w:rsidR="005F4BFD" w:rsidRPr="00712FE5" w:rsidRDefault="008A36C9" w:rsidP="008A36C9">
            <w:pPr>
              <w:jc w:val="center"/>
              <w:rPr>
                <w:sz w:val="20"/>
                <w:szCs w:val="20"/>
              </w:rPr>
            </w:pPr>
            <w:r w:rsidRPr="00712FE5">
              <w:rPr>
                <w:sz w:val="20"/>
                <w:szCs w:val="20"/>
              </w:rPr>
              <w:t>5</w:t>
            </w:r>
          </w:p>
        </w:tc>
        <w:tc>
          <w:tcPr>
            <w:tcW w:w="2410" w:type="dxa"/>
            <w:tcBorders>
              <w:top w:val="single" w:sz="4" w:space="0" w:color="auto"/>
              <w:left w:val="single" w:sz="4" w:space="0" w:color="auto"/>
              <w:bottom w:val="single" w:sz="4" w:space="0" w:color="auto"/>
            </w:tcBorders>
          </w:tcPr>
          <w:p w14:paraId="1AC462F0" w14:textId="77777777" w:rsidR="005F4BFD" w:rsidRPr="00712FE5" w:rsidRDefault="008A36C9" w:rsidP="008A36C9">
            <w:pPr>
              <w:jc w:val="center"/>
              <w:rPr>
                <w:sz w:val="20"/>
                <w:szCs w:val="20"/>
              </w:rPr>
            </w:pPr>
            <w:r w:rsidRPr="00712FE5">
              <w:rPr>
                <w:sz w:val="20"/>
                <w:szCs w:val="20"/>
              </w:rPr>
              <w:t>6</w:t>
            </w:r>
          </w:p>
        </w:tc>
      </w:tr>
    </w:tbl>
    <w:p w14:paraId="7F847ED5" w14:textId="77777777" w:rsidR="007B4C0F" w:rsidRPr="00712FE5" w:rsidRDefault="007B4C0F" w:rsidP="007B4C0F">
      <w:pPr>
        <w:pStyle w:val="naisf"/>
        <w:spacing w:before="0" w:after="0"/>
        <w:ind w:firstLine="0"/>
      </w:pPr>
    </w:p>
    <w:p w14:paraId="1902AF7C" w14:textId="77777777" w:rsidR="005D67F7" w:rsidRPr="00712FE5" w:rsidRDefault="005D67F7" w:rsidP="005D67F7">
      <w:pPr>
        <w:pStyle w:val="naisf"/>
        <w:spacing w:before="0" w:after="0"/>
        <w:ind w:firstLine="0"/>
        <w:rPr>
          <w:b/>
        </w:rPr>
      </w:pPr>
      <w:r w:rsidRPr="00712FE5">
        <w:rPr>
          <w:b/>
        </w:rPr>
        <w:t xml:space="preserve">Informācija par </w:t>
      </w:r>
      <w:proofErr w:type="spellStart"/>
      <w:r w:rsidRPr="00712FE5">
        <w:rPr>
          <w:b/>
        </w:rPr>
        <w:t>starpministriju</w:t>
      </w:r>
      <w:proofErr w:type="spellEnd"/>
      <w:r w:rsidRPr="00712FE5">
        <w:rPr>
          <w:b/>
        </w:rPr>
        <w:t xml:space="preserve"> (starpinstitūciju) sanāksmi vai elektronisko saskaņošanu</w:t>
      </w:r>
    </w:p>
    <w:p w14:paraId="1712F680" w14:textId="77777777" w:rsidR="005D67F7" w:rsidRPr="00712FE5" w:rsidRDefault="005D67F7" w:rsidP="005D67F7">
      <w:pPr>
        <w:pStyle w:val="naisf"/>
        <w:spacing w:before="0" w:after="0"/>
        <w:ind w:firstLine="0"/>
        <w:rPr>
          <w:b/>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7229"/>
      </w:tblGrid>
      <w:tr w:rsidR="00712FE5" w:rsidRPr="00712FE5" w14:paraId="5FCEFE36" w14:textId="77777777" w:rsidTr="00F10DF3">
        <w:tc>
          <w:tcPr>
            <w:tcW w:w="7196" w:type="dxa"/>
            <w:tcBorders>
              <w:top w:val="nil"/>
              <w:left w:val="nil"/>
              <w:bottom w:val="nil"/>
              <w:right w:val="nil"/>
            </w:tcBorders>
          </w:tcPr>
          <w:p w14:paraId="4D8746CB" w14:textId="77777777" w:rsidR="007B4C0F" w:rsidRPr="00712FE5" w:rsidRDefault="005D67F7" w:rsidP="00F10DF3">
            <w:pPr>
              <w:pStyle w:val="naisf"/>
              <w:spacing w:before="0" w:after="0"/>
              <w:ind w:right="454" w:firstLine="0"/>
            </w:pPr>
            <w:r w:rsidRPr="00712FE5">
              <w:t>D</w:t>
            </w:r>
            <w:r w:rsidR="007B4C0F" w:rsidRPr="00712FE5">
              <w:t>atums</w:t>
            </w:r>
          </w:p>
        </w:tc>
        <w:tc>
          <w:tcPr>
            <w:tcW w:w="7229" w:type="dxa"/>
            <w:tcBorders>
              <w:top w:val="nil"/>
              <w:left w:val="nil"/>
              <w:right w:val="nil"/>
            </w:tcBorders>
          </w:tcPr>
          <w:p w14:paraId="76718652" w14:textId="77777777" w:rsidR="007B4C0F" w:rsidRDefault="00F55FD8" w:rsidP="00865AC2">
            <w:pPr>
              <w:pStyle w:val="NormalWeb"/>
              <w:spacing w:before="0" w:beforeAutospacing="0" w:after="0" w:afterAutospacing="0"/>
              <w:ind w:left="171"/>
            </w:pPr>
            <w:r w:rsidRPr="00712FE5">
              <w:t xml:space="preserve">2020. gada </w:t>
            </w:r>
            <w:r w:rsidR="00865AC2" w:rsidRPr="00712FE5">
              <w:t>22</w:t>
            </w:r>
            <w:r w:rsidRPr="00712FE5">
              <w:t>. </w:t>
            </w:r>
            <w:r w:rsidR="000475E4" w:rsidRPr="00712FE5">
              <w:t>aprīli</w:t>
            </w:r>
            <w:r w:rsidRPr="00712FE5">
              <w:t>s</w:t>
            </w:r>
          </w:p>
          <w:p w14:paraId="7C45AC91" w14:textId="77777777" w:rsidR="00E933A3" w:rsidRDefault="00E933A3" w:rsidP="00865AC2">
            <w:pPr>
              <w:pStyle w:val="NormalWeb"/>
              <w:spacing w:before="0" w:beforeAutospacing="0" w:after="0" w:afterAutospacing="0"/>
              <w:ind w:left="171"/>
            </w:pPr>
            <w:r>
              <w:t>2020. gada 21. maijs</w:t>
            </w:r>
          </w:p>
          <w:p w14:paraId="59B3BFB9" w14:textId="61A7FDEF" w:rsidR="00B770EA" w:rsidRPr="00712FE5" w:rsidRDefault="00B770EA" w:rsidP="00865AC2">
            <w:pPr>
              <w:pStyle w:val="NormalWeb"/>
              <w:spacing w:before="0" w:beforeAutospacing="0" w:after="0" w:afterAutospacing="0"/>
              <w:ind w:left="171"/>
            </w:pPr>
            <w:r>
              <w:t>2020. gada 05. jūnijs līdz 12. jūnijs (elektroniskā saskaņošana)</w:t>
            </w:r>
          </w:p>
        </w:tc>
      </w:tr>
      <w:tr w:rsidR="00712FE5" w:rsidRPr="00712FE5" w14:paraId="28D38FF0" w14:textId="77777777" w:rsidTr="00F10DF3">
        <w:tc>
          <w:tcPr>
            <w:tcW w:w="7196" w:type="dxa"/>
            <w:tcBorders>
              <w:top w:val="nil"/>
              <w:left w:val="nil"/>
              <w:bottom w:val="nil"/>
              <w:right w:val="nil"/>
            </w:tcBorders>
          </w:tcPr>
          <w:p w14:paraId="22FB4DF0" w14:textId="77777777" w:rsidR="003C27A2" w:rsidRPr="00712FE5" w:rsidRDefault="003C27A2" w:rsidP="00F10DF3">
            <w:pPr>
              <w:pStyle w:val="naisf"/>
              <w:spacing w:before="0" w:after="0"/>
              <w:ind w:right="454" w:firstLine="0"/>
            </w:pPr>
          </w:p>
        </w:tc>
        <w:tc>
          <w:tcPr>
            <w:tcW w:w="7229" w:type="dxa"/>
            <w:tcBorders>
              <w:left w:val="nil"/>
              <w:bottom w:val="nil"/>
              <w:right w:val="nil"/>
            </w:tcBorders>
          </w:tcPr>
          <w:p w14:paraId="1DE9AE61" w14:textId="77777777" w:rsidR="003C27A2" w:rsidRPr="00712FE5" w:rsidRDefault="003C27A2" w:rsidP="00F10DF3">
            <w:pPr>
              <w:pStyle w:val="NormalWeb"/>
              <w:spacing w:before="0" w:beforeAutospacing="0" w:after="0" w:afterAutospacing="0"/>
              <w:ind w:left="171"/>
            </w:pPr>
          </w:p>
        </w:tc>
      </w:tr>
      <w:tr w:rsidR="00712FE5" w:rsidRPr="00712FE5" w14:paraId="7B04A040" w14:textId="77777777" w:rsidTr="00F10DF3">
        <w:tc>
          <w:tcPr>
            <w:tcW w:w="7196" w:type="dxa"/>
            <w:tcBorders>
              <w:top w:val="nil"/>
              <w:left w:val="nil"/>
              <w:bottom w:val="nil"/>
              <w:right w:val="nil"/>
            </w:tcBorders>
          </w:tcPr>
          <w:p w14:paraId="5745B5B7" w14:textId="77777777" w:rsidR="007B4C0F" w:rsidRPr="00712FE5" w:rsidRDefault="00365CC0" w:rsidP="00F10DF3">
            <w:pPr>
              <w:pStyle w:val="naiskr"/>
              <w:spacing w:before="0" w:after="0"/>
              <w:ind w:right="454"/>
            </w:pPr>
            <w:r w:rsidRPr="00712FE5">
              <w:t>Saskaņošanas dalībnieki</w:t>
            </w:r>
          </w:p>
        </w:tc>
        <w:tc>
          <w:tcPr>
            <w:tcW w:w="7229" w:type="dxa"/>
            <w:tcBorders>
              <w:top w:val="nil"/>
              <w:left w:val="nil"/>
              <w:right w:val="nil"/>
            </w:tcBorders>
          </w:tcPr>
          <w:p w14:paraId="28590AEB" w14:textId="77777777" w:rsidR="007B4C0F" w:rsidRPr="00712FE5" w:rsidRDefault="00FF5EDF" w:rsidP="000917E6">
            <w:pPr>
              <w:pStyle w:val="NormalWeb"/>
              <w:spacing w:before="0" w:beforeAutospacing="0" w:after="0" w:afterAutospacing="0"/>
              <w:ind w:left="171"/>
            </w:pPr>
            <w:r w:rsidRPr="00712FE5">
              <w:t>Finanšu ministrija,</w:t>
            </w:r>
            <w:r w:rsidR="000917E6" w:rsidRPr="00712FE5">
              <w:t xml:space="preserve"> Satiksmes ministrija,</w:t>
            </w:r>
            <w:r w:rsidRPr="00712FE5">
              <w:t xml:space="preserve"> Tieslietu ministrija, Vides </w:t>
            </w:r>
          </w:p>
        </w:tc>
      </w:tr>
      <w:tr w:rsidR="00712FE5" w:rsidRPr="00712FE5" w14:paraId="6460884C" w14:textId="77777777" w:rsidTr="00F10DF3">
        <w:tc>
          <w:tcPr>
            <w:tcW w:w="7196" w:type="dxa"/>
            <w:tcBorders>
              <w:top w:val="nil"/>
              <w:left w:val="nil"/>
              <w:bottom w:val="nil"/>
              <w:right w:val="nil"/>
            </w:tcBorders>
          </w:tcPr>
          <w:p w14:paraId="7B84B101" w14:textId="77777777" w:rsidR="00F10DF3" w:rsidRPr="00712FE5" w:rsidRDefault="00F10DF3" w:rsidP="00F10DF3">
            <w:pPr>
              <w:pStyle w:val="naiskr"/>
              <w:spacing w:before="0" w:after="0"/>
              <w:ind w:right="454"/>
            </w:pPr>
          </w:p>
        </w:tc>
        <w:tc>
          <w:tcPr>
            <w:tcW w:w="7229" w:type="dxa"/>
            <w:tcBorders>
              <w:top w:val="nil"/>
              <w:left w:val="nil"/>
              <w:right w:val="nil"/>
            </w:tcBorders>
          </w:tcPr>
          <w:p w14:paraId="2C877A03" w14:textId="77777777" w:rsidR="00F10DF3" w:rsidRPr="00712FE5" w:rsidRDefault="000917E6" w:rsidP="000917E6">
            <w:pPr>
              <w:pStyle w:val="NormalWeb"/>
              <w:spacing w:before="0" w:beforeAutospacing="0" w:after="0" w:afterAutospacing="0"/>
              <w:ind w:left="171"/>
            </w:pPr>
            <w:r w:rsidRPr="00712FE5">
              <w:t xml:space="preserve">aizsardzības un </w:t>
            </w:r>
            <w:r w:rsidR="00FF5EDF" w:rsidRPr="00712FE5">
              <w:t xml:space="preserve">reģionālās attīstības ministrija, Zemkopības ministrija, </w:t>
            </w:r>
          </w:p>
        </w:tc>
      </w:tr>
      <w:tr w:rsidR="00712FE5" w:rsidRPr="00712FE5" w14:paraId="0A5DA904" w14:textId="77777777" w:rsidTr="00F10DF3">
        <w:tc>
          <w:tcPr>
            <w:tcW w:w="7196" w:type="dxa"/>
            <w:tcBorders>
              <w:top w:val="nil"/>
              <w:left w:val="nil"/>
              <w:bottom w:val="nil"/>
              <w:right w:val="nil"/>
            </w:tcBorders>
          </w:tcPr>
          <w:p w14:paraId="6659C930" w14:textId="77777777" w:rsidR="00FF5EDF" w:rsidRPr="00712FE5" w:rsidRDefault="00FF5EDF" w:rsidP="00F10DF3">
            <w:pPr>
              <w:pStyle w:val="naiskr"/>
              <w:spacing w:before="0" w:after="0"/>
              <w:ind w:right="454"/>
            </w:pPr>
          </w:p>
        </w:tc>
        <w:tc>
          <w:tcPr>
            <w:tcW w:w="7229" w:type="dxa"/>
            <w:tcBorders>
              <w:top w:val="nil"/>
              <w:left w:val="nil"/>
              <w:right w:val="nil"/>
            </w:tcBorders>
          </w:tcPr>
          <w:p w14:paraId="1D8820C3" w14:textId="77777777" w:rsidR="00FF5EDF" w:rsidRPr="00712FE5" w:rsidRDefault="000917E6" w:rsidP="000917E6">
            <w:pPr>
              <w:pStyle w:val="NormalWeb"/>
              <w:spacing w:before="0" w:beforeAutospacing="0" w:after="0" w:afterAutospacing="0"/>
              <w:ind w:left="171"/>
            </w:pPr>
            <w:r w:rsidRPr="00712FE5">
              <w:t>Latvijas</w:t>
            </w:r>
            <w:r w:rsidRPr="00712FE5">
              <w:rPr>
                <w:bCs/>
              </w:rPr>
              <w:t xml:space="preserve"> </w:t>
            </w:r>
            <w:r w:rsidR="00FF5EDF" w:rsidRPr="00712FE5">
              <w:rPr>
                <w:bCs/>
              </w:rPr>
              <w:t xml:space="preserve">Lielo pilsētu asociācija, Latvijas Pašvaldību savienība, </w:t>
            </w:r>
          </w:p>
        </w:tc>
      </w:tr>
      <w:tr w:rsidR="00712FE5" w:rsidRPr="00712FE5" w14:paraId="018F3ED9" w14:textId="77777777" w:rsidTr="00F10DF3">
        <w:tc>
          <w:tcPr>
            <w:tcW w:w="7196" w:type="dxa"/>
            <w:tcBorders>
              <w:top w:val="nil"/>
              <w:left w:val="nil"/>
              <w:bottom w:val="nil"/>
              <w:right w:val="nil"/>
            </w:tcBorders>
          </w:tcPr>
          <w:p w14:paraId="4629BF91" w14:textId="77777777" w:rsidR="00FF5EDF" w:rsidRPr="00712FE5" w:rsidRDefault="00FF5EDF" w:rsidP="00F10DF3">
            <w:pPr>
              <w:pStyle w:val="naiskr"/>
              <w:spacing w:before="0" w:after="0"/>
              <w:ind w:right="454"/>
            </w:pPr>
          </w:p>
        </w:tc>
        <w:tc>
          <w:tcPr>
            <w:tcW w:w="7229" w:type="dxa"/>
            <w:tcBorders>
              <w:top w:val="nil"/>
              <w:left w:val="nil"/>
              <w:right w:val="nil"/>
            </w:tcBorders>
          </w:tcPr>
          <w:p w14:paraId="4AA6F198" w14:textId="77777777" w:rsidR="00FF5EDF" w:rsidRPr="00712FE5" w:rsidRDefault="000917E6" w:rsidP="00F10DF3">
            <w:pPr>
              <w:pStyle w:val="NormalWeb"/>
              <w:spacing w:before="0" w:beforeAutospacing="0" w:after="0" w:afterAutospacing="0"/>
              <w:ind w:left="171"/>
              <w:rPr>
                <w:bCs/>
              </w:rPr>
            </w:pPr>
            <w:r w:rsidRPr="00712FE5">
              <w:rPr>
                <w:bCs/>
              </w:rPr>
              <w:t xml:space="preserve">biedrība </w:t>
            </w:r>
            <w:r w:rsidR="00FF5EDF" w:rsidRPr="00712FE5">
              <w:rPr>
                <w:bCs/>
              </w:rPr>
              <w:t>“Latvijas Mazo un vidējo uzņēmumu asociācija”</w:t>
            </w:r>
          </w:p>
        </w:tc>
      </w:tr>
      <w:tr w:rsidR="00712FE5" w:rsidRPr="00712FE5" w14:paraId="471812ED" w14:textId="77777777" w:rsidTr="00F10DF3">
        <w:tc>
          <w:tcPr>
            <w:tcW w:w="7196" w:type="dxa"/>
            <w:tcBorders>
              <w:top w:val="nil"/>
              <w:left w:val="nil"/>
              <w:bottom w:val="nil"/>
              <w:right w:val="nil"/>
            </w:tcBorders>
          </w:tcPr>
          <w:p w14:paraId="6F6AAA26" w14:textId="77777777" w:rsidR="007B4C0F" w:rsidRPr="00712FE5" w:rsidRDefault="007B4C0F" w:rsidP="00F10DF3">
            <w:pPr>
              <w:pStyle w:val="naiskr"/>
              <w:spacing w:before="0" w:after="0"/>
              <w:ind w:right="454" w:firstLine="720"/>
            </w:pPr>
            <w:r w:rsidRPr="00712FE5">
              <w:t>  </w:t>
            </w:r>
          </w:p>
        </w:tc>
        <w:tc>
          <w:tcPr>
            <w:tcW w:w="7229" w:type="dxa"/>
            <w:tcBorders>
              <w:left w:val="nil"/>
              <w:bottom w:val="nil"/>
              <w:right w:val="nil"/>
            </w:tcBorders>
          </w:tcPr>
          <w:p w14:paraId="6A0E7129" w14:textId="77777777" w:rsidR="007B4C0F" w:rsidRPr="00712FE5" w:rsidRDefault="007B4C0F" w:rsidP="00F10DF3">
            <w:pPr>
              <w:pStyle w:val="naiskr"/>
              <w:spacing w:before="0" w:after="0"/>
              <w:ind w:left="171"/>
            </w:pPr>
          </w:p>
        </w:tc>
      </w:tr>
      <w:tr w:rsidR="00712FE5" w:rsidRPr="00712FE5" w14:paraId="3B6269BD" w14:textId="77777777" w:rsidTr="00F10DF3">
        <w:trPr>
          <w:trHeight w:val="278"/>
        </w:trPr>
        <w:tc>
          <w:tcPr>
            <w:tcW w:w="7196" w:type="dxa"/>
            <w:vMerge w:val="restart"/>
            <w:tcBorders>
              <w:top w:val="nil"/>
              <w:left w:val="nil"/>
              <w:bottom w:val="nil"/>
              <w:right w:val="nil"/>
            </w:tcBorders>
          </w:tcPr>
          <w:p w14:paraId="019AF08F" w14:textId="77777777" w:rsidR="00F10DF3" w:rsidRPr="00712FE5" w:rsidRDefault="00F10DF3" w:rsidP="00F10DF3">
            <w:pPr>
              <w:pStyle w:val="naiskr"/>
              <w:spacing w:before="0" w:after="0"/>
              <w:ind w:right="454"/>
            </w:pPr>
            <w:r w:rsidRPr="00712FE5">
              <w:t>Saskaņošanas dalībnieki izskatīja šādu ministriju (citu institūciju) iebildumus</w:t>
            </w:r>
          </w:p>
        </w:tc>
        <w:tc>
          <w:tcPr>
            <w:tcW w:w="7229" w:type="dxa"/>
            <w:tcBorders>
              <w:top w:val="nil"/>
              <w:left w:val="nil"/>
              <w:right w:val="nil"/>
            </w:tcBorders>
          </w:tcPr>
          <w:p w14:paraId="300B44FD" w14:textId="0EE50D6A" w:rsidR="00F10DF3" w:rsidRPr="00712FE5" w:rsidRDefault="00F10DF3" w:rsidP="00062E32">
            <w:pPr>
              <w:pStyle w:val="naiskr"/>
              <w:spacing w:before="0" w:after="0"/>
              <w:ind w:left="171"/>
            </w:pPr>
            <w:r w:rsidRPr="00712FE5">
              <w:t xml:space="preserve">Finanšu ministrijas, </w:t>
            </w:r>
            <w:proofErr w:type="spellStart"/>
            <w:r w:rsidR="00C3501B" w:rsidRPr="00712FE5">
              <w:t>Iekšlietu</w:t>
            </w:r>
            <w:proofErr w:type="spellEnd"/>
            <w:r w:rsidR="00C3501B" w:rsidRPr="00712FE5">
              <w:t xml:space="preserve"> ministrijas, </w:t>
            </w:r>
            <w:r w:rsidRPr="00712FE5">
              <w:t xml:space="preserve">Tieslietu ministrijas, </w:t>
            </w:r>
          </w:p>
        </w:tc>
      </w:tr>
      <w:tr w:rsidR="00712FE5" w:rsidRPr="00712FE5" w14:paraId="5662EA95" w14:textId="77777777" w:rsidTr="00F10DF3">
        <w:trPr>
          <w:trHeight w:val="277"/>
        </w:trPr>
        <w:tc>
          <w:tcPr>
            <w:tcW w:w="7196" w:type="dxa"/>
            <w:vMerge/>
            <w:tcBorders>
              <w:top w:val="nil"/>
              <w:left w:val="nil"/>
              <w:bottom w:val="nil"/>
              <w:right w:val="nil"/>
            </w:tcBorders>
          </w:tcPr>
          <w:p w14:paraId="497F561B" w14:textId="77777777" w:rsidR="00F10DF3" w:rsidRPr="00712FE5" w:rsidRDefault="00F10DF3" w:rsidP="00F10DF3">
            <w:pPr>
              <w:pStyle w:val="naiskr"/>
              <w:spacing w:before="0" w:after="0"/>
              <w:ind w:right="454"/>
            </w:pPr>
          </w:p>
        </w:tc>
        <w:tc>
          <w:tcPr>
            <w:tcW w:w="7229" w:type="dxa"/>
            <w:tcBorders>
              <w:left w:val="nil"/>
              <w:right w:val="nil"/>
            </w:tcBorders>
          </w:tcPr>
          <w:p w14:paraId="35173542" w14:textId="77777777" w:rsidR="00F10DF3" w:rsidRPr="00712FE5" w:rsidRDefault="00C3501B" w:rsidP="00F10DF3">
            <w:pPr>
              <w:pStyle w:val="naiskr"/>
              <w:spacing w:before="0" w:after="0"/>
              <w:ind w:left="171"/>
            </w:pPr>
            <w:r w:rsidRPr="00712FE5">
              <w:t>Vides aizsardzības un reģionālās attīstības ministrijas, Zemkopības</w:t>
            </w:r>
            <w:r w:rsidR="00F10DF3" w:rsidRPr="00712FE5">
              <w:t xml:space="preserve"> </w:t>
            </w:r>
          </w:p>
        </w:tc>
      </w:tr>
      <w:tr w:rsidR="00712FE5" w:rsidRPr="00712FE5" w14:paraId="34F5E6F0" w14:textId="77777777" w:rsidTr="00F10DF3">
        <w:trPr>
          <w:trHeight w:val="277"/>
        </w:trPr>
        <w:tc>
          <w:tcPr>
            <w:tcW w:w="7196" w:type="dxa"/>
            <w:tcBorders>
              <w:top w:val="nil"/>
              <w:left w:val="nil"/>
              <w:bottom w:val="nil"/>
              <w:right w:val="nil"/>
            </w:tcBorders>
          </w:tcPr>
          <w:p w14:paraId="2BCE4C84" w14:textId="77777777" w:rsidR="00F10DF3" w:rsidRPr="00712FE5" w:rsidRDefault="00F10DF3" w:rsidP="00F10DF3">
            <w:pPr>
              <w:pStyle w:val="naiskr"/>
              <w:spacing w:before="0" w:after="0"/>
              <w:ind w:right="454"/>
            </w:pPr>
          </w:p>
        </w:tc>
        <w:tc>
          <w:tcPr>
            <w:tcW w:w="7229" w:type="dxa"/>
            <w:tcBorders>
              <w:left w:val="nil"/>
              <w:right w:val="nil"/>
            </w:tcBorders>
          </w:tcPr>
          <w:p w14:paraId="245A3D7F" w14:textId="77777777" w:rsidR="00F10DF3" w:rsidRPr="00712FE5" w:rsidRDefault="00C3501B" w:rsidP="00C3501B">
            <w:pPr>
              <w:pStyle w:val="naisc"/>
              <w:spacing w:before="0" w:after="0"/>
              <w:ind w:left="175"/>
              <w:jc w:val="both"/>
              <w:rPr>
                <w:bCs/>
              </w:rPr>
            </w:pPr>
            <w:r w:rsidRPr="00712FE5">
              <w:t xml:space="preserve">ministrijas, </w:t>
            </w:r>
            <w:r w:rsidRPr="00712FE5">
              <w:rPr>
                <w:bCs/>
              </w:rPr>
              <w:t xml:space="preserve">Latvijas Lielo pilsētu asociācijas, biedrības “Latvijas </w:t>
            </w:r>
          </w:p>
        </w:tc>
      </w:tr>
      <w:tr w:rsidR="00712FE5" w:rsidRPr="00712FE5" w14:paraId="293A10F4" w14:textId="77777777" w:rsidTr="00F10DF3">
        <w:trPr>
          <w:trHeight w:val="277"/>
        </w:trPr>
        <w:tc>
          <w:tcPr>
            <w:tcW w:w="7196" w:type="dxa"/>
            <w:tcBorders>
              <w:top w:val="nil"/>
              <w:left w:val="nil"/>
              <w:bottom w:val="nil"/>
              <w:right w:val="nil"/>
            </w:tcBorders>
          </w:tcPr>
          <w:p w14:paraId="58A948B2" w14:textId="77777777" w:rsidR="00C3501B" w:rsidRPr="00712FE5" w:rsidRDefault="00C3501B" w:rsidP="00F10DF3">
            <w:pPr>
              <w:pStyle w:val="naiskr"/>
              <w:spacing w:before="0" w:after="0"/>
              <w:ind w:right="454"/>
            </w:pPr>
          </w:p>
        </w:tc>
        <w:tc>
          <w:tcPr>
            <w:tcW w:w="7229" w:type="dxa"/>
            <w:tcBorders>
              <w:left w:val="nil"/>
              <w:right w:val="nil"/>
            </w:tcBorders>
          </w:tcPr>
          <w:p w14:paraId="7156C7C0" w14:textId="77777777" w:rsidR="00C3501B" w:rsidRPr="00712FE5" w:rsidRDefault="00C3501B" w:rsidP="00C3501B">
            <w:pPr>
              <w:pStyle w:val="naisc"/>
              <w:spacing w:before="0" w:after="0"/>
              <w:ind w:left="175"/>
              <w:jc w:val="both"/>
              <w:rPr>
                <w:highlight w:val="yellow"/>
              </w:rPr>
            </w:pPr>
            <w:r w:rsidRPr="00712FE5">
              <w:rPr>
                <w:bCs/>
              </w:rPr>
              <w:t>Mazo un vidējo uzņēmumu asociācija”</w:t>
            </w:r>
          </w:p>
        </w:tc>
      </w:tr>
      <w:tr w:rsidR="00712FE5" w:rsidRPr="00712FE5" w14:paraId="58F09A41" w14:textId="77777777" w:rsidTr="00F10DF3">
        <w:tc>
          <w:tcPr>
            <w:tcW w:w="7196" w:type="dxa"/>
            <w:tcBorders>
              <w:top w:val="nil"/>
              <w:left w:val="nil"/>
              <w:bottom w:val="nil"/>
              <w:right w:val="nil"/>
            </w:tcBorders>
          </w:tcPr>
          <w:p w14:paraId="33A93263" w14:textId="77777777" w:rsidR="00F10DF3" w:rsidRPr="00712FE5" w:rsidRDefault="00F10DF3" w:rsidP="00F10DF3">
            <w:pPr>
              <w:pStyle w:val="naiskr"/>
              <w:spacing w:before="0" w:after="0"/>
              <w:ind w:right="454"/>
            </w:pPr>
          </w:p>
        </w:tc>
        <w:tc>
          <w:tcPr>
            <w:tcW w:w="7229" w:type="dxa"/>
            <w:tcBorders>
              <w:left w:val="nil"/>
              <w:bottom w:val="nil"/>
              <w:right w:val="nil"/>
            </w:tcBorders>
          </w:tcPr>
          <w:p w14:paraId="7CFEE052" w14:textId="77777777" w:rsidR="00F10DF3" w:rsidRPr="00712FE5" w:rsidRDefault="00F10DF3" w:rsidP="00F10DF3">
            <w:pPr>
              <w:pStyle w:val="naiskr"/>
              <w:spacing w:before="0" w:after="0"/>
              <w:ind w:left="171"/>
            </w:pPr>
          </w:p>
        </w:tc>
      </w:tr>
      <w:tr w:rsidR="00712FE5" w:rsidRPr="00712FE5" w14:paraId="55B59CDF" w14:textId="77777777" w:rsidTr="00F10DF3">
        <w:trPr>
          <w:trHeight w:val="275"/>
        </w:trPr>
        <w:tc>
          <w:tcPr>
            <w:tcW w:w="7196" w:type="dxa"/>
            <w:vMerge w:val="restart"/>
            <w:tcBorders>
              <w:top w:val="nil"/>
              <w:left w:val="nil"/>
              <w:bottom w:val="nil"/>
              <w:right w:val="nil"/>
            </w:tcBorders>
          </w:tcPr>
          <w:p w14:paraId="215AA22E" w14:textId="77777777" w:rsidR="00F10DF3" w:rsidRPr="00712FE5" w:rsidRDefault="00F10DF3" w:rsidP="00F10DF3">
            <w:pPr>
              <w:pStyle w:val="naiskr"/>
              <w:spacing w:before="0" w:after="0"/>
              <w:ind w:right="454"/>
            </w:pPr>
            <w:r w:rsidRPr="00712FE5">
              <w:lastRenderedPageBreak/>
              <w:t>Ministrijas (citas institūcijas), kuras nav ieradušās uz sanāksmi vai kuras nav atbildējušas uz uzaicinājumu piedalīties elektroniskajā saskaņošanā</w:t>
            </w:r>
          </w:p>
        </w:tc>
        <w:tc>
          <w:tcPr>
            <w:tcW w:w="7229" w:type="dxa"/>
            <w:tcBorders>
              <w:top w:val="nil"/>
              <w:left w:val="nil"/>
              <w:right w:val="nil"/>
            </w:tcBorders>
          </w:tcPr>
          <w:p w14:paraId="2D0C8E23" w14:textId="6F3253A6" w:rsidR="00F10DF3" w:rsidRPr="00712FE5" w:rsidRDefault="00A6704C" w:rsidP="00F10DF3">
            <w:pPr>
              <w:pStyle w:val="naiskr"/>
              <w:spacing w:before="0" w:after="0"/>
              <w:ind w:left="171"/>
            </w:pPr>
            <w:r>
              <w:t xml:space="preserve">2020. gada 22. aprīļa sanāksmē: </w:t>
            </w:r>
            <w:proofErr w:type="spellStart"/>
            <w:r w:rsidR="00FF5EDF" w:rsidRPr="00712FE5">
              <w:t>Iekšlietu</w:t>
            </w:r>
            <w:proofErr w:type="spellEnd"/>
            <w:r w:rsidR="00FF5EDF" w:rsidRPr="00712FE5">
              <w:t xml:space="preserve"> ministrija, Valsts kanceleja</w:t>
            </w:r>
          </w:p>
        </w:tc>
      </w:tr>
      <w:tr w:rsidR="00712FE5" w:rsidRPr="00712FE5" w14:paraId="6FC8A485" w14:textId="77777777" w:rsidTr="00F10DF3">
        <w:trPr>
          <w:trHeight w:val="275"/>
        </w:trPr>
        <w:tc>
          <w:tcPr>
            <w:tcW w:w="7196" w:type="dxa"/>
            <w:vMerge/>
            <w:tcBorders>
              <w:top w:val="nil"/>
              <w:left w:val="nil"/>
              <w:bottom w:val="nil"/>
              <w:right w:val="nil"/>
            </w:tcBorders>
          </w:tcPr>
          <w:p w14:paraId="334FEDC8" w14:textId="77777777" w:rsidR="00F10DF3" w:rsidRPr="00712FE5" w:rsidRDefault="00F10DF3" w:rsidP="00F10DF3">
            <w:pPr>
              <w:pStyle w:val="naiskr"/>
              <w:spacing w:before="0" w:after="0"/>
            </w:pPr>
          </w:p>
        </w:tc>
        <w:tc>
          <w:tcPr>
            <w:tcW w:w="7229" w:type="dxa"/>
            <w:tcBorders>
              <w:left w:val="nil"/>
              <w:bottom w:val="single" w:sz="4" w:space="0" w:color="auto"/>
              <w:right w:val="nil"/>
            </w:tcBorders>
          </w:tcPr>
          <w:p w14:paraId="1C61D22C" w14:textId="06D29940" w:rsidR="00F10DF3" w:rsidRPr="00712FE5" w:rsidRDefault="00A6704C" w:rsidP="00F10DF3">
            <w:pPr>
              <w:pStyle w:val="naiskr"/>
              <w:spacing w:before="0" w:after="0"/>
              <w:ind w:left="171"/>
            </w:pPr>
            <w:r>
              <w:t xml:space="preserve">2020. gada 21. maija sanāksmē: </w:t>
            </w:r>
            <w:proofErr w:type="spellStart"/>
            <w:r>
              <w:t>Iekšlietu</w:t>
            </w:r>
            <w:proofErr w:type="spellEnd"/>
            <w:r>
              <w:t xml:space="preserve"> ministrija</w:t>
            </w:r>
          </w:p>
        </w:tc>
      </w:tr>
      <w:tr w:rsidR="00F10DF3" w:rsidRPr="00712FE5" w14:paraId="090C2F9C" w14:textId="77777777" w:rsidTr="00F10DF3">
        <w:trPr>
          <w:trHeight w:val="275"/>
        </w:trPr>
        <w:tc>
          <w:tcPr>
            <w:tcW w:w="7196" w:type="dxa"/>
            <w:vMerge/>
            <w:tcBorders>
              <w:top w:val="nil"/>
              <w:left w:val="nil"/>
              <w:bottom w:val="nil"/>
              <w:right w:val="nil"/>
            </w:tcBorders>
          </w:tcPr>
          <w:p w14:paraId="7F5C678A" w14:textId="77777777" w:rsidR="00F10DF3" w:rsidRPr="00712FE5" w:rsidRDefault="00F10DF3" w:rsidP="00F10DF3">
            <w:pPr>
              <w:pStyle w:val="naiskr"/>
              <w:spacing w:before="0" w:after="0"/>
            </w:pPr>
          </w:p>
        </w:tc>
        <w:tc>
          <w:tcPr>
            <w:tcW w:w="7229" w:type="dxa"/>
            <w:tcBorders>
              <w:left w:val="nil"/>
              <w:bottom w:val="nil"/>
              <w:right w:val="nil"/>
            </w:tcBorders>
          </w:tcPr>
          <w:p w14:paraId="16FD28A0" w14:textId="77777777" w:rsidR="00F10DF3" w:rsidRPr="00712FE5" w:rsidRDefault="00F10DF3" w:rsidP="00F10DF3">
            <w:pPr>
              <w:pStyle w:val="naiskr"/>
              <w:spacing w:before="0" w:after="0"/>
              <w:ind w:left="609"/>
            </w:pPr>
          </w:p>
        </w:tc>
      </w:tr>
    </w:tbl>
    <w:p w14:paraId="2B59EB73" w14:textId="77777777" w:rsidR="00B770EA" w:rsidRDefault="00B770EA" w:rsidP="00184479">
      <w:pPr>
        <w:pStyle w:val="naisf"/>
        <w:spacing w:before="0" w:after="0"/>
        <w:ind w:firstLine="0"/>
        <w:jc w:val="center"/>
        <w:rPr>
          <w:b/>
        </w:rPr>
      </w:pPr>
    </w:p>
    <w:p w14:paraId="7DE23D88" w14:textId="04C597B7" w:rsidR="007B4C0F" w:rsidRPr="00712FE5" w:rsidRDefault="007B4C0F" w:rsidP="00184479">
      <w:pPr>
        <w:pStyle w:val="naisf"/>
        <w:spacing w:before="0" w:after="0"/>
        <w:ind w:firstLine="0"/>
        <w:jc w:val="center"/>
        <w:rPr>
          <w:b/>
        </w:rPr>
      </w:pPr>
      <w:r w:rsidRPr="00712FE5">
        <w:rPr>
          <w:b/>
        </w:rPr>
        <w:t>II. </w:t>
      </w:r>
      <w:r w:rsidR="00134188" w:rsidRPr="00712FE5">
        <w:rPr>
          <w:b/>
        </w:rPr>
        <w:t>Jautājumi, par kuriem saskaņošanā vienošan</w:t>
      </w:r>
      <w:r w:rsidR="00144622" w:rsidRPr="00712FE5">
        <w:rPr>
          <w:b/>
        </w:rPr>
        <w:t>ā</w:t>
      </w:r>
      <w:r w:rsidR="00134188" w:rsidRPr="00712FE5">
        <w:rPr>
          <w:b/>
        </w:rPr>
        <w:t>s ir panākta</w:t>
      </w:r>
    </w:p>
    <w:p w14:paraId="6B5F8762" w14:textId="77777777" w:rsidR="007B4C0F" w:rsidRPr="00712FE5" w:rsidRDefault="007B4C0F" w:rsidP="00DB7395">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020"/>
        <w:gridCol w:w="3118"/>
      </w:tblGrid>
      <w:tr w:rsidR="00712FE5" w:rsidRPr="00712FE5" w14:paraId="75F6E234" w14:textId="77777777" w:rsidTr="00F10DF3">
        <w:tc>
          <w:tcPr>
            <w:tcW w:w="708" w:type="dxa"/>
            <w:tcBorders>
              <w:top w:val="single" w:sz="6" w:space="0" w:color="000000"/>
              <w:left w:val="single" w:sz="6" w:space="0" w:color="000000"/>
              <w:bottom w:val="single" w:sz="6" w:space="0" w:color="000000"/>
              <w:right w:val="single" w:sz="6" w:space="0" w:color="000000"/>
            </w:tcBorders>
            <w:vAlign w:val="center"/>
          </w:tcPr>
          <w:p w14:paraId="4AD9B9E8" w14:textId="77777777" w:rsidR="00134188" w:rsidRPr="00712FE5" w:rsidRDefault="00134188" w:rsidP="005E31B4">
            <w:pPr>
              <w:pStyle w:val="naisc"/>
              <w:spacing w:before="0" w:after="0"/>
            </w:pPr>
            <w:r w:rsidRPr="00712FE5">
              <w:t>Nr. p.</w:t>
            </w:r>
            <w:r w:rsidR="00D64FB0" w:rsidRPr="00712FE5">
              <w:t> </w:t>
            </w:r>
            <w:r w:rsidRPr="00712FE5">
              <w:t>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1DBDC423" w14:textId="77777777" w:rsidR="00134188" w:rsidRPr="00712FE5" w:rsidRDefault="00134188" w:rsidP="00CB4E1D">
            <w:pPr>
              <w:pStyle w:val="naisc"/>
              <w:spacing w:before="0" w:after="0"/>
            </w:pPr>
            <w:r w:rsidRPr="00712FE5">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141A37CD" w14:textId="77777777" w:rsidR="00134188" w:rsidRPr="00712FE5" w:rsidRDefault="00134188" w:rsidP="00CB4E1D">
            <w:pPr>
              <w:pStyle w:val="naisc"/>
              <w:spacing w:before="0" w:after="0"/>
              <w:ind w:right="3"/>
            </w:pPr>
            <w:r w:rsidRPr="00712FE5">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4CDB7915" w14:textId="77777777" w:rsidR="00134188" w:rsidRPr="00712FE5" w:rsidRDefault="00134188" w:rsidP="005E31B4">
            <w:pPr>
              <w:pStyle w:val="naisc"/>
              <w:spacing w:before="0" w:after="0"/>
            </w:pPr>
            <w:r w:rsidRPr="00712FE5">
              <w:t>Atbildīgās ministrijas norāde</w:t>
            </w:r>
            <w:r w:rsidR="006C1C48" w:rsidRPr="00712FE5">
              <w:t xml:space="preserve"> par to, ka </w:t>
            </w:r>
            <w:r w:rsidRPr="00712FE5">
              <w:t>iebildums ir ņemts vērā</w:t>
            </w:r>
            <w:r w:rsidR="006455E7" w:rsidRPr="00712FE5">
              <w:t>,</w:t>
            </w:r>
            <w:r w:rsidRPr="00712FE5">
              <w:t xml:space="preserve"> vai </w:t>
            </w:r>
            <w:r w:rsidR="006C1C48" w:rsidRPr="00712FE5">
              <w:t xml:space="preserve">informācija par saskaņošanā </w:t>
            </w:r>
            <w:r w:rsidR="00022B0F" w:rsidRPr="00712FE5">
              <w:t>panākto alternatīvo risinājumu</w:t>
            </w:r>
          </w:p>
        </w:tc>
        <w:tc>
          <w:tcPr>
            <w:tcW w:w="3118" w:type="dxa"/>
            <w:tcBorders>
              <w:top w:val="single" w:sz="4" w:space="0" w:color="auto"/>
              <w:left w:val="single" w:sz="4" w:space="0" w:color="auto"/>
              <w:bottom w:val="single" w:sz="4" w:space="0" w:color="auto"/>
            </w:tcBorders>
            <w:vAlign w:val="center"/>
          </w:tcPr>
          <w:p w14:paraId="1AC0EAA8" w14:textId="77777777" w:rsidR="00134188" w:rsidRPr="00712FE5" w:rsidRDefault="00134188" w:rsidP="00CB4E1D">
            <w:pPr>
              <w:jc w:val="center"/>
            </w:pPr>
            <w:r w:rsidRPr="00712FE5">
              <w:t>Projekta attiecīgā punkta (panta) galīgā redakcija</w:t>
            </w:r>
          </w:p>
        </w:tc>
      </w:tr>
      <w:tr w:rsidR="00712FE5" w:rsidRPr="00712FE5" w14:paraId="2F717510" w14:textId="77777777" w:rsidTr="00F10DF3">
        <w:tc>
          <w:tcPr>
            <w:tcW w:w="708" w:type="dxa"/>
            <w:tcBorders>
              <w:top w:val="single" w:sz="6" w:space="0" w:color="000000"/>
              <w:left w:val="single" w:sz="6" w:space="0" w:color="000000"/>
              <w:bottom w:val="single" w:sz="6" w:space="0" w:color="000000"/>
              <w:right w:val="single" w:sz="6" w:space="0" w:color="000000"/>
            </w:tcBorders>
          </w:tcPr>
          <w:p w14:paraId="1B50E76B" w14:textId="77777777" w:rsidR="00134188" w:rsidRPr="00712FE5" w:rsidRDefault="003B71E0" w:rsidP="005E31B4">
            <w:pPr>
              <w:pStyle w:val="naisc"/>
              <w:spacing w:before="0" w:after="0"/>
              <w:rPr>
                <w:sz w:val="20"/>
                <w:szCs w:val="20"/>
              </w:rPr>
            </w:pPr>
            <w:r w:rsidRPr="00712FE5">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09CAB789" w14:textId="77777777" w:rsidR="00134188" w:rsidRPr="00712FE5" w:rsidRDefault="00F34AAB" w:rsidP="00CB4E1D">
            <w:pPr>
              <w:pStyle w:val="naisc"/>
              <w:spacing w:before="0" w:after="0"/>
              <w:rPr>
                <w:sz w:val="20"/>
                <w:szCs w:val="20"/>
              </w:rPr>
            </w:pPr>
            <w:r w:rsidRPr="00712FE5">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40EFB712" w14:textId="77777777" w:rsidR="00134188" w:rsidRPr="00712FE5" w:rsidRDefault="003B71E0" w:rsidP="00CB4E1D">
            <w:pPr>
              <w:pStyle w:val="naisc"/>
              <w:spacing w:before="0" w:after="0"/>
              <w:rPr>
                <w:sz w:val="20"/>
                <w:szCs w:val="20"/>
              </w:rPr>
            </w:pPr>
            <w:r w:rsidRPr="00712FE5">
              <w:rPr>
                <w:sz w:val="20"/>
                <w:szCs w:val="20"/>
              </w:rPr>
              <w:t>3</w:t>
            </w:r>
          </w:p>
        </w:tc>
        <w:tc>
          <w:tcPr>
            <w:tcW w:w="3119" w:type="dxa"/>
            <w:gridSpan w:val="2"/>
            <w:tcBorders>
              <w:top w:val="single" w:sz="6" w:space="0" w:color="000000"/>
              <w:left w:val="single" w:sz="6" w:space="0" w:color="000000"/>
              <w:bottom w:val="single" w:sz="6" w:space="0" w:color="000000"/>
              <w:right w:val="single" w:sz="6" w:space="0" w:color="000000"/>
            </w:tcBorders>
          </w:tcPr>
          <w:p w14:paraId="474EFF23" w14:textId="77777777" w:rsidR="00134188" w:rsidRPr="00712FE5" w:rsidRDefault="003B71E0" w:rsidP="005E31B4">
            <w:pPr>
              <w:pStyle w:val="naisc"/>
              <w:spacing w:before="0" w:after="0"/>
              <w:rPr>
                <w:sz w:val="20"/>
                <w:szCs w:val="20"/>
              </w:rPr>
            </w:pPr>
            <w:r w:rsidRPr="00712FE5">
              <w:rPr>
                <w:sz w:val="20"/>
                <w:szCs w:val="20"/>
              </w:rPr>
              <w:t>4</w:t>
            </w:r>
          </w:p>
        </w:tc>
        <w:tc>
          <w:tcPr>
            <w:tcW w:w="3118" w:type="dxa"/>
            <w:tcBorders>
              <w:top w:val="single" w:sz="4" w:space="0" w:color="auto"/>
              <w:left w:val="single" w:sz="4" w:space="0" w:color="auto"/>
              <w:bottom w:val="single" w:sz="4" w:space="0" w:color="auto"/>
            </w:tcBorders>
          </w:tcPr>
          <w:p w14:paraId="3C9EB423" w14:textId="77777777" w:rsidR="00134188" w:rsidRPr="00712FE5" w:rsidRDefault="003B71E0" w:rsidP="00CB4E1D">
            <w:pPr>
              <w:jc w:val="center"/>
            </w:pPr>
            <w:r w:rsidRPr="00712FE5">
              <w:t>5</w:t>
            </w:r>
          </w:p>
        </w:tc>
      </w:tr>
      <w:tr w:rsidR="00712FE5" w:rsidRPr="00712FE5" w14:paraId="71AFBF40" w14:textId="77777777" w:rsidTr="00F10DF3">
        <w:tc>
          <w:tcPr>
            <w:tcW w:w="708" w:type="dxa"/>
            <w:tcBorders>
              <w:left w:val="single" w:sz="6" w:space="0" w:color="000000"/>
              <w:bottom w:val="single" w:sz="4" w:space="0" w:color="auto"/>
              <w:right w:val="single" w:sz="6" w:space="0" w:color="000000"/>
            </w:tcBorders>
          </w:tcPr>
          <w:p w14:paraId="2EA4B231" w14:textId="7D3DF145" w:rsidR="00B07737" w:rsidRPr="00712FE5" w:rsidRDefault="00B63912" w:rsidP="00B07737">
            <w:pPr>
              <w:pStyle w:val="naisc"/>
              <w:spacing w:before="0" w:after="0"/>
            </w:pPr>
            <w:r w:rsidRPr="00712FE5">
              <w:t>1</w:t>
            </w:r>
            <w:r w:rsidR="00B07737" w:rsidRPr="00712FE5">
              <w:t>.</w:t>
            </w:r>
          </w:p>
        </w:tc>
        <w:tc>
          <w:tcPr>
            <w:tcW w:w="3086" w:type="dxa"/>
            <w:gridSpan w:val="2"/>
            <w:tcBorders>
              <w:left w:val="single" w:sz="6" w:space="0" w:color="000000"/>
              <w:bottom w:val="single" w:sz="4" w:space="0" w:color="auto"/>
              <w:right w:val="single" w:sz="6" w:space="0" w:color="000000"/>
            </w:tcBorders>
          </w:tcPr>
          <w:p w14:paraId="7F54D14C" w14:textId="77777777" w:rsidR="00B07737" w:rsidRPr="00712FE5" w:rsidRDefault="00B07737" w:rsidP="00B07737">
            <w:pPr>
              <w:pStyle w:val="naisc"/>
              <w:spacing w:before="0" w:after="0"/>
              <w:jc w:val="left"/>
            </w:pPr>
            <w:r w:rsidRPr="00712FE5">
              <w:t>Pilnvarojums:</w:t>
            </w:r>
          </w:p>
          <w:p w14:paraId="73EE4618" w14:textId="77777777" w:rsidR="00B07737" w:rsidRPr="00712FE5" w:rsidRDefault="00B07737" w:rsidP="00B07737">
            <w:pPr>
              <w:pStyle w:val="paragraph"/>
              <w:spacing w:before="0" w:beforeAutospacing="0" w:after="0" w:afterAutospacing="0"/>
              <w:textAlignment w:val="baseline"/>
              <w:rPr>
                <w:rStyle w:val="normaltextrun"/>
              </w:rPr>
            </w:pPr>
            <w:r w:rsidRPr="00712FE5">
              <w:t>“</w:t>
            </w:r>
            <w:r w:rsidRPr="00712FE5">
              <w:rPr>
                <w:rStyle w:val="normaltextrun"/>
              </w:rPr>
              <w:t>Izdoti saskaņā ar</w:t>
            </w:r>
          </w:p>
          <w:p w14:paraId="1703FFBB" w14:textId="77777777" w:rsidR="00B07737" w:rsidRPr="00712FE5" w:rsidRDefault="00B07737" w:rsidP="00B07737">
            <w:pPr>
              <w:pStyle w:val="naisc"/>
              <w:spacing w:before="0" w:after="0"/>
              <w:jc w:val="both"/>
            </w:pPr>
            <w:r w:rsidRPr="00712FE5">
              <w:rPr>
                <w:rStyle w:val="normaltextrun"/>
              </w:rPr>
              <w:t>Ēku energoefektivitātes likuma 4. panta otro daļu</w:t>
            </w:r>
            <w:r w:rsidRPr="00712FE5">
              <w:t>”</w:t>
            </w:r>
          </w:p>
        </w:tc>
        <w:tc>
          <w:tcPr>
            <w:tcW w:w="4394" w:type="dxa"/>
            <w:tcBorders>
              <w:left w:val="single" w:sz="6" w:space="0" w:color="000000"/>
              <w:bottom w:val="single" w:sz="4" w:space="0" w:color="auto"/>
              <w:right w:val="single" w:sz="6" w:space="0" w:color="000000"/>
            </w:tcBorders>
          </w:tcPr>
          <w:p w14:paraId="0F7669E6" w14:textId="77777777" w:rsidR="00B07737" w:rsidRPr="00712FE5" w:rsidRDefault="00B07737" w:rsidP="00B07737">
            <w:pPr>
              <w:pStyle w:val="naisc"/>
              <w:spacing w:before="0" w:after="0"/>
              <w:jc w:val="both"/>
              <w:rPr>
                <w:b/>
                <w:bCs/>
              </w:rPr>
            </w:pPr>
            <w:r w:rsidRPr="00712FE5">
              <w:rPr>
                <w:b/>
                <w:bCs/>
              </w:rPr>
              <w:t>Tieslietu ministrija</w:t>
            </w:r>
          </w:p>
          <w:p w14:paraId="4CC9628A" w14:textId="77777777" w:rsidR="00B07737" w:rsidRPr="00712FE5" w:rsidRDefault="00B07737" w:rsidP="00B07737">
            <w:pPr>
              <w:pStyle w:val="naisc"/>
              <w:spacing w:before="0" w:after="0"/>
              <w:jc w:val="both"/>
            </w:pPr>
            <w:r w:rsidRPr="00712FE5">
              <w:t>Vēršam uzmanību, ka cita starpā atbilstoši Ministru kabineta iekārtas likuma 31. panta pirmās daļas 1. punktam Ministru kabinets var izdot noteikumus, tikai pamatojoties uz spēkā stājušos likumdevēja deleģējumu Ministru kabinetam izdot noteikumus. Tādēļ noteikumu projekts Ministru kabinetā ir iesniedzams tikai pēc grozījumu Ēku energoefektivitātes likumā, kurā precizēts pilnvarojums Ministru kabinetam izdot noteikumu projektu, spēkā stāšanās.</w:t>
            </w:r>
          </w:p>
        </w:tc>
        <w:tc>
          <w:tcPr>
            <w:tcW w:w="3119" w:type="dxa"/>
            <w:gridSpan w:val="2"/>
            <w:tcBorders>
              <w:left w:val="single" w:sz="6" w:space="0" w:color="000000"/>
              <w:bottom w:val="single" w:sz="4" w:space="0" w:color="auto"/>
              <w:right w:val="single" w:sz="6" w:space="0" w:color="000000"/>
            </w:tcBorders>
          </w:tcPr>
          <w:p w14:paraId="64D614A2" w14:textId="77777777" w:rsidR="00B07737" w:rsidRPr="00712FE5" w:rsidRDefault="00B07737" w:rsidP="00B07737">
            <w:pPr>
              <w:pStyle w:val="naisc"/>
              <w:spacing w:before="0" w:after="0"/>
              <w:rPr>
                <w:b/>
                <w:bCs/>
              </w:rPr>
            </w:pPr>
            <w:r w:rsidRPr="00712FE5">
              <w:rPr>
                <w:b/>
                <w:bCs/>
              </w:rPr>
              <w:t>Ņemts vērā.</w:t>
            </w:r>
          </w:p>
          <w:p w14:paraId="03E27627" w14:textId="77777777" w:rsidR="00B07737" w:rsidRPr="00712FE5" w:rsidRDefault="00B07737" w:rsidP="00B07737">
            <w:pPr>
              <w:pStyle w:val="naisc"/>
              <w:spacing w:before="0" w:after="0"/>
              <w:jc w:val="both"/>
              <w:rPr>
                <w:b/>
                <w:bCs/>
              </w:rPr>
            </w:pPr>
            <w:r w:rsidRPr="00712FE5">
              <w:t>Pēc Valsts kancelejas sniegtās informācijas Noteikumu projekts var tikt iesniegts Valsts kancelejā pirms nepieciešamo grozījumu Ēku energoefektivitātes likumā izdarīšanas (likumprojekts ”Grozījumi Ēku energoefektivitātes likumā”, VSS-1247), taču līdz tam Noteikumu projekts netiks iekļauts Ministru kabineta sēdes darba kārtībā. Vienlaikus varēsim informēt Eiropas Komisiju par Noteikumu projekta izstrādi.</w:t>
            </w:r>
          </w:p>
        </w:tc>
        <w:tc>
          <w:tcPr>
            <w:tcW w:w="3118" w:type="dxa"/>
            <w:tcBorders>
              <w:top w:val="single" w:sz="4" w:space="0" w:color="auto"/>
              <w:left w:val="single" w:sz="4" w:space="0" w:color="auto"/>
              <w:bottom w:val="single" w:sz="4" w:space="0" w:color="auto"/>
            </w:tcBorders>
          </w:tcPr>
          <w:p w14:paraId="21DB6DD8" w14:textId="77777777" w:rsidR="00B07737" w:rsidRPr="00712FE5" w:rsidRDefault="00B07737" w:rsidP="00B07737">
            <w:pPr>
              <w:pStyle w:val="naisc"/>
              <w:spacing w:before="0" w:after="0"/>
              <w:jc w:val="left"/>
            </w:pPr>
            <w:r w:rsidRPr="00712FE5">
              <w:t>Pilnvarojums:</w:t>
            </w:r>
          </w:p>
          <w:p w14:paraId="7A11A95E" w14:textId="77777777" w:rsidR="00B07737" w:rsidRPr="00712FE5" w:rsidRDefault="00B07737" w:rsidP="00B07737">
            <w:pPr>
              <w:pStyle w:val="paragraph"/>
              <w:spacing w:before="0" w:beforeAutospacing="0" w:after="0" w:afterAutospacing="0"/>
              <w:textAlignment w:val="baseline"/>
              <w:rPr>
                <w:rStyle w:val="normaltextrun"/>
              </w:rPr>
            </w:pPr>
            <w:r w:rsidRPr="00712FE5">
              <w:t>“</w:t>
            </w:r>
            <w:r w:rsidRPr="00712FE5">
              <w:rPr>
                <w:rStyle w:val="normaltextrun"/>
              </w:rPr>
              <w:t>Izdoti saskaņā ar</w:t>
            </w:r>
          </w:p>
          <w:p w14:paraId="129B7A4E" w14:textId="77777777" w:rsidR="00B07737" w:rsidRPr="00712FE5" w:rsidRDefault="00B07737" w:rsidP="00B07737">
            <w:pPr>
              <w:pStyle w:val="naisc"/>
              <w:spacing w:before="0" w:after="0"/>
              <w:jc w:val="both"/>
            </w:pPr>
            <w:r w:rsidRPr="00712FE5">
              <w:rPr>
                <w:rStyle w:val="normaltextrun"/>
              </w:rPr>
              <w:t>Ēku energoefektivitātes likuma 4. panta otro daļu</w:t>
            </w:r>
            <w:r w:rsidRPr="00712FE5">
              <w:t>”</w:t>
            </w:r>
          </w:p>
        </w:tc>
      </w:tr>
      <w:tr w:rsidR="00712FE5" w:rsidRPr="00712FE5" w14:paraId="60880C7F" w14:textId="77777777" w:rsidTr="00F10DF3">
        <w:tc>
          <w:tcPr>
            <w:tcW w:w="708" w:type="dxa"/>
            <w:tcBorders>
              <w:left w:val="single" w:sz="6" w:space="0" w:color="000000"/>
              <w:bottom w:val="single" w:sz="4" w:space="0" w:color="auto"/>
              <w:right w:val="single" w:sz="6" w:space="0" w:color="000000"/>
            </w:tcBorders>
          </w:tcPr>
          <w:p w14:paraId="7E48EDF0" w14:textId="45E06148" w:rsidR="00B07737" w:rsidRPr="00712FE5" w:rsidRDefault="00B63912" w:rsidP="00B07737">
            <w:pPr>
              <w:pStyle w:val="naisc"/>
              <w:spacing w:before="0" w:after="0"/>
            </w:pPr>
            <w:r w:rsidRPr="00712FE5">
              <w:t>2</w:t>
            </w:r>
            <w:r w:rsidR="00B07737" w:rsidRPr="00712FE5">
              <w:t>.</w:t>
            </w:r>
          </w:p>
        </w:tc>
        <w:tc>
          <w:tcPr>
            <w:tcW w:w="3086" w:type="dxa"/>
            <w:gridSpan w:val="2"/>
            <w:tcBorders>
              <w:left w:val="single" w:sz="6" w:space="0" w:color="000000"/>
              <w:bottom w:val="single" w:sz="4" w:space="0" w:color="auto"/>
              <w:right w:val="single" w:sz="6" w:space="0" w:color="000000"/>
            </w:tcBorders>
          </w:tcPr>
          <w:p w14:paraId="4EDCFB69" w14:textId="77777777" w:rsidR="00B07737" w:rsidRPr="00712FE5" w:rsidRDefault="00B07737" w:rsidP="00B07737">
            <w:pPr>
              <w:pStyle w:val="naisc"/>
              <w:spacing w:before="0" w:after="0"/>
              <w:jc w:val="left"/>
            </w:pPr>
            <w:r w:rsidRPr="00712FE5">
              <w:t>Pilnvarojums:</w:t>
            </w:r>
          </w:p>
          <w:p w14:paraId="0EA5C24A" w14:textId="77777777" w:rsidR="00B07737" w:rsidRPr="00712FE5" w:rsidRDefault="00B07737" w:rsidP="00B07737">
            <w:pPr>
              <w:pStyle w:val="paragraph"/>
              <w:spacing w:before="0" w:beforeAutospacing="0" w:after="0" w:afterAutospacing="0"/>
              <w:textAlignment w:val="baseline"/>
              <w:rPr>
                <w:rStyle w:val="normaltextrun"/>
              </w:rPr>
            </w:pPr>
            <w:r w:rsidRPr="00712FE5">
              <w:t>“</w:t>
            </w:r>
            <w:r w:rsidRPr="00712FE5">
              <w:rPr>
                <w:rStyle w:val="normaltextrun"/>
              </w:rPr>
              <w:t>Izdoti saskaņā ar</w:t>
            </w:r>
          </w:p>
          <w:p w14:paraId="081B4DE1" w14:textId="77777777" w:rsidR="00B07737" w:rsidRPr="00712FE5" w:rsidRDefault="00B07737" w:rsidP="00B07737">
            <w:pPr>
              <w:pStyle w:val="naisc"/>
              <w:spacing w:before="0" w:after="0"/>
              <w:jc w:val="both"/>
            </w:pPr>
            <w:r w:rsidRPr="00712FE5">
              <w:rPr>
                <w:rStyle w:val="normaltextrun"/>
              </w:rPr>
              <w:t>Ēku energoefektivitātes likuma 4. panta otro daļu</w:t>
            </w:r>
            <w:r w:rsidRPr="00712FE5">
              <w:t>”</w:t>
            </w:r>
          </w:p>
        </w:tc>
        <w:tc>
          <w:tcPr>
            <w:tcW w:w="4394" w:type="dxa"/>
            <w:tcBorders>
              <w:left w:val="single" w:sz="6" w:space="0" w:color="000000"/>
              <w:bottom w:val="single" w:sz="4" w:space="0" w:color="auto"/>
              <w:right w:val="single" w:sz="6" w:space="0" w:color="000000"/>
            </w:tcBorders>
          </w:tcPr>
          <w:p w14:paraId="1A875EAC" w14:textId="77777777" w:rsidR="00B07737" w:rsidRPr="00712FE5" w:rsidRDefault="00B07737" w:rsidP="00B07737">
            <w:pPr>
              <w:pStyle w:val="naisc"/>
              <w:spacing w:before="0" w:after="0"/>
              <w:jc w:val="both"/>
              <w:rPr>
                <w:b/>
                <w:bCs/>
              </w:rPr>
            </w:pPr>
            <w:r w:rsidRPr="00712FE5">
              <w:rPr>
                <w:b/>
                <w:bCs/>
              </w:rPr>
              <w:t>Tieslietu ministrija</w:t>
            </w:r>
          </w:p>
          <w:p w14:paraId="5647AD39" w14:textId="77777777" w:rsidR="00B07737" w:rsidRPr="00712FE5" w:rsidRDefault="00B07737" w:rsidP="00B07737">
            <w:pPr>
              <w:ind w:right="12"/>
            </w:pPr>
            <w:r w:rsidRPr="00712FE5">
              <w:t xml:space="preserve">Saskaņā ar Ēku energoefektivitātes likuma 3. panta pirmās daļas 1. punktu likums nosaka ekspluatējamu ēku minimālās </w:t>
            </w:r>
            <w:r w:rsidRPr="00712FE5">
              <w:lastRenderedPageBreak/>
              <w:t xml:space="preserve">energoefektivitātes prasības. Kā izriet no noteikumu projekta tiesiskajā pamatā – Ēku energoefektivitātes likuma 4. panta otrajā daļā (no noteikumu projekta anotācijas izriet, ka minēto normu paredzēts izteikt jaunā redakcijā ar likumprojektu "Grozījumi Ēku energoefektivitātes likumā" (VSS-1247) (turpmāk – likumprojekts)) – ietvertā deleģējuma (pilnvarojuma), Ministru kabinetam jāizdod noteikumi cita starpā par šā panta pirmajā daļā minētajām energoefektivitātes minimālajām prasībām (ēku enerģijas patēriņa līmenim un primārās enerģijas patēriņa līmenim; ēkas inženiertehniskajām sistēmām (ēkā patērētās energonesēja vai siltumenerģijas uzskaitei, mikroklimatu </w:t>
            </w:r>
            <w:proofErr w:type="spellStart"/>
            <w:r w:rsidRPr="00712FE5">
              <w:t>pašregulējošu</w:t>
            </w:r>
            <w:proofErr w:type="spellEnd"/>
            <w:r w:rsidRPr="00712FE5">
              <w:t xml:space="preserve"> ierīču uzstādīšanai, inženiertīklu automatizācijas un vadības sistēmu uzstādīšanai); </w:t>
            </w:r>
            <w:proofErr w:type="spellStart"/>
            <w:r w:rsidRPr="00712FE5">
              <w:t>elektrotransportlīdzekļu</w:t>
            </w:r>
            <w:proofErr w:type="spellEnd"/>
            <w:r w:rsidRPr="00712FE5">
              <w:t xml:space="preserve"> uzlādes punktu ierīkošanai).</w:t>
            </w:r>
          </w:p>
          <w:p w14:paraId="16CD3B27" w14:textId="77777777" w:rsidR="00B07737" w:rsidRPr="00712FE5" w:rsidRDefault="00B07737" w:rsidP="00B07737">
            <w:pPr>
              <w:ind w:right="12"/>
            </w:pPr>
            <w:r w:rsidRPr="00712FE5">
              <w:t xml:space="preserve">Saistībā ar minēto, paužam bažas, ka </w:t>
            </w:r>
            <w:proofErr w:type="spellStart"/>
            <w:r w:rsidRPr="00712FE5">
              <w:t>pirmšķietami</w:t>
            </w:r>
            <w:proofErr w:type="spellEnd"/>
            <w:r w:rsidRPr="00712FE5">
              <w:t xml:space="preserve"> noteikumu projekts, ciktāl tas noteic konkrētas minimālās prasības ekspluatējamu ēku energoefektivitātei, varētu neatbilst Ēku energoefektivitātes likumā ietvertajam pilnvarojumam, jo šādām prasībām būtu jābūt noteiktām likumā atbilstoši Ēku energoefektivitātes likuma 3. panta pirmās daļas 1. punktam, bet no likuma 4. panta otrās daļas, kas izteikta likumprojekta redakcijā, izriet </w:t>
            </w:r>
            <w:r w:rsidRPr="00712FE5">
              <w:lastRenderedPageBreak/>
              <w:t>vienīgi Ministru kabineta kompetence izdot noteikumus par cita starpā prasībām ekspluatējamu ēku enerģijas patēriņa līmenim un primārās enerģijas patēriņa līmenim, nevis kompetence noteikt pašas attiecīgās prasības. Uzsveram, ka likumprojektā ietvertais pilnvarojums konkrētajā gadījumā tādējādi varētu būt noteikts par plašu un, iztrūkstot skaidrām un konkrētām norādēm par šī pilnvarojuma galvenajiem satura virzieniem (kas varētu būt pamats apšaubīt konkrētā pilnvarojuma atbilstību Ministru kabineta iekārtas likuma 31. panta pirmās daļas 1. punktam), ir apšaubāms pamats Ministru kabineta kompetencei izdot Ministru kabineta noteikumus, kas tieši skar Ēku energoefektivitātes likuma 3. panta pirmās daļas 1. punkta minēto regulējuma priekšmetu. Norādām, ka šobrīd spēkā esošajā Ēku energoefektivitātes likumā pilnvarojuma problemātikas nepastāv, jo likumdevējs skaidri noteicis, ka energoefektivitātes minimālās prasības ekspluatējamām ēkām, proti, ēkas energoefektivitātes pieļaujamo līmeni, kuru pārsniedzot, ēkas īpašniekam ir pienākums veikt energoefektivitātes uzlabošanas pasākumus, nosaka citi normatīvie akti (4. panta pirmajā daļā).</w:t>
            </w:r>
          </w:p>
          <w:p w14:paraId="5A62F9AB" w14:textId="77777777" w:rsidR="00B07737" w:rsidRPr="00712FE5" w:rsidRDefault="00B07737" w:rsidP="00B07737">
            <w:pPr>
              <w:pStyle w:val="naisc"/>
              <w:spacing w:before="0" w:after="0"/>
              <w:jc w:val="both"/>
              <w:rPr>
                <w:b/>
                <w:bCs/>
              </w:rPr>
            </w:pPr>
            <w:r w:rsidRPr="00712FE5">
              <w:t xml:space="preserve">Ievērojot minēto, lūdzam izvērtēt un sniegt atbilstošu skaidrojumu par minēto, pamatojot noteikumu projekta atbilstību </w:t>
            </w:r>
            <w:r w:rsidRPr="00712FE5">
              <w:lastRenderedPageBreak/>
              <w:t>Ēku energoefektivitātes likumā ietvertajam pilnvarojumam Ministru kabinetam. Nepieciešamības gadījumā lūdzam precizēt noteikumu projektu.</w:t>
            </w:r>
          </w:p>
        </w:tc>
        <w:tc>
          <w:tcPr>
            <w:tcW w:w="3119" w:type="dxa"/>
            <w:gridSpan w:val="2"/>
            <w:tcBorders>
              <w:left w:val="single" w:sz="6" w:space="0" w:color="000000"/>
              <w:bottom w:val="single" w:sz="4" w:space="0" w:color="auto"/>
              <w:right w:val="single" w:sz="6" w:space="0" w:color="000000"/>
            </w:tcBorders>
          </w:tcPr>
          <w:p w14:paraId="2210FF4C" w14:textId="77777777" w:rsidR="00B07737" w:rsidRPr="00712FE5" w:rsidRDefault="00B07737" w:rsidP="00B07737">
            <w:pPr>
              <w:pStyle w:val="naisc"/>
              <w:spacing w:before="0" w:after="0"/>
              <w:rPr>
                <w:b/>
                <w:bCs/>
              </w:rPr>
            </w:pPr>
            <w:r w:rsidRPr="00712FE5">
              <w:rPr>
                <w:b/>
                <w:bCs/>
              </w:rPr>
              <w:lastRenderedPageBreak/>
              <w:t>Panākta vienošanās.</w:t>
            </w:r>
          </w:p>
          <w:p w14:paraId="011EC8DA" w14:textId="77777777" w:rsidR="00B07737" w:rsidRPr="00712FE5" w:rsidRDefault="00B07737" w:rsidP="00B07737">
            <w:pPr>
              <w:pStyle w:val="naisc"/>
              <w:spacing w:before="0" w:after="0"/>
              <w:jc w:val="both"/>
            </w:pPr>
            <w:r w:rsidRPr="00712FE5">
              <w:t xml:space="preserve">Pilnvarojuma došana Ministru kabinetam ir likumdevēja izšķiršanās. Pašreiz </w:t>
            </w:r>
            <w:r w:rsidRPr="00712FE5">
              <w:lastRenderedPageBreak/>
              <w:t>Ekonomikas ministrija ir iesniegusi Valsts kancelejā izskatīšanai Ministru kabineta sēdē saskaņotu (tajā skaitā ar Tieslietu ministriju) likumprojektu ”Grozījumi Ēku energoefektivitātes likumā” (VSS-1247), kas ietver attiecīgu pilnvarojumu Ministru kabinetam.</w:t>
            </w:r>
          </w:p>
        </w:tc>
        <w:tc>
          <w:tcPr>
            <w:tcW w:w="3118" w:type="dxa"/>
            <w:tcBorders>
              <w:top w:val="single" w:sz="4" w:space="0" w:color="auto"/>
              <w:left w:val="single" w:sz="4" w:space="0" w:color="auto"/>
              <w:bottom w:val="single" w:sz="4" w:space="0" w:color="auto"/>
            </w:tcBorders>
          </w:tcPr>
          <w:p w14:paraId="150BF631" w14:textId="77777777" w:rsidR="00B07737" w:rsidRPr="00712FE5" w:rsidRDefault="00B07737" w:rsidP="00B07737">
            <w:pPr>
              <w:pStyle w:val="naisc"/>
              <w:spacing w:before="0" w:after="0"/>
              <w:jc w:val="left"/>
            </w:pPr>
            <w:r w:rsidRPr="00712FE5">
              <w:lastRenderedPageBreak/>
              <w:t>Pilnvarojums:</w:t>
            </w:r>
          </w:p>
          <w:p w14:paraId="06F0629D" w14:textId="77777777" w:rsidR="00B07737" w:rsidRPr="00712FE5" w:rsidRDefault="00B07737" w:rsidP="00B07737">
            <w:pPr>
              <w:pStyle w:val="paragraph"/>
              <w:spacing w:before="0" w:beforeAutospacing="0" w:after="0" w:afterAutospacing="0"/>
              <w:textAlignment w:val="baseline"/>
              <w:rPr>
                <w:rStyle w:val="normaltextrun"/>
              </w:rPr>
            </w:pPr>
            <w:r w:rsidRPr="00712FE5">
              <w:t>“</w:t>
            </w:r>
            <w:r w:rsidRPr="00712FE5">
              <w:rPr>
                <w:rStyle w:val="normaltextrun"/>
              </w:rPr>
              <w:t>Izdoti saskaņā ar</w:t>
            </w:r>
          </w:p>
          <w:p w14:paraId="4F03D17A" w14:textId="77777777" w:rsidR="00B07737" w:rsidRPr="00712FE5" w:rsidRDefault="00B07737" w:rsidP="00B07737">
            <w:pPr>
              <w:pStyle w:val="naisc"/>
              <w:spacing w:before="0" w:after="0"/>
              <w:jc w:val="both"/>
            </w:pPr>
            <w:r w:rsidRPr="00712FE5">
              <w:rPr>
                <w:rStyle w:val="normaltextrun"/>
              </w:rPr>
              <w:t>Ēku energoefektivitātes likuma 4. panta otro daļu</w:t>
            </w:r>
            <w:r w:rsidRPr="00712FE5">
              <w:t>”</w:t>
            </w:r>
          </w:p>
        </w:tc>
      </w:tr>
      <w:tr w:rsidR="00712FE5" w:rsidRPr="00712FE5" w14:paraId="634AC0E9" w14:textId="77777777" w:rsidTr="00F10DF3">
        <w:tc>
          <w:tcPr>
            <w:tcW w:w="708" w:type="dxa"/>
            <w:tcBorders>
              <w:left w:val="single" w:sz="6" w:space="0" w:color="000000"/>
              <w:bottom w:val="single" w:sz="4" w:space="0" w:color="auto"/>
              <w:right w:val="single" w:sz="6" w:space="0" w:color="000000"/>
            </w:tcBorders>
          </w:tcPr>
          <w:p w14:paraId="5E545E1E" w14:textId="5B6DA9A8" w:rsidR="00B07737" w:rsidRPr="00712FE5" w:rsidRDefault="00B63912" w:rsidP="00B07737">
            <w:pPr>
              <w:pStyle w:val="naisc"/>
              <w:spacing w:before="0" w:after="0"/>
            </w:pPr>
            <w:r w:rsidRPr="00712FE5">
              <w:lastRenderedPageBreak/>
              <w:t>3</w:t>
            </w:r>
            <w:r w:rsidR="00B07737" w:rsidRPr="00712FE5">
              <w:t>.</w:t>
            </w:r>
          </w:p>
        </w:tc>
        <w:tc>
          <w:tcPr>
            <w:tcW w:w="3086" w:type="dxa"/>
            <w:gridSpan w:val="2"/>
            <w:tcBorders>
              <w:left w:val="single" w:sz="6" w:space="0" w:color="000000"/>
              <w:bottom w:val="single" w:sz="4" w:space="0" w:color="auto"/>
              <w:right w:val="single" w:sz="6" w:space="0" w:color="000000"/>
            </w:tcBorders>
          </w:tcPr>
          <w:p w14:paraId="65AB9A02" w14:textId="77777777" w:rsidR="00B07737" w:rsidRPr="00712FE5" w:rsidRDefault="00B07737" w:rsidP="00B07737">
            <w:pPr>
              <w:pStyle w:val="naisc"/>
              <w:spacing w:before="0" w:after="0"/>
              <w:jc w:val="both"/>
            </w:pPr>
            <w:r w:rsidRPr="00712FE5">
              <w:t>1. punkts:</w:t>
            </w:r>
          </w:p>
          <w:p w14:paraId="03403B43" w14:textId="77777777" w:rsidR="00B07737" w:rsidRPr="00712FE5" w:rsidRDefault="00B07737" w:rsidP="00B07737">
            <w:pPr>
              <w:pStyle w:val="paragraph"/>
              <w:spacing w:before="0" w:beforeAutospacing="0" w:after="0" w:afterAutospacing="0"/>
              <w:jc w:val="both"/>
              <w:textAlignment w:val="baseline"/>
            </w:pPr>
            <w:r w:rsidRPr="00712FE5">
              <w:t>“</w:t>
            </w:r>
            <w:r w:rsidRPr="00712FE5">
              <w:rPr>
                <w:rStyle w:val="normaltextrun"/>
              </w:rPr>
              <w:t>1. Noteikumi nosaka minimālās prasības:</w:t>
            </w:r>
            <w:r w:rsidRPr="00712FE5">
              <w:rPr>
                <w:rStyle w:val="eop"/>
              </w:rPr>
              <w:t> </w:t>
            </w:r>
          </w:p>
          <w:p w14:paraId="522E2878" w14:textId="77777777" w:rsidR="00B07737" w:rsidRPr="00712FE5" w:rsidRDefault="00B07737" w:rsidP="00B07737">
            <w:pPr>
              <w:pStyle w:val="paragraph"/>
              <w:spacing w:before="0" w:beforeAutospacing="0" w:after="0" w:afterAutospacing="0"/>
              <w:jc w:val="both"/>
              <w:textAlignment w:val="baseline"/>
            </w:pPr>
            <w:r w:rsidRPr="00712FE5">
              <w:rPr>
                <w:rStyle w:val="normaltextrun"/>
              </w:rPr>
              <w:t>1.1. ekspluatējamu ēku enerģijas patēriņa līmenim un primārās enerģijas patēriņa līmenim;</w:t>
            </w:r>
          </w:p>
          <w:p w14:paraId="4FD3671A" w14:textId="77777777" w:rsidR="00B07737" w:rsidRPr="00712FE5" w:rsidRDefault="00B07737" w:rsidP="00B07737">
            <w:pPr>
              <w:pStyle w:val="paragraph"/>
              <w:spacing w:before="0" w:beforeAutospacing="0" w:after="0" w:afterAutospacing="0"/>
              <w:jc w:val="both"/>
              <w:textAlignment w:val="baseline"/>
            </w:pPr>
            <w:r w:rsidRPr="00712FE5">
              <w:rPr>
                <w:rStyle w:val="normaltextrun"/>
              </w:rPr>
              <w:t xml:space="preserve">1.2. ekspluatējamas ēkas inženiertehniskajām sistēmām (ēkā </w:t>
            </w:r>
            <w:r w:rsidRPr="00712FE5">
              <w:t xml:space="preserve">patērētā </w:t>
            </w:r>
            <w:r w:rsidRPr="00712FE5">
              <w:rPr>
                <w:rStyle w:val="normaltextrun"/>
              </w:rPr>
              <w:t xml:space="preserve">energonesēja uzskaitei, mikroklimatu </w:t>
            </w:r>
            <w:proofErr w:type="spellStart"/>
            <w:r w:rsidRPr="00712FE5">
              <w:rPr>
                <w:rStyle w:val="normaltextrun"/>
              </w:rPr>
              <w:t>pašregulējošu</w:t>
            </w:r>
            <w:proofErr w:type="spellEnd"/>
            <w:r w:rsidRPr="00712FE5">
              <w:rPr>
                <w:rStyle w:val="normaltextrun"/>
              </w:rPr>
              <w:t xml:space="preserve"> ierīču uzstādīšanai, </w:t>
            </w:r>
            <w:r w:rsidRPr="00712FE5">
              <w:t xml:space="preserve">inženiertīklu </w:t>
            </w:r>
            <w:r w:rsidRPr="00712FE5">
              <w:rPr>
                <w:rStyle w:val="normaltextrun"/>
              </w:rPr>
              <w:t>automatizācijas un vadības sistēmu</w:t>
            </w:r>
            <w:r w:rsidRPr="00712FE5">
              <w:t xml:space="preserve"> uzstādīšanai)</w:t>
            </w:r>
            <w:r w:rsidRPr="00712FE5">
              <w:rPr>
                <w:rStyle w:val="normaltextrun"/>
              </w:rPr>
              <w:t>;</w:t>
            </w:r>
          </w:p>
          <w:p w14:paraId="7C272350" w14:textId="77777777" w:rsidR="00B07737" w:rsidRPr="00712FE5" w:rsidRDefault="00B07737" w:rsidP="00B07737">
            <w:pPr>
              <w:pStyle w:val="naisc"/>
              <w:spacing w:before="0" w:after="0"/>
              <w:jc w:val="both"/>
            </w:pPr>
            <w:r w:rsidRPr="00712FE5">
              <w:rPr>
                <w:rStyle w:val="normaltextrun"/>
              </w:rPr>
              <w:t>1.3. </w:t>
            </w:r>
            <w:proofErr w:type="spellStart"/>
            <w:r w:rsidRPr="00712FE5">
              <w:rPr>
                <w:rStyle w:val="spellingerror"/>
              </w:rPr>
              <w:t>elektrotransportlīdzekļu</w:t>
            </w:r>
            <w:proofErr w:type="spellEnd"/>
            <w:r w:rsidRPr="00712FE5">
              <w:rPr>
                <w:rStyle w:val="normaltextrun"/>
              </w:rPr>
              <w:t xml:space="preserve"> uzlādes punktu ierīkošanai.</w:t>
            </w:r>
            <w:r w:rsidRPr="00712FE5">
              <w:t>”</w:t>
            </w:r>
          </w:p>
        </w:tc>
        <w:tc>
          <w:tcPr>
            <w:tcW w:w="4394" w:type="dxa"/>
            <w:tcBorders>
              <w:left w:val="single" w:sz="6" w:space="0" w:color="000000"/>
              <w:bottom w:val="single" w:sz="4" w:space="0" w:color="auto"/>
              <w:right w:val="single" w:sz="6" w:space="0" w:color="000000"/>
            </w:tcBorders>
          </w:tcPr>
          <w:p w14:paraId="0482B039" w14:textId="77777777" w:rsidR="00B07737" w:rsidRPr="00712FE5" w:rsidRDefault="00B07737" w:rsidP="00B07737">
            <w:pPr>
              <w:pStyle w:val="naisc"/>
              <w:spacing w:before="0" w:after="0"/>
              <w:jc w:val="both"/>
              <w:rPr>
                <w:b/>
                <w:bCs/>
              </w:rPr>
            </w:pPr>
            <w:r w:rsidRPr="00712FE5">
              <w:rPr>
                <w:b/>
                <w:bCs/>
              </w:rPr>
              <w:t>Finanšu ministrija</w:t>
            </w:r>
          </w:p>
          <w:p w14:paraId="24AF2D6F" w14:textId="77777777" w:rsidR="00B07737" w:rsidRPr="00712FE5" w:rsidRDefault="00B07737" w:rsidP="00B07737">
            <w:pPr>
              <w:pStyle w:val="NoSpacing"/>
              <w:jc w:val="both"/>
              <w:rPr>
                <w:rFonts w:ascii="Times New Roman" w:hAnsi="Times New Roman"/>
                <w:sz w:val="24"/>
                <w:szCs w:val="24"/>
                <w:lang w:eastAsia="lv-LV"/>
              </w:rPr>
            </w:pPr>
            <w:r w:rsidRPr="00712FE5">
              <w:rPr>
                <w:rFonts w:ascii="Times New Roman" w:hAnsi="Times New Roman"/>
                <w:sz w:val="24"/>
                <w:szCs w:val="24"/>
                <w:lang w:eastAsia="lv-LV"/>
              </w:rPr>
              <w:t>Norādām, ka 1.2.apakšpunkta redakcijā iekavās ietvertais neatbilst punktā noteiktajam, tādēļ lūdzu izteikt apakšpunktu šādā redakcijā:</w:t>
            </w:r>
          </w:p>
          <w:p w14:paraId="6F6ED409" w14:textId="77777777" w:rsidR="00B07737" w:rsidRPr="00712FE5" w:rsidRDefault="00B07737" w:rsidP="00B07737">
            <w:pPr>
              <w:pStyle w:val="naisc"/>
              <w:spacing w:before="0" w:after="0"/>
              <w:jc w:val="both"/>
              <w:rPr>
                <w:b/>
                <w:bCs/>
              </w:rPr>
            </w:pPr>
            <w:r w:rsidRPr="00712FE5">
              <w:t xml:space="preserve">“1.2. ēkas inženiertehnisko sistēmu automatizācijas un vadības sistēmu funkcionalitātei, telpu mikroklimatu </w:t>
            </w:r>
            <w:proofErr w:type="spellStart"/>
            <w:r w:rsidRPr="00712FE5">
              <w:t>pašregulējošu</w:t>
            </w:r>
            <w:proofErr w:type="spellEnd"/>
            <w:r w:rsidRPr="00712FE5">
              <w:t xml:space="preserve"> ierīču uzstādīšanai, ēkā patērēto energonesēja vai enerģijas uzskaitei;”.</w:t>
            </w:r>
          </w:p>
        </w:tc>
        <w:tc>
          <w:tcPr>
            <w:tcW w:w="3119" w:type="dxa"/>
            <w:gridSpan w:val="2"/>
            <w:tcBorders>
              <w:left w:val="single" w:sz="6" w:space="0" w:color="000000"/>
              <w:bottom w:val="single" w:sz="4" w:space="0" w:color="auto"/>
              <w:right w:val="single" w:sz="6" w:space="0" w:color="000000"/>
            </w:tcBorders>
          </w:tcPr>
          <w:p w14:paraId="09C95FE0" w14:textId="77777777" w:rsidR="00B07737" w:rsidRPr="00712FE5" w:rsidRDefault="00B07737" w:rsidP="00B07737">
            <w:pPr>
              <w:pStyle w:val="naisc"/>
              <w:spacing w:before="0" w:after="0"/>
              <w:rPr>
                <w:b/>
                <w:bCs/>
              </w:rPr>
            </w:pPr>
            <w:r w:rsidRPr="00712FE5">
              <w:rPr>
                <w:b/>
                <w:bCs/>
              </w:rPr>
              <w:t>Ņemts vērā.</w:t>
            </w:r>
          </w:p>
        </w:tc>
        <w:tc>
          <w:tcPr>
            <w:tcW w:w="3118" w:type="dxa"/>
            <w:tcBorders>
              <w:top w:val="single" w:sz="4" w:space="0" w:color="auto"/>
              <w:left w:val="single" w:sz="4" w:space="0" w:color="auto"/>
              <w:bottom w:val="single" w:sz="4" w:space="0" w:color="auto"/>
            </w:tcBorders>
          </w:tcPr>
          <w:p w14:paraId="0D6FB892" w14:textId="77777777" w:rsidR="00B07737" w:rsidRPr="00712FE5" w:rsidRDefault="00B07737" w:rsidP="00B07737">
            <w:r w:rsidRPr="00712FE5">
              <w:t>1. punkts:</w:t>
            </w:r>
          </w:p>
          <w:p w14:paraId="12086241" w14:textId="77777777" w:rsidR="00B07737" w:rsidRPr="00712FE5" w:rsidRDefault="00B07737" w:rsidP="00B07737">
            <w:pPr>
              <w:pStyle w:val="paragraph"/>
              <w:spacing w:before="0" w:beforeAutospacing="0" w:after="0" w:afterAutospacing="0"/>
              <w:jc w:val="both"/>
              <w:textAlignment w:val="baseline"/>
            </w:pPr>
            <w:r w:rsidRPr="00712FE5">
              <w:t>“</w:t>
            </w:r>
            <w:r w:rsidRPr="00712FE5">
              <w:rPr>
                <w:rStyle w:val="normaltextrun"/>
              </w:rPr>
              <w:t>1. Noteikumi nosaka minimālās prasības:</w:t>
            </w:r>
            <w:r w:rsidRPr="00712FE5">
              <w:rPr>
                <w:rStyle w:val="eop"/>
              </w:rPr>
              <w:t> </w:t>
            </w:r>
          </w:p>
          <w:p w14:paraId="66AE0757" w14:textId="77777777" w:rsidR="00B07737" w:rsidRPr="00712FE5" w:rsidRDefault="00B07737" w:rsidP="00B07737">
            <w:pPr>
              <w:pStyle w:val="paragraph"/>
              <w:spacing w:before="0" w:beforeAutospacing="0" w:after="0" w:afterAutospacing="0"/>
              <w:jc w:val="both"/>
              <w:textAlignment w:val="baseline"/>
            </w:pPr>
            <w:r w:rsidRPr="00712FE5">
              <w:rPr>
                <w:rStyle w:val="normaltextrun"/>
              </w:rPr>
              <w:t>1.1. ekspluatējamas ēkas (turpmāk – ēka) enerģijas patēriņa līmenim un primārās enerģijas patēriņa līmenim;</w:t>
            </w:r>
          </w:p>
          <w:p w14:paraId="3D5C897E" w14:textId="77777777" w:rsidR="00B07737" w:rsidRPr="00712FE5" w:rsidRDefault="00B07737" w:rsidP="00B07737">
            <w:pPr>
              <w:pStyle w:val="paragraph"/>
              <w:spacing w:before="0" w:beforeAutospacing="0" w:after="0" w:afterAutospacing="0"/>
              <w:jc w:val="both"/>
              <w:textAlignment w:val="baseline"/>
            </w:pPr>
            <w:r w:rsidRPr="00712FE5">
              <w:rPr>
                <w:rStyle w:val="normaltextrun"/>
              </w:rPr>
              <w:t>1.2. </w:t>
            </w:r>
            <w:r w:rsidRPr="00712FE5">
              <w:t xml:space="preserve">ēkas inženiertehnisko sistēmu automatizācijas un vadības sistēmu funkcionalitātei, telpu mikroklimatu </w:t>
            </w:r>
            <w:proofErr w:type="spellStart"/>
            <w:r w:rsidRPr="00712FE5">
              <w:t>pašregulējošu</w:t>
            </w:r>
            <w:proofErr w:type="spellEnd"/>
            <w:r w:rsidRPr="00712FE5">
              <w:t xml:space="preserve"> ierīču uzstādīšanai, ēkā patērēto energonesēja vai enerģijas uzskaitei</w:t>
            </w:r>
            <w:r w:rsidRPr="00712FE5">
              <w:rPr>
                <w:rStyle w:val="normaltextrun"/>
              </w:rPr>
              <w:t>;</w:t>
            </w:r>
          </w:p>
          <w:p w14:paraId="22138E67" w14:textId="77777777" w:rsidR="00B07737" w:rsidRPr="00712FE5" w:rsidRDefault="00B07737" w:rsidP="00B07737">
            <w:r w:rsidRPr="00712FE5">
              <w:rPr>
                <w:rStyle w:val="normaltextrun"/>
              </w:rPr>
              <w:t>1.3. </w:t>
            </w:r>
            <w:proofErr w:type="spellStart"/>
            <w:r w:rsidRPr="00712FE5">
              <w:rPr>
                <w:rStyle w:val="spellingerror"/>
              </w:rPr>
              <w:t>elektrotransportlīdzekļu</w:t>
            </w:r>
            <w:proofErr w:type="spellEnd"/>
            <w:r w:rsidRPr="00712FE5">
              <w:rPr>
                <w:rStyle w:val="normaltextrun"/>
              </w:rPr>
              <w:t xml:space="preserve"> uzlādes punktu ierīkošanai ēkā.</w:t>
            </w:r>
            <w:r w:rsidRPr="00712FE5">
              <w:t>”</w:t>
            </w:r>
          </w:p>
        </w:tc>
      </w:tr>
      <w:tr w:rsidR="00712FE5" w:rsidRPr="00712FE5" w14:paraId="1F624F32" w14:textId="77777777" w:rsidTr="00F10DF3">
        <w:tc>
          <w:tcPr>
            <w:tcW w:w="708" w:type="dxa"/>
            <w:tcBorders>
              <w:left w:val="single" w:sz="6" w:space="0" w:color="000000"/>
              <w:bottom w:val="single" w:sz="4" w:space="0" w:color="auto"/>
              <w:right w:val="single" w:sz="6" w:space="0" w:color="000000"/>
            </w:tcBorders>
          </w:tcPr>
          <w:p w14:paraId="45D78D06" w14:textId="75CC18A2" w:rsidR="00B07737" w:rsidRPr="00712FE5" w:rsidRDefault="00B63912" w:rsidP="00B07737">
            <w:pPr>
              <w:pStyle w:val="naisc"/>
              <w:spacing w:before="0" w:after="0"/>
            </w:pPr>
            <w:r w:rsidRPr="00712FE5">
              <w:t>4</w:t>
            </w:r>
            <w:r w:rsidR="00B07737" w:rsidRPr="00712FE5">
              <w:t>.</w:t>
            </w:r>
          </w:p>
        </w:tc>
        <w:tc>
          <w:tcPr>
            <w:tcW w:w="3086" w:type="dxa"/>
            <w:gridSpan w:val="2"/>
            <w:tcBorders>
              <w:left w:val="single" w:sz="6" w:space="0" w:color="000000"/>
              <w:bottom w:val="single" w:sz="4" w:space="0" w:color="auto"/>
              <w:right w:val="single" w:sz="6" w:space="0" w:color="000000"/>
            </w:tcBorders>
          </w:tcPr>
          <w:p w14:paraId="794A0BF9" w14:textId="77777777" w:rsidR="00B07737" w:rsidRPr="00712FE5" w:rsidRDefault="00B07737" w:rsidP="00B07737">
            <w:pPr>
              <w:pStyle w:val="naisc"/>
              <w:spacing w:before="0" w:after="0"/>
              <w:jc w:val="both"/>
            </w:pPr>
            <w:r w:rsidRPr="00712FE5">
              <w:t>1. punkts:</w:t>
            </w:r>
          </w:p>
          <w:p w14:paraId="28BA45C5" w14:textId="77777777" w:rsidR="00B07737" w:rsidRPr="00712FE5" w:rsidRDefault="00B07737" w:rsidP="00B07737">
            <w:pPr>
              <w:pStyle w:val="paragraph"/>
              <w:spacing w:before="0" w:beforeAutospacing="0" w:after="0" w:afterAutospacing="0"/>
              <w:jc w:val="both"/>
              <w:textAlignment w:val="baseline"/>
            </w:pPr>
            <w:r w:rsidRPr="00712FE5">
              <w:t>“</w:t>
            </w:r>
            <w:r w:rsidRPr="00712FE5">
              <w:rPr>
                <w:rStyle w:val="normaltextrun"/>
              </w:rPr>
              <w:t>1. Noteikumi nosaka minimālās prasības:</w:t>
            </w:r>
            <w:r w:rsidRPr="00712FE5">
              <w:rPr>
                <w:rStyle w:val="eop"/>
              </w:rPr>
              <w:t> </w:t>
            </w:r>
          </w:p>
          <w:p w14:paraId="0D136937" w14:textId="77777777" w:rsidR="00B07737" w:rsidRPr="00712FE5" w:rsidRDefault="00B07737" w:rsidP="00B07737">
            <w:pPr>
              <w:pStyle w:val="paragraph"/>
              <w:spacing w:before="0" w:beforeAutospacing="0" w:after="0" w:afterAutospacing="0"/>
              <w:jc w:val="both"/>
              <w:textAlignment w:val="baseline"/>
            </w:pPr>
            <w:r w:rsidRPr="00712FE5">
              <w:rPr>
                <w:rStyle w:val="normaltextrun"/>
              </w:rPr>
              <w:t>1.1. ekspluatējamu ēku enerģijas patēriņa līmenim un primārās enerģijas patēriņa līmenim;</w:t>
            </w:r>
          </w:p>
          <w:p w14:paraId="3CB823DE" w14:textId="77777777" w:rsidR="00B07737" w:rsidRPr="00712FE5" w:rsidRDefault="00B07737" w:rsidP="00B07737">
            <w:pPr>
              <w:pStyle w:val="paragraph"/>
              <w:spacing w:before="0" w:beforeAutospacing="0" w:after="0" w:afterAutospacing="0"/>
              <w:jc w:val="both"/>
              <w:textAlignment w:val="baseline"/>
            </w:pPr>
            <w:r w:rsidRPr="00712FE5">
              <w:rPr>
                <w:rStyle w:val="normaltextrun"/>
              </w:rPr>
              <w:t xml:space="preserve">1.2. ekspluatējamas ēkas inženiertehniskajām sistēmām (ēkā </w:t>
            </w:r>
            <w:r w:rsidRPr="00712FE5">
              <w:t xml:space="preserve">patērētā </w:t>
            </w:r>
            <w:r w:rsidRPr="00712FE5">
              <w:rPr>
                <w:rStyle w:val="normaltextrun"/>
              </w:rPr>
              <w:t xml:space="preserve">energonesēja uzskaitei, </w:t>
            </w:r>
            <w:r w:rsidRPr="00712FE5">
              <w:rPr>
                <w:rStyle w:val="normaltextrun"/>
              </w:rPr>
              <w:lastRenderedPageBreak/>
              <w:t xml:space="preserve">mikroklimatu </w:t>
            </w:r>
            <w:proofErr w:type="spellStart"/>
            <w:r w:rsidRPr="00712FE5">
              <w:rPr>
                <w:rStyle w:val="normaltextrun"/>
              </w:rPr>
              <w:t>pašregulējošu</w:t>
            </w:r>
            <w:proofErr w:type="spellEnd"/>
            <w:r w:rsidRPr="00712FE5">
              <w:rPr>
                <w:rStyle w:val="normaltextrun"/>
              </w:rPr>
              <w:t xml:space="preserve"> ierīču uzstādīšanai, </w:t>
            </w:r>
            <w:r w:rsidRPr="00712FE5">
              <w:t xml:space="preserve">inženiertīklu </w:t>
            </w:r>
            <w:r w:rsidRPr="00712FE5">
              <w:rPr>
                <w:rStyle w:val="normaltextrun"/>
              </w:rPr>
              <w:t>automatizācijas un vadības sistēmu</w:t>
            </w:r>
            <w:r w:rsidRPr="00712FE5">
              <w:t xml:space="preserve"> uzstādīšanai)</w:t>
            </w:r>
            <w:r w:rsidRPr="00712FE5">
              <w:rPr>
                <w:rStyle w:val="normaltextrun"/>
              </w:rPr>
              <w:t>;</w:t>
            </w:r>
          </w:p>
          <w:p w14:paraId="7F44E106" w14:textId="77777777" w:rsidR="00B07737" w:rsidRPr="00712FE5" w:rsidRDefault="00B07737" w:rsidP="00B07737">
            <w:pPr>
              <w:pStyle w:val="naisc"/>
              <w:spacing w:before="0" w:after="0"/>
              <w:jc w:val="both"/>
            </w:pPr>
            <w:r w:rsidRPr="00712FE5">
              <w:rPr>
                <w:rStyle w:val="normaltextrun"/>
              </w:rPr>
              <w:t>1.3. </w:t>
            </w:r>
            <w:proofErr w:type="spellStart"/>
            <w:r w:rsidRPr="00712FE5">
              <w:rPr>
                <w:rStyle w:val="spellingerror"/>
              </w:rPr>
              <w:t>elektrotransportlīdzekļu</w:t>
            </w:r>
            <w:proofErr w:type="spellEnd"/>
            <w:r w:rsidRPr="00712FE5">
              <w:rPr>
                <w:rStyle w:val="normaltextrun"/>
              </w:rPr>
              <w:t xml:space="preserve"> uzlādes punktu ierīkošanai.</w:t>
            </w:r>
            <w:r w:rsidRPr="00712FE5">
              <w:t>”</w:t>
            </w:r>
          </w:p>
        </w:tc>
        <w:tc>
          <w:tcPr>
            <w:tcW w:w="4394" w:type="dxa"/>
            <w:tcBorders>
              <w:left w:val="single" w:sz="6" w:space="0" w:color="000000"/>
              <w:bottom w:val="single" w:sz="4" w:space="0" w:color="auto"/>
              <w:right w:val="single" w:sz="6" w:space="0" w:color="000000"/>
            </w:tcBorders>
          </w:tcPr>
          <w:p w14:paraId="10799A2B" w14:textId="77777777" w:rsidR="00B07737" w:rsidRPr="00712FE5" w:rsidRDefault="00B07737" w:rsidP="00B07737">
            <w:pPr>
              <w:pStyle w:val="naisc"/>
              <w:spacing w:before="0" w:after="0"/>
              <w:jc w:val="left"/>
              <w:rPr>
                <w:b/>
                <w:bCs/>
              </w:rPr>
            </w:pPr>
            <w:r w:rsidRPr="00712FE5">
              <w:rPr>
                <w:b/>
                <w:bCs/>
              </w:rPr>
              <w:lastRenderedPageBreak/>
              <w:t>Vides aizsardzības un reģionālās attīstības ministrija</w:t>
            </w:r>
          </w:p>
          <w:p w14:paraId="241C282F" w14:textId="77777777" w:rsidR="00B07737" w:rsidRPr="00712FE5" w:rsidRDefault="00B07737" w:rsidP="00B07737">
            <w:pPr>
              <w:pStyle w:val="naisc"/>
              <w:spacing w:before="0" w:after="0"/>
              <w:jc w:val="both"/>
            </w:pPr>
            <w:r w:rsidRPr="00712FE5">
              <w:t xml:space="preserve">Svītrot 1.2. apakšpunkta iekavās iekļauto skaidrojumu </w:t>
            </w:r>
            <w:r w:rsidRPr="00712FE5">
              <w:rPr>
                <w:i/>
              </w:rPr>
              <w:t xml:space="preserve">“(ēkā patērētā energonesēja uzskaitei, mikroklimatu </w:t>
            </w:r>
            <w:proofErr w:type="spellStart"/>
            <w:r w:rsidRPr="00712FE5">
              <w:rPr>
                <w:i/>
              </w:rPr>
              <w:t>pašregulējošu</w:t>
            </w:r>
            <w:proofErr w:type="spellEnd"/>
            <w:r w:rsidRPr="00712FE5">
              <w:rPr>
                <w:i/>
              </w:rPr>
              <w:t xml:space="preserve"> ierīču uzstādīšanai, inženiertīklu automatizācijas un vadības sistēmu uzstādīšanai)”</w:t>
            </w:r>
            <w:r w:rsidRPr="00712FE5">
              <w:t>, jo termins ir skaidrots Ēku energoefektivitātes likuma 1. panta 3. punktā.</w:t>
            </w:r>
          </w:p>
          <w:p w14:paraId="673E4E44" w14:textId="77777777" w:rsidR="00B07737" w:rsidRPr="00712FE5" w:rsidRDefault="00B07737" w:rsidP="00B07737">
            <w:pPr>
              <w:pStyle w:val="naisc"/>
              <w:spacing w:before="0" w:after="0"/>
              <w:jc w:val="both"/>
              <w:rPr>
                <w:b/>
                <w:bCs/>
              </w:rPr>
            </w:pPr>
            <w:r w:rsidRPr="00712FE5">
              <w:rPr>
                <w:b/>
                <w:bCs/>
              </w:rPr>
              <w:t>Tieslietu ministrija (papildus)</w:t>
            </w:r>
          </w:p>
          <w:p w14:paraId="5C4D7393" w14:textId="77777777" w:rsidR="00B07737" w:rsidRPr="00712FE5" w:rsidRDefault="00B07737" w:rsidP="00B07737">
            <w:pPr>
              <w:pStyle w:val="NormalWeb"/>
              <w:shd w:val="clear" w:color="auto" w:fill="FFFFFF"/>
              <w:spacing w:before="0" w:beforeAutospacing="0" w:after="0" w:afterAutospacing="0"/>
              <w:rPr>
                <w:bdr w:val="none" w:sz="0" w:space="0" w:color="auto" w:frame="1"/>
              </w:rPr>
            </w:pPr>
            <w:r w:rsidRPr="00712FE5">
              <w:rPr>
                <w:bdr w:val="none" w:sz="0" w:space="0" w:color="auto" w:frame="1"/>
              </w:rPr>
              <w:lastRenderedPageBreak/>
              <w:t>Noteikumu projekta 1. punkts nosaka minimālās prasības:</w:t>
            </w:r>
            <w:r w:rsidRPr="00712FE5">
              <w:rPr>
                <w:rStyle w:val="apple-converted-space"/>
                <w:bdr w:val="none" w:sz="0" w:space="0" w:color="auto" w:frame="1"/>
              </w:rPr>
              <w:t> </w:t>
            </w:r>
            <w:r w:rsidRPr="00712FE5">
              <w:rPr>
                <w:bdr w:val="none" w:sz="0" w:space="0" w:color="auto" w:frame="1"/>
              </w:rPr>
              <w:t xml:space="preserve">ekspluatējamu ēku enerģijas patēriņa līmenim un primārās enerģijas patēriņa līmenim (1.1. apakšpunkts); ēkas inženiertehnisko sistēmu automatizācijas un vadības sistēmu funkcionalitātei, telpu mikroklimatu </w:t>
            </w:r>
            <w:proofErr w:type="spellStart"/>
            <w:r w:rsidRPr="00712FE5">
              <w:rPr>
                <w:bdr w:val="none" w:sz="0" w:space="0" w:color="auto" w:frame="1"/>
              </w:rPr>
              <w:t>pašregulējošu</w:t>
            </w:r>
            <w:proofErr w:type="spellEnd"/>
            <w:r w:rsidRPr="00712FE5">
              <w:rPr>
                <w:bdr w:val="none" w:sz="0" w:space="0" w:color="auto" w:frame="1"/>
              </w:rPr>
              <w:t xml:space="preserve"> ierīču uzstādīšanai, ēkā patērēto energonesēja vai enerģijas uzskaitei (1.2. apakšpunkts), kā </w:t>
            </w:r>
            <w:proofErr w:type="spellStart"/>
            <w:r w:rsidRPr="00712FE5">
              <w:rPr>
                <w:bdr w:val="none" w:sz="0" w:space="0" w:color="auto" w:frame="1"/>
              </w:rPr>
              <w:t>arīelektrotransportlīdzekļu</w:t>
            </w:r>
            <w:proofErr w:type="spellEnd"/>
            <w:r w:rsidRPr="00712FE5">
              <w:rPr>
                <w:rStyle w:val="apple-converted-space"/>
                <w:bdr w:val="none" w:sz="0" w:space="0" w:color="auto" w:frame="1"/>
              </w:rPr>
              <w:t> </w:t>
            </w:r>
            <w:r w:rsidRPr="00712FE5">
              <w:rPr>
                <w:bdr w:val="none" w:sz="0" w:space="0" w:color="auto" w:frame="1"/>
              </w:rPr>
              <w:t>uzlādes punktu ierīkošanai (1.3. apakšpunkts).</w:t>
            </w:r>
            <w:r w:rsidRPr="00712FE5">
              <w:rPr>
                <w:rStyle w:val="apple-converted-space"/>
                <w:bdr w:val="none" w:sz="0" w:space="0" w:color="auto" w:frame="1"/>
              </w:rPr>
              <w:t> </w:t>
            </w:r>
            <w:r w:rsidRPr="00712FE5">
              <w:rPr>
                <w:bdr w:val="none" w:sz="0" w:space="0" w:color="auto" w:frame="1"/>
              </w:rPr>
              <w:t>Par cik šis pilnvarojums tieši nesakrīt ar norādē uz noteikumu projekta izdošanas tiesisko pamatu minēto Ēku energoefektivitātes likuma (turpmāk - likums) 4. panta otro daļu</w:t>
            </w:r>
            <w:r w:rsidRPr="00712FE5">
              <w:rPr>
                <w:rStyle w:val="apple-converted-space"/>
                <w:bdr w:val="none" w:sz="0" w:space="0" w:color="auto" w:frame="1"/>
              </w:rPr>
              <w:t> </w:t>
            </w:r>
            <w:r w:rsidRPr="00712FE5">
              <w:rPr>
                <w:bdr w:val="none" w:sz="0" w:space="0" w:color="auto" w:frame="1"/>
              </w:rPr>
              <w:t xml:space="preserve">(Ministru kabinets izdod noteikumus par </w:t>
            </w:r>
            <w:r w:rsidRPr="00712FE5">
              <w:rPr>
                <w:u w:val="single"/>
                <w:bdr w:val="none" w:sz="0" w:space="0" w:color="auto" w:frame="1"/>
              </w:rPr>
              <w:t>energoefektivitātes</w:t>
            </w:r>
            <w:r w:rsidRPr="00712FE5">
              <w:rPr>
                <w:rStyle w:val="apple-converted-space"/>
                <w:bdr w:val="none" w:sz="0" w:space="0" w:color="auto" w:frame="1"/>
              </w:rPr>
              <w:t> </w:t>
            </w:r>
            <w:r w:rsidRPr="00712FE5">
              <w:rPr>
                <w:bdr w:val="none" w:sz="0" w:space="0" w:color="auto" w:frame="1"/>
              </w:rPr>
              <w:t>minimālajām prasībām</w:t>
            </w:r>
            <w:r w:rsidRPr="00712FE5">
              <w:rPr>
                <w:rStyle w:val="apple-converted-space"/>
                <w:bdr w:val="none" w:sz="0" w:space="0" w:color="auto" w:frame="1"/>
              </w:rPr>
              <w:t> </w:t>
            </w:r>
            <w:r w:rsidRPr="00712FE5">
              <w:rPr>
                <w:u w:val="single"/>
                <w:bdr w:val="none" w:sz="0" w:space="0" w:color="auto" w:frame="1"/>
              </w:rPr>
              <w:t>ēku</w:t>
            </w:r>
            <w:r w:rsidRPr="00712FE5">
              <w:rPr>
                <w:rStyle w:val="apple-converted-space"/>
                <w:bdr w:val="none" w:sz="0" w:space="0" w:color="auto" w:frame="1"/>
              </w:rPr>
              <w:t> </w:t>
            </w:r>
            <w:r w:rsidRPr="00712FE5">
              <w:rPr>
                <w:bdr w:val="none" w:sz="0" w:space="0" w:color="auto" w:frame="1"/>
              </w:rPr>
              <w:t>enerģijas patēriņa līmenim un primārās enerģijas patēriņa līmenim;</w:t>
            </w:r>
            <w:r w:rsidRPr="00712FE5">
              <w:rPr>
                <w:rStyle w:val="apple-converted-space"/>
                <w:bdr w:val="none" w:sz="0" w:space="0" w:color="auto" w:frame="1"/>
              </w:rPr>
              <w:t> </w:t>
            </w:r>
            <w:r w:rsidRPr="00712FE5">
              <w:rPr>
                <w:bdr w:val="none" w:sz="0" w:space="0" w:color="auto" w:frame="1"/>
              </w:rPr>
              <w:t>ēkas inženiertehniskajām sistēmām (ēkā patērētās energonesēja vai</w:t>
            </w:r>
            <w:r w:rsidRPr="00712FE5">
              <w:rPr>
                <w:rStyle w:val="apple-converted-space"/>
                <w:bdr w:val="none" w:sz="0" w:space="0" w:color="auto" w:frame="1"/>
              </w:rPr>
              <w:t> </w:t>
            </w:r>
            <w:r w:rsidRPr="00712FE5">
              <w:rPr>
                <w:u w:val="single"/>
                <w:bdr w:val="none" w:sz="0" w:space="0" w:color="auto" w:frame="1"/>
              </w:rPr>
              <w:t>siltumenerģijas</w:t>
            </w:r>
            <w:r w:rsidRPr="00712FE5">
              <w:rPr>
                <w:bdr w:val="none" w:sz="0" w:space="0" w:color="auto" w:frame="1"/>
              </w:rPr>
              <w:t xml:space="preserve"> uzskaitei, mikroklimatu </w:t>
            </w:r>
            <w:proofErr w:type="spellStart"/>
            <w:r w:rsidRPr="00712FE5">
              <w:rPr>
                <w:bdr w:val="none" w:sz="0" w:space="0" w:color="auto" w:frame="1"/>
              </w:rPr>
              <w:t>pašregulējošu</w:t>
            </w:r>
            <w:proofErr w:type="spellEnd"/>
            <w:r w:rsidRPr="00712FE5">
              <w:rPr>
                <w:bdr w:val="none" w:sz="0" w:space="0" w:color="auto" w:frame="1"/>
              </w:rPr>
              <w:t xml:space="preserve"> ierīču uzstādīšanai, inženiertīklu automatizācijas un vadības sistēmu</w:t>
            </w:r>
            <w:r w:rsidRPr="00712FE5">
              <w:rPr>
                <w:rStyle w:val="apple-converted-space"/>
                <w:bdr w:val="none" w:sz="0" w:space="0" w:color="auto" w:frame="1"/>
              </w:rPr>
              <w:t> </w:t>
            </w:r>
            <w:r w:rsidRPr="00712FE5">
              <w:rPr>
                <w:u w:val="single"/>
                <w:bdr w:val="none" w:sz="0" w:space="0" w:color="auto" w:frame="1"/>
              </w:rPr>
              <w:t>uzstādīšanai</w:t>
            </w:r>
            <w:r w:rsidRPr="00712FE5">
              <w:rPr>
                <w:bdr w:val="none" w:sz="0" w:space="0" w:color="auto" w:frame="1"/>
              </w:rPr>
              <w:t>)</w:t>
            </w:r>
            <w:r w:rsidRPr="00712FE5">
              <w:rPr>
                <w:rStyle w:val="apple-converted-space"/>
                <w:bdr w:val="none" w:sz="0" w:space="0" w:color="auto" w:frame="1"/>
              </w:rPr>
              <w:t> </w:t>
            </w:r>
            <w:proofErr w:type="spellStart"/>
            <w:r w:rsidRPr="00712FE5">
              <w:rPr>
                <w:bdr w:val="none" w:sz="0" w:space="0" w:color="auto" w:frame="1"/>
              </w:rPr>
              <w:t>elektrotransportlīdzekļu</w:t>
            </w:r>
            <w:proofErr w:type="spellEnd"/>
            <w:r w:rsidRPr="00712FE5">
              <w:rPr>
                <w:bdr w:val="none" w:sz="0" w:space="0" w:color="auto" w:frame="1"/>
              </w:rPr>
              <w:t xml:space="preserve"> uzlādes punktu ierīkošanai) -, proti,</w:t>
            </w:r>
          </w:p>
          <w:p w14:paraId="2257A552" w14:textId="77777777" w:rsidR="00B07737" w:rsidRPr="00712FE5" w:rsidRDefault="00B07737" w:rsidP="00B07737">
            <w:pPr>
              <w:pStyle w:val="NormalWeb"/>
              <w:shd w:val="clear" w:color="auto" w:fill="FFFFFF"/>
              <w:spacing w:before="0" w:beforeAutospacing="0" w:after="0" w:afterAutospacing="0"/>
            </w:pPr>
            <w:r w:rsidRPr="00712FE5">
              <w:rPr>
                <w:bdr w:val="none" w:sz="0" w:space="0" w:color="auto" w:frame="1"/>
              </w:rPr>
              <w:t>pirmkārt,</w:t>
            </w:r>
            <w:r w:rsidRPr="00712FE5">
              <w:rPr>
                <w:rStyle w:val="apple-converted-space"/>
                <w:bdr w:val="none" w:sz="0" w:space="0" w:color="auto" w:frame="1"/>
              </w:rPr>
              <w:t> </w:t>
            </w:r>
            <w:r w:rsidRPr="00712FE5">
              <w:rPr>
                <w:bdr w:val="none" w:sz="0" w:space="0" w:color="auto" w:frame="1"/>
              </w:rPr>
              <w:t>Ēku energoefektivitātes likums</w:t>
            </w:r>
            <w:r w:rsidRPr="00712FE5">
              <w:rPr>
                <w:rStyle w:val="apple-converted-space"/>
                <w:bdr w:val="none" w:sz="0" w:space="0" w:color="auto" w:frame="1"/>
              </w:rPr>
              <w:t> </w:t>
            </w:r>
            <w:r w:rsidRPr="00712FE5">
              <w:rPr>
                <w:bdr w:val="none" w:sz="0" w:space="0" w:color="auto" w:frame="1"/>
              </w:rPr>
              <w:t>paredz</w:t>
            </w:r>
            <w:r w:rsidRPr="00712FE5">
              <w:rPr>
                <w:rStyle w:val="apple-converted-space"/>
                <w:bdr w:val="none" w:sz="0" w:space="0" w:color="auto" w:frame="1"/>
              </w:rPr>
              <w:t> </w:t>
            </w:r>
            <w:r w:rsidRPr="00712FE5">
              <w:rPr>
                <w:bdr w:val="none" w:sz="0" w:space="0" w:color="auto" w:frame="1"/>
              </w:rPr>
              <w:t xml:space="preserve">Ministru kabineta deleģējumu (pilnvarojumu) inženiertīklu automatizācijas un vadības sistēmu uzstādīšanai, nevis funkcionalitātei, kā izriet no noteikumu projekta 1.2. </w:t>
            </w:r>
            <w:r w:rsidRPr="00712FE5">
              <w:rPr>
                <w:bdr w:val="none" w:sz="0" w:space="0" w:color="auto" w:frame="1"/>
              </w:rPr>
              <w:lastRenderedPageBreak/>
              <w:t xml:space="preserve">apakšpunkta, kā arī likums paredz Ministru kabineta pilnvarojumu ēkā patērētās energonesēja vai </w:t>
            </w:r>
            <w:proofErr w:type="spellStart"/>
            <w:r w:rsidRPr="00712FE5">
              <w:rPr>
                <w:bdr w:val="none" w:sz="0" w:space="0" w:color="auto" w:frame="1"/>
              </w:rPr>
              <w:t>siltumenergijas</w:t>
            </w:r>
            <w:proofErr w:type="spellEnd"/>
            <w:r w:rsidRPr="00712FE5">
              <w:rPr>
                <w:bdr w:val="none" w:sz="0" w:space="0" w:color="auto" w:frame="1"/>
              </w:rPr>
              <w:t>, nevis enerģijas uzskaitei, kā izriet no noteikumu projekta 1.2. apakšpunkta;</w:t>
            </w:r>
          </w:p>
          <w:p w14:paraId="176E093E" w14:textId="77777777" w:rsidR="00B07737" w:rsidRPr="00712FE5" w:rsidRDefault="00B07737" w:rsidP="00B07737">
            <w:pPr>
              <w:pStyle w:val="NormalWeb"/>
              <w:shd w:val="clear" w:color="auto" w:fill="FFFFFF"/>
              <w:spacing w:before="0" w:beforeAutospacing="0" w:after="0" w:afterAutospacing="0"/>
              <w:rPr>
                <w:bdr w:val="none" w:sz="0" w:space="0" w:color="auto" w:frame="1"/>
              </w:rPr>
            </w:pPr>
            <w:r w:rsidRPr="00712FE5">
              <w:rPr>
                <w:bdr w:val="none" w:sz="0" w:space="0" w:color="auto" w:frame="1"/>
              </w:rPr>
              <w:t>otrkārt, nav skaidrs, kādēļ noteikumu projekta 1.1. un 1.2. apakšpunkts paredz minimālās prasības attiecināt uz attiecīgi ekspluatējamu ēku un</w:t>
            </w:r>
            <w:r w:rsidRPr="00712FE5">
              <w:rPr>
                <w:rStyle w:val="apple-converted-space"/>
                <w:bdr w:val="none" w:sz="0" w:space="0" w:color="auto" w:frame="1"/>
              </w:rPr>
              <w:t> </w:t>
            </w:r>
            <w:r w:rsidRPr="00712FE5">
              <w:rPr>
                <w:u w:val="single"/>
                <w:bdr w:val="none" w:sz="0" w:space="0" w:color="auto" w:frame="1"/>
              </w:rPr>
              <w:t>ēku</w:t>
            </w:r>
            <w:r w:rsidRPr="00712FE5">
              <w:rPr>
                <w:bdr w:val="none" w:sz="0" w:space="0" w:color="auto" w:frame="1"/>
              </w:rPr>
              <w:t>, ņemot vērā, ka</w:t>
            </w:r>
            <w:r w:rsidRPr="00712FE5">
              <w:rPr>
                <w:rStyle w:val="apple-converted-space"/>
                <w:bdr w:val="none" w:sz="0" w:space="0" w:color="auto" w:frame="1"/>
              </w:rPr>
              <w:t> </w:t>
            </w:r>
            <w:r w:rsidRPr="00712FE5">
              <w:rPr>
                <w:bdr w:val="none" w:sz="0" w:space="0" w:color="auto" w:frame="1"/>
              </w:rPr>
              <w:t>Ēku energoefektivitātes likuma pilnvarojums attiecas vienīgi uz ekspluatējamām ēkām;</w:t>
            </w:r>
          </w:p>
          <w:p w14:paraId="736549D1" w14:textId="77777777" w:rsidR="00B07737" w:rsidRPr="00712FE5" w:rsidRDefault="00B07737" w:rsidP="00B07737">
            <w:pPr>
              <w:pStyle w:val="NormalWeb"/>
              <w:shd w:val="clear" w:color="auto" w:fill="FFFFFF"/>
              <w:spacing w:before="0" w:beforeAutospacing="0" w:after="0" w:afterAutospacing="0"/>
            </w:pPr>
            <w:r w:rsidRPr="00712FE5">
              <w:rPr>
                <w:bdr w:val="none" w:sz="0" w:space="0" w:color="auto" w:frame="1"/>
              </w:rPr>
              <w:t>treškārt,</w:t>
            </w:r>
            <w:r w:rsidRPr="00712FE5">
              <w:rPr>
                <w:rStyle w:val="apple-converted-space"/>
                <w:bdr w:val="none" w:sz="0" w:space="0" w:color="auto" w:frame="1"/>
              </w:rPr>
              <w:t> </w:t>
            </w:r>
            <w:r w:rsidRPr="00712FE5">
              <w:rPr>
                <w:bdr w:val="none" w:sz="0" w:space="0" w:color="auto" w:frame="1"/>
              </w:rPr>
              <w:t xml:space="preserve">nav skaidrs, ka noteikumu projekts nosaka ekspluatējamu ēku energoefektivitātes minimālās prasības </w:t>
            </w:r>
            <w:proofErr w:type="spellStart"/>
            <w:r w:rsidRPr="00712FE5">
              <w:rPr>
                <w:bdr w:val="none" w:sz="0" w:space="0" w:color="auto" w:frame="1"/>
              </w:rPr>
              <w:t>elektrotransportlīdzekļu</w:t>
            </w:r>
            <w:proofErr w:type="spellEnd"/>
            <w:r w:rsidRPr="00712FE5">
              <w:rPr>
                <w:bdr w:val="none" w:sz="0" w:space="0" w:color="auto" w:frame="1"/>
              </w:rPr>
              <w:t xml:space="preserve"> uzlādes punktu ierīkošanai, nevis minimālās prasības šo uzlādes punktu ierīkošanai vispār, kā gramatiski izriet no 1.3. apakšpunkta -,</w:t>
            </w:r>
          </w:p>
          <w:p w14:paraId="0FCDBCE8" w14:textId="77777777" w:rsidR="00B07737" w:rsidRPr="00712FE5" w:rsidRDefault="00B07737" w:rsidP="00B07737">
            <w:pPr>
              <w:pStyle w:val="naisc"/>
              <w:spacing w:before="0" w:after="0"/>
              <w:jc w:val="both"/>
            </w:pPr>
            <w:r w:rsidRPr="00712FE5">
              <w:rPr>
                <w:bdr w:val="none" w:sz="0" w:space="0" w:color="auto" w:frame="1"/>
              </w:rPr>
              <w:t>lūdzam noteikumu projekta anotācijā atbilstoši skaidrot noteikumu projekta 1. punkta atbilstību likumā noteiktajam pilnvarojumam Ministru kabinetam vai arī noteikumu projektā precizēt attiecīgo regulējumu, kā arī lūdzam salāgot noteikumu projekta 1. punktu ar noteikumu projekta anotācijā (kopsavilkumā un I sadaļas 2. punktā) ietverto informāciju.</w:t>
            </w:r>
          </w:p>
        </w:tc>
        <w:tc>
          <w:tcPr>
            <w:tcW w:w="3119" w:type="dxa"/>
            <w:gridSpan w:val="2"/>
            <w:tcBorders>
              <w:left w:val="single" w:sz="6" w:space="0" w:color="000000"/>
              <w:bottom w:val="single" w:sz="4" w:space="0" w:color="auto"/>
              <w:right w:val="single" w:sz="6" w:space="0" w:color="000000"/>
            </w:tcBorders>
          </w:tcPr>
          <w:p w14:paraId="62D4CBFF" w14:textId="77777777" w:rsidR="00B07737" w:rsidRPr="00712FE5" w:rsidRDefault="00B07737" w:rsidP="00B07737">
            <w:pPr>
              <w:pStyle w:val="naisc"/>
              <w:spacing w:before="0" w:after="0"/>
              <w:rPr>
                <w:b/>
                <w:bCs/>
              </w:rPr>
            </w:pPr>
            <w:r w:rsidRPr="00712FE5">
              <w:rPr>
                <w:b/>
                <w:bCs/>
              </w:rPr>
              <w:lastRenderedPageBreak/>
              <w:t>Panākta vienošanās.</w:t>
            </w:r>
          </w:p>
          <w:p w14:paraId="18A2ECED" w14:textId="0FCD728A" w:rsidR="00B07737" w:rsidRPr="00712FE5" w:rsidRDefault="00B07737" w:rsidP="00B07737">
            <w:pPr>
              <w:pStyle w:val="naisc"/>
              <w:spacing w:before="0" w:after="0"/>
              <w:jc w:val="both"/>
            </w:pPr>
            <w:r w:rsidRPr="00712FE5">
              <w:t xml:space="preserve">Noteikumu projekta redakcija saskaņota ar likumprojekta </w:t>
            </w:r>
            <w:r w:rsidR="00804B10">
              <w:t>“</w:t>
            </w:r>
            <w:r w:rsidRPr="00712FE5">
              <w:t xml:space="preserve">Grozījumi Ēku energoefektivitātes likumā” (VSS-1247) redakciju, </w:t>
            </w:r>
            <w:r w:rsidR="00F56801" w:rsidRPr="00F56801">
              <w:t xml:space="preserve">(Saeimas reģistrācijas </w:t>
            </w:r>
            <w:proofErr w:type="spellStart"/>
            <w:r w:rsidR="00F56801" w:rsidRPr="00F56801">
              <w:t>Nr</w:t>
            </w:r>
            <w:proofErr w:type="spellEnd"/>
            <w:r w:rsidR="00F56801" w:rsidRPr="00F56801">
              <w:t>: 683/Lp13)</w:t>
            </w:r>
            <w:r w:rsidR="00804B10">
              <w:t>, l</w:t>
            </w:r>
            <w:r w:rsidR="00F56801" w:rsidRPr="00F56801">
              <w:t>ikumprojekts 2020.</w:t>
            </w:r>
            <w:r w:rsidR="00804B10">
              <w:t xml:space="preserve"> </w:t>
            </w:r>
            <w:r w:rsidR="00F56801" w:rsidRPr="00F56801">
              <w:t>gada 18.</w:t>
            </w:r>
            <w:r w:rsidR="00804B10">
              <w:t xml:space="preserve"> </w:t>
            </w:r>
            <w:r w:rsidR="00F56801" w:rsidRPr="00F56801">
              <w:t>jūnijā pieņemts 1.</w:t>
            </w:r>
            <w:r w:rsidR="00804B10">
              <w:t xml:space="preserve"> </w:t>
            </w:r>
            <w:r w:rsidR="00F56801" w:rsidRPr="00F56801">
              <w:t>lasījumā Saeimā.</w:t>
            </w:r>
          </w:p>
          <w:p w14:paraId="3D67FA2B" w14:textId="5A7542EC" w:rsidR="00B07737" w:rsidRPr="00712FE5" w:rsidRDefault="00B07737" w:rsidP="00B07737">
            <w:pPr>
              <w:pStyle w:val="naisc"/>
              <w:spacing w:before="0" w:after="0"/>
              <w:jc w:val="both"/>
              <w:rPr>
                <w:highlight w:val="yellow"/>
              </w:rPr>
            </w:pPr>
            <w:r w:rsidRPr="00712FE5">
              <w:lastRenderedPageBreak/>
              <w:t xml:space="preserve">Noteikumu projekta nosaukumā un 1. punktā ietverta norāde uz </w:t>
            </w:r>
            <w:r w:rsidR="00804B10">
              <w:t>“</w:t>
            </w:r>
            <w:r w:rsidRPr="00712FE5">
              <w:t xml:space="preserve">ekspluatējamām” ēkām, kas atbilst Ēku energoefektivitātes likuma regulējumam (pašreiz 3.panta pirmās daļas 1.punkts, un saskaņā ar minēto likumprojektu – 4.pants), turklāt konkrētās prasības neattieksies uz ēkām, kuras vēl tikai tiks būvētas vai pārbūvētas – prasības šādām ēkām atbilstoši Direktīvai </w:t>
            </w:r>
            <w:r w:rsidRPr="00712FE5">
              <w:rPr>
                <w:rStyle w:val="normaltextrun"/>
              </w:rPr>
              <w:t>2010/31/ES</w:t>
            </w:r>
            <w:r w:rsidRPr="00712FE5">
              <w:t xml:space="preserve"> tiks noteiktas attiecīgos būvnormatīvos (skatīt, piemēram, Ekonomikas ministrijas izstrādātos un </w:t>
            </w:r>
            <w:r w:rsidR="00AC6B38">
              <w:t xml:space="preserve">2020. gada 16. jūnijā Ministru kabinetā pieņemtos </w:t>
            </w:r>
            <w:r w:rsidRPr="00712FE5">
              <w:t>Ministru kabineta noteikumu</w:t>
            </w:r>
            <w:r w:rsidR="00AC6B38">
              <w:t xml:space="preserve">s: </w:t>
            </w:r>
            <w:r w:rsidR="00AC6B38" w:rsidRPr="00AC6B38">
              <w:t>Grozījumi Ministru kabineta 2015. gada 30. jūnija noteikumos Nr. 340 "Noteikumi par Latvijas būvnormatīvu LBN 211-15 "Dzīvojamās ēkas""</w:t>
            </w:r>
            <w:r w:rsidR="00AC6B38">
              <w:t xml:space="preserve">, </w:t>
            </w:r>
            <w:r w:rsidR="00AC6B38" w:rsidRPr="00AC6B38">
              <w:t>Grozījumi Ministru kabineta 2015. gada 30. jūnija noteikumos Nr. 331 "Noteikumi par Latvijas būvnormatīvu LBN 208-15 "Publiskas būves""</w:t>
            </w:r>
            <w:r w:rsidR="00AC6B38">
              <w:t xml:space="preserve">, </w:t>
            </w:r>
            <w:r w:rsidR="00AC6B38" w:rsidRPr="00AC6B38">
              <w:lastRenderedPageBreak/>
              <w:t>Grozījumi Ministru kabineta 2015. gada 16. jūnija noteikumos Nr. 310 "Noteikumi par Latvijas būvnormatīvu LBN 231-15 "Dzīvojamo un publisko ēku apkure un ventilācija""</w:t>
            </w:r>
            <w:r w:rsidR="00AC6B38">
              <w:t>).</w:t>
            </w:r>
          </w:p>
        </w:tc>
        <w:tc>
          <w:tcPr>
            <w:tcW w:w="3118" w:type="dxa"/>
            <w:tcBorders>
              <w:top w:val="single" w:sz="4" w:space="0" w:color="auto"/>
              <w:left w:val="single" w:sz="4" w:space="0" w:color="auto"/>
              <w:bottom w:val="single" w:sz="4" w:space="0" w:color="auto"/>
            </w:tcBorders>
          </w:tcPr>
          <w:p w14:paraId="58F514B1" w14:textId="77777777" w:rsidR="00B07737" w:rsidRPr="00712FE5" w:rsidRDefault="00B07737" w:rsidP="00B07737">
            <w:r w:rsidRPr="00712FE5">
              <w:lastRenderedPageBreak/>
              <w:t>1. punkts:</w:t>
            </w:r>
          </w:p>
          <w:p w14:paraId="4D27B8AB" w14:textId="77777777" w:rsidR="00B07737" w:rsidRPr="00712FE5" w:rsidRDefault="00B07737" w:rsidP="00B07737">
            <w:pPr>
              <w:pStyle w:val="paragraph"/>
              <w:spacing w:before="0" w:beforeAutospacing="0" w:after="0" w:afterAutospacing="0"/>
              <w:jc w:val="both"/>
              <w:textAlignment w:val="baseline"/>
            </w:pPr>
            <w:r w:rsidRPr="00712FE5">
              <w:t>“</w:t>
            </w:r>
            <w:r w:rsidRPr="00712FE5">
              <w:rPr>
                <w:rStyle w:val="normaltextrun"/>
              </w:rPr>
              <w:t>1. Noteikumi nosaka minimālās prasības:</w:t>
            </w:r>
            <w:r w:rsidRPr="00712FE5">
              <w:rPr>
                <w:rStyle w:val="eop"/>
              </w:rPr>
              <w:t> </w:t>
            </w:r>
          </w:p>
          <w:p w14:paraId="07E46752" w14:textId="77777777" w:rsidR="00B07737" w:rsidRPr="00712FE5" w:rsidRDefault="00B07737" w:rsidP="00B07737">
            <w:pPr>
              <w:pStyle w:val="paragraph"/>
              <w:spacing w:before="0" w:beforeAutospacing="0" w:after="0" w:afterAutospacing="0"/>
              <w:jc w:val="both"/>
              <w:textAlignment w:val="baseline"/>
            </w:pPr>
            <w:r w:rsidRPr="00712FE5">
              <w:rPr>
                <w:rStyle w:val="normaltextrun"/>
              </w:rPr>
              <w:t>1.1. ekspluatējamas ēkas (turpmāk – ēka) enerģijas patēriņa līmenim un primārās enerģijas patēriņa līmenim;</w:t>
            </w:r>
          </w:p>
          <w:p w14:paraId="605C572E" w14:textId="77777777" w:rsidR="00B07737" w:rsidRPr="00712FE5" w:rsidRDefault="00B07737" w:rsidP="00B07737">
            <w:pPr>
              <w:pStyle w:val="paragraph"/>
              <w:spacing w:before="0" w:beforeAutospacing="0" w:after="0" w:afterAutospacing="0"/>
              <w:jc w:val="both"/>
              <w:textAlignment w:val="baseline"/>
            </w:pPr>
            <w:r w:rsidRPr="00712FE5">
              <w:rPr>
                <w:rStyle w:val="normaltextrun"/>
              </w:rPr>
              <w:t>1.2. </w:t>
            </w:r>
            <w:r w:rsidRPr="00712FE5">
              <w:t xml:space="preserve">ēkas inženiertehnisko sistēmu automatizācijas un vadības sistēmu funkcionalitātei, telpu </w:t>
            </w:r>
            <w:r w:rsidRPr="00712FE5">
              <w:lastRenderedPageBreak/>
              <w:t xml:space="preserve">mikroklimatu </w:t>
            </w:r>
            <w:proofErr w:type="spellStart"/>
            <w:r w:rsidRPr="00712FE5">
              <w:t>pašregulējošu</w:t>
            </w:r>
            <w:proofErr w:type="spellEnd"/>
            <w:r w:rsidRPr="00712FE5">
              <w:t xml:space="preserve"> ierīču uzstādīšanai, ēkā patērēto energonesēja vai enerģijas uzskaitei</w:t>
            </w:r>
            <w:r w:rsidRPr="00712FE5">
              <w:rPr>
                <w:rStyle w:val="normaltextrun"/>
              </w:rPr>
              <w:t>;</w:t>
            </w:r>
          </w:p>
          <w:p w14:paraId="518967DC" w14:textId="77777777" w:rsidR="00B07737" w:rsidRPr="00712FE5" w:rsidRDefault="00B07737" w:rsidP="00B07737">
            <w:r w:rsidRPr="00712FE5">
              <w:rPr>
                <w:rStyle w:val="normaltextrun"/>
              </w:rPr>
              <w:t>1.3. </w:t>
            </w:r>
            <w:proofErr w:type="spellStart"/>
            <w:r w:rsidRPr="00712FE5">
              <w:rPr>
                <w:rStyle w:val="spellingerror"/>
              </w:rPr>
              <w:t>elektrotransportlīdzekļu</w:t>
            </w:r>
            <w:proofErr w:type="spellEnd"/>
            <w:r w:rsidRPr="00712FE5">
              <w:rPr>
                <w:rStyle w:val="normaltextrun"/>
              </w:rPr>
              <w:t xml:space="preserve"> uzlādes punktu ierīkošanai ēkā.</w:t>
            </w:r>
            <w:r w:rsidRPr="00712FE5">
              <w:t>”</w:t>
            </w:r>
          </w:p>
        </w:tc>
      </w:tr>
      <w:tr w:rsidR="00712FE5" w:rsidRPr="00712FE5" w14:paraId="0CD86889" w14:textId="77777777" w:rsidTr="00A02B19">
        <w:tc>
          <w:tcPr>
            <w:tcW w:w="708" w:type="dxa"/>
            <w:tcBorders>
              <w:top w:val="single" w:sz="6" w:space="0" w:color="000000"/>
              <w:left w:val="single" w:sz="6" w:space="0" w:color="000000"/>
              <w:bottom w:val="single" w:sz="6" w:space="0" w:color="000000"/>
              <w:right w:val="single" w:sz="6" w:space="0" w:color="000000"/>
            </w:tcBorders>
          </w:tcPr>
          <w:p w14:paraId="4FC9D43F" w14:textId="577CBAFB" w:rsidR="00B63912" w:rsidRPr="00712FE5" w:rsidRDefault="00B63912" w:rsidP="00A02B19">
            <w:pPr>
              <w:pStyle w:val="naisc"/>
              <w:spacing w:before="0" w:after="0"/>
              <w:rPr>
                <w:sz w:val="20"/>
                <w:szCs w:val="20"/>
              </w:rPr>
            </w:pPr>
            <w:r w:rsidRPr="00712FE5">
              <w:lastRenderedPageBreak/>
              <w:t>5.</w:t>
            </w:r>
          </w:p>
        </w:tc>
        <w:tc>
          <w:tcPr>
            <w:tcW w:w="3086" w:type="dxa"/>
            <w:gridSpan w:val="2"/>
            <w:tcBorders>
              <w:top w:val="single" w:sz="6" w:space="0" w:color="000000"/>
              <w:left w:val="single" w:sz="6" w:space="0" w:color="000000"/>
              <w:bottom w:val="single" w:sz="6" w:space="0" w:color="000000"/>
              <w:right w:val="single" w:sz="6" w:space="0" w:color="000000"/>
            </w:tcBorders>
          </w:tcPr>
          <w:p w14:paraId="0CE04B95" w14:textId="77777777" w:rsidR="00B63912" w:rsidRPr="00712FE5" w:rsidRDefault="00B63912" w:rsidP="00A02B19">
            <w:pPr>
              <w:pStyle w:val="naisc"/>
              <w:spacing w:before="0" w:after="0"/>
              <w:jc w:val="both"/>
            </w:pPr>
            <w:r w:rsidRPr="00712FE5">
              <w:t>2. punkts:</w:t>
            </w:r>
          </w:p>
          <w:p w14:paraId="13C04CAD" w14:textId="77777777" w:rsidR="00B63912" w:rsidRPr="00712FE5" w:rsidRDefault="00B63912" w:rsidP="00A02B19">
            <w:pPr>
              <w:pStyle w:val="paragraph"/>
              <w:spacing w:before="0" w:beforeAutospacing="0" w:after="0" w:afterAutospacing="0"/>
              <w:jc w:val="both"/>
              <w:textAlignment w:val="baseline"/>
              <w:rPr>
                <w:rStyle w:val="normaltextrun"/>
              </w:rPr>
            </w:pPr>
            <w:r w:rsidRPr="00712FE5">
              <w:t>“</w:t>
            </w:r>
            <w:r w:rsidRPr="00712FE5">
              <w:rPr>
                <w:rStyle w:val="normaltextrun"/>
              </w:rPr>
              <w:t xml:space="preserve">2. Ekspluatējama ēka uzskatāma par atbilstošu enerģijas patēriņa līmeņa un primārās enerģijas patēriņa </w:t>
            </w:r>
            <w:r w:rsidRPr="00712FE5">
              <w:rPr>
                <w:rStyle w:val="normaltextrun"/>
              </w:rPr>
              <w:lastRenderedPageBreak/>
              <w:t>līmeņa minimālajām prasībām, ja:</w:t>
            </w:r>
          </w:p>
          <w:p w14:paraId="534A4F81" w14:textId="77777777" w:rsidR="00B63912" w:rsidRPr="00712FE5" w:rsidRDefault="00B63912" w:rsidP="00A02B19">
            <w:pPr>
              <w:pStyle w:val="paragraph"/>
              <w:spacing w:before="0" w:beforeAutospacing="0" w:after="0" w:afterAutospacing="0"/>
              <w:jc w:val="both"/>
              <w:textAlignment w:val="baseline"/>
              <w:rPr>
                <w:rStyle w:val="normaltextrun"/>
              </w:rPr>
            </w:pPr>
            <w:r w:rsidRPr="00712FE5">
              <w:rPr>
                <w:rStyle w:val="normaltextrun"/>
              </w:rPr>
              <w:t>2.1. ēkas apkurei un karstā ūdens sagatavošanai izmantotās siltumenerģijas patēriņš nepārsniedz 170 </w:t>
            </w:r>
            <w:r w:rsidRPr="00712FE5">
              <w:rPr>
                <w:rStyle w:val="spellingerror"/>
              </w:rPr>
              <w:t>kilovatstundas uz kvadrātmetru</w:t>
            </w:r>
            <w:r w:rsidRPr="00712FE5">
              <w:rPr>
                <w:rStyle w:val="normaltextrun"/>
              </w:rPr>
              <w:t xml:space="preserve"> gadā;</w:t>
            </w:r>
          </w:p>
          <w:p w14:paraId="64D8ECB7" w14:textId="77777777" w:rsidR="00B63912" w:rsidRPr="00712FE5" w:rsidRDefault="00B63912" w:rsidP="00A02B19">
            <w:pPr>
              <w:pStyle w:val="paragraph"/>
              <w:spacing w:before="0" w:beforeAutospacing="0" w:after="0" w:afterAutospacing="0"/>
              <w:jc w:val="both"/>
              <w:textAlignment w:val="baseline"/>
            </w:pPr>
            <w:r w:rsidRPr="00712FE5">
              <w:rPr>
                <w:rStyle w:val="normaltextrun"/>
              </w:rPr>
              <w:t>2.2. siltumenerģijas patēriņš ēkas apkurei nepārsniedz 130 </w:t>
            </w:r>
            <w:r w:rsidRPr="00712FE5">
              <w:rPr>
                <w:rStyle w:val="spellingerror"/>
              </w:rPr>
              <w:t>kilovatstundas uz kvadrātmetru</w:t>
            </w:r>
            <w:r w:rsidRPr="00712FE5">
              <w:rPr>
                <w:rStyle w:val="normaltextrun"/>
              </w:rPr>
              <w:t xml:space="preserve"> gadā;</w:t>
            </w:r>
            <w:r w:rsidRPr="00712FE5">
              <w:rPr>
                <w:rStyle w:val="eop"/>
              </w:rPr>
              <w:t> </w:t>
            </w:r>
          </w:p>
          <w:p w14:paraId="70FE150D" w14:textId="77777777" w:rsidR="00B63912" w:rsidRPr="00712FE5" w:rsidRDefault="00B63912" w:rsidP="00A02B19">
            <w:pPr>
              <w:pStyle w:val="naisc"/>
              <w:spacing w:before="0" w:after="0"/>
              <w:jc w:val="both"/>
              <w:rPr>
                <w:sz w:val="20"/>
                <w:szCs w:val="20"/>
              </w:rPr>
            </w:pPr>
            <w:r w:rsidRPr="00712FE5">
              <w:t>2.3. </w:t>
            </w:r>
            <w:r w:rsidRPr="00712FE5">
              <w:rPr>
                <w:rStyle w:val="normaltextrun"/>
              </w:rPr>
              <w:t>ēkas kopējais primārās enerģijas patēriņa līmenis nepārsniedz 230 </w:t>
            </w:r>
            <w:r w:rsidRPr="00712FE5">
              <w:rPr>
                <w:rStyle w:val="spellingerror"/>
              </w:rPr>
              <w:t>kilovatstundas uz kvadrātmetru</w:t>
            </w:r>
            <w:r w:rsidRPr="00712FE5">
              <w:rPr>
                <w:rStyle w:val="normaltextrun"/>
              </w:rPr>
              <w:t xml:space="preserve"> gadā.</w:t>
            </w:r>
            <w:r w:rsidRPr="00712FE5">
              <w:t>”</w:t>
            </w:r>
          </w:p>
        </w:tc>
        <w:tc>
          <w:tcPr>
            <w:tcW w:w="4394" w:type="dxa"/>
            <w:tcBorders>
              <w:top w:val="single" w:sz="6" w:space="0" w:color="000000"/>
              <w:left w:val="single" w:sz="6" w:space="0" w:color="000000"/>
              <w:bottom w:val="single" w:sz="6" w:space="0" w:color="000000"/>
              <w:right w:val="single" w:sz="6" w:space="0" w:color="000000"/>
            </w:tcBorders>
          </w:tcPr>
          <w:p w14:paraId="5E7A7521" w14:textId="77777777" w:rsidR="00B63912" w:rsidRPr="00712FE5" w:rsidRDefault="00B63912" w:rsidP="00B63912">
            <w:pPr>
              <w:pStyle w:val="naisc"/>
              <w:spacing w:before="0" w:after="0"/>
              <w:jc w:val="both"/>
              <w:rPr>
                <w:b/>
                <w:bCs/>
              </w:rPr>
            </w:pPr>
            <w:r w:rsidRPr="00712FE5">
              <w:rPr>
                <w:b/>
                <w:bCs/>
              </w:rPr>
              <w:lastRenderedPageBreak/>
              <w:t>Finanšu ministrija</w:t>
            </w:r>
          </w:p>
          <w:p w14:paraId="1AEC51ED" w14:textId="77777777" w:rsidR="00B63912" w:rsidRPr="00712FE5" w:rsidRDefault="00B63912" w:rsidP="00B63912">
            <w:pPr>
              <w:pStyle w:val="CommentText"/>
              <w:rPr>
                <w:sz w:val="24"/>
                <w:szCs w:val="24"/>
              </w:rPr>
            </w:pPr>
            <w:r w:rsidRPr="00712FE5">
              <w:rPr>
                <w:sz w:val="24"/>
                <w:szCs w:val="24"/>
              </w:rPr>
              <w:t xml:space="preserve">Lūdzam pārskatīt Noteikumu projekta 2.punktā noteiktās prasības ekspluatējamām ēkām, tostarp noteikt izņēmumus ar nosacījumiem par </w:t>
            </w:r>
            <w:r w:rsidRPr="00712FE5">
              <w:rPr>
                <w:sz w:val="24"/>
                <w:szCs w:val="24"/>
              </w:rPr>
              <w:lastRenderedPageBreak/>
              <w:t xml:space="preserve">pieļaujamām atkāpēm, piemēram, ņemot vērā ēkas veidu, platību, telpu vidējo augstumu, komforta prasības, temperatūras, </w:t>
            </w:r>
            <w:proofErr w:type="spellStart"/>
            <w:r w:rsidRPr="00712FE5">
              <w:rPr>
                <w:sz w:val="24"/>
                <w:szCs w:val="24"/>
              </w:rPr>
              <w:t>gaisapmaiņas</w:t>
            </w:r>
            <w:proofErr w:type="spellEnd"/>
            <w:r w:rsidRPr="00712FE5">
              <w:rPr>
                <w:sz w:val="24"/>
                <w:szCs w:val="24"/>
              </w:rPr>
              <w:t xml:space="preserve"> prasības u.c. faktorus, kas ietekmē enerģijas patēriņu ēkā. Vēršam uzmanību, ka punktā noteikto prasību izpilde atsevišķos gadījumos var nebūt izpildāma arī pie nosacījuma, kad ēka uzbūvēta un tiek ekspluatēta ievērojot labāko risinājumus un praksi.</w:t>
            </w:r>
          </w:p>
          <w:p w14:paraId="770FA9E4" w14:textId="77777777" w:rsidR="00B63912" w:rsidRPr="00712FE5" w:rsidRDefault="00B63912" w:rsidP="00B63912">
            <w:pPr>
              <w:pStyle w:val="CommentText"/>
              <w:rPr>
                <w:b/>
                <w:sz w:val="24"/>
                <w:szCs w:val="24"/>
              </w:rPr>
            </w:pPr>
            <w:r w:rsidRPr="00712FE5">
              <w:rPr>
                <w:b/>
                <w:sz w:val="24"/>
                <w:szCs w:val="24"/>
              </w:rPr>
              <w:t>Finanšu ministrija (papildus)</w:t>
            </w:r>
          </w:p>
          <w:p w14:paraId="2EF583E5" w14:textId="77777777" w:rsidR="00B63912" w:rsidRPr="00712FE5" w:rsidRDefault="00B63912" w:rsidP="00B63912">
            <w:pPr>
              <w:pStyle w:val="CommentText"/>
              <w:rPr>
                <w:sz w:val="24"/>
                <w:szCs w:val="24"/>
              </w:rPr>
            </w:pPr>
            <w:r w:rsidRPr="00712FE5">
              <w:rPr>
                <w:sz w:val="24"/>
                <w:szCs w:val="24"/>
              </w:rPr>
              <w:t>Jānošķir prasības pa ēku veidiem vai jānosaka, uz kādām ēkām ir attiecināmas vai nav attiecināmas (rūpnieciskās ražošanas ēkas) prasības, piemēram:</w:t>
            </w:r>
          </w:p>
          <w:p w14:paraId="1BD1A99B" w14:textId="77777777" w:rsidR="00B63912" w:rsidRPr="00712FE5" w:rsidRDefault="00B63912" w:rsidP="00B63912">
            <w:pPr>
              <w:pStyle w:val="CommentText"/>
              <w:rPr>
                <w:sz w:val="24"/>
                <w:szCs w:val="24"/>
              </w:rPr>
            </w:pPr>
            <w:r w:rsidRPr="00712FE5">
              <w:rPr>
                <w:sz w:val="24"/>
                <w:szCs w:val="24"/>
              </w:rPr>
              <w:t>- pēc ēkas platības (no 700-1000 m</w:t>
            </w:r>
            <w:r w:rsidRPr="00712FE5">
              <w:rPr>
                <w:sz w:val="24"/>
                <w:szCs w:val="24"/>
                <w:vertAlign w:val="superscript"/>
              </w:rPr>
              <w:t>2</w:t>
            </w:r>
            <w:r w:rsidRPr="00712FE5">
              <w:rPr>
                <w:sz w:val="24"/>
                <w:szCs w:val="24"/>
              </w:rPr>
              <w:t xml:space="preserve"> / griestu augstums līdz 4 m);</w:t>
            </w:r>
          </w:p>
          <w:p w14:paraId="556468BD" w14:textId="77777777" w:rsidR="00B63912" w:rsidRPr="00712FE5" w:rsidRDefault="00B63912" w:rsidP="00B63912">
            <w:pPr>
              <w:pStyle w:val="CommentText"/>
              <w:rPr>
                <w:sz w:val="24"/>
                <w:szCs w:val="24"/>
              </w:rPr>
            </w:pPr>
            <w:r w:rsidRPr="00712FE5">
              <w:rPr>
                <w:sz w:val="24"/>
                <w:szCs w:val="24"/>
              </w:rPr>
              <w:t>- pēc ēkas lietošanas veida (pastāvīgi apdzīvojamas / izglītības iestādes /  biroja ēkas);</w:t>
            </w:r>
          </w:p>
          <w:p w14:paraId="0812F4CD" w14:textId="77777777" w:rsidR="00B63912" w:rsidRPr="00712FE5" w:rsidRDefault="00B63912" w:rsidP="00B63912">
            <w:pPr>
              <w:pStyle w:val="naisc"/>
              <w:spacing w:before="0" w:after="0"/>
              <w:jc w:val="both"/>
            </w:pPr>
            <w:r w:rsidRPr="00712FE5">
              <w:t>- pēc siltumtehnikas prasībām būvniecības laikā u.tml.</w:t>
            </w:r>
          </w:p>
          <w:p w14:paraId="5A4623A7" w14:textId="77777777" w:rsidR="00B63912" w:rsidRPr="00712FE5" w:rsidRDefault="00B63912" w:rsidP="00B63912">
            <w:pPr>
              <w:pStyle w:val="naisc"/>
              <w:spacing w:before="0" w:after="0"/>
              <w:jc w:val="both"/>
              <w:rPr>
                <w:b/>
                <w:bCs/>
              </w:rPr>
            </w:pPr>
            <w:r w:rsidRPr="00712FE5">
              <w:rPr>
                <w:b/>
                <w:bCs/>
              </w:rPr>
              <w:t>Latvijas Lielo pilsētu asociācija</w:t>
            </w:r>
          </w:p>
          <w:p w14:paraId="4FD2ACF0" w14:textId="77777777" w:rsidR="00B63912" w:rsidRPr="00712FE5" w:rsidRDefault="00B63912" w:rsidP="00B63912">
            <w:pPr>
              <w:pStyle w:val="naisc"/>
              <w:spacing w:before="0" w:after="0"/>
              <w:jc w:val="both"/>
            </w:pPr>
            <w:r w:rsidRPr="00712FE5">
              <w:rPr>
                <w:bCs/>
              </w:rPr>
              <w:t>Lūdzam precizēt noteikumu projektu, minimālās prasības nosakot pa ēku grupām</w:t>
            </w:r>
            <w:r w:rsidRPr="00712FE5">
              <w:t>, piemēram, daudzdzīvokļu ēkas, biroja ēkas, bērnudārzi un tml., jo katrai ēku grupai ir sava specifika enerģijas patēriņā un ir atšķirīgas barjeras, kāpēc netiek veikta to modernizācija – energoefektivitātes paaugstināšana.</w:t>
            </w:r>
          </w:p>
          <w:p w14:paraId="604142E9" w14:textId="77777777" w:rsidR="00B63912" w:rsidRPr="00712FE5" w:rsidRDefault="00B63912" w:rsidP="00B63912">
            <w:pPr>
              <w:pStyle w:val="naisc"/>
              <w:spacing w:before="0" w:after="0"/>
              <w:jc w:val="both"/>
            </w:pPr>
            <w:r w:rsidRPr="00712FE5">
              <w:rPr>
                <w:b/>
                <w:bCs/>
              </w:rPr>
              <w:t>Latvijas Lielo pilsētu asociācija (papildus)</w:t>
            </w:r>
          </w:p>
          <w:p w14:paraId="42B0C8AD" w14:textId="77777777" w:rsidR="00B63912" w:rsidRPr="00712FE5" w:rsidRDefault="00B63912" w:rsidP="00B63912">
            <w:pPr>
              <w:pStyle w:val="naisc"/>
              <w:spacing w:before="0" w:after="0"/>
              <w:jc w:val="both"/>
            </w:pPr>
            <w:r w:rsidRPr="00712FE5">
              <w:lastRenderedPageBreak/>
              <w:t>Nosakot vienu mērķa vērtību visiem ēku tipiem, biroja ēkai tiek uzlikta tāda pati robežvērtība kā piemēram, peldbaseina ēkai, kuras enerģijas patēriņš apkurei un karstā ūdens sagatavošanai ir vairākas reizes lielāks.</w:t>
            </w:r>
          </w:p>
          <w:p w14:paraId="130F5B22" w14:textId="77777777" w:rsidR="00B63912" w:rsidRPr="00712FE5" w:rsidRDefault="00B63912" w:rsidP="00B63912">
            <w:pPr>
              <w:pStyle w:val="naisc"/>
              <w:spacing w:before="0" w:after="0"/>
              <w:jc w:val="both"/>
              <w:rPr>
                <w:sz w:val="20"/>
                <w:szCs w:val="20"/>
              </w:rPr>
            </w:pPr>
            <w:r w:rsidRPr="00712FE5">
              <w:t>Rosinām saglabāt līdz šim noteiktos enerģijas patēriņa un primārās enerģijas patēriņa līmeņa minimālās prasības apkurei 150 kWh.m2 un apkurei un karstā ūdens</w:t>
            </w:r>
            <w:r w:rsidRPr="00712FE5">
              <w:rPr>
                <w:i/>
              </w:rPr>
              <w:t xml:space="preserve"> </w:t>
            </w:r>
            <w:r w:rsidRPr="00712FE5">
              <w:t>sagatavošanai – 200 kWh/m2.</w:t>
            </w:r>
          </w:p>
        </w:tc>
        <w:tc>
          <w:tcPr>
            <w:tcW w:w="3119" w:type="dxa"/>
            <w:gridSpan w:val="2"/>
            <w:tcBorders>
              <w:top w:val="single" w:sz="6" w:space="0" w:color="000000"/>
              <w:left w:val="single" w:sz="6" w:space="0" w:color="000000"/>
              <w:bottom w:val="single" w:sz="6" w:space="0" w:color="000000"/>
              <w:right w:val="single" w:sz="6" w:space="0" w:color="000000"/>
            </w:tcBorders>
          </w:tcPr>
          <w:p w14:paraId="4F27E95D" w14:textId="61A5D4EF" w:rsidR="00B63912" w:rsidRPr="00712FE5" w:rsidRDefault="00A6704C" w:rsidP="00A02B19">
            <w:pPr>
              <w:pStyle w:val="naisc"/>
              <w:spacing w:before="0" w:after="0"/>
              <w:rPr>
                <w:b/>
                <w:bCs/>
              </w:rPr>
            </w:pPr>
            <w:r>
              <w:rPr>
                <w:b/>
                <w:bCs/>
              </w:rPr>
              <w:lastRenderedPageBreak/>
              <w:t>Panākta vienošanās</w:t>
            </w:r>
            <w:r w:rsidR="00B63912" w:rsidRPr="00712FE5">
              <w:rPr>
                <w:b/>
                <w:bCs/>
              </w:rPr>
              <w:t>.</w:t>
            </w:r>
          </w:p>
          <w:p w14:paraId="49306F99" w14:textId="1CB43A81" w:rsidR="00B63912" w:rsidRPr="00712FE5" w:rsidRDefault="00A6704C" w:rsidP="00A02B19">
            <w:pPr>
              <w:pStyle w:val="naisc"/>
              <w:spacing w:before="0" w:after="0"/>
              <w:jc w:val="both"/>
            </w:pPr>
            <w:r>
              <w:t xml:space="preserve">Ņemot vērā, ka Ekonomikas ministrija plāno veikt grozījumus arī normatīvajos aktos ēku </w:t>
            </w:r>
            <w:proofErr w:type="spellStart"/>
            <w:r>
              <w:t>energosertifikācijas</w:t>
            </w:r>
            <w:proofErr w:type="spellEnd"/>
            <w:r>
              <w:t xml:space="preserve"> </w:t>
            </w:r>
            <w:r>
              <w:lastRenderedPageBreak/>
              <w:t xml:space="preserve">jomā, šobrīd noteikumu projektā noteikts atbilstību minimālajām prasībām noteikt pēc </w:t>
            </w:r>
            <w:r w:rsidR="00F91A74">
              <w:t>ēkas energoefektivitātes klases.</w:t>
            </w:r>
          </w:p>
        </w:tc>
        <w:tc>
          <w:tcPr>
            <w:tcW w:w="3118" w:type="dxa"/>
            <w:tcBorders>
              <w:top w:val="single" w:sz="4" w:space="0" w:color="auto"/>
              <w:left w:val="single" w:sz="4" w:space="0" w:color="auto"/>
              <w:bottom w:val="single" w:sz="4" w:space="0" w:color="auto"/>
            </w:tcBorders>
          </w:tcPr>
          <w:p w14:paraId="649D97E0" w14:textId="73C01EED" w:rsidR="00B63912" w:rsidRPr="00712FE5" w:rsidRDefault="00A6704C" w:rsidP="00A02B19">
            <w:r w:rsidRPr="00A6704C">
              <w:lastRenderedPageBreak/>
              <w:t xml:space="preserve">2. Ēka uzskatāma par atbilstošu enerģijas patēriņa līmeņa un primārās enerģijas patēriņa līmeņa minimālajām prasībām, ja tās </w:t>
            </w:r>
            <w:r w:rsidRPr="00A6704C">
              <w:lastRenderedPageBreak/>
              <w:t xml:space="preserve">energoefektivitātes klases rādītājs atbilstoši normatīvajiem aktiem ēku </w:t>
            </w:r>
            <w:proofErr w:type="spellStart"/>
            <w:r w:rsidRPr="00A6704C">
              <w:t>energosertifikācijas</w:t>
            </w:r>
            <w:proofErr w:type="spellEnd"/>
            <w:r w:rsidRPr="00A6704C">
              <w:t xml:space="preserve"> jomā atbilst E vai augstākai klasei.</w:t>
            </w:r>
          </w:p>
        </w:tc>
      </w:tr>
      <w:tr w:rsidR="00712FE5" w:rsidRPr="00712FE5" w14:paraId="76AB8B81" w14:textId="77777777" w:rsidTr="00F10DF3">
        <w:tc>
          <w:tcPr>
            <w:tcW w:w="708" w:type="dxa"/>
            <w:tcBorders>
              <w:left w:val="single" w:sz="6" w:space="0" w:color="000000"/>
              <w:bottom w:val="single" w:sz="4" w:space="0" w:color="auto"/>
              <w:right w:val="single" w:sz="6" w:space="0" w:color="000000"/>
            </w:tcBorders>
          </w:tcPr>
          <w:p w14:paraId="1984F6B3" w14:textId="0747119B" w:rsidR="00B07737" w:rsidRPr="00712FE5" w:rsidRDefault="00B63912" w:rsidP="00B07737">
            <w:pPr>
              <w:pStyle w:val="naisc"/>
              <w:spacing w:before="0" w:after="0"/>
            </w:pPr>
            <w:r w:rsidRPr="00712FE5">
              <w:lastRenderedPageBreak/>
              <w:t>6</w:t>
            </w:r>
            <w:r w:rsidR="00B07737" w:rsidRPr="00712FE5">
              <w:t>.</w:t>
            </w:r>
          </w:p>
        </w:tc>
        <w:tc>
          <w:tcPr>
            <w:tcW w:w="3086" w:type="dxa"/>
            <w:gridSpan w:val="2"/>
            <w:tcBorders>
              <w:left w:val="single" w:sz="6" w:space="0" w:color="000000"/>
              <w:bottom w:val="single" w:sz="4" w:space="0" w:color="auto"/>
              <w:right w:val="single" w:sz="6" w:space="0" w:color="000000"/>
            </w:tcBorders>
          </w:tcPr>
          <w:p w14:paraId="1CF8FA16" w14:textId="77777777" w:rsidR="00B07737" w:rsidRPr="00712FE5" w:rsidRDefault="00B07737" w:rsidP="00B07737">
            <w:pPr>
              <w:pStyle w:val="naisc"/>
              <w:spacing w:before="0" w:after="0"/>
              <w:jc w:val="both"/>
            </w:pPr>
            <w:r w:rsidRPr="00712FE5">
              <w:t>2. punkts:</w:t>
            </w:r>
          </w:p>
          <w:p w14:paraId="169ED54B" w14:textId="77777777" w:rsidR="00B07737" w:rsidRPr="00712FE5" w:rsidRDefault="00B07737" w:rsidP="00B07737">
            <w:pPr>
              <w:pStyle w:val="paragraph"/>
              <w:spacing w:before="0" w:beforeAutospacing="0" w:after="0" w:afterAutospacing="0"/>
              <w:jc w:val="both"/>
              <w:textAlignment w:val="baseline"/>
              <w:rPr>
                <w:rStyle w:val="normaltextrun"/>
              </w:rPr>
            </w:pPr>
            <w:r w:rsidRPr="00712FE5">
              <w:t>“</w:t>
            </w:r>
            <w:r w:rsidRPr="00712FE5">
              <w:rPr>
                <w:rStyle w:val="normaltextrun"/>
              </w:rPr>
              <w:t>2. Ekspluatējama ēka uzskatāma par atbilstošu enerģijas patēriņa līmeņa un primārās enerģijas patēriņa līmeņa minimālajām prasībām, ja:</w:t>
            </w:r>
          </w:p>
          <w:p w14:paraId="666953AB" w14:textId="77777777" w:rsidR="00B07737" w:rsidRPr="00712FE5" w:rsidRDefault="00B07737" w:rsidP="00B07737">
            <w:pPr>
              <w:pStyle w:val="paragraph"/>
              <w:spacing w:before="0" w:beforeAutospacing="0" w:after="0" w:afterAutospacing="0"/>
              <w:jc w:val="both"/>
              <w:textAlignment w:val="baseline"/>
              <w:rPr>
                <w:rStyle w:val="normaltextrun"/>
              </w:rPr>
            </w:pPr>
            <w:r w:rsidRPr="00712FE5">
              <w:rPr>
                <w:rStyle w:val="normaltextrun"/>
              </w:rPr>
              <w:t>2.1. ēkas apkurei un karstā ūdens sagatavošanai izmantotās siltumenerģijas patēriņš nepārsniedz 170 </w:t>
            </w:r>
            <w:r w:rsidRPr="00712FE5">
              <w:rPr>
                <w:rStyle w:val="spellingerror"/>
              </w:rPr>
              <w:t>kilovatstundas uz kvadrātmetru</w:t>
            </w:r>
            <w:r w:rsidRPr="00712FE5">
              <w:rPr>
                <w:rStyle w:val="normaltextrun"/>
              </w:rPr>
              <w:t xml:space="preserve"> gadā;</w:t>
            </w:r>
          </w:p>
          <w:p w14:paraId="71BBB484" w14:textId="77777777" w:rsidR="00B07737" w:rsidRPr="00712FE5" w:rsidRDefault="00B07737" w:rsidP="00B07737">
            <w:pPr>
              <w:pStyle w:val="paragraph"/>
              <w:spacing w:before="0" w:beforeAutospacing="0" w:after="0" w:afterAutospacing="0"/>
              <w:jc w:val="both"/>
              <w:textAlignment w:val="baseline"/>
            </w:pPr>
            <w:r w:rsidRPr="00712FE5">
              <w:rPr>
                <w:rStyle w:val="normaltextrun"/>
              </w:rPr>
              <w:t>2.2. siltumenerģijas patēriņš ēkas apkurei nepārsniedz 130 </w:t>
            </w:r>
            <w:r w:rsidRPr="00712FE5">
              <w:rPr>
                <w:rStyle w:val="spellingerror"/>
              </w:rPr>
              <w:t>kilovatstundas uz kvadrātmetru</w:t>
            </w:r>
            <w:r w:rsidRPr="00712FE5">
              <w:rPr>
                <w:rStyle w:val="normaltextrun"/>
              </w:rPr>
              <w:t xml:space="preserve"> gadā;</w:t>
            </w:r>
            <w:r w:rsidRPr="00712FE5">
              <w:rPr>
                <w:rStyle w:val="eop"/>
              </w:rPr>
              <w:t> </w:t>
            </w:r>
          </w:p>
          <w:p w14:paraId="49090D49" w14:textId="77777777" w:rsidR="00B07737" w:rsidRPr="00712FE5" w:rsidRDefault="00B07737" w:rsidP="00B07737">
            <w:pPr>
              <w:pStyle w:val="naisc"/>
              <w:spacing w:before="0" w:after="0"/>
              <w:jc w:val="both"/>
            </w:pPr>
            <w:r w:rsidRPr="00712FE5">
              <w:t>2.3. </w:t>
            </w:r>
            <w:r w:rsidRPr="00712FE5">
              <w:rPr>
                <w:rStyle w:val="normaltextrun"/>
              </w:rPr>
              <w:t>ēkas kopējais primārās enerģijas patēriņa līmenis nepārsniedz 230 </w:t>
            </w:r>
            <w:r w:rsidRPr="00712FE5">
              <w:rPr>
                <w:rStyle w:val="spellingerror"/>
              </w:rPr>
              <w:t>kilovatstundas uz kvadrātmetru</w:t>
            </w:r>
            <w:r w:rsidRPr="00712FE5">
              <w:rPr>
                <w:rStyle w:val="normaltextrun"/>
              </w:rPr>
              <w:t xml:space="preserve"> gadā.</w:t>
            </w:r>
            <w:r w:rsidRPr="00712FE5">
              <w:t>”</w:t>
            </w:r>
          </w:p>
        </w:tc>
        <w:tc>
          <w:tcPr>
            <w:tcW w:w="4394" w:type="dxa"/>
            <w:tcBorders>
              <w:left w:val="single" w:sz="6" w:space="0" w:color="000000"/>
              <w:bottom w:val="single" w:sz="4" w:space="0" w:color="auto"/>
              <w:right w:val="single" w:sz="6" w:space="0" w:color="000000"/>
            </w:tcBorders>
          </w:tcPr>
          <w:p w14:paraId="7B4F818F" w14:textId="77777777" w:rsidR="00B07737" w:rsidRPr="00712FE5" w:rsidRDefault="00B07737" w:rsidP="00B07737">
            <w:pPr>
              <w:pStyle w:val="naisc"/>
              <w:spacing w:before="0" w:after="0"/>
              <w:jc w:val="both"/>
              <w:rPr>
                <w:b/>
                <w:bCs/>
              </w:rPr>
            </w:pPr>
            <w:r w:rsidRPr="00712FE5">
              <w:rPr>
                <w:b/>
                <w:bCs/>
              </w:rPr>
              <w:t>Finanšu ministrija</w:t>
            </w:r>
          </w:p>
          <w:p w14:paraId="342A3533" w14:textId="77777777" w:rsidR="00B07737" w:rsidRPr="00712FE5" w:rsidRDefault="00B07737" w:rsidP="00B07737">
            <w:pPr>
              <w:pStyle w:val="naisc"/>
              <w:spacing w:before="0" w:after="0"/>
              <w:jc w:val="both"/>
            </w:pPr>
            <w:r w:rsidRPr="00712FE5">
              <w:t>Lai nodrošinātu tiesisko skaidrību, Noteikumu projekta 2.3.apakšpunktā jāprecizē, vai kopējais primārās enerģijas patēriņa līmenis attiecas uz enerģijas patēriņu ēkas apkurei un karstā ūdens sagatavošanai, vai arī ietver arī enerģiju dzesēšanai, ventilācijai, apgaismojumam un papildu enerģiju.</w:t>
            </w:r>
          </w:p>
          <w:p w14:paraId="5247AEE2" w14:textId="77777777" w:rsidR="00B07737" w:rsidRPr="00712FE5" w:rsidRDefault="00B07737" w:rsidP="00B07737">
            <w:pPr>
              <w:pStyle w:val="naisc"/>
              <w:spacing w:before="0" w:after="0"/>
              <w:jc w:val="both"/>
              <w:rPr>
                <w:b/>
              </w:rPr>
            </w:pPr>
            <w:r w:rsidRPr="00712FE5">
              <w:rPr>
                <w:b/>
              </w:rPr>
              <w:t>Finanšu ministrija (papildus)</w:t>
            </w:r>
          </w:p>
          <w:p w14:paraId="230CE746" w14:textId="77777777" w:rsidR="00B07737" w:rsidRPr="00712FE5" w:rsidRDefault="00B07737" w:rsidP="00B07737">
            <w:pPr>
              <w:pStyle w:val="naisc"/>
              <w:spacing w:before="0" w:after="0"/>
              <w:jc w:val="both"/>
            </w:pPr>
            <w:r w:rsidRPr="00712FE5">
              <w:t xml:space="preserve">Jānodrošina, ka noteikumu piemērotājiem (ne tikai sertificētiem energoauditoriem, bet arī ēku īpašniekiem, pārvaldniekiem u.c. personām bez priekšzināšanām ēku energoefektivitātes jomā) ir skaidra aprēķinu veikšanas kārtība, piemēram, papildinot normu ar atsauci uz ”normatīvo aktu, kas nosaka primārās enerģijas patēriņa līmeņa aprēķināšanas kārtību” </w:t>
            </w:r>
            <w:proofErr w:type="spellStart"/>
            <w:r w:rsidRPr="00712FE5">
              <w:t>v.tml</w:t>
            </w:r>
            <w:proofErr w:type="spellEnd"/>
            <w:r w:rsidRPr="00712FE5">
              <w:t xml:space="preserve">. </w:t>
            </w:r>
          </w:p>
        </w:tc>
        <w:tc>
          <w:tcPr>
            <w:tcW w:w="3119" w:type="dxa"/>
            <w:gridSpan w:val="2"/>
            <w:tcBorders>
              <w:left w:val="single" w:sz="6" w:space="0" w:color="000000"/>
              <w:bottom w:val="single" w:sz="4" w:space="0" w:color="auto"/>
              <w:right w:val="single" w:sz="6" w:space="0" w:color="000000"/>
            </w:tcBorders>
          </w:tcPr>
          <w:p w14:paraId="411133BC" w14:textId="77777777" w:rsidR="00B07737" w:rsidRPr="00712FE5" w:rsidRDefault="00B07737" w:rsidP="00B07737">
            <w:pPr>
              <w:pStyle w:val="naisc"/>
              <w:spacing w:before="0" w:after="0"/>
              <w:rPr>
                <w:b/>
                <w:bCs/>
              </w:rPr>
            </w:pPr>
            <w:r w:rsidRPr="00712FE5">
              <w:rPr>
                <w:b/>
                <w:bCs/>
              </w:rPr>
              <w:t>Panākta vienošanās.</w:t>
            </w:r>
          </w:p>
          <w:p w14:paraId="4BFA7BD4" w14:textId="05441600" w:rsidR="00B07737" w:rsidRPr="00712FE5" w:rsidRDefault="00B07737" w:rsidP="00B07737">
            <w:pPr>
              <w:pStyle w:val="naisc"/>
              <w:spacing w:before="0" w:after="0"/>
              <w:jc w:val="both"/>
            </w:pPr>
            <w:r w:rsidRPr="00712FE5">
              <w:t>Saskaņā ar Ministru kabineta 2013.gada 25.jūnija noteikumu Nr.348 “</w:t>
            </w:r>
            <w:r w:rsidRPr="00712FE5">
              <w:rPr>
                <w:shd w:val="clear" w:color="auto" w:fill="FFFFFF"/>
              </w:rPr>
              <w:t>Ēkas energoefektivitātes aprēķina metode</w:t>
            </w:r>
            <w:r w:rsidRPr="00712FE5">
              <w:t xml:space="preserve">” </w:t>
            </w:r>
            <w:r w:rsidRPr="00712FE5">
              <w:rPr>
                <w:shd w:val="clear" w:color="auto" w:fill="FFFFFF"/>
              </w:rPr>
              <w:t xml:space="preserve">18.punktu, veicot primārās enerģijas patēriņa rādītāju aprēķinu, novērtējumā iekļauj sistēmas, kas ir ēkas vai ēkas vietas robežās saskaņā ar šo noteikumu </w:t>
            </w:r>
            <w:r w:rsidRPr="00712FE5">
              <w:t>3.pielikumu</w:t>
            </w:r>
            <w:r w:rsidRPr="00712FE5">
              <w:rPr>
                <w:shd w:val="clear" w:color="auto" w:fill="FFFFFF"/>
              </w:rPr>
              <w:t xml:space="preserve">. </w:t>
            </w:r>
            <w:r w:rsidRPr="00712FE5">
              <w:t xml:space="preserve">Noteikumu projekta </w:t>
            </w:r>
            <w:r w:rsidR="00F91A74">
              <w:t>3.1</w:t>
            </w:r>
            <w:r w:rsidRPr="00712FE5">
              <w:t>.</w:t>
            </w:r>
            <w:r w:rsidR="00F91A74">
              <w:t xml:space="preserve"> un 4.1. apakš</w:t>
            </w:r>
            <w:r w:rsidRPr="00712FE5">
              <w:t>punktā ietverta norāde uz izmantojamiem normatīvajiem aktiem.</w:t>
            </w:r>
          </w:p>
        </w:tc>
        <w:tc>
          <w:tcPr>
            <w:tcW w:w="3118" w:type="dxa"/>
            <w:tcBorders>
              <w:top w:val="single" w:sz="4" w:space="0" w:color="auto"/>
              <w:left w:val="single" w:sz="4" w:space="0" w:color="auto"/>
              <w:bottom w:val="single" w:sz="4" w:space="0" w:color="auto"/>
            </w:tcBorders>
          </w:tcPr>
          <w:p w14:paraId="5BB2D53E" w14:textId="5D6404AD" w:rsidR="00B07737" w:rsidRPr="00712FE5" w:rsidRDefault="00F91A74" w:rsidP="00FF56D9">
            <w:pPr>
              <w:pStyle w:val="paragraph"/>
              <w:spacing w:before="0" w:beforeAutospacing="0" w:after="0" w:afterAutospacing="0"/>
              <w:jc w:val="both"/>
              <w:textAlignment w:val="baseline"/>
            </w:pPr>
            <w:r w:rsidRPr="00F91A74">
              <w:t xml:space="preserve">2. Ēka uzskatāma par atbilstošu enerģijas patēriņa līmeņa un primārās enerģijas patēriņa līmeņa minimālajām prasībām, ja tās energoefektivitātes klases rādītājs atbilstoši normatīvajiem aktiem ēku </w:t>
            </w:r>
            <w:proofErr w:type="spellStart"/>
            <w:r w:rsidRPr="00F91A74">
              <w:t>energosertifikācijas</w:t>
            </w:r>
            <w:proofErr w:type="spellEnd"/>
            <w:r w:rsidRPr="00F91A74">
              <w:t xml:space="preserve"> jomā atbilst E vai augstākai klasei.</w:t>
            </w:r>
          </w:p>
        </w:tc>
      </w:tr>
      <w:tr w:rsidR="00712FE5" w:rsidRPr="00712FE5" w14:paraId="6934C288" w14:textId="77777777" w:rsidTr="00F10DF3">
        <w:tc>
          <w:tcPr>
            <w:tcW w:w="708" w:type="dxa"/>
            <w:tcBorders>
              <w:left w:val="single" w:sz="6" w:space="0" w:color="000000"/>
              <w:bottom w:val="single" w:sz="4" w:space="0" w:color="auto"/>
              <w:right w:val="single" w:sz="6" w:space="0" w:color="000000"/>
            </w:tcBorders>
          </w:tcPr>
          <w:p w14:paraId="2E13C7DB" w14:textId="7B4C7393" w:rsidR="00B07737" w:rsidRPr="00712FE5" w:rsidRDefault="00B63912" w:rsidP="00B07737">
            <w:pPr>
              <w:pStyle w:val="naisc"/>
              <w:spacing w:before="0" w:after="0"/>
            </w:pPr>
            <w:r w:rsidRPr="00712FE5">
              <w:lastRenderedPageBreak/>
              <w:t>7</w:t>
            </w:r>
            <w:r w:rsidR="00B07737" w:rsidRPr="00712FE5">
              <w:t>.</w:t>
            </w:r>
          </w:p>
        </w:tc>
        <w:tc>
          <w:tcPr>
            <w:tcW w:w="3086" w:type="dxa"/>
            <w:gridSpan w:val="2"/>
            <w:tcBorders>
              <w:left w:val="single" w:sz="6" w:space="0" w:color="000000"/>
              <w:bottom w:val="single" w:sz="4" w:space="0" w:color="auto"/>
              <w:right w:val="single" w:sz="6" w:space="0" w:color="000000"/>
            </w:tcBorders>
          </w:tcPr>
          <w:p w14:paraId="47E6D6ED" w14:textId="77777777" w:rsidR="00B07737" w:rsidRPr="00712FE5" w:rsidRDefault="00B07737" w:rsidP="00B07737">
            <w:pPr>
              <w:pStyle w:val="naisc"/>
              <w:spacing w:before="0" w:after="0"/>
              <w:jc w:val="both"/>
            </w:pPr>
            <w:r w:rsidRPr="00712FE5">
              <w:t>2. punkts:</w:t>
            </w:r>
          </w:p>
          <w:p w14:paraId="7DD02F0A" w14:textId="77777777" w:rsidR="00B07737" w:rsidRPr="00712FE5" w:rsidRDefault="00B07737" w:rsidP="00B07737">
            <w:pPr>
              <w:pStyle w:val="paragraph"/>
              <w:spacing w:before="0" w:beforeAutospacing="0" w:after="0" w:afterAutospacing="0"/>
              <w:jc w:val="both"/>
              <w:textAlignment w:val="baseline"/>
              <w:rPr>
                <w:rStyle w:val="normaltextrun"/>
              </w:rPr>
            </w:pPr>
            <w:r w:rsidRPr="00712FE5">
              <w:t>“</w:t>
            </w:r>
            <w:r w:rsidRPr="00712FE5">
              <w:rPr>
                <w:rStyle w:val="normaltextrun"/>
              </w:rPr>
              <w:t>2. Ekspluatējama ēka uzskatāma par atbilstošu enerģijas patēriņa līmeņa un primārās enerģijas patēriņa līmeņa minimālajām prasībām, ja:</w:t>
            </w:r>
          </w:p>
          <w:p w14:paraId="36A996E2" w14:textId="77777777" w:rsidR="00B07737" w:rsidRPr="00712FE5" w:rsidRDefault="00B07737" w:rsidP="00B07737">
            <w:pPr>
              <w:pStyle w:val="paragraph"/>
              <w:spacing w:before="0" w:beforeAutospacing="0" w:after="0" w:afterAutospacing="0"/>
              <w:jc w:val="both"/>
              <w:textAlignment w:val="baseline"/>
              <w:rPr>
                <w:rStyle w:val="normaltextrun"/>
              </w:rPr>
            </w:pPr>
            <w:r w:rsidRPr="00712FE5">
              <w:rPr>
                <w:rStyle w:val="normaltextrun"/>
              </w:rPr>
              <w:t>2.1. ēkas apkurei un karstā ūdens sagatavošanai izmantotās siltumenerģijas patēriņš nepārsniedz 170 </w:t>
            </w:r>
            <w:r w:rsidRPr="00712FE5">
              <w:rPr>
                <w:rStyle w:val="spellingerror"/>
              </w:rPr>
              <w:t>kilovatstundas uz kvadrātmetru</w:t>
            </w:r>
            <w:r w:rsidRPr="00712FE5">
              <w:rPr>
                <w:rStyle w:val="normaltextrun"/>
              </w:rPr>
              <w:t xml:space="preserve"> gadā;</w:t>
            </w:r>
          </w:p>
          <w:p w14:paraId="230E2682" w14:textId="77777777" w:rsidR="00B07737" w:rsidRPr="00712FE5" w:rsidRDefault="00B07737" w:rsidP="00B07737">
            <w:pPr>
              <w:pStyle w:val="paragraph"/>
              <w:spacing w:before="0" w:beforeAutospacing="0" w:after="0" w:afterAutospacing="0"/>
              <w:jc w:val="both"/>
              <w:textAlignment w:val="baseline"/>
            </w:pPr>
            <w:r w:rsidRPr="00712FE5">
              <w:rPr>
                <w:rStyle w:val="normaltextrun"/>
              </w:rPr>
              <w:t>2.2. siltumenerģijas patēriņš ēkas apkurei nepārsniedz 130 </w:t>
            </w:r>
            <w:r w:rsidRPr="00712FE5">
              <w:rPr>
                <w:rStyle w:val="spellingerror"/>
              </w:rPr>
              <w:t>kilovatstundas uz kvadrātmetru</w:t>
            </w:r>
            <w:r w:rsidRPr="00712FE5">
              <w:rPr>
                <w:rStyle w:val="normaltextrun"/>
              </w:rPr>
              <w:t xml:space="preserve"> gadā;</w:t>
            </w:r>
            <w:r w:rsidRPr="00712FE5">
              <w:rPr>
                <w:rStyle w:val="eop"/>
              </w:rPr>
              <w:t> </w:t>
            </w:r>
          </w:p>
          <w:p w14:paraId="70E80ADC" w14:textId="77777777" w:rsidR="00B07737" w:rsidRPr="00712FE5" w:rsidRDefault="00B07737" w:rsidP="00B07737">
            <w:pPr>
              <w:pStyle w:val="naisc"/>
              <w:spacing w:before="0" w:after="0"/>
              <w:jc w:val="both"/>
            </w:pPr>
            <w:r w:rsidRPr="00712FE5">
              <w:t>2.3. </w:t>
            </w:r>
            <w:r w:rsidRPr="00712FE5">
              <w:rPr>
                <w:rStyle w:val="normaltextrun"/>
              </w:rPr>
              <w:t>ēkas kopējais primārās enerģijas patēriņa līmenis nepārsniedz 230 </w:t>
            </w:r>
            <w:r w:rsidRPr="00712FE5">
              <w:rPr>
                <w:rStyle w:val="spellingerror"/>
              </w:rPr>
              <w:t>kilovatstundas uz kvadrātmetru</w:t>
            </w:r>
            <w:r w:rsidRPr="00712FE5">
              <w:rPr>
                <w:rStyle w:val="normaltextrun"/>
              </w:rPr>
              <w:t xml:space="preserve"> gadā.</w:t>
            </w:r>
            <w:r w:rsidRPr="00712FE5">
              <w:t>”</w:t>
            </w:r>
          </w:p>
        </w:tc>
        <w:tc>
          <w:tcPr>
            <w:tcW w:w="4394" w:type="dxa"/>
            <w:tcBorders>
              <w:left w:val="single" w:sz="6" w:space="0" w:color="000000"/>
              <w:bottom w:val="single" w:sz="4" w:space="0" w:color="auto"/>
              <w:right w:val="single" w:sz="6" w:space="0" w:color="000000"/>
            </w:tcBorders>
          </w:tcPr>
          <w:p w14:paraId="10F59EA0" w14:textId="77777777" w:rsidR="00B07737" w:rsidRPr="00712FE5" w:rsidRDefault="00B07737" w:rsidP="00B07737">
            <w:pPr>
              <w:pStyle w:val="naisc"/>
              <w:spacing w:before="0" w:after="0"/>
              <w:jc w:val="both"/>
              <w:rPr>
                <w:b/>
                <w:bCs/>
              </w:rPr>
            </w:pPr>
            <w:r w:rsidRPr="00712FE5">
              <w:rPr>
                <w:b/>
                <w:bCs/>
              </w:rPr>
              <w:t>Tieslietu ministrija</w:t>
            </w:r>
          </w:p>
          <w:p w14:paraId="39D3079D" w14:textId="77777777" w:rsidR="00B07737" w:rsidRPr="00712FE5" w:rsidRDefault="00B07737" w:rsidP="00B07737">
            <w:pPr>
              <w:pStyle w:val="naisc"/>
              <w:spacing w:before="0" w:after="0"/>
              <w:jc w:val="both"/>
            </w:pPr>
            <w:r w:rsidRPr="00712FE5">
              <w:t>Lūdzam precizēt noteikumu projekta 2.1. apakšpunktu, skaidri norādot, vai ēkas apkurei un karstā ūdens sagatavošanai izmantotās siltumenerģijas patēriņš kopā nevar pārsniegt 170 kilovatstundas uz kvadrātmetru gadā vai katram no šiem mērķiem atsevišķi. Norādām, ka atbilstoši juridiskās tehnikas prasībām tiesību normai ir jābūt skaidrai, lai tās lietotājs un piemērotājs gūtu nepārprotamu priekšstatu par savām tiesībām un pienākumiem.</w:t>
            </w:r>
          </w:p>
        </w:tc>
        <w:tc>
          <w:tcPr>
            <w:tcW w:w="3119" w:type="dxa"/>
            <w:gridSpan w:val="2"/>
            <w:tcBorders>
              <w:left w:val="single" w:sz="6" w:space="0" w:color="000000"/>
              <w:bottom w:val="single" w:sz="4" w:space="0" w:color="auto"/>
              <w:right w:val="single" w:sz="6" w:space="0" w:color="000000"/>
            </w:tcBorders>
          </w:tcPr>
          <w:p w14:paraId="47EB7448" w14:textId="74842938" w:rsidR="00B07737" w:rsidRPr="00712FE5" w:rsidRDefault="00FA449F" w:rsidP="00FA449F">
            <w:pPr>
              <w:pStyle w:val="naisc"/>
              <w:spacing w:before="0" w:after="0"/>
            </w:pPr>
            <w:r>
              <w:t>Mainīta 2. punkta redakcija.</w:t>
            </w:r>
          </w:p>
        </w:tc>
        <w:tc>
          <w:tcPr>
            <w:tcW w:w="3118" w:type="dxa"/>
            <w:tcBorders>
              <w:top w:val="single" w:sz="4" w:space="0" w:color="auto"/>
              <w:left w:val="single" w:sz="4" w:space="0" w:color="auto"/>
              <w:bottom w:val="single" w:sz="4" w:space="0" w:color="auto"/>
            </w:tcBorders>
          </w:tcPr>
          <w:p w14:paraId="4F2212B6" w14:textId="7EC95F53" w:rsidR="00B07737" w:rsidRPr="00712FE5" w:rsidRDefault="007065A1" w:rsidP="008B5C1D">
            <w:pPr>
              <w:pStyle w:val="naisc"/>
              <w:spacing w:before="0" w:after="0"/>
              <w:jc w:val="both"/>
            </w:pPr>
            <w:r w:rsidRPr="00F91A74">
              <w:t xml:space="preserve">2. Ēka uzskatāma par atbilstošu enerģijas patēriņa līmeņa un primārās enerģijas patēriņa līmeņa minimālajām prasībām, ja tās energoefektivitātes klases rādītājs atbilstoši normatīvajiem aktiem ēku </w:t>
            </w:r>
            <w:proofErr w:type="spellStart"/>
            <w:r w:rsidRPr="00F91A74">
              <w:t>energosertifikācijas</w:t>
            </w:r>
            <w:proofErr w:type="spellEnd"/>
            <w:r w:rsidRPr="00F91A74">
              <w:t xml:space="preserve"> jomā atbilst E vai augstākai klasei.</w:t>
            </w:r>
          </w:p>
        </w:tc>
      </w:tr>
      <w:tr w:rsidR="00712FE5" w:rsidRPr="00712FE5" w14:paraId="7F19B02D" w14:textId="77777777" w:rsidTr="00F10DF3">
        <w:tc>
          <w:tcPr>
            <w:tcW w:w="708" w:type="dxa"/>
            <w:tcBorders>
              <w:left w:val="single" w:sz="6" w:space="0" w:color="000000"/>
              <w:bottom w:val="single" w:sz="4" w:space="0" w:color="auto"/>
              <w:right w:val="single" w:sz="6" w:space="0" w:color="000000"/>
            </w:tcBorders>
          </w:tcPr>
          <w:p w14:paraId="2817C342" w14:textId="37E035F4" w:rsidR="00B07737" w:rsidRPr="00712FE5" w:rsidRDefault="00B63912" w:rsidP="00B07737">
            <w:pPr>
              <w:pStyle w:val="naisc"/>
              <w:spacing w:before="0" w:after="0"/>
            </w:pPr>
            <w:r w:rsidRPr="00712FE5">
              <w:t>8</w:t>
            </w:r>
            <w:r w:rsidR="00B07737" w:rsidRPr="00712FE5">
              <w:t>.</w:t>
            </w:r>
          </w:p>
        </w:tc>
        <w:tc>
          <w:tcPr>
            <w:tcW w:w="3086" w:type="dxa"/>
            <w:gridSpan w:val="2"/>
            <w:tcBorders>
              <w:left w:val="single" w:sz="6" w:space="0" w:color="000000"/>
              <w:bottom w:val="single" w:sz="4" w:space="0" w:color="auto"/>
              <w:right w:val="single" w:sz="6" w:space="0" w:color="000000"/>
            </w:tcBorders>
          </w:tcPr>
          <w:p w14:paraId="32AA8B60" w14:textId="77777777" w:rsidR="00B07737" w:rsidRPr="00712FE5" w:rsidRDefault="00B07737" w:rsidP="00B07737">
            <w:pPr>
              <w:pStyle w:val="naisc"/>
              <w:spacing w:before="0" w:after="0"/>
              <w:jc w:val="both"/>
            </w:pPr>
            <w:r w:rsidRPr="00712FE5">
              <w:t>3. un 4. punkts:</w:t>
            </w:r>
          </w:p>
          <w:p w14:paraId="53B1B7E4" w14:textId="77777777" w:rsidR="00B07737" w:rsidRPr="00712FE5" w:rsidRDefault="00B07737" w:rsidP="00B07737">
            <w:pPr>
              <w:pStyle w:val="paragraph"/>
              <w:spacing w:before="0" w:beforeAutospacing="0" w:after="0" w:afterAutospacing="0"/>
              <w:jc w:val="both"/>
              <w:textAlignment w:val="baseline"/>
              <w:rPr>
                <w:rStyle w:val="normaltextrun"/>
              </w:rPr>
            </w:pPr>
            <w:r w:rsidRPr="00712FE5">
              <w:t>“</w:t>
            </w:r>
            <w:r w:rsidRPr="00712FE5">
              <w:rPr>
                <w:rStyle w:val="normaltextrun"/>
              </w:rPr>
              <w:t>3. Ekspluatējamas ēkas atbilstību enerģijas patēriņa līmenim nosaka:</w:t>
            </w:r>
          </w:p>
          <w:p w14:paraId="63E893BF" w14:textId="77777777" w:rsidR="00B07737" w:rsidRPr="00712FE5" w:rsidRDefault="00B07737" w:rsidP="00B07737">
            <w:pPr>
              <w:pStyle w:val="paragraph"/>
              <w:spacing w:before="0" w:beforeAutospacing="0" w:after="0" w:afterAutospacing="0"/>
              <w:jc w:val="both"/>
              <w:textAlignment w:val="baseline"/>
              <w:rPr>
                <w:rStyle w:val="spellingerror"/>
              </w:rPr>
            </w:pPr>
            <w:r w:rsidRPr="00712FE5">
              <w:rPr>
                <w:rStyle w:val="normaltextrun"/>
              </w:rPr>
              <w:t xml:space="preserve">3.1. veicot ēkas </w:t>
            </w:r>
            <w:r w:rsidRPr="00712FE5">
              <w:rPr>
                <w:rStyle w:val="spellingerror"/>
              </w:rPr>
              <w:t>energosertifikāciju;</w:t>
            </w:r>
          </w:p>
          <w:p w14:paraId="6C78F222" w14:textId="77777777" w:rsidR="00B07737" w:rsidRPr="00712FE5" w:rsidRDefault="00B07737" w:rsidP="00B07737">
            <w:pPr>
              <w:pStyle w:val="naisc"/>
              <w:spacing w:before="0" w:after="0"/>
              <w:jc w:val="both"/>
              <w:rPr>
                <w:rStyle w:val="normaltextrun"/>
              </w:rPr>
            </w:pPr>
            <w:r w:rsidRPr="00712FE5">
              <w:rPr>
                <w:rStyle w:val="spellingerror"/>
              </w:rPr>
              <w:t>3.2. </w:t>
            </w:r>
            <w:r w:rsidRPr="00712FE5">
              <w:rPr>
                <w:rStyle w:val="normaltextrun"/>
              </w:rPr>
              <w:t>aprēķinot vidējo siltumenerģijas patēriņu pēdējos trīs kalendāra gados, ņemot vērā ēkas apkurināmo lietderīgo platību.</w:t>
            </w:r>
          </w:p>
          <w:p w14:paraId="76EDE3D5" w14:textId="77777777" w:rsidR="00B07737" w:rsidRPr="00712FE5" w:rsidRDefault="00B07737" w:rsidP="00B07737">
            <w:pPr>
              <w:pStyle w:val="paragraph"/>
              <w:spacing w:before="0" w:beforeAutospacing="0" w:after="0" w:afterAutospacing="0"/>
              <w:jc w:val="both"/>
              <w:textAlignment w:val="baseline"/>
              <w:rPr>
                <w:rStyle w:val="normaltextrun"/>
              </w:rPr>
            </w:pPr>
            <w:r w:rsidRPr="00712FE5">
              <w:rPr>
                <w:rStyle w:val="normaltextrun"/>
              </w:rPr>
              <w:lastRenderedPageBreak/>
              <w:t>4. Ekspluatējamas ēkas atbilstību primārās enerģijas patēriņa līmenim nosaka:</w:t>
            </w:r>
          </w:p>
          <w:p w14:paraId="1F4A485C" w14:textId="77777777" w:rsidR="00B07737" w:rsidRPr="00712FE5" w:rsidRDefault="00B07737" w:rsidP="00B07737">
            <w:pPr>
              <w:pStyle w:val="paragraph"/>
              <w:spacing w:before="0" w:beforeAutospacing="0" w:after="0" w:afterAutospacing="0"/>
              <w:jc w:val="both"/>
              <w:textAlignment w:val="baseline"/>
              <w:rPr>
                <w:rStyle w:val="spellingerror"/>
              </w:rPr>
            </w:pPr>
            <w:r w:rsidRPr="00712FE5">
              <w:rPr>
                <w:rStyle w:val="normaltextrun"/>
              </w:rPr>
              <w:t xml:space="preserve">4.1. veicot ēkas </w:t>
            </w:r>
            <w:r w:rsidRPr="00712FE5">
              <w:rPr>
                <w:rStyle w:val="spellingerror"/>
              </w:rPr>
              <w:t>energosertifikāciju;</w:t>
            </w:r>
          </w:p>
          <w:p w14:paraId="7FC6AD23" w14:textId="77777777" w:rsidR="00B07737" w:rsidRPr="00712FE5" w:rsidRDefault="00B07737" w:rsidP="00B07737">
            <w:pPr>
              <w:pStyle w:val="naisc"/>
              <w:spacing w:before="0" w:after="0"/>
              <w:jc w:val="both"/>
            </w:pPr>
            <w:r w:rsidRPr="00712FE5">
              <w:rPr>
                <w:rStyle w:val="spellingerror"/>
              </w:rPr>
              <w:t>4.2. </w:t>
            </w:r>
            <w:r w:rsidRPr="00712FE5">
              <w:rPr>
                <w:rStyle w:val="normaltextrun"/>
              </w:rPr>
              <w:t>aprēķinot vidējo ēkas energoresursu patēriņu pēdējos trīs kalendāra gados un šo patēriņu reizinot ar primārās enerģijas faktoriem katram energonesējam. Primārās enerģijas faktorus nosaka atbilstoši normatīvajiem aktiem ēkas energoefektivitātes aprēķina jomā un patēriņu attiecina, ņemot vērā ēkas apkurināmo lietderīgo platību.</w:t>
            </w:r>
            <w:r w:rsidRPr="00712FE5">
              <w:t>”</w:t>
            </w:r>
          </w:p>
        </w:tc>
        <w:tc>
          <w:tcPr>
            <w:tcW w:w="4394" w:type="dxa"/>
            <w:tcBorders>
              <w:left w:val="single" w:sz="6" w:space="0" w:color="000000"/>
              <w:bottom w:val="single" w:sz="4" w:space="0" w:color="auto"/>
              <w:right w:val="single" w:sz="6" w:space="0" w:color="000000"/>
            </w:tcBorders>
          </w:tcPr>
          <w:p w14:paraId="03ED0F01" w14:textId="77777777" w:rsidR="00B07737" w:rsidRPr="00712FE5" w:rsidRDefault="00B07737" w:rsidP="00B07737">
            <w:pPr>
              <w:pStyle w:val="naisc"/>
              <w:spacing w:before="0" w:after="0"/>
              <w:jc w:val="both"/>
              <w:rPr>
                <w:b/>
                <w:bCs/>
              </w:rPr>
            </w:pPr>
            <w:r w:rsidRPr="00712FE5">
              <w:rPr>
                <w:b/>
                <w:bCs/>
              </w:rPr>
              <w:lastRenderedPageBreak/>
              <w:t>Finanšu ministrija</w:t>
            </w:r>
          </w:p>
          <w:p w14:paraId="3865536F" w14:textId="77777777" w:rsidR="00B07737" w:rsidRPr="00712FE5" w:rsidRDefault="00B07737" w:rsidP="00B07737">
            <w:pPr>
              <w:pStyle w:val="naisc"/>
              <w:spacing w:before="0" w:after="0"/>
              <w:jc w:val="both"/>
            </w:pPr>
            <w:r w:rsidRPr="00712FE5">
              <w:t xml:space="preserve">Lūdzam precizēt Noteikumu projekta 3.1. un 3.2.apakšpunktu, jo pēc apakšpunktos noteiktām metodēm ēkas enerģijas patēriņa līmeņa noteikšanai iegūstami atšķirīgi rezultāti: saskaņā ar 3.1.apakšpunktu vērtējums tiek iegūts uz ēkas aprēķina platību kas, saskaņā ar MK 25.06.2013. noteikumu Nr.348 “Ēkas energoefektivitātes aprēķina metode” (turpmāk – noteikumi Nr.348) 72.punktu </w:t>
            </w:r>
            <w:r w:rsidRPr="00712FE5">
              <w:lastRenderedPageBreak/>
              <w:t xml:space="preserve">ietver “visu kondicionēto (apsildāmu) telpu platības”, savukārt 3.2. apakšpunktā paredzēts aprēķins, ņemot vērā ēkas apkurināmo lietderīgo platību, kas neietver dzīvojamās ēkas </w:t>
            </w:r>
            <w:proofErr w:type="spellStart"/>
            <w:r w:rsidRPr="00712FE5">
              <w:t>palīgplatības</w:t>
            </w:r>
            <w:proofErr w:type="spellEnd"/>
            <w:r w:rsidRPr="00712FE5">
              <w:t xml:space="preserve"> (apkurināmas koplietošanas telpas).</w:t>
            </w:r>
          </w:p>
          <w:p w14:paraId="223E9A66" w14:textId="77777777" w:rsidR="00B07737" w:rsidRPr="00712FE5" w:rsidRDefault="00B07737" w:rsidP="00B07737">
            <w:pPr>
              <w:pStyle w:val="naisc"/>
              <w:spacing w:before="0" w:after="0"/>
              <w:jc w:val="both"/>
              <w:rPr>
                <w:b/>
              </w:rPr>
            </w:pPr>
            <w:r w:rsidRPr="00712FE5">
              <w:rPr>
                <w:b/>
              </w:rPr>
              <w:t>Finanšu ministrija (papildus)</w:t>
            </w:r>
          </w:p>
          <w:p w14:paraId="56B6030F" w14:textId="77777777" w:rsidR="00B07737" w:rsidRPr="00712FE5" w:rsidRDefault="00B07737" w:rsidP="00B07737">
            <w:pPr>
              <w:pStyle w:val="naisc"/>
              <w:spacing w:before="0" w:after="0"/>
              <w:jc w:val="both"/>
            </w:pPr>
            <w:r w:rsidRPr="00712FE5">
              <w:t xml:space="preserve">Konkrēti nosakāms, ka primārais veids ir ēkas </w:t>
            </w:r>
            <w:proofErr w:type="spellStart"/>
            <w:r w:rsidRPr="00712FE5">
              <w:t>energosertifikācija</w:t>
            </w:r>
            <w:proofErr w:type="spellEnd"/>
            <w:r w:rsidRPr="00712FE5">
              <w:t>. Rosina aizstāt ”apkurināmo lietderīgo platību” ar visu apkurināmo platību (piemēram, ”aprēķina platību”, kas izmantota Ministru kabineta 2013.gada 25.jūnija noteikumos Nr.348 “</w:t>
            </w:r>
            <w:r w:rsidRPr="00712FE5">
              <w:rPr>
                <w:shd w:val="clear" w:color="auto" w:fill="FFFFFF"/>
              </w:rPr>
              <w:t>Ēkas energoefektivitātes aprēķina metode</w:t>
            </w:r>
            <w:r w:rsidRPr="00712FE5">
              <w:t>”). Tas pats arī Noteikumu projekta 4.punktā.</w:t>
            </w:r>
          </w:p>
          <w:p w14:paraId="1FA045A5" w14:textId="77777777" w:rsidR="00B07737" w:rsidRPr="00712FE5" w:rsidRDefault="00B07737" w:rsidP="00B07737">
            <w:pPr>
              <w:pStyle w:val="naisc"/>
              <w:spacing w:before="0" w:after="0"/>
              <w:jc w:val="both"/>
              <w:rPr>
                <w:b/>
                <w:bCs/>
              </w:rPr>
            </w:pPr>
            <w:r w:rsidRPr="00712FE5">
              <w:rPr>
                <w:b/>
                <w:bCs/>
              </w:rPr>
              <w:t>Latvijas Lielo pilsētu asociācija</w:t>
            </w:r>
          </w:p>
          <w:p w14:paraId="629C93B2" w14:textId="77777777" w:rsidR="00B07737" w:rsidRPr="00712FE5" w:rsidRDefault="00B07737" w:rsidP="00B07737">
            <w:pPr>
              <w:pStyle w:val="CommentText"/>
              <w:rPr>
                <w:bCs/>
                <w:sz w:val="24"/>
                <w:szCs w:val="24"/>
              </w:rPr>
            </w:pPr>
            <w:r w:rsidRPr="00712FE5">
              <w:rPr>
                <w:bCs/>
                <w:sz w:val="24"/>
                <w:szCs w:val="24"/>
              </w:rPr>
              <w:t xml:space="preserve">Starp divām atšķirīgām metodēm tiek likta vienādības zīme. 3.2. apakšpunktā minētā metode neņem vērā klimatiskos apstākļus, t.i. netiek piemērots klimatiskās korekcijas koeficients, kad ēkas </w:t>
            </w:r>
            <w:proofErr w:type="spellStart"/>
            <w:r w:rsidRPr="00712FE5">
              <w:rPr>
                <w:bCs/>
                <w:sz w:val="24"/>
                <w:szCs w:val="24"/>
              </w:rPr>
              <w:t>energosertifikācijas</w:t>
            </w:r>
            <w:proofErr w:type="spellEnd"/>
            <w:r w:rsidRPr="00712FE5">
              <w:rPr>
                <w:bCs/>
                <w:sz w:val="24"/>
                <w:szCs w:val="24"/>
              </w:rPr>
              <w:t xml:space="preserve"> aprēķinā tiek ņemti vērā klimatiskie apstākļi. Abos gadījumos rezultāti būs atšķirīgi. </w:t>
            </w:r>
          </w:p>
          <w:p w14:paraId="2BDAFBD1" w14:textId="77777777" w:rsidR="00B07737" w:rsidRPr="00712FE5" w:rsidRDefault="00B07737" w:rsidP="00B07737">
            <w:pPr>
              <w:pStyle w:val="naisc"/>
              <w:spacing w:before="0" w:after="0"/>
              <w:jc w:val="both"/>
            </w:pPr>
            <w:r w:rsidRPr="00712FE5">
              <w:rPr>
                <w:bCs/>
              </w:rPr>
              <w:t>Aprēķinu vienkāršošanai un plašai pieejamībai būtu jāņem tikai viena metode – 3.2. apakšpunktā minētā.</w:t>
            </w:r>
          </w:p>
        </w:tc>
        <w:tc>
          <w:tcPr>
            <w:tcW w:w="3119" w:type="dxa"/>
            <w:gridSpan w:val="2"/>
            <w:tcBorders>
              <w:left w:val="single" w:sz="6" w:space="0" w:color="000000"/>
              <w:bottom w:val="single" w:sz="4" w:space="0" w:color="auto"/>
              <w:right w:val="single" w:sz="6" w:space="0" w:color="000000"/>
            </w:tcBorders>
          </w:tcPr>
          <w:p w14:paraId="1B33A767" w14:textId="77777777" w:rsidR="00F56801" w:rsidRPr="00712FE5" w:rsidRDefault="00F56801" w:rsidP="00F56801">
            <w:pPr>
              <w:pStyle w:val="naisc"/>
              <w:spacing w:before="0" w:after="0"/>
              <w:rPr>
                <w:b/>
                <w:bCs/>
              </w:rPr>
            </w:pPr>
            <w:r w:rsidRPr="00712FE5">
              <w:rPr>
                <w:b/>
                <w:bCs/>
              </w:rPr>
              <w:lastRenderedPageBreak/>
              <w:t>Panākta vienošanās.</w:t>
            </w:r>
          </w:p>
          <w:p w14:paraId="59E447B3" w14:textId="09E03A47" w:rsidR="00B63912" w:rsidRPr="00712FE5" w:rsidRDefault="00B63912" w:rsidP="00B07737">
            <w:pPr>
              <w:pStyle w:val="naisc"/>
              <w:spacing w:before="0" w:after="0"/>
              <w:jc w:val="both"/>
              <w:rPr>
                <w:i/>
              </w:rPr>
            </w:pPr>
            <w:bookmarkStart w:id="0" w:name="_Hlk39689670"/>
            <w:r w:rsidRPr="00712FE5">
              <w:t>Noteikumu projekta</w:t>
            </w:r>
            <w:r w:rsidR="000B5FE5" w:rsidRPr="00712FE5">
              <w:t xml:space="preserve"> 3. un </w:t>
            </w:r>
            <w:r w:rsidR="00A27BE0">
              <w:t>4</w:t>
            </w:r>
            <w:r w:rsidR="000B5FE5" w:rsidRPr="00712FE5">
              <w:t>. punktā</w:t>
            </w:r>
            <w:r w:rsidRPr="00712FE5">
              <w:t xml:space="preserve"> “</w:t>
            </w:r>
            <w:r w:rsidR="000B5FE5" w:rsidRPr="00712FE5">
              <w:t>a</w:t>
            </w:r>
            <w:r w:rsidRPr="00712FE5">
              <w:t>pkurināmā lietderīgā platība” aizstāta ar “aprēķina platību”.</w:t>
            </w:r>
          </w:p>
          <w:bookmarkEnd w:id="0"/>
          <w:p w14:paraId="7E437DD8" w14:textId="77777777" w:rsidR="00B07737" w:rsidRPr="00712FE5" w:rsidRDefault="00B07737" w:rsidP="00B07737">
            <w:pPr>
              <w:pStyle w:val="naisc"/>
              <w:spacing w:before="0" w:after="0"/>
              <w:jc w:val="both"/>
            </w:pPr>
            <w:r w:rsidRPr="00712FE5">
              <w:t xml:space="preserve">Ēkas enerģijas patēriņa līmeņa noteikšanas metode tiek izvēlēta atkarībā no konkrētās situācijas. Proti, ja saskaņā ar tiesību aktos noteikto ir jāveic ēkas </w:t>
            </w:r>
            <w:proofErr w:type="spellStart"/>
            <w:r w:rsidRPr="00712FE5">
              <w:t>energosertifikācija</w:t>
            </w:r>
            <w:proofErr w:type="spellEnd"/>
            <w:r w:rsidRPr="00712FE5">
              <w:t xml:space="preserve">, </w:t>
            </w:r>
            <w:r w:rsidRPr="00712FE5">
              <w:lastRenderedPageBreak/>
              <w:t>primāri enerģijas patēriņa līmenis tiek noteikts, veicot energosertifikāciju. Pārējos gadījumos ēkas enerģijas patēriņa līmeņa noteikšanas metodi izvēlas ēkas īpašnieks.</w:t>
            </w:r>
          </w:p>
        </w:tc>
        <w:tc>
          <w:tcPr>
            <w:tcW w:w="3118" w:type="dxa"/>
            <w:tcBorders>
              <w:top w:val="single" w:sz="4" w:space="0" w:color="auto"/>
              <w:left w:val="single" w:sz="4" w:space="0" w:color="auto"/>
              <w:bottom w:val="single" w:sz="4" w:space="0" w:color="auto"/>
            </w:tcBorders>
          </w:tcPr>
          <w:p w14:paraId="7E3FCB7D" w14:textId="3014585D" w:rsidR="00B07737" w:rsidRPr="00712FE5" w:rsidRDefault="00A27BE0" w:rsidP="008B5C1D">
            <w:r>
              <w:lastRenderedPageBreak/>
              <w:t>3</w:t>
            </w:r>
            <w:r w:rsidR="00B07737" w:rsidRPr="00712FE5">
              <w:t xml:space="preserve">. un </w:t>
            </w:r>
            <w:r>
              <w:t>4</w:t>
            </w:r>
            <w:r w:rsidR="00B07737" w:rsidRPr="00712FE5">
              <w:t>. punkts:</w:t>
            </w:r>
          </w:p>
          <w:p w14:paraId="09FFE9BF" w14:textId="5AC6875F" w:rsidR="008B5C1D" w:rsidRPr="00712FE5" w:rsidRDefault="008B5C1D" w:rsidP="008B5C1D">
            <w:pPr>
              <w:pStyle w:val="paragraph"/>
              <w:spacing w:before="0" w:beforeAutospacing="0" w:after="0" w:afterAutospacing="0"/>
              <w:jc w:val="both"/>
              <w:textAlignment w:val="baseline"/>
            </w:pPr>
            <w:r w:rsidRPr="00712FE5">
              <w:t>“</w:t>
            </w:r>
            <w:r w:rsidR="00A27BE0">
              <w:t>3</w:t>
            </w:r>
            <w:r w:rsidRPr="00712FE5">
              <w:t>. Ēkas atbilstību enerģijas patēriņa līmenim nosaka vienā no veidiem:</w:t>
            </w:r>
          </w:p>
          <w:p w14:paraId="39B6FA09" w14:textId="0E6375F5" w:rsidR="008B5C1D" w:rsidRPr="00712FE5" w:rsidRDefault="00A27BE0" w:rsidP="008B5C1D">
            <w:pPr>
              <w:pStyle w:val="paragraph"/>
              <w:spacing w:before="0" w:beforeAutospacing="0" w:after="0" w:afterAutospacing="0"/>
              <w:jc w:val="both"/>
              <w:textAlignment w:val="baseline"/>
            </w:pPr>
            <w:r>
              <w:t>3</w:t>
            </w:r>
            <w:r w:rsidR="008B5C1D" w:rsidRPr="00712FE5">
              <w:t>.1. veicot ēkas energosertifikāciju normatīvajos aktos ēkas energoefektivitātes aprēķina jomā paredzētajā kārtībā;</w:t>
            </w:r>
          </w:p>
          <w:p w14:paraId="3BA30735" w14:textId="59DB9619" w:rsidR="008B5C1D" w:rsidRPr="00712FE5" w:rsidRDefault="00A27BE0" w:rsidP="008B5C1D">
            <w:pPr>
              <w:pStyle w:val="paragraph"/>
              <w:spacing w:before="0" w:beforeAutospacing="0" w:after="0" w:afterAutospacing="0"/>
              <w:jc w:val="both"/>
              <w:textAlignment w:val="baseline"/>
            </w:pPr>
            <w:r>
              <w:t>3</w:t>
            </w:r>
            <w:r w:rsidR="008B5C1D" w:rsidRPr="00712FE5">
              <w:t xml:space="preserve">.2. aprēķinot vidējo siltumenerģijas patēriņu </w:t>
            </w:r>
            <w:r w:rsidR="008B5C1D" w:rsidRPr="00712FE5">
              <w:lastRenderedPageBreak/>
              <w:t>pēdējos trīs kalendāra gados, ņemot vērā ēkas aprēķina platību.</w:t>
            </w:r>
          </w:p>
          <w:p w14:paraId="6F30D0CB" w14:textId="0012DDB0" w:rsidR="008B5C1D" w:rsidRPr="00712FE5" w:rsidRDefault="00A27BE0" w:rsidP="008B5C1D">
            <w:pPr>
              <w:pStyle w:val="paragraph"/>
              <w:spacing w:before="0" w:beforeAutospacing="0" w:after="0" w:afterAutospacing="0"/>
              <w:jc w:val="both"/>
              <w:textAlignment w:val="baseline"/>
            </w:pPr>
            <w:r>
              <w:t>4</w:t>
            </w:r>
            <w:r w:rsidR="008B5C1D" w:rsidRPr="00712FE5">
              <w:t>. Ēkas atbilstību primārās enerģijas patēriņa līmenim nosaka vienā no veidiem:</w:t>
            </w:r>
          </w:p>
          <w:p w14:paraId="3EC6FAE6" w14:textId="261BA909" w:rsidR="008B5C1D" w:rsidRPr="00712FE5" w:rsidRDefault="00A27BE0" w:rsidP="008B5C1D">
            <w:pPr>
              <w:pStyle w:val="paragraph"/>
              <w:spacing w:before="0" w:beforeAutospacing="0" w:after="0" w:afterAutospacing="0"/>
              <w:jc w:val="both"/>
              <w:textAlignment w:val="baseline"/>
            </w:pPr>
            <w:r>
              <w:t>4</w:t>
            </w:r>
            <w:r w:rsidR="008B5C1D" w:rsidRPr="00712FE5">
              <w:t>.1. veicot ēkas energosertifikāciju normatīvajos aktos ēkas energoefektivitātes aprēķina jomā paredzētajā kārtībā;</w:t>
            </w:r>
          </w:p>
          <w:p w14:paraId="3E813D4E" w14:textId="7434F64C" w:rsidR="00B07737" w:rsidRPr="00712FE5" w:rsidRDefault="00A27BE0" w:rsidP="008B5C1D">
            <w:pPr>
              <w:pStyle w:val="paragraph"/>
              <w:spacing w:before="0" w:beforeAutospacing="0" w:after="0" w:afterAutospacing="0"/>
              <w:jc w:val="both"/>
              <w:textAlignment w:val="baseline"/>
            </w:pPr>
            <w:r>
              <w:t>4</w:t>
            </w:r>
            <w:r w:rsidR="008B5C1D" w:rsidRPr="00712FE5">
              <w:t>.2. aprēķinot vidējo ēkas energoresursu patēriņu pēdējos trīs kalendāra gados un šo patēriņu reizinot ar primārās enerģijas faktoriem katram energonesējam. Primārās enerģijas faktorus nosaka atbilstoši normatīvajiem aktiem ēkas energoefektivitātes aprēķina jomā un vidējo ēkas energoresursu patēriņu attiecina, ņemot vērā ēkas aprēķina platību.”</w:t>
            </w:r>
          </w:p>
        </w:tc>
      </w:tr>
      <w:tr w:rsidR="00712FE5" w:rsidRPr="00712FE5" w14:paraId="474E7A8E" w14:textId="77777777" w:rsidTr="00F10DF3">
        <w:tc>
          <w:tcPr>
            <w:tcW w:w="708" w:type="dxa"/>
            <w:tcBorders>
              <w:left w:val="single" w:sz="6" w:space="0" w:color="000000"/>
              <w:bottom w:val="single" w:sz="4" w:space="0" w:color="auto"/>
              <w:right w:val="single" w:sz="6" w:space="0" w:color="000000"/>
            </w:tcBorders>
          </w:tcPr>
          <w:p w14:paraId="17889C32" w14:textId="21F8E631" w:rsidR="00B07737" w:rsidRPr="00712FE5" w:rsidRDefault="00F436C8" w:rsidP="00B07737">
            <w:pPr>
              <w:pStyle w:val="naisc"/>
              <w:spacing w:before="0" w:after="0"/>
            </w:pPr>
            <w:r w:rsidRPr="00712FE5">
              <w:lastRenderedPageBreak/>
              <w:t>9</w:t>
            </w:r>
            <w:r w:rsidR="00B07737" w:rsidRPr="00712FE5">
              <w:t>.</w:t>
            </w:r>
          </w:p>
        </w:tc>
        <w:tc>
          <w:tcPr>
            <w:tcW w:w="3086" w:type="dxa"/>
            <w:gridSpan w:val="2"/>
            <w:tcBorders>
              <w:left w:val="single" w:sz="6" w:space="0" w:color="000000"/>
              <w:bottom w:val="single" w:sz="4" w:space="0" w:color="auto"/>
              <w:right w:val="single" w:sz="6" w:space="0" w:color="000000"/>
            </w:tcBorders>
          </w:tcPr>
          <w:p w14:paraId="6EDCE8BA" w14:textId="77777777" w:rsidR="00B07737" w:rsidRPr="00712FE5" w:rsidRDefault="00B07737" w:rsidP="00B07737">
            <w:pPr>
              <w:pStyle w:val="naisc"/>
              <w:spacing w:before="0" w:after="0"/>
              <w:jc w:val="both"/>
            </w:pPr>
            <w:r w:rsidRPr="00712FE5">
              <w:t>4. punkts:</w:t>
            </w:r>
          </w:p>
          <w:p w14:paraId="2BD91B1C" w14:textId="77777777" w:rsidR="00B07737" w:rsidRPr="00712FE5" w:rsidRDefault="00B07737" w:rsidP="00B07737">
            <w:pPr>
              <w:pStyle w:val="paragraph"/>
              <w:spacing w:before="0" w:beforeAutospacing="0" w:after="0" w:afterAutospacing="0"/>
              <w:jc w:val="both"/>
              <w:textAlignment w:val="baseline"/>
              <w:rPr>
                <w:rStyle w:val="normaltextrun"/>
              </w:rPr>
            </w:pPr>
            <w:r w:rsidRPr="00712FE5">
              <w:t>“</w:t>
            </w:r>
            <w:r w:rsidRPr="00712FE5">
              <w:rPr>
                <w:rStyle w:val="normaltextrun"/>
              </w:rPr>
              <w:t>4. Ekspluatējamas ēkas atbilstību primārās enerģijas patēriņa līmenim nosaka:</w:t>
            </w:r>
          </w:p>
          <w:p w14:paraId="42F1DE9C" w14:textId="77777777" w:rsidR="00B07737" w:rsidRPr="00712FE5" w:rsidRDefault="00B07737" w:rsidP="00B07737">
            <w:pPr>
              <w:pStyle w:val="paragraph"/>
              <w:spacing w:before="0" w:beforeAutospacing="0" w:after="0" w:afterAutospacing="0"/>
              <w:jc w:val="both"/>
              <w:textAlignment w:val="baseline"/>
              <w:rPr>
                <w:rStyle w:val="spellingerror"/>
              </w:rPr>
            </w:pPr>
            <w:r w:rsidRPr="00712FE5">
              <w:rPr>
                <w:rStyle w:val="normaltextrun"/>
              </w:rPr>
              <w:lastRenderedPageBreak/>
              <w:t xml:space="preserve">4.1. veicot ēkas </w:t>
            </w:r>
            <w:r w:rsidRPr="00712FE5">
              <w:rPr>
                <w:rStyle w:val="spellingerror"/>
              </w:rPr>
              <w:t>energosertifikāciju;</w:t>
            </w:r>
          </w:p>
          <w:p w14:paraId="53F5CD8E" w14:textId="77777777" w:rsidR="00B07737" w:rsidRPr="00712FE5" w:rsidRDefault="00B07737" w:rsidP="00B07737">
            <w:pPr>
              <w:pStyle w:val="naisc"/>
              <w:spacing w:before="0" w:after="0"/>
              <w:jc w:val="both"/>
            </w:pPr>
            <w:r w:rsidRPr="00712FE5">
              <w:rPr>
                <w:rStyle w:val="spellingerror"/>
              </w:rPr>
              <w:t>4.2. </w:t>
            </w:r>
            <w:r w:rsidRPr="00712FE5">
              <w:rPr>
                <w:rStyle w:val="normaltextrun"/>
              </w:rPr>
              <w:t>aprēķinot vidējo ēkas energoresursu patēriņu pēdējos trīs kalendāra gados un šo patēriņu reizinot ar primārās enerģijas faktoriem katram energonesējam. Primārās enerģijas faktorus nosaka atbilstoši normatīvajiem aktiem ēkas energoefektivitātes aprēķina jomā un patēriņu attiecina, ņemot vērā ēkas apkurināmo lietderīgo platību.</w:t>
            </w:r>
            <w:r w:rsidRPr="00712FE5">
              <w:t>”</w:t>
            </w:r>
          </w:p>
        </w:tc>
        <w:tc>
          <w:tcPr>
            <w:tcW w:w="4394" w:type="dxa"/>
            <w:tcBorders>
              <w:left w:val="single" w:sz="6" w:space="0" w:color="000000"/>
              <w:bottom w:val="single" w:sz="4" w:space="0" w:color="auto"/>
              <w:right w:val="single" w:sz="6" w:space="0" w:color="000000"/>
            </w:tcBorders>
          </w:tcPr>
          <w:p w14:paraId="17DB93FC" w14:textId="77777777" w:rsidR="00B07737" w:rsidRPr="00712FE5" w:rsidRDefault="00B07737" w:rsidP="00B07737">
            <w:pPr>
              <w:pStyle w:val="naisc"/>
              <w:spacing w:before="0" w:after="0"/>
              <w:jc w:val="both"/>
              <w:rPr>
                <w:b/>
                <w:bCs/>
              </w:rPr>
            </w:pPr>
            <w:r w:rsidRPr="00712FE5">
              <w:rPr>
                <w:b/>
                <w:bCs/>
              </w:rPr>
              <w:lastRenderedPageBreak/>
              <w:t>Finanšu ministrija</w:t>
            </w:r>
          </w:p>
          <w:p w14:paraId="5DC8E464" w14:textId="77777777" w:rsidR="00B07737" w:rsidRPr="00712FE5" w:rsidRDefault="00B07737" w:rsidP="00B07737">
            <w:r w:rsidRPr="00712FE5">
              <w:t xml:space="preserve">Lūdzam precizēt Noteikumu projekta 4. punktu, jo normatīvajos aktos ēkas energoefektivitātes aprēķina jomā (noteikumi Nr.348) primārās enerģijas </w:t>
            </w:r>
            <w:r w:rsidRPr="00712FE5">
              <w:lastRenderedPageBreak/>
              <w:t>faktori ir noteikti tikai neatjaunojamo energoresursu daļai.</w:t>
            </w:r>
          </w:p>
          <w:p w14:paraId="7EEEB2DB" w14:textId="77777777" w:rsidR="00B07737" w:rsidRPr="00712FE5" w:rsidRDefault="00B07737" w:rsidP="00B07737">
            <w:pPr>
              <w:rPr>
                <w:b/>
              </w:rPr>
            </w:pPr>
            <w:r w:rsidRPr="00712FE5">
              <w:rPr>
                <w:b/>
              </w:rPr>
              <w:t>Finanšu ministrija (papildus)</w:t>
            </w:r>
          </w:p>
          <w:p w14:paraId="2650764B" w14:textId="77777777" w:rsidR="00B07737" w:rsidRPr="00712FE5" w:rsidRDefault="00B07737" w:rsidP="00B07737">
            <w:r w:rsidRPr="00712FE5">
              <w:t>Izvērtējama nepieciešamība ietvert norādi uz standartiem, kur ir primārās enerģijas koeficienti (</w:t>
            </w:r>
            <w:r w:rsidRPr="00712FE5">
              <w:rPr>
                <w:bCs/>
                <w:bdr w:val="none" w:sz="0" w:space="0" w:color="auto" w:frame="1"/>
              </w:rPr>
              <w:t>LVS EN ISO 52000-1:2017</w:t>
            </w:r>
            <w:r w:rsidRPr="00712FE5">
              <w:rPr>
                <w:bCs/>
              </w:rPr>
              <w:t> ”</w:t>
            </w:r>
            <w:r w:rsidRPr="00712FE5">
              <w:rPr>
                <w:bdr w:val="none" w:sz="0" w:space="0" w:color="auto" w:frame="1"/>
              </w:rPr>
              <w:t xml:space="preserve">Ēku energoefektivitāte. Vispārējs ēku energoefektivitātes novērtējums. 1.daļa: Vispārīgas pamatnostādnes un procedūras (ISO 52000-1:2017)”  un tā nacionālais pielikums </w:t>
            </w:r>
            <w:r w:rsidRPr="00712FE5">
              <w:rPr>
                <w:bCs/>
                <w:bdr w:val="none" w:sz="0" w:space="0" w:color="auto" w:frame="1"/>
              </w:rPr>
              <w:t>LVS EN ISO 52000-1:2017/NA:2020</w:t>
            </w:r>
            <w:r w:rsidRPr="00712FE5">
              <w:rPr>
                <w:bCs/>
              </w:rPr>
              <w:t xml:space="preserve">). Vērš uzmanību, ka </w:t>
            </w:r>
            <w:r w:rsidRPr="00712FE5">
              <w:t>Ministru kabineta 2013.gada 25.jūnija noteikumos Nr.348 “</w:t>
            </w:r>
            <w:r w:rsidRPr="00712FE5">
              <w:rPr>
                <w:shd w:val="clear" w:color="auto" w:fill="FFFFFF"/>
              </w:rPr>
              <w:t>Ēkas energoefektivitātes aprēķina metode</w:t>
            </w:r>
            <w:r w:rsidRPr="00712FE5">
              <w:t xml:space="preserve">” </w:t>
            </w:r>
            <w:r w:rsidRPr="00712FE5">
              <w:rPr>
                <w:bdr w:val="none" w:sz="0" w:space="0" w:color="auto" w:frame="1"/>
              </w:rPr>
              <w:t>atbilstoši Latvijas enerģijas bilancei ir savādāk noteikts primārās enerģijas faktors elektroenerģijai.</w:t>
            </w:r>
          </w:p>
        </w:tc>
        <w:tc>
          <w:tcPr>
            <w:tcW w:w="3119" w:type="dxa"/>
            <w:gridSpan w:val="2"/>
            <w:tcBorders>
              <w:left w:val="single" w:sz="6" w:space="0" w:color="000000"/>
              <w:bottom w:val="single" w:sz="4" w:space="0" w:color="auto"/>
              <w:right w:val="single" w:sz="6" w:space="0" w:color="000000"/>
            </w:tcBorders>
          </w:tcPr>
          <w:p w14:paraId="7D222C37" w14:textId="77777777" w:rsidR="00F56801" w:rsidRPr="00712FE5" w:rsidRDefault="00F56801" w:rsidP="00F56801">
            <w:pPr>
              <w:pStyle w:val="naisc"/>
              <w:spacing w:before="0" w:after="0"/>
              <w:rPr>
                <w:b/>
                <w:bCs/>
              </w:rPr>
            </w:pPr>
            <w:r w:rsidRPr="00712FE5">
              <w:rPr>
                <w:b/>
                <w:bCs/>
              </w:rPr>
              <w:lastRenderedPageBreak/>
              <w:t>Panākta vienošanās.</w:t>
            </w:r>
          </w:p>
          <w:p w14:paraId="07F2F38B" w14:textId="2DB7BC28" w:rsidR="00B07737" w:rsidRPr="00712FE5" w:rsidRDefault="00B07737" w:rsidP="00B07737">
            <w:pPr>
              <w:pStyle w:val="naisc"/>
              <w:spacing w:before="0" w:after="0"/>
              <w:jc w:val="both"/>
              <w:rPr>
                <w:bCs/>
              </w:rPr>
            </w:pPr>
            <w:r w:rsidRPr="00712FE5">
              <w:rPr>
                <w:bCs/>
              </w:rPr>
              <w:t xml:space="preserve">Ekonomikas ministrija 2020.gadā plāno pārskatīt un veikt nepieciešamos grozījumus arī </w:t>
            </w:r>
            <w:r w:rsidRPr="00712FE5">
              <w:t xml:space="preserve">Ministru </w:t>
            </w:r>
            <w:r w:rsidRPr="00712FE5">
              <w:lastRenderedPageBreak/>
              <w:t>kabineta 2013.gada 25.jūnija noteikumos Nr.348 “</w:t>
            </w:r>
            <w:r w:rsidRPr="00712FE5">
              <w:rPr>
                <w:shd w:val="clear" w:color="auto" w:fill="FFFFFF"/>
              </w:rPr>
              <w:t>Ēkas energoefektivitātes aprēķina metode</w:t>
            </w:r>
            <w:r w:rsidRPr="00712FE5">
              <w:t>”, kur pašreiz noteikta primārās enerģijas patēriņa aprēķināšanas kārtība. Attiecīg</w:t>
            </w:r>
            <w:r w:rsidR="00423002">
              <w:t>ā</w:t>
            </w:r>
            <w:r w:rsidRPr="00712FE5">
              <w:t xml:space="preserve"> tiesību akt</w:t>
            </w:r>
            <w:r w:rsidR="00423002">
              <w:t>a grozījumu izstrādāšanas laikā</w:t>
            </w:r>
            <w:r w:rsidRPr="00712FE5">
              <w:t xml:space="preserve"> arī būtu nosakām</w:t>
            </w:r>
            <w:r w:rsidR="00423002">
              <w:t>as</w:t>
            </w:r>
            <w:r w:rsidRPr="00712FE5">
              <w:t xml:space="preserve"> aktuāl</w:t>
            </w:r>
            <w:r w:rsidR="00423002">
              <w:t xml:space="preserve">as </w:t>
            </w:r>
            <w:r w:rsidRPr="00712FE5">
              <w:t>primārās enerģijas koeficient</w:t>
            </w:r>
            <w:r w:rsidR="00423002">
              <w:t>u</w:t>
            </w:r>
            <w:r w:rsidRPr="00712FE5">
              <w:t xml:space="preserve"> un citas prasības.</w:t>
            </w:r>
            <w:r w:rsidR="00423002">
              <w:t xml:space="preserve"> Norādām, ka šobrīd noteikumu projektā iekļauta atsauce uz standartu radītu divas paralēlas, nevienlīdzīgas pieejas primārās enerģijas patēriņa aprēķināšanā.</w:t>
            </w:r>
          </w:p>
        </w:tc>
        <w:tc>
          <w:tcPr>
            <w:tcW w:w="3118" w:type="dxa"/>
            <w:tcBorders>
              <w:top w:val="single" w:sz="4" w:space="0" w:color="auto"/>
              <w:left w:val="single" w:sz="4" w:space="0" w:color="auto"/>
              <w:bottom w:val="single" w:sz="4" w:space="0" w:color="auto"/>
            </w:tcBorders>
          </w:tcPr>
          <w:p w14:paraId="0E75C41C" w14:textId="704C7892" w:rsidR="00B07737" w:rsidRPr="00712FE5" w:rsidRDefault="00A27BE0" w:rsidP="008B5C1D">
            <w:r>
              <w:lastRenderedPageBreak/>
              <w:t>4</w:t>
            </w:r>
            <w:r w:rsidR="00B07737" w:rsidRPr="00712FE5">
              <w:t>. punkts:</w:t>
            </w:r>
          </w:p>
          <w:p w14:paraId="77D696CD" w14:textId="48CD9F1B" w:rsidR="008B5C1D" w:rsidRPr="00712FE5" w:rsidRDefault="00B07737" w:rsidP="008B5C1D">
            <w:pPr>
              <w:pStyle w:val="paragraph"/>
              <w:spacing w:before="0" w:beforeAutospacing="0" w:after="0" w:afterAutospacing="0"/>
              <w:textAlignment w:val="baseline"/>
            </w:pPr>
            <w:r w:rsidRPr="00712FE5">
              <w:t>“</w:t>
            </w:r>
            <w:r w:rsidR="00A27BE0">
              <w:t>4</w:t>
            </w:r>
            <w:r w:rsidR="008B5C1D" w:rsidRPr="00712FE5">
              <w:t>. Ēkas atbilstību primārās enerģijas patēriņa līmenim nosaka vienā no veidiem:</w:t>
            </w:r>
          </w:p>
          <w:p w14:paraId="7E643480" w14:textId="0BD0D1D5" w:rsidR="008B5C1D" w:rsidRPr="00712FE5" w:rsidRDefault="00A27BE0" w:rsidP="008B5C1D">
            <w:pPr>
              <w:pStyle w:val="paragraph"/>
              <w:spacing w:before="0" w:beforeAutospacing="0" w:after="0" w:afterAutospacing="0"/>
              <w:textAlignment w:val="baseline"/>
            </w:pPr>
            <w:r>
              <w:lastRenderedPageBreak/>
              <w:t>4</w:t>
            </w:r>
            <w:r w:rsidR="008B5C1D" w:rsidRPr="00712FE5">
              <w:t>.1. veicot ēkas energosertifikāciju normatīvajos aktos ēkas energoefektivitātes aprēķina jomā paredzētajā kārtībā;</w:t>
            </w:r>
          </w:p>
          <w:p w14:paraId="56F12AE1" w14:textId="7B5CF39D" w:rsidR="008B5C1D" w:rsidRPr="00712FE5" w:rsidRDefault="00A27BE0" w:rsidP="008B5C1D">
            <w:pPr>
              <w:pStyle w:val="paragraph"/>
              <w:spacing w:before="0" w:beforeAutospacing="0" w:after="0" w:afterAutospacing="0"/>
              <w:jc w:val="both"/>
              <w:textAlignment w:val="baseline"/>
            </w:pPr>
            <w:r>
              <w:t>4</w:t>
            </w:r>
            <w:r w:rsidR="008B5C1D" w:rsidRPr="00712FE5">
              <w:t>.2. aprēķinot vidējo ēkas energoresursu patēriņu pēdējos trīs kalendāra gados un šo patēriņu reizinot ar primārās enerģijas faktoriem katram energonesējam. Primārās enerģijas faktorus nosaka atbilstoši normatīvajiem aktiem ēkas energoefektivitātes aprēķina jomā un vidējo ēkas energoresursu patēriņu attiecina, ņemot vērā ēkas aprēķina platību.”</w:t>
            </w:r>
          </w:p>
          <w:p w14:paraId="0D2E6111" w14:textId="28F2DE65" w:rsidR="00B07737" w:rsidRPr="00712FE5" w:rsidRDefault="00B07737" w:rsidP="008B5C1D"/>
        </w:tc>
      </w:tr>
      <w:tr w:rsidR="00712FE5" w:rsidRPr="00712FE5" w14:paraId="36B13429" w14:textId="77777777" w:rsidTr="00F10DF3">
        <w:tc>
          <w:tcPr>
            <w:tcW w:w="708" w:type="dxa"/>
            <w:tcBorders>
              <w:left w:val="single" w:sz="6" w:space="0" w:color="000000"/>
              <w:bottom w:val="single" w:sz="4" w:space="0" w:color="auto"/>
              <w:right w:val="single" w:sz="6" w:space="0" w:color="000000"/>
            </w:tcBorders>
          </w:tcPr>
          <w:p w14:paraId="28C067F6" w14:textId="31D31D61" w:rsidR="00B07737" w:rsidRPr="00712FE5" w:rsidRDefault="00F436C8" w:rsidP="00B07737">
            <w:pPr>
              <w:pStyle w:val="naisc"/>
              <w:spacing w:before="0" w:after="0"/>
            </w:pPr>
            <w:r w:rsidRPr="00712FE5">
              <w:lastRenderedPageBreak/>
              <w:t>10</w:t>
            </w:r>
            <w:r w:rsidR="00B07737" w:rsidRPr="00712FE5">
              <w:t>.</w:t>
            </w:r>
          </w:p>
        </w:tc>
        <w:tc>
          <w:tcPr>
            <w:tcW w:w="3086" w:type="dxa"/>
            <w:gridSpan w:val="2"/>
            <w:tcBorders>
              <w:left w:val="single" w:sz="6" w:space="0" w:color="000000"/>
              <w:bottom w:val="single" w:sz="4" w:space="0" w:color="auto"/>
              <w:right w:val="single" w:sz="6" w:space="0" w:color="000000"/>
            </w:tcBorders>
          </w:tcPr>
          <w:p w14:paraId="7861220E" w14:textId="77777777" w:rsidR="00B07737" w:rsidRPr="00712FE5" w:rsidRDefault="00B07737" w:rsidP="00B07737">
            <w:pPr>
              <w:pStyle w:val="naisc"/>
              <w:spacing w:before="0" w:after="0"/>
              <w:jc w:val="both"/>
            </w:pPr>
            <w:r w:rsidRPr="00712FE5">
              <w:t>5. punkts:</w:t>
            </w:r>
          </w:p>
          <w:p w14:paraId="41645D2F" w14:textId="77777777" w:rsidR="00B07737" w:rsidRPr="00712FE5" w:rsidRDefault="00B07737" w:rsidP="00B07737">
            <w:pPr>
              <w:pStyle w:val="naisc"/>
              <w:spacing w:before="0" w:after="0"/>
              <w:jc w:val="both"/>
            </w:pPr>
            <w:r w:rsidRPr="00712FE5">
              <w:t>“</w:t>
            </w:r>
            <w:r w:rsidRPr="00712FE5">
              <w:rPr>
                <w:rStyle w:val="normaltextrun"/>
              </w:rPr>
              <w:t xml:space="preserve">5. Daudzdzīvokļu dzīvojamajā mājā patērētās siltumenerģijas uzskaiti veic atsevišķi katrai dzīvojamai telpu grupai un nedzīvojamai telpu grupai. Patērētās siltumenerģijas uzskaitē </w:t>
            </w:r>
            <w:r w:rsidRPr="00712FE5">
              <w:rPr>
                <w:rStyle w:val="spellingerror"/>
              </w:rPr>
              <w:t>izmanto attālināti nolasāmus individuālus</w:t>
            </w:r>
            <w:r w:rsidRPr="00712FE5">
              <w:rPr>
                <w:rStyle w:val="normaltextrun"/>
              </w:rPr>
              <w:t xml:space="preserve"> siltuma maksas sadalītājus katram </w:t>
            </w:r>
            <w:proofErr w:type="spellStart"/>
            <w:r w:rsidRPr="00712FE5">
              <w:rPr>
                <w:rStyle w:val="spellingerror"/>
              </w:rPr>
              <w:t>sildelementam</w:t>
            </w:r>
            <w:proofErr w:type="spellEnd"/>
            <w:r w:rsidRPr="00712FE5">
              <w:rPr>
                <w:rStyle w:val="normaltextrun"/>
              </w:rPr>
              <w:t xml:space="preserve"> vai </w:t>
            </w:r>
            <w:r w:rsidRPr="00712FE5">
              <w:rPr>
                <w:rStyle w:val="normaltextrun"/>
              </w:rPr>
              <w:lastRenderedPageBreak/>
              <w:t>individuālus siltumenerģijas patēriņa skaitītājus.</w:t>
            </w:r>
            <w:r w:rsidRPr="00712FE5">
              <w:t>”</w:t>
            </w:r>
          </w:p>
        </w:tc>
        <w:tc>
          <w:tcPr>
            <w:tcW w:w="4394" w:type="dxa"/>
            <w:tcBorders>
              <w:left w:val="single" w:sz="6" w:space="0" w:color="000000"/>
              <w:bottom w:val="single" w:sz="4" w:space="0" w:color="auto"/>
              <w:right w:val="single" w:sz="6" w:space="0" w:color="000000"/>
            </w:tcBorders>
          </w:tcPr>
          <w:p w14:paraId="4257B5B5" w14:textId="77777777" w:rsidR="00B07737" w:rsidRPr="00712FE5" w:rsidRDefault="00B07737" w:rsidP="00B07737">
            <w:pPr>
              <w:pStyle w:val="naisc"/>
              <w:spacing w:before="0" w:after="0"/>
              <w:jc w:val="both"/>
              <w:rPr>
                <w:b/>
                <w:bCs/>
              </w:rPr>
            </w:pPr>
            <w:r w:rsidRPr="00712FE5">
              <w:rPr>
                <w:b/>
                <w:bCs/>
              </w:rPr>
              <w:lastRenderedPageBreak/>
              <w:t>Finanšu ministrija</w:t>
            </w:r>
          </w:p>
          <w:p w14:paraId="39E2AE3B" w14:textId="77777777" w:rsidR="00B07737" w:rsidRPr="00712FE5" w:rsidRDefault="00B07737" w:rsidP="00B07737">
            <w:pPr>
              <w:pStyle w:val="naisc"/>
              <w:spacing w:before="0" w:after="0"/>
              <w:jc w:val="both"/>
            </w:pPr>
            <w:r w:rsidRPr="00712FE5">
              <w:t>Lūdzam precizēt Noteikumu projekta 5. punktu, ņemot vērā, ka siltuma maksas sadalītājs nav siltumenerģijas patēriņa mērīšanas līdzeklis.</w:t>
            </w:r>
          </w:p>
        </w:tc>
        <w:tc>
          <w:tcPr>
            <w:tcW w:w="3119" w:type="dxa"/>
            <w:gridSpan w:val="2"/>
            <w:tcBorders>
              <w:left w:val="single" w:sz="6" w:space="0" w:color="000000"/>
              <w:bottom w:val="single" w:sz="4" w:space="0" w:color="auto"/>
              <w:right w:val="single" w:sz="6" w:space="0" w:color="000000"/>
            </w:tcBorders>
          </w:tcPr>
          <w:p w14:paraId="4842E03B" w14:textId="77777777" w:rsidR="00B07737" w:rsidRPr="00712FE5" w:rsidRDefault="00B07737" w:rsidP="00B07737">
            <w:pPr>
              <w:pStyle w:val="naisc"/>
              <w:spacing w:before="0" w:after="0"/>
              <w:rPr>
                <w:b/>
                <w:bCs/>
              </w:rPr>
            </w:pPr>
            <w:r w:rsidRPr="00712FE5">
              <w:rPr>
                <w:b/>
                <w:bCs/>
              </w:rPr>
              <w:t>Panākta vienošanās.</w:t>
            </w:r>
          </w:p>
          <w:p w14:paraId="48A10642" w14:textId="77777777" w:rsidR="00B07737" w:rsidRPr="00712FE5" w:rsidRDefault="00B07737" w:rsidP="00B07737">
            <w:pPr>
              <w:pStyle w:val="naisc"/>
              <w:spacing w:before="0" w:after="0"/>
              <w:jc w:val="both"/>
              <w:rPr>
                <w:i/>
                <w:iCs/>
              </w:rPr>
            </w:pPr>
            <w:r w:rsidRPr="00712FE5">
              <w:t xml:space="preserve">Noteikumu projekta regulējums saskaņots ar Eiropas Parlamenta un Padomes Direktīvas 2012/27/ES (ar Direktīvas </w:t>
            </w:r>
            <w:r w:rsidRPr="00712FE5">
              <w:rPr>
                <w:rFonts w:eastAsia="Calibri"/>
                <w:bCs/>
              </w:rPr>
              <w:t>(ES) 2018/2002 grozījumiem</w:t>
            </w:r>
            <w:r w:rsidRPr="00712FE5">
              <w:t xml:space="preserve">) 9.b panta 1.punkta otrās rindkopas regulējumu, kas pieļauj izmantot siltuma maksas sadalītājus kā alternatīvu, ja faktiskā siltumenerģijas patēriņa </w:t>
            </w:r>
            <w:r w:rsidRPr="00712FE5">
              <w:lastRenderedPageBreak/>
              <w:t>noteikšanai nav iespējams izmantot siltumenerģijas patēriņa skaitītājus. Minētā direktīvas norma noteic: “j</w:t>
            </w:r>
            <w:r w:rsidRPr="00712FE5">
              <w:rPr>
                <w:rFonts w:eastAsia="Arial Unicode MS"/>
                <w:shd w:val="clear" w:color="auto" w:fill="FFFFFF"/>
              </w:rPr>
              <w:t xml:space="preserve">a individuālu skaitītāju izmantošana nav tehniski iespējama vai nav rentabla, katrā ēkas vienībā siltumenerģijas patēriņa mērīšanai izmanto individuālus siltummaksas sadalītājus, ar kuriem mēra siltumenerģijas patēriņu katrā radiatorā, ja vien attiecīgā dalībvalsts nav pierādījusi, ka šādu siltummaksas sadalītāju uzstādīšana nebūtu rentabla”. Saskaņā ar standartu – ar siltuma maksas sadalītājiem </w:t>
            </w:r>
            <w:r w:rsidRPr="00712FE5">
              <w:t>iegūtā patēriņa vērtība ir bez dimensijas.</w:t>
            </w:r>
          </w:p>
        </w:tc>
        <w:tc>
          <w:tcPr>
            <w:tcW w:w="3118" w:type="dxa"/>
            <w:tcBorders>
              <w:top w:val="single" w:sz="4" w:space="0" w:color="auto"/>
              <w:left w:val="single" w:sz="4" w:space="0" w:color="auto"/>
              <w:bottom w:val="single" w:sz="4" w:space="0" w:color="auto"/>
            </w:tcBorders>
          </w:tcPr>
          <w:p w14:paraId="372FADA0" w14:textId="77777777" w:rsidR="0082421A" w:rsidRDefault="0082421A" w:rsidP="0082421A">
            <w:r>
              <w:lastRenderedPageBreak/>
              <w:t>5. punkts:</w:t>
            </w:r>
          </w:p>
          <w:p w14:paraId="34D6FCE9" w14:textId="3B24AFE3" w:rsidR="00B07737" w:rsidRPr="00712FE5" w:rsidRDefault="0082421A" w:rsidP="0082421A">
            <w:r>
              <w:t xml:space="preserve">“5. Daudzdzīvokļu dzīvojamajā mājā patērētās siltumenerģijas uzskaiti veic atsevišķi katrai dzīvojamai telpu grupai un nedzīvojamai telpu grupai. Patērētās siltumenerģijas uzskaitē izmanto attālināti nolasāmus individuālus siltumenerģijas patēriņa skaitītājus vai individuālus siltuma maksas sadalītājus katram </w:t>
            </w:r>
            <w:proofErr w:type="spellStart"/>
            <w:r>
              <w:lastRenderedPageBreak/>
              <w:t>sildelementam</w:t>
            </w:r>
            <w:proofErr w:type="spellEnd"/>
            <w:r>
              <w:t>, ja individuālu siltumenerģijas patēriņa skaitītāju uzstādīšana nav tehniski iespējama vai nav ekonomiski pamatota. Individuāliem siltumenerģijas patēriņa skaitītājiem jāatbilst normatīvajos aktos par mērījumu vienotību noteiktajām metroloģiskajām prasībām siltumenerģijas skaitītājiem, un individuāliem siltuma maksas sadalītājiem jāatbilst normatīvajos aktos par kārtību, kādā nosaka, aprēķina un uzskaita katra dzīvojamās mājas īpašnieka maksājamo daļu par dzīvojamās mājas uzturēšanai nepieciešamajiem pakalpojumiem noteiktajām prasībām.”</w:t>
            </w:r>
          </w:p>
        </w:tc>
      </w:tr>
      <w:tr w:rsidR="00712FE5" w:rsidRPr="00712FE5" w14:paraId="440F3EA9" w14:textId="77777777" w:rsidTr="00F10DF3">
        <w:tc>
          <w:tcPr>
            <w:tcW w:w="708" w:type="dxa"/>
            <w:tcBorders>
              <w:left w:val="single" w:sz="6" w:space="0" w:color="000000"/>
              <w:bottom w:val="single" w:sz="4" w:space="0" w:color="auto"/>
              <w:right w:val="single" w:sz="6" w:space="0" w:color="000000"/>
            </w:tcBorders>
          </w:tcPr>
          <w:p w14:paraId="472AE79B" w14:textId="1F86F37B" w:rsidR="00B07737" w:rsidRPr="00712FE5" w:rsidRDefault="00B07737" w:rsidP="00B07737">
            <w:pPr>
              <w:pStyle w:val="naisc"/>
              <w:spacing w:before="0" w:after="0"/>
            </w:pPr>
            <w:r w:rsidRPr="00712FE5">
              <w:lastRenderedPageBreak/>
              <w:t>1</w:t>
            </w:r>
            <w:r w:rsidR="00F436C8" w:rsidRPr="00712FE5">
              <w:t>1</w:t>
            </w:r>
            <w:r w:rsidRPr="00712FE5">
              <w:t>.</w:t>
            </w:r>
          </w:p>
        </w:tc>
        <w:tc>
          <w:tcPr>
            <w:tcW w:w="3086" w:type="dxa"/>
            <w:gridSpan w:val="2"/>
            <w:tcBorders>
              <w:left w:val="single" w:sz="6" w:space="0" w:color="000000"/>
              <w:bottom w:val="single" w:sz="4" w:space="0" w:color="auto"/>
              <w:right w:val="single" w:sz="6" w:space="0" w:color="000000"/>
            </w:tcBorders>
          </w:tcPr>
          <w:p w14:paraId="5403EF90" w14:textId="77777777" w:rsidR="00B07737" w:rsidRPr="00712FE5" w:rsidRDefault="00B07737" w:rsidP="00B07737">
            <w:r w:rsidRPr="00712FE5">
              <w:t>5. punkts:</w:t>
            </w:r>
          </w:p>
          <w:p w14:paraId="360A4161" w14:textId="77777777" w:rsidR="00B07737" w:rsidRPr="00712FE5" w:rsidRDefault="00B07737" w:rsidP="00B07737">
            <w:r w:rsidRPr="00712FE5">
              <w:t>“</w:t>
            </w:r>
            <w:r w:rsidRPr="00712FE5">
              <w:rPr>
                <w:rStyle w:val="normaltextrun"/>
              </w:rPr>
              <w:t xml:space="preserve">5. Daudzdzīvokļu dzīvojamajā mājā patērētās siltumenerģijas uzskaiti veic atsevišķi katrai dzīvojamai telpu grupai un nedzīvojamai telpu grupai. Patērētās siltumenerģijas uzskaitē </w:t>
            </w:r>
            <w:r w:rsidRPr="00712FE5">
              <w:rPr>
                <w:rStyle w:val="spellingerror"/>
              </w:rPr>
              <w:t xml:space="preserve">izmanto attālināti nolasāmus </w:t>
            </w:r>
            <w:r w:rsidRPr="00712FE5">
              <w:rPr>
                <w:rStyle w:val="normaltextrun"/>
              </w:rPr>
              <w:t>individuālus siltumenerģijas patēriņa skaitītājus</w:t>
            </w:r>
            <w:r w:rsidRPr="00712FE5">
              <w:rPr>
                <w:rStyle w:val="spellingerror"/>
              </w:rPr>
              <w:t xml:space="preserve"> </w:t>
            </w:r>
            <w:r w:rsidRPr="00712FE5">
              <w:rPr>
                <w:rStyle w:val="normaltextrun"/>
              </w:rPr>
              <w:t>vai</w:t>
            </w:r>
            <w:r w:rsidRPr="00712FE5">
              <w:rPr>
                <w:rStyle w:val="spellingerror"/>
              </w:rPr>
              <w:t xml:space="preserve"> </w:t>
            </w:r>
            <w:r w:rsidRPr="00712FE5">
              <w:rPr>
                <w:rStyle w:val="spellingerror"/>
              </w:rPr>
              <w:lastRenderedPageBreak/>
              <w:t>individuālus</w:t>
            </w:r>
            <w:r w:rsidRPr="00712FE5">
              <w:rPr>
                <w:rStyle w:val="normaltextrun"/>
              </w:rPr>
              <w:t xml:space="preserve"> siltuma maksas sadalītājus katram </w:t>
            </w:r>
            <w:proofErr w:type="spellStart"/>
            <w:r w:rsidRPr="00712FE5">
              <w:rPr>
                <w:rStyle w:val="spellingerror"/>
              </w:rPr>
              <w:t>sildelementam</w:t>
            </w:r>
            <w:proofErr w:type="spellEnd"/>
            <w:r w:rsidRPr="00712FE5">
              <w:rPr>
                <w:rStyle w:val="spellingerror"/>
              </w:rPr>
              <w:t>, ja individuālu siltumenerģijas patēriņa skaitītāju uzstādīšana nav tehniski iespējama vai nav ekonomiski pamatota</w:t>
            </w:r>
            <w:r w:rsidRPr="00712FE5">
              <w:rPr>
                <w:rStyle w:val="normaltextrun"/>
              </w:rPr>
              <w:t>.</w:t>
            </w:r>
            <w:r w:rsidRPr="00712FE5">
              <w:t>”</w:t>
            </w:r>
          </w:p>
        </w:tc>
        <w:tc>
          <w:tcPr>
            <w:tcW w:w="4394" w:type="dxa"/>
            <w:tcBorders>
              <w:left w:val="single" w:sz="6" w:space="0" w:color="000000"/>
              <w:bottom w:val="single" w:sz="4" w:space="0" w:color="auto"/>
              <w:right w:val="single" w:sz="6" w:space="0" w:color="000000"/>
            </w:tcBorders>
          </w:tcPr>
          <w:p w14:paraId="427AE674" w14:textId="77777777" w:rsidR="00B07737" w:rsidRPr="00712FE5" w:rsidRDefault="00B07737" w:rsidP="00B07737">
            <w:pPr>
              <w:pStyle w:val="CommentText"/>
              <w:rPr>
                <w:sz w:val="24"/>
                <w:szCs w:val="24"/>
              </w:rPr>
            </w:pPr>
            <w:r w:rsidRPr="00712FE5">
              <w:rPr>
                <w:b/>
                <w:bCs/>
                <w:sz w:val="24"/>
                <w:szCs w:val="24"/>
              </w:rPr>
              <w:lastRenderedPageBreak/>
              <w:t>Latvijas Lielo pilsētu asociācija (papildus</w:t>
            </w:r>
            <w:r w:rsidRPr="00712FE5">
              <w:rPr>
                <w:b/>
                <w:sz w:val="24"/>
                <w:szCs w:val="24"/>
              </w:rPr>
              <w:t>)</w:t>
            </w:r>
          </w:p>
          <w:p w14:paraId="7FE7BD2A" w14:textId="77777777" w:rsidR="00B07737" w:rsidRPr="00712FE5" w:rsidRDefault="00B07737" w:rsidP="00B07737">
            <w:pPr>
              <w:pStyle w:val="CommentText"/>
              <w:rPr>
                <w:sz w:val="24"/>
                <w:szCs w:val="24"/>
              </w:rPr>
            </w:pPr>
            <w:r w:rsidRPr="00712FE5">
              <w:rPr>
                <w:sz w:val="24"/>
                <w:szCs w:val="24"/>
              </w:rPr>
              <w:t xml:space="preserve">8. punkts paredz dzīvojamās mājas pārvaldītāja pienākumu izvērtēt individuālo siltuma maksas sadalītāju un individuālo siltumenerģijas patēriņa skaitītāju uzstādīšanas ekonomisko pamatojumu. Savukārt 5. punktā pašreizējā redakcija nosaka, ka izvērtēts tiek tikai individuālo siltumenerģijas patēriņa skaitītāju uzstādīšanas ekonomiskais pamatojums. Ja </w:t>
            </w:r>
            <w:r w:rsidRPr="00712FE5">
              <w:rPr>
                <w:sz w:val="24"/>
                <w:szCs w:val="24"/>
              </w:rPr>
              <w:lastRenderedPageBreak/>
              <w:t>to uzstādīšana nav ekonomiski pamatota, tiek ierīkoti individuālie siltuma maksas sadalītāji. Ņemot vērā minēto, rosinām 5. punktu izteikt sekojošā redakcijā:</w:t>
            </w:r>
          </w:p>
          <w:p w14:paraId="7850E9F8" w14:textId="77777777" w:rsidR="00B07737" w:rsidRPr="00712FE5" w:rsidRDefault="00B07737" w:rsidP="00B07737">
            <w:pPr>
              <w:pStyle w:val="naisc"/>
              <w:spacing w:before="0" w:after="0"/>
              <w:jc w:val="both"/>
              <w:rPr>
                <w:b/>
                <w:bCs/>
              </w:rPr>
            </w:pPr>
            <w:r w:rsidRPr="00712FE5">
              <w:rPr>
                <w:rStyle w:val="normaltextrun"/>
                <w:i/>
              </w:rPr>
              <w:t xml:space="preserve">“5. Daudzdzīvokļu dzīvojamajā mājā patērētās siltumenerģijas uzskaiti veic atsevišķi katrai dzīvojamai telpu grupai un nedzīvojamai telpu grupai. Patērētās siltumenerģijas uzskaitē </w:t>
            </w:r>
            <w:r w:rsidRPr="00712FE5">
              <w:rPr>
                <w:rStyle w:val="spellingerror"/>
                <w:i/>
              </w:rPr>
              <w:t xml:space="preserve">izmanto attālināti nolasāmus </w:t>
            </w:r>
            <w:r w:rsidRPr="00712FE5">
              <w:rPr>
                <w:rStyle w:val="normaltextrun"/>
                <w:i/>
              </w:rPr>
              <w:t>individuālus siltumenerģijas patēriņa skaitītājus</w:t>
            </w:r>
            <w:r w:rsidRPr="00712FE5">
              <w:rPr>
                <w:rStyle w:val="spellingerror"/>
                <w:i/>
              </w:rPr>
              <w:t xml:space="preserve"> </w:t>
            </w:r>
            <w:r w:rsidRPr="00712FE5">
              <w:rPr>
                <w:rStyle w:val="normaltextrun"/>
                <w:i/>
              </w:rPr>
              <w:t>vai</w:t>
            </w:r>
            <w:r w:rsidRPr="00712FE5">
              <w:rPr>
                <w:rStyle w:val="spellingerror"/>
                <w:i/>
              </w:rPr>
              <w:t xml:space="preserve"> individuālus</w:t>
            </w:r>
            <w:r w:rsidRPr="00712FE5">
              <w:rPr>
                <w:rStyle w:val="normaltextrun"/>
                <w:i/>
              </w:rPr>
              <w:t xml:space="preserve"> siltuma maksas sadalītājus katram </w:t>
            </w:r>
            <w:proofErr w:type="spellStart"/>
            <w:r w:rsidRPr="00712FE5">
              <w:rPr>
                <w:rStyle w:val="spellingerror"/>
                <w:i/>
              </w:rPr>
              <w:t>sildelementam</w:t>
            </w:r>
            <w:proofErr w:type="spellEnd"/>
            <w:r w:rsidRPr="00712FE5">
              <w:rPr>
                <w:rStyle w:val="spellingerror"/>
                <w:i/>
              </w:rPr>
              <w:t xml:space="preserve">, </w:t>
            </w:r>
            <w:r w:rsidRPr="00712FE5">
              <w:rPr>
                <w:rStyle w:val="spellingerror"/>
                <w:b/>
                <w:i/>
                <w:u w:val="single"/>
              </w:rPr>
              <w:t>ja to uzstādīšana ir tehniski iespējama un ekonomiski pamatota.</w:t>
            </w:r>
            <w:r w:rsidRPr="00712FE5">
              <w:rPr>
                <w:rStyle w:val="spellingerror"/>
                <w:i/>
              </w:rPr>
              <w:t>”</w:t>
            </w:r>
          </w:p>
        </w:tc>
        <w:tc>
          <w:tcPr>
            <w:tcW w:w="3119" w:type="dxa"/>
            <w:gridSpan w:val="2"/>
            <w:tcBorders>
              <w:left w:val="single" w:sz="6" w:space="0" w:color="000000"/>
              <w:bottom w:val="single" w:sz="4" w:space="0" w:color="auto"/>
              <w:right w:val="single" w:sz="6" w:space="0" w:color="000000"/>
            </w:tcBorders>
          </w:tcPr>
          <w:p w14:paraId="532CB6B8" w14:textId="77777777" w:rsidR="00B07737" w:rsidRPr="00712FE5" w:rsidRDefault="00B07737" w:rsidP="00B07737">
            <w:pPr>
              <w:pStyle w:val="naisc"/>
              <w:spacing w:before="0" w:after="0"/>
              <w:rPr>
                <w:b/>
                <w:bCs/>
              </w:rPr>
            </w:pPr>
            <w:r w:rsidRPr="00712FE5">
              <w:rPr>
                <w:b/>
                <w:bCs/>
              </w:rPr>
              <w:lastRenderedPageBreak/>
              <w:t>Neuztur iebildumu.</w:t>
            </w:r>
          </w:p>
          <w:p w14:paraId="756A92C6" w14:textId="77777777" w:rsidR="00B07737" w:rsidRPr="00712FE5" w:rsidRDefault="00B07737" w:rsidP="00B07737">
            <w:pPr>
              <w:pStyle w:val="naisc"/>
              <w:spacing w:before="0" w:after="0"/>
              <w:jc w:val="both"/>
              <w:rPr>
                <w:bCs/>
              </w:rPr>
            </w:pPr>
            <w:r w:rsidRPr="00712FE5">
              <w:t xml:space="preserve">Saskaņā ar </w:t>
            </w:r>
            <w:bookmarkStart w:id="1" w:name="_GoBack"/>
            <w:r w:rsidRPr="00712FE5">
              <w:t>likumprojekt</w:t>
            </w:r>
            <w:bookmarkEnd w:id="1"/>
            <w:r w:rsidRPr="00712FE5">
              <w:t xml:space="preserve">u ”Grozījumi Ēku energoefektivitātes likumā” (VSS-1247) Ēku energoefektivitātes likuma 4. panta trešā daļa noteiks, ka minimālās prasības ēkas inženiertehniskajām sistēmām nepiemēro, ja šo prasību piemērošana nav tehniski vai </w:t>
            </w:r>
            <w:r w:rsidRPr="00712FE5">
              <w:lastRenderedPageBreak/>
              <w:t>funkcionāli iespējama vai nav ekonomiski pamatota. Minētais nosacījums attieksies arī uz Noteikumu projektā ietvertajām prasībām ēku inženiertehniskajām sistēmām.</w:t>
            </w:r>
          </w:p>
        </w:tc>
        <w:tc>
          <w:tcPr>
            <w:tcW w:w="3118" w:type="dxa"/>
            <w:tcBorders>
              <w:top w:val="single" w:sz="4" w:space="0" w:color="auto"/>
              <w:left w:val="single" w:sz="4" w:space="0" w:color="auto"/>
              <w:bottom w:val="single" w:sz="4" w:space="0" w:color="auto"/>
            </w:tcBorders>
          </w:tcPr>
          <w:p w14:paraId="711C6C94" w14:textId="77777777" w:rsidR="0082421A" w:rsidRDefault="0082421A" w:rsidP="0082421A">
            <w:r>
              <w:lastRenderedPageBreak/>
              <w:t>5. punkts:</w:t>
            </w:r>
          </w:p>
          <w:p w14:paraId="18244F9F" w14:textId="6A7E5EE0" w:rsidR="00B07737" w:rsidRPr="00712FE5" w:rsidRDefault="0082421A" w:rsidP="0082421A">
            <w:r>
              <w:t xml:space="preserve">“5. Daudzdzīvokļu dzīvojamajā mājā patērētās siltumenerģijas uzskaiti veic atsevišķi katrai dzīvojamai telpu grupai un nedzīvojamai telpu grupai. Patērētās siltumenerģijas uzskaitē izmanto attālināti nolasāmus individuālus siltumenerģijas patēriņa skaitītājus vai </w:t>
            </w:r>
            <w:r>
              <w:lastRenderedPageBreak/>
              <w:t xml:space="preserve">individuālus siltuma maksas sadalītājus katram </w:t>
            </w:r>
            <w:proofErr w:type="spellStart"/>
            <w:r>
              <w:t>sildelementam</w:t>
            </w:r>
            <w:proofErr w:type="spellEnd"/>
            <w:r>
              <w:t>, ja individuālu siltumenerģijas patēriņa skaitītāju uzstādīšana nav tehniski iespējama vai nav ekonomiski pamatota. Individuāliem siltumenerģijas patēriņa skaitītājiem jāatbilst normatīvajos aktos par mērījumu vienotību noteiktajām metroloģiskajām prasībām siltumenerģijas skaitītājiem, un individuāliem siltuma maksas sadalītājiem jāatbilst normatīvajos aktos par kārtību, kādā nosaka, aprēķina un uzskaita katra dzīvojamās mājas īpašnieka maksājamo daļu par dzīvojamās mājas uzturēšanai nepieciešamajiem pakalpojumiem noteiktajām prasībām.”</w:t>
            </w:r>
          </w:p>
        </w:tc>
      </w:tr>
      <w:tr w:rsidR="00B770EA" w:rsidRPr="00712FE5" w14:paraId="4D3B6006" w14:textId="77777777" w:rsidTr="00F10DF3">
        <w:tc>
          <w:tcPr>
            <w:tcW w:w="708" w:type="dxa"/>
            <w:tcBorders>
              <w:left w:val="single" w:sz="6" w:space="0" w:color="000000"/>
              <w:bottom w:val="single" w:sz="4" w:space="0" w:color="auto"/>
              <w:right w:val="single" w:sz="6" w:space="0" w:color="000000"/>
            </w:tcBorders>
          </w:tcPr>
          <w:p w14:paraId="367F1D57" w14:textId="2438B06A" w:rsidR="00B770EA" w:rsidRPr="00712FE5" w:rsidRDefault="00B770EA" w:rsidP="00B770EA">
            <w:pPr>
              <w:pStyle w:val="naisc"/>
              <w:spacing w:before="0" w:after="0"/>
            </w:pPr>
            <w:r>
              <w:lastRenderedPageBreak/>
              <w:t>12.</w:t>
            </w:r>
          </w:p>
        </w:tc>
        <w:tc>
          <w:tcPr>
            <w:tcW w:w="3086" w:type="dxa"/>
            <w:gridSpan w:val="2"/>
            <w:tcBorders>
              <w:left w:val="single" w:sz="6" w:space="0" w:color="000000"/>
              <w:bottom w:val="single" w:sz="4" w:space="0" w:color="auto"/>
              <w:right w:val="single" w:sz="6" w:space="0" w:color="000000"/>
            </w:tcBorders>
          </w:tcPr>
          <w:p w14:paraId="0BB71A6D" w14:textId="77777777" w:rsidR="00B770EA" w:rsidRPr="00712FE5" w:rsidRDefault="00B770EA" w:rsidP="00B770EA">
            <w:pPr>
              <w:pStyle w:val="naisc"/>
              <w:spacing w:before="0" w:after="0"/>
              <w:jc w:val="both"/>
            </w:pPr>
            <w:r w:rsidRPr="00712FE5">
              <w:t>5. punkts:</w:t>
            </w:r>
          </w:p>
          <w:p w14:paraId="45956494" w14:textId="0A7D79F4" w:rsidR="00B770EA" w:rsidRPr="00712FE5" w:rsidRDefault="00B770EA" w:rsidP="00B770EA">
            <w:r w:rsidRPr="00712FE5">
              <w:t>“</w:t>
            </w:r>
            <w:r w:rsidRPr="00712FE5">
              <w:rPr>
                <w:rStyle w:val="normaltextrun"/>
              </w:rPr>
              <w:t xml:space="preserve">5. Daudzdzīvokļu dzīvojamajā mājā patērētās siltumenerģijas uzskaiti veic atsevišķi katrai dzīvojamai telpu grupai un nedzīvojamai telpu grupai. Patērētās siltumenerģijas uzskaitē </w:t>
            </w:r>
            <w:r w:rsidRPr="00712FE5">
              <w:rPr>
                <w:rStyle w:val="spellingerror"/>
              </w:rPr>
              <w:t xml:space="preserve">izmanto attālināti nolasāmus </w:t>
            </w:r>
            <w:r w:rsidRPr="00712FE5">
              <w:rPr>
                <w:rStyle w:val="spellingerror"/>
              </w:rPr>
              <w:lastRenderedPageBreak/>
              <w:t>individuālus</w:t>
            </w:r>
            <w:r w:rsidRPr="00712FE5">
              <w:rPr>
                <w:rStyle w:val="normaltextrun"/>
              </w:rPr>
              <w:t xml:space="preserve"> siltuma maksas sadalītājus katram </w:t>
            </w:r>
            <w:proofErr w:type="spellStart"/>
            <w:r w:rsidRPr="00712FE5">
              <w:rPr>
                <w:rStyle w:val="spellingerror"/>
              </w:rPr>
              <w:t>sildelementam</w:t>
            </w:r>
            <w:proofErr w:type="spellEnd"/>
            <w:r w:rsidRPr="00712FE5">
              <w:rPr>
                <w:rStyle w:val="normaltextrun"/>
              </w:rPr>
              <w:t xml:space="preserve"> vai individuālus siltumenerģijas patēriņa skaitītājus.</w:t>
            </w:r>
            <w:r w:rsidRPr="00712FE5">
              <w:t>”</w:t>
            </w:r>
          </w:p>
        </w:tc>
        <w:tc>
          <w:tcPr>
            <w:tcW w:w="4394" w:type="dxa"/>
            <w:tcBorders>
              <w:left w:val="single" w:sz="6" w:space="0" w:color="000000"/>
              <w:bottom w:val="single" w:sz="4" w:space="0" w:color="auto"/>
              <w:right w:val="single" w:sz="6" w:space="0" w:color="000000"/>
            </w:tcBorders>
          </w:tcPr>
          <w:p w14:paraId="0ABC3B85" w14:textId="77777777" w:rsidR="00B770EA" w:rsidRPr="00B770EA" w:rsidRDefault="00B770EA" w:rsidP="00B770EA">
            <w:pPr>
              <w:pStyle w:val="naisc"/>
              <w:spacing w:before="0" w:after="0"/>
              <w:jc w:val="both"/>
              <w:rPr>
                <w:b/>
                <w:bCs/>
              </w:rPr>
            </w:pPr>
            <w:r w:rsidRPr="00B770EA">
              <w:rPr>
                <w:b/>
                <w:bCs/>
              </w:rPr>
              <w:lastRenderedPageBreak/>
              <w:t>Biedrība “Latvijas Mazo un vidējo uzņēmumu asociācija”</w:t>
            </w:r>
          </w:p>
          <w:p w14:paraId="7244016E" w14:textId="77777777" w:rsidR="00B770EA" w:rsidRPr="00B770EA" w:rsidRDefault="00B770EA" w:rsidP="00B770EA">
            <w:pPr>
              <w:pStyle w:val="naisc"/>
              <w:spacing w:before="0" w:after="0"/>
              <w:jc w:val="both"/>
            </w:pPr>
            <w:r w:rsidRPr="00B770EA">
              <w:t>Noteikumu projekts lobē ražotājus, kas ražo individuālos siltuma maksas sadalītājus (</w:t>
            </w:r>
            <w:proofErr w:type="spellStart"/>
            <w:r w:rsidRPr="00B770EA">
              <w:t>alokatorus</w:t>
            </w:r>
            <w:proofErr w:type="spellEnd"/>
            <w:r w:rsidRPr="00B770EA">
              <w:t xml:space="preserve">), lai gan </w:t>
            </w:r>
            <w:proofErr w:type="spellStart"/>
            <w:r w:rsidRPr="00B770EA">
              <w:t>alokatori</w:t>
            </w:r>
            <w:proofErr w:type="spellEnd"/>
            <w:r w:rsidRPr="00B770EA">
              <w:t xml:space="preserve"> nav vienīgi iespējamie risinājumi, kas ir piemērojami </w:t>
            </w:r>
            <w:proofErr w:type="spellStart"/>
            <w:r w:rsidRPr="00B770EA">
              <w:t>viencaurules</w:t>
            </w:r>
            <w:proofErr w:type="spellEnd"/>
            <w:r w:rsidRPr="00B770EA">
              <w:t xml:space="preserve"> siltumapgādes sistēmās daudzdzīvokļu ēkās.</w:t>
            </w:r>
          </w:p>
          <w:p w14:paraId="0F4050AB" w14:textId="35F7C7EE" w:rsidR="00B770EA" w:rsidRPr="00712FE5" w:rsidRDefault="00B770EA" w:rsidP="00B770EA">
            <w:pPr>
              <w:pStyle w:val="CommentText"/>
              <w:rPr>
                <w:b/>
                <w:bCs/>
                <w:sz w:val="24"/>
                <w:szCs w:val="24"/>
              </w:rPr>
            </w:pPr>
            <w:r w:rsidRPr="00B770EA">
              <w:rPr>
                <w:sz w:val="24"/>
                <w:szCs w:val="24"/>
              </w:rPr>
              <w:lastRenderedPageBreak/>
              <w:t>Būtu pareizi šajā dokumentā runāt nevis par individuālajiem sadalītājiem, bet par sadalošajām SISTĒMĀM. Un ar atsevišķu pielikumu aprakstīt tehniskās prasības šādām sadalošajām sistēmām.  Šajās tehniskajās prasībās varētu aprakstīt funkcijas un tehniskos parametrus šādām sistēmām. Tajā gadījumā, ja piedāvātā sistēma apmierina šīs prasības, tad nav svarīgi, kā viņa ir uzbūvēta: uz individuālo sadalītāju bāzes vai uz temperatūras sensoru bāzes.</w:t>
            </w:r>
          </w:p>
        </w:tc>
        <w:tc>
          <w:tcPr>
            <w:tcW w:w="3119" w:type="dxa"/>
            <w:gridSpan w:val="2"/>
            <w:tcBorders>
              <w:left w:val="single" w:sz="6" w:space="0" w:color="000000"/>
              <w:bottom w:val="single" w:sz="4" w:space="0" w:color="auto"/>
              <w:right w:val="single" w:sz="6" w:space="0" w:color="000000"/>
            </w:tcBorders>
          </w:tcPr>
          <w:p w14:paraId="47856AD8" w14:textId="44499EEF" w:rsidR="00B770EA" w:rsidRPr="00712FE5" w:rsidRDefault="00B770EA" w:rsidP="00B770EA">
            <w:pPr>
              <w:pStyle w:val="naisc"/>
              <w:spacing w:before="0" w:after="0"/>
              <w:rPr>
                <w:b/>
                <w:bCs/>
              </w:rPr>
            </w:pPr>
            <w:r>
              <w:rPr>
                <w:b/>
                <w:bCs/>
              </w:rPr>
              <w:lastRenderedPageBreak/>
              <w:t>Neuztur iebildumu.</w:t>
            </w:r>
          </w:p>
          <w:p w14:paraId="6460CB64" w14:textId="77777777" w:rsidR="00B770EA" w:rsidRDefault="00B770EA" w:rsidP="00B770EA">
            <w:pPr>
              <w:pStyle w:val="naisc"/>
              <w:spacing w:before="0" w:after="0"/>
              <w:jc w:val="both"/>
              <w:rPr>
                <w:shd w:val="clear" w:color="auto" w:fill="FFFFFF"/>
              </w:rPr>
            </w:pPr>
            <w:r w:rsidRPr="00712FE5">
              <w:t xml:space="preserve">Noteikumu projekta regulējums saskaņots ar Eiropas Parlamenta un Padomes Direktīvas 2012/27/ES (ar Direktīvas </w:t>
            </w:r>
            <w:r w:rsidRPr="00712FE5">
              <w:rPr>
                <w:rFonts w:eastAsia="Calibri"/>
                <w:bCs/>
              </w:rPr>
              <w:t>(ES) 2018/2002 grozījumiem</w:t>
            </w:r>
            <w:r w:rsidRPr="00712FE5">
              <w:t>) 9.b panta 1.punkta otrās rindkopas regulējumu: “j</w:t>
            </w:r>
            <w:r w:rsidRPr="00712FE5">
              <w:rPr>
                <w:rFonts w:eastAsia="Arial Unicode MS"/>
                <w:shd w:val="clear" w:color="auto" w:fill="FFFFFF"/>
              </w:rPr>
              <w:t xml:space="preserve">a </w:t>
            </w:r>
            <w:r w:rsidRPr="00712FE5">
              <w:rPr>
                <w:rFonts w:eastAsia="Arial Unicode MS"/>
                <w:shd w:val="clear" w:color="auto" w:fill="FFFFFF"/>
              </w:rPr>
              <w:lastRenderedPageBreak/>
              <w:t>individuālu skaitītāju izmantošana nav tehniski iespējama vai nav rentabla, katrā ēkas vienībā siltumenerģijas patēriņa mērīšanai izmanto individuālus siltummaksas sadalītājus, ar kuriem mēra siltumenerģijas patēriņu katrā radiatorā, ja vien attiecīgā dalībvalsts nav pierādījusi, ka šādu siltummaksas sadalītāju uzstādīšana nebūtu rentabla”. Ir izmantojami tādi siltuma maksas sadalītāji</w:t>
            </w:r>
            <w:r>
              <w:rPr>
                <w:rFonts w:eastAsia="Arial Unicode MS"/>
                <w:shd w:val="clear" w:color="auto" w:fill="FFFFFF"/>
              </w:rPr>
              <w:t xml:space="preserve">, kas atbilst </w:t>
            </w:r>
            <w:r w:rsidRPr="0082421A">
              <w:t>normatīvajos aktos par kārtību, kādā nosaka, aprēķina un uzskaita katra dzīvojamās mājas īpašnieka maksājamo daļu par dzīvojamās mājas uzturēšanai nepieciešamajiem pakalpojumiem noteiktajām prasībām.</w:t>
            </w:r>
          </w:p>
          <w:p w14:paraId="70679CE2" w14:textId="77777777" w:rsidR="00B770EA" w:rsidRDefault="00B770EA" w:rsidP="00B770EA">
            <w:pPr>
              <w:pStyle w:val="naisc"/>
              <w:spacing w:before="0" w:after="0"/>
              <w:jc w:val="both"/>
              <w:rPr>
                <w:rFonts w:eastAsia="Arial Unicode MS"/>
                <w:shd w:val="clear" w:color="auto" w:fill="FFFFFF"/>
              </w:rPr>
            </w:pPr>
            <w:r>
              <w:rPr>
                <w:shd w:val="clear" w:color="auto" w:fill="FFFFFF"/>
              </w:rPr>
              <w:t xml:space="preserve">Ekonomikas ministrija neiebilst pret citu </w:t>
            </w:r>
            <w:proofErr w:type="spellStart"/>
            <w:r>
              <w:rPr>
                <w:shd w:val="clear" w:color="auto" w:fill="FFFFFF"/>
              </w:rPr>
              <w:t>siltummmaksas</w:t>
            </w:r>
            <w:proofErr w:type="spellEnd"/>
            <w:r>
              <w:rPr>
                <w:shd w:val="clear" w:color="auto" w:fill="FFFFFF"/>
              </w:rPr>
              <w:t xml:space="preserve"> sadalītāju sistēmu ieviešanu, </w:t>
            </w:r>
            <w:r w:rsidRPr="00712FE5">
              <w:rPr>
                <w:rFonts w:eastAsia="Arial Unicode MS"/>
                <w:shd w:val="clear" w:color="auto" w:fill="FFFFFF"/>
              </w:rPr>
              <w:t>ar kur</w:t>
            </w:r>
            <w:r>
              <w:rPr>
                <w:rFonts w:eastAsia="Arial Unicode MS"/>
                <w:shd w:val="clear" w:color="auto" w:fill="FFFFFF"/>
              </w:rPr>
              <w:t>ām</w:t>
            </w:r>
            <w:r w:rsidRPr="00712FE5">
              <w:rPr>
                <w:rFonts w:eastAsia="Arial Unicode MS"/>
                <w:shd w:val="clear" w:color="auto" w:fill="FFFFFF"/>
              </w:rPr>
              <w:t xml:space="preserve"> mēra siltumenerģijas patēriņu katrā radiatorā</w:t>
            </w:r>
            <w:r>
              <w:rPr>
                <w:rFonts w:eastAsia="Arial Unicode MS"/>
                <w:shd w:val="clear" w:color="auto" w:fill="FFFFFF"/>
              </w:rPr>
              <w:t xml:space="preserve">, ja šīs sistēmas ir standartizētas un ir iespējams pārliecināties par to atbilstību, lai nodrošinātu mērījumu precizitāti un </w:t>
            </w:r>
            <w:r>
              <w:rPr>
                <w:rFonts w:eastAsia="Arial Unicode MS"/>
                <w:shd w:val="clear" w:color="auto" w:fill="FFFFFF"/>
              </w:rPr>
              <w:lastRenderedPageBreak/>
              <w:t>uzticamību. Papildus norādām, ka atbilstoši Eiropas Komisijas vadlīniju dokumentam par Direktīvas 2012/27/ES 9. līdz 11. pantu (</w:t>
            </w:r>
            <w:hyperlink r:id="rId8" w:history="1">
              <w:r>
                <w:rPr>
                  <w:rStyle w:val="Hyperlink"/>
                </w:rPr>
                <w:t>https://eur-lex.europa.eu/legal-content/EN/ALL/?uri=SWD:2013:448:FIN</w:t>
              </w:r>
            </w:hyperlink>
            <w:r>
              <w:rPr>
                <w:rFonts w:eastAsia="Arial Unicode MS"/>
                <w:shd w:val="clear" w:color="auto" w:fill="FFFFFF"/>
              </w:rPr>
              <w:t xml:space="preserve">) tiek uzsvērta </w:t>
            </w:r>
            <w:r w:rsidRPr="00D46E7B">
              <w:rPr>
                <w:rFonts w:eastAsia="Arial Unicode MS"/>
                <w:shd w:val="clear" w:color="auto" w:fill="FFFFFF"/>
              </w:rPr>
              <w:t>precīzu skaitītāju pieejamīb</w:t>
            </w:r>
            <w:r>
              <w:rPr>
                <w:rFonts w:eastAsia="Arial Unicode MS"/>
                <w:shd w:val="clear" w:color="auto" w:fill="FFFFFF"/>
              </w:rPr>
              <w:t>a</w:t>
            </w:r>
            <w:r w:rsidRPr="00D46E7B">
              <w:rPr>
                <w:rFonts w:eastAsia="Arial Unicode MS"/>
                <w:shd w:val="clear" w:color="auto" w:fill="FFFFFF"/>
              </w:rPr>
              <w:t>, kas atbilst Eiropas Parlamenta un Padomes Direktīvai 2004/22/EK par mērinstrumentiem, vai precīzu siltum</w:t>
            </w:r>
            <w:r>
              <w:rPr>
                <w:rFonts w:eastAsia="Arial Unicode MS"/>
                <w:shd w:val="clear" w:color="auto" w:fill="FFFFFF"/>
              </w:rPr>
              <w:t xml:space="preserve">a maksas </w:t>
            </w:r>
            <w:r w:rsidRPr="00D46E7B">
              <w:rPr>
                <w:rFonts w:eastAsia="Arial Unicode MS"/>
                <w:shd w:val="clear" w:color="auto" w:fill="FFFFFF"/>
              </w:rPr>
              <w:t>sadalītāj</w:t>
            </w:r>
            <w:r>
              <w:rPr>
                <w:rFonts w:eastAsia="Arial Unicode MS"/>
                <w:shd w:val="clear" w:color="auto" w:fill="FFFFFF"/>
              </w:rPr>
              <w:t>u pieejamība</w:t>
            </w:r>
            <w:r w:rsidRPr="00D46E7B">
              <w:rPr>
                <w:rFonts w:eastAsia="Arial Unicode MS"/>
                <w:shd w:val="clear" w:color="auto" w:fill="FFFFFF"/>
              </w:rPr>
              <w:t>, kas atbilst attiecīgajiem Eiropas standartiem</w:t>
            </w:r>
            <w:r>
              <w:rPr>
                <w:rFonts w:eastAsia="Arial Unicode MS"/>
                <w:shd w:val="clear" w:color="auto" w:fill="FFFFFF"/>
              </w:rPr>
              <w:t xml:space="preserve"> (</w:t>
            </w:r>
            <w:r>
              <w:t xml:space="preserve">EN 834 Standard </w:t>
            </w:r>
            <w:proofErr w:type="spellStart"/>
            <w:r>
              <w:t>on</w:t>
            </w:r>
            <w:proofErr w:type="spellEnd"/>
            <w:r>
              <w:t xml:space="preserve"> </w:t>
            </w:r>
            <w:proofErr w:type="spellStart"/>
            <w:r>
              <w:t>heat</w:t>
            </w:r>
            <w:proofErr w:type="spellEnd"/>
            <w:r>
              <w:t xml:space="preserve"> </w:t>
            </w:r>
            <w:proofErr w:type="spellStart"/>
            <w:r>
              <w:t>cost</w:t>
            </w:r>
            <w:proofErr w:type="spellEnd"/>
            <w:r>
              <w:t xml:space="preserve"> </w:t>
            </w:r>
            <w:proofErr w:type="spellStart"/>
            <w:r>
              <w:t>allocators</w:t>
            </w:r>
            <w:proofErr w:type="spellEnd"/>
            <w:r>
              <w:t xml:space="preserve"> </w:t>
            </w:r>
            <w:proofErr w:type="spellStart"/>
            <w:r>
              <w:t>for</w:t>
            </w:r>
            <w:proofErr w:type="spellEnd"/>
            <w:r>
              <w:t xml:space="preserve"> </w:t>
            </w:r>
            <w:proofErr w:type="spellStart"/>
            <w:r>
              <w:t>the</w:t>
            </w:r>
            <w:proofErr w:type="spellEnd"/>
            <w:r>
              <w:t xml:space="preserve"> </w:t>
            </w:r>
            <w:proofErr w:type="spellStart"/>
            <w:r>
              <w:t>determination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consumption</w:t>
            </w:r>
            <w:proofErr w:type="spellEnd"/>
            <w:r>
              <w:t xml:space="preserve"> </w:t>
            </w:r>
            <w:proofErr w:type="spellStart"/>
            <w:r>
              <w:t>of</w:t>
            </w:r>
            <w:proofErr w:type="spellEnd"/>
            <w:r>
              <w:t xml:space="preserve"> </w:t>
            </w:r>
            <w:proofErr w:type="spellStart"/>
            <w:r>
              <w:t>room</w:t>
            </w:r>
            <w:proofErr w:type="spellEnd"/>
            <w:r>
              <w:t xml:space="preserve"> </w:t>
            </w:r>
            <w:proofErr w:type="spellStart"/>
            <w:r>
              <w:t>heating</w:t>
            </w:r>
            <w:proofErr w:type="spellEnd"/>
            <w:r>
              <w:t xml:space="preserve"> radiators - </w:t>
            </w:r>
            <w:proofErr w:type="spellStart"/>
            <w:r>
              <w:t>appliances</w:t>
            </w:r>
            <w:proofErr w:type="spellEnd"/>
            <w:r>
              <w:t xml:space="preserve"> </w:t>
            </w:r>
            <w:proofErr w:type="spellStart"/>
            <w:r>
              <w:t>with</w:t>
            </w:r>
            <w:proofErr w:type="spellEnd"/>
            <w:r>
              <w:t xml:space="preserve"> </w:t>
            </w:r>
            <w:proofErr w:type="spellStart"/>
            <w:r>
              <w:t>electrical</w:t>
            </w:r>
            <w:proofErr w:type="spellEnd"/>
            <w:r>
              <w:t xml:space="preserve"> </w:t>
            </w:r>
            <w:proofErr w:type="spellStart"/>
            <w:r>
              <w:t>energy</w:t>
            </w:r>
            <w:proofErr w:type="spellEnd"/>
            <w:r>
              <w:t xml:space="preserve"> </w:t>
            </w:r>
            <w:proofErr w:type="spellStart"/>
            <w:r>
              <w:t>supply</w:t>
            </w:r>
            <w:proofErr w:type="spellEnd"/>
            <w:r>
              <w:rPr>
                <w:rFonts w:eastAsia="Arial Unicode MS"/>
                <w:shd w:val="clear" w:color="auto" w:fill="FFFFFF"/>
              </w:rPr>
              <w:t>).</w:t>
            </w:r>
          </w:p>
          <w:p w14:paraId="31636DDD" w14:textId="51FA76F9" w:rsidR="00B770EA" w:rsidRPr="00712FE5" w:rsidRDefault="00B770EA" w:rsidP="00B770EA">
            <w:pPr>
              <w:pStyle w:val="naisc"/>
              <w:spacing w:before="0" w:after="0"/>
              <w:jc w:val="both"/>
              <w:rPr>
                <w:b/>
                <w:bCs/>
              </w:rPr>
            </w:pPr>
            <w:r>
              <w:rPr>
                <w:rFonts w:eastAsia="Arial Unicode MS"/>
                <w:shd w:val="clear" w:color="auto" w:fill="FFFFFF"/>
              </w:rPr>
              <w:t>Minētais ievērots noteikumu projektā nosakot, ka i</w:t>
            </w:r>
            <w:r w:rsidRPr="00D46E7B">
              <w:rPr>
                <w:rFonts w:eastAsia="Arial Unicode MS"/>
                <w:shd w:val="clear" w:color="auto" w:fill="FFFFFF"/>
              </w:rPr>
              <w:t>ndividuāliem siltumenerģijas patēriņa skaitītājiem jāatbilst normatīvajos aktos par mērījumu vienotību noteiktajām metroloģiskajām prasībām siltumenerģijas skaitītājiem</w:t>
            </w:r>
            <w:r>
              <w:rPr>
                <w:rFonts w:eastAsia="Arial Unicode MS"/>
                <w:shd w:val="clear" w:color="auto" w:fill="FFFFFF"/>
              </w:rPr>
              <w:t xml:space="preserve">, kas pārņem </w:t>
            </w:r>
            <w:r w:rsidRPr="00D46E7B">
              <w:rPr>
                <w:rFonts w:eastAsia="Arial Unicode MS"/>
                <w:shd w:val="clear" w:color="auto" w:fill="FFFFFF"/>
              </w:rPr>
              <w:t>Direktīva</w:t>
            </w:r>
            <w:r>
              <w:rPr>
                <w:rFonts w:eastAsia="Arial Unicode MS"/>
                <w:shd w:val="clear" w:color="auto" w:fill="FFFFFF"/>
              </w:rPr>
              <w:t>s</w:t>
            </w:r>
            <w:r w:rsidRPr="00D46E7B">
              <w:rPr>
                <w:rFonts w:eastAsia="Arial Unicode MS"/>
                <w:shd w:val="clear" w:color="auto" w:fill="FFFFFF"/>
              </w:rPr>
              <w:t xml:space="preserve"> 2004/22/EK</w:t>
            </w:r>
            <w:r>
              <w:rPr>
                <w:rFonts w:eastAsia="Arial Unicode MS"/>
                <w:shd w:val="clear" w:color="auto" w:fill="FFFFFF"/>
              </w:rPr>
              <w:t xml:space="preserve"> </w:t>
            </w:r>
            <w:r>
              <w:rPr>
                <w:rFonts w:eastAsia="Arial Unicode MS"/>
                <w:shd w:val="clear" w:color="auto" w:fill="FFFFFF"/>
              </w:rPr>
              <w:lastRenderedPageBreak/>
              <w:t xml:space="preserve">prasības, savukārt attiecībā uz siltuma maksas sadalītājiem noteikta atbilstība </w:t>
            </w:r>
            <w:r w:rsidRPr="0082421A">
              <w:rPr>
                <w:rFonts w:eastAsia="Arial Unicode MS"/>
                <w:shd w:val="clear" w:color="auto" w:fill="FFFFFF"/>
              </w:rPr>
              <w:t>normatīvajos aktos par kārtību, kādā nosaka, aprēķina un uzskaita katra dzīvojamās mājas īpašnieka maksājamo daļu par dzīvojamās mājas uzturēšanai nepieciešamajiem pakalpojumiem noteiktajām prasībām</w:t>
            </w:r>
            <w:r>
              <w:t>.</w:t>
            </w:r>
          </w:p>
        </w:tc>
        <w:tc>
          <w:tcPr>
            <w:tcW w:w="3118" w:type="dxa"/>
            <w:tcBorders>
              <w:top w:val="single" w:sz="4" w:space="0" w:color="auto"/>
              <w:left w:val="single" w:sz="4" w:space="0" w:color="auto"/>
              <w:bottom w:val="single" w:sz="4" w:space="0" w:color="auto"/>
            </w:tcBorders>
          </w:tcPr>
          <w:p w14:paraId="1435E0C5" w14:textId="77777777" w:rsidR="00B770EA" w:rsidRPr="00712FE5" w:rsidRDefault="00B770EA" w:rsidP="00B770EA">
            <w:r>
              <w:lastRenderedPageBreak/>
              <w:t>5</w:t>
            </w:r>
            <w:r w:rsidRPr="00712FE5">
              <w:t>. punkts:</w:t>
            </w:r>
          </w:p>
          <w:p w14:paraId="4E7A8489" w14:textId="71FC9F55" w:rsidR="00B770EA" w:rsidRDefault="00B770EA" w:rsidP="00B770EA">
            <w:r>
              <w:t>“</w:t>
            </w:r>
            <w:r w:rsidRPr="0082421A">
              <w:t xml:space="preserve">5. Daudzdzīvokļu dzīvojamajā mājā patērētās siltumenerģijas uzskaiti veic atsevišķi katrai dzīvojamai telpu grupai un nedzīvojamai telpu grupai. Patērētās siltumenerģijas uzskaitē izmanto attālināti nolasāmus </w:t>
            </w:r>
            <w:r w:rsidRPr="0082421A">
              <w:lastRenderedPageBreak/>
              <w:t xml:space="preserve">individuālus siltumenerģijas patēriņa skaitītājus vai individuālus siltuma maksas sadalītājus katram </w:t>
            </w:r>
            <w:proofErr w:type="spellStart"/>
            <w:r w:rsidRPr="0082421A">
              <w:t>sildelementam</w:t>
            </w:r>
            <w:proofErr w:type="spellEnd"/>
            <w:r w:rsidRPr="0082421A">
              <w:t>, ja individuālu siltumenerģijas patēriņa skaitītāju uzstādīšana nav tehniski iespējama vai nav ekonomiski pamatota. Individuāliem siltumenerģijas patēriņa skaitītājiem jāatbilst normatīvajos aktos par mērījumu vienotību noteiktajām metroloģiskajām prasībām siltumenerģijas skaitītājiem, un individuāliem siltuma maksas sadalītājiem jāatbilst normatīvajos aktos par kārtību, kādā nosaka, aprēķina un uzskaita katra dzīvojamās mājas īpašnieka maksājamo daļu par dzīvojamās mājas uzturēšanai nepieciešamajiem pakalpojumiem noteiktajām prasībām.</w:t>
            </w:r>
            <w:r>
              <w:t>”</w:t>
            </w:r>
          </w:p>
        </w:tc>
      </w:tr>
      <w:tr w:rsidR="00B770EA" w:rsidRPr="00712FE5" w14:paraId="1121B736" w14:textId="77777777" w:rsidTr="00F10DF3">
        <w:tc>
          <w:tcPr>
            <w:tcW w:w="708" w:type="dxa"/>
            <w:tcBorders>
              <w:left w:val="single" w:sz="6" w:space="0" w:color="000000"/>
              <w:bottom w:val="single" w:sz="4" w:space="0" w:color="auto"/>
              <w:right w:val="single" w:sz="6" w:space="0" w:color="000000"/>
            </w:tcBorders>
          </w:tcPr>
          <w:p w14:paraId="43B5AA4F" w14:textId="4812DC15" w:rsidR="00B770EA" w:rsidRPr="00712FE5" w:rsidRDefault="00B770EA" w:rsidP="00B770EA">
            <w:pPr>
              <w:pStyle w:val="naisc"/>
              <w:spacing w:before="0" w:after="0"/>
            </w:pPr>
            <w:r>
              <w:lastRenderedPageBreak/>
              <w:t>13.</w:t>
            </w:r>
          </w:p>
        </w:tc>
        <w:tc>
          <w:tcPr>
            <w:tcW w:w="3086" w:type="dxa"/>
            <w:gridSpan w:val="2"/>
            <w:tcBorders>
              <w:left w:val="single" w:sz="6" w:space="0" w:color="000000"/>
              <w:bottom w:val="single" w:sz="4" w:space="0" w:color="auto"/>
              <w:right w:val="single" w:sz="6" w:space="0" w:color="000000"/>
            </w:tcBorders>
          </w:tcPr>
          <w:p w14:paraId="7C95E740" w14:textId="77777777" w:rsidR="00B770EA" w:rsidRPr="00712FE5" w:rsidRDefault="00B770EA" w:rsidP="00B770EA">
            <w:pPr>
              <w:pStyle w:val="naisc"/>
              <w:spacing w:before="0" w:after="0"/>
              <w:jc w:val="both"/>
            </w:pPr>
            <w:r w:rsidRPr="00712FE5">
              <w:t>5. punkts:</w:t>
            </w:r>
          </w:p>
          <w:p w14:paraId="2B538280" w14:textId="1DD587B3" w:rsidR="00B770EA" w:rsidRPr="00712FE5" w:rsidRDefault="00B770EA" w:rsidP="00B770EA">
            <w:pPr>
              <w:pStyle w:val="naisc"/>
              <w:spacing w:before="0" w:after="0"/>
              <w:jc w:val="both"/>
            </w:pPr>
            <w:r w:rsidRPr="00712FE5">
              <w:t>“</w:t>
            </w:r>
            <w:r w:rsidRPr="00712FE5">
              <w:rPr>
                <w:rStyle w:val="normaltextrun"/>
              </w:rPr>
              <w:t xml:space="preserve">5. Daudzdzīvokļu dzīvojamajā mājā patērētās siltumenerģijas uzskaiti veic atsevišķi katrai dzīvojamai telpu grupai un nedzīvojamai telpu grupai. Patērētās siltumenerģijas uzskaitē </w:t>
            </w:r>
            <w:r w:rsidRPr="00712FE5">
              <w:rPr>
                <w:rStyle w:val="spellingerror"/>
              </w:rPr>
              <w:t>izmanto attālināti nolasāmus individuālus</w:t>
            </w:r>
            <w:r w:rsidRPr="00712FE5">
              <w:rPr>
                <w:rStyle w:val="normaltextrun"/>
              </w:rPr>
              <w:t xml:space="preserve"> siltuma maksas sadalītājus katram </w:t>
            </w:r>
            <w:proofErr w:type="spellStart"/>
            <w:r w:rsidRPr="00712FE5">
              <w:rPr>
                <w:rStyle w:val="spellingerror"/>
              </w:rPr>
              <w:t>sildelementam</w:t>
            </w:r>
            <w:proofErr w:type="spellEnd"/>
            <w:r w:rsidRPr="00712FE5">
              <w:rPr>
                <w:rStyle w:val="normaltextrun"/>
              </w:rPr>
              <w:t xml:space="preserve"> vai individuālus siltumenerģijas patēriņa skaitītājus.</w:t>
            </w:r>
            <w:r w:rsidRPr="00712FE5">
              <w:t>”</w:t>
            </w:r>
          </w:p>
        </w:tc>
        <w:tc>
          <w:tcPr>
            <w:tcW w:w="4394" w:type="dxa"/>
            <w:tcBorders>
              <w:left w:val="single" w:sz="6" w:space="0" w:color="000000"/>
              <w:bottom w:val="single" w:sz="4" w:space="0" w:color="auto"/>
              <w:right w:val="single" w:sz="6" w:space="0" w:color="000000"/>
            </w:tcBorders>
          </w:tcPr>
          <w:p w14:paraId="23C3A4D6" w14:textId="77777777" w:rsidR="00B770EA" w:rsidRPr="00712FE5" w:rsidRDefault="00B770EA" w:rsidP="00B770EA">
            <w:pPr>
              <w:pStyle w:val="naisc"/>
              <w:spacing w:before="0" w:after="0"/>
              <w:jc w:val="both"/>
              <w:rPr>
                <w:b/>
                <w:bCs/>
              </w:rPr>
            </w:pPr>
            <w:r w:rsidRPr="00712FE5">
              <w:rPr>
                <w:b/>
                <w:bCs/>
              </w:rPr>
              <w:t>Biedrība “Latvijas Mazo un vidējo uzņēmumu asociācija”</w:t>
            </w:r>
          </w:p>
          <w:p w14:paraId="3DC24543" w14:textId="2397722C" w:rsidR="00B770EA" w:rsidRPr="00712FE5" w:rsidRDefault="00B770EA" w:rsidP="00B770EA">
            <w:pPr>
              <w:pStyle w:val="naisc"/>
              <w:spacing w:before="0" w:after="0"/>
              <w:jc w:val="both"/>
              <w:rPr>
                <w:b/>
                <w:bCs/>
              </w:rPr>
            </w:pPr>
            <w:r w:rsidRPr="00712FE5">
              <w:t>Noteikumu projektā iet runa par individuālajiem siltuma maksas sadalītājiem ar attālinātas nolasīšanas iespējām. Taču nav noteikti parametri šādai nolasīšanai. Vai jātiek nolasītiem vienu reizi gadā, vienu reizi mēnesī, vai vienu reizi sekundē? Kādā veidā jānotiek nolasīšanai?  Manuāli vai automātiski?</w:t>
            </w:r>
          </w:p>
        </w:tc>
        <w:tc>
          <w:tcPr>
            <w:tcW w:w="3119" w:type="dxa"/>
            <w:gridSpan w:val="2"/>
            <w:tcBorders>
              <w:left w:val="single" w:sz="6" w:space="0" w:color="000000"/>
              <w:bottom w:val="single" w:sz="4" w:space="0" w:color="auto"/>
              <w:right w:val="single" w:sz="6" w:space="0" w:color="000000"/>
            </w:tcBorders>
          </w:tcPr>
          <w:p w14:paraId="25EB03D8" w14:textId="23074533" w:rsidR="00B770EA" w:rsidRPr="00B770EA" w:rsidRDefault="00B770EA" w:rsidP="00B770EA">
            <w:pPr>
              <w:pStyle w:val="naisc"/>
              <w:spacing w:before="0" w:after="0"/>
              <w:rPr>
                <w:b/>
                <w:bCs/>
              </w:rPr>
            </w:pPr>
            <w:r w:rsidRPr="00B770EA">
              <w:rPr>
                <w:b/>
                <w:bCs/>
              </w:rPr>
              <w:t>Neuztur iebildumu</w:t>
            </w:r>
            <w:r w:rsidR="00F56801">
              <w:rPr>
                <w:b/>
                <w:bCs/>
              </w:rPr>
              <w:t>.</w:t>
            </w:r>
          </w:p>
          <w:p w14:paraId="60E7F03B" w14:textId="22BC1E81" w:rsidR="00B770EA" w:rsidRDefault="00B770EA" w:rsidP="00B770EA">
            <w:pPr>
              <w:pStyle w:val="naisc"/>
              <w:spacing w:before="0" w:after="0"/>
              <w:jc w:val="both"/>
              <w:rPr>
                <w:b/>
                <w:bCs/>
              </w:rPr>
            </w:pPr>
            <w:r w:rsidRPr="00712FE5">
              <w:t>Par siltuma maksas sadalītāju rādījumu nolasīšanas metodiku lēmumu pieņem paši ēkas īpašnieki, tajā skaitā par to, cik bieži un kādā veidā nolasīt rādījumus. Papildus Ekonomikas ministrija plāno izstrādāt grozījumus arī Ministru kabineta 2015.gada 15.septembra noteikumos Nr.524 “</w:t>
            </w:r>
            <w:r w:rsidRPr="00712FE5">
              <w:rPr>
                <w:shd w:val="clear" w:color="auto" w:fill="FFFFFF"/>
              </w:rPr>
              <w:t>Kārtība, kādā nosaka, aprēķina un uzskaita katra dzīvojamās mājas īpašnieka maksājamo daļu par dzīvojamās mājas uzturēšanai nepieciešamajiem pakalpojumiem</w:t>
            </w:r>
            <w:r w:rsidRPr="00712FE5">
              <w:t>”, piedāvājot aprēķina metodiku.</w:t>
            </w:r>
          </w:p>
        </w:tc>
        <w:tc>
          <w:tcPr>
            <w:tcW w:w="3118" w:type="dxa"/>
            <w:tcBorders>
              <w:top w:val="single" w:sz="4" w:space="0" w:color="auto"/>
              <w:left w:val="single" w:sz="4" w:space="0" w:color="auto"/>
              <w:bottom w:val="single" w:sz="4" w:space="0" w:color="auto"/>
            </w:tcBorders>
          </w:tcPr>
          <w:p w14:paraId="5C9CFD3B" w14:textId="77777777" w:rsidR="00B770EA" w:rsidRDefault="00B770EA" w:rsidP="00B770EA">
            <w:r>
              <w:t>5. punkts:</w:t>
            </w:r>
          </w:p>
          <w:p w14:paraId="3CF7FFEB" w14:textId="0DABA537" w:rsidR="00B770EA" w:rsidRDefault="00B770EA" w:rsidP="00B770EA">
            <w:r>
              <w:t xml:space="preserve">“5. Daudzdzīvokļu dzīvojamajā mājā patērētās siltumenerģijas uzskaiti veic atsevišķi katrai dzīvojamai telpu grupai un nedzīvojamai telpu grupai. Patērētās siltumenerģijas uzskaitē izmanto attālināti nolasāmus individuālus siltumenerģijas patēriņa skaitītājus vai individuālus siltuma maksas sadalītājus katram </w:t>
            </w:r>
            <w:proofErr w:type="spellStart"/>
            <w:r>
              <w:t>sildelementam</w:t>
            </w:r>
            <w:proofErr w:type="spellEnd"/>
            <w:r>
              <w:t xml:space="preserve">, ja individuālu siltumenerģijas patēriņa skaitītāju uzstādīšana nav tehniski iespējama vai nav ekonomiski pamatota. Individuāliem siltumenerģijas patēriņa skaitītājiem jāatbilst normatīvajos aktos par mērījumu vienotību </w:t>
            </w:r>
            <w:r>
              <w:lastRenderedPageBreak/>
              <w:t>noteiktajām metroloģiskajām prasībām siltumenerģijas skaitītājiem, un individuāliem siltuma maksas sadalītājiem jāatbilst normatīvajos aktos par kārtību, kādā nosaka, aprēķina un uzskaita katra dzīvojamās mājas īpašnieka maksājamo daļu par dzīvojamās mājas uzturēšanai nepieciešamajiem pakalpojumiem noteiktajām prasībām.”</w:t>
            </w:r>
          </w:p>
        </w:tc>
      </w:tr>
      <w:tr w:rsidR="00B770EA" w:rsidRPr="00712FE5" w14:paraId="5495EDA4" w14:textId="77777777" w:rsidTr="00F10DF3">
        <w:tc>
          <w:tcPr>
            <w:tcW w:w="708" w:type="dxa"/>
            <w:tcBorders>
              <w:left w:val="single" w:sz="6" w:space="0" w:color="000000"/>
              <w:bottom w:val="single" w:sz="4" w:space="0" w:color="auto"/>
              <w:right w:val="single" w:sz="6" w:space="0" w:color="000000"/>
            </w:tcBorders>
          </w:tcPr>
          <w:p w14:paraId="17E3A034" w14:textId="77DAC290" w:rsidR="00B770EA" w:rsidRPr="00712FE5" w:rsidRDefault="00B770EA" w:rsidP="00B770EA">
            <w:pPr>
              <w:pStyle w:val="naisc"/>
              <w:spacing w:before="0" w:after="0"/>
            </w:pPr>
            <w:r w:rsidRPr="00712FE5">
              <w:lastRenderedPageBreak/>
              <w:t>1</w:t>
            </w:r>
            <w:r>
              <w:t>4</w:t>
            </w:r>
            <w:r w:rsidRPr="00712FE5">
              <w:t>.</w:t>
            </w:r>
          </w:p>
        </w:tc>
        <w:tc>
          <w:tcPr>
            <w:tcW w:w="3086" w:type="dxa"/>
            <w:gridSpan w:val="2"/>
            <w:tcBorders>
              <w:left w:val="single" w:sz="6" w:space="0" w:color="000000"/>
              <w:bottom w:val="single" w:sz="4" w:space="0" w:color="auto"/>
              <w:right w:val="single" w:sz="6" w:space="0" w:color="000000"/>
            </w:tcBorders>
          </w:tcPr>
          <w:p w14:paraId="1285B752" w14:textId="77777777" w:rsidR="00B770EA" w:rsidRPr="00712FE5" w:rsidRDefault="00B770EA" w:rsidP="00B770EA">
            <w:pPr>
              <w:pStyle w:val="naisc"/>
              <w:spacing w:before="0" w:after="0"/>
              <w:jc w:val="both"/>
            </w:pPr>
            <w:r w:rsidRPr="00712FE5">
              <w:t>6. punkts:</w:t>
            </w:r>
          </w:p>
          <w:p w14:paraId="2ED682C2" w14:textId="77777777" w:rsidR="00B770EA" w:rsidRPr="00712FE5" w:rsidRDefault="00B770EA" w:rsidP="00B770EA">
            <w:pPr>
              <w:pStyle w:val="naisc"/>
              <w:spacing w:before="0" w:after="0"/>
              <w:jc w:val="both"/>
            </w:pPr>
            <w:r w:rsidRPr="00712FE5">
              <w:t>“</w:t>
            </w:r>
            <w:r w:rsidRPr="00712FE5">
              <w:rPr>
                <w:rStyle w:val="normaltextrun"/>
              </w:rPr>
              <w:t>6. Šo noteikumu 5. punkta prasības nepiemēro, ja to piemērošana nav tehniski iespējama vai nav ekonomiski pamatota.</w:t>
            </w:r>
            <w:r w:rsidRPr="00712FE5">
              <w:t>”;</w:t>
            </w:r>
          </w:p>
          <w:p w14:paraId="76630844" w14:textId="77777777" w:rsidR="00B770EA" w:rsidRPr="00712FE5" w:rsidRDefault="00B770EA" w:rsidP="00B770EA">
            <w:pPr>
              <w:pStyle w:val="naisc"/>
              <w:spacing w:before="0" w:after="0"/>
              <w:jc w:val="both"/>
            </w:pPr>
            <w:r w:rsidRPr="00712FE5">
              <w:t>11. punkts:</w:t>
            </w:r>
          </w:p>
          <w:p w14:paraId="504116F5" w14:textId="77777777" w:rsidR="00B770EA" w:rsidRPr="00712FE5" w:rsidRDefault="00B770EA" w:rsidP="00B770EA">
            <w:pPr>
              <w:pStyle w:val="naisc"/>
              <w:spacing w:before="0" w:after="0"/>
              <w:jc w:val="both"/>
            </w:pPr>
            <w:r w:rsidRPr="00712FE5">
              <w:t>“</w:t>
            </w:r>
            <w:r w:rsidRPr="00712FE5">
              <w:rPr>
                <w:rStyle w:val="eop"/>
              </w:rPr>
              <w:t>11. </w:t>
            </w:r>
            <w:r w:rsidRPr="00712FE5">
              <w:rPr>
                <w:rStyle w:val="normaltextrun"/>
              </w:rPr>
              <w:t>Šo noteikumu 10. punkta prasības nepiemēro, ja to piemērošana nav tehniski iespējama vai nav ekonomiski pamatota.</w:t>
            </w:r>
            <w:r w:rsidRPr="00712FE5">
              <w:t>”;</w:t>
            </w:r>
          </w:p>
          <w:p w14:paraId="6C1A9163" w14:textId="77777777" w:rsidR="00B770EA" w:rsidRPr="00712FE5" w:rsidRDefault="00B770EA" w:rsidP="00B770EA">
            <w:pPr>
              <w:pStyle w:val="naisc"/>
              <w:spacing w:before="0" w:after="0"/>
              <w:jc w:val="both"/>
            </w:pPr>
            <w:r w:rsidRPr="00712FE5">
              <w:t>14. punkts:</w:t>
            </w:r>
          </w:p>
          <w:p w14:paraId="524881BE" w14:textId="77777777" w:rsidR="00B770EA" w:rsidRPr="00712FE5" w:rsidRDefault="00B770EA" w:rsidP="00B770EA">
            <w:pPr>
              <w:pStyle w:val="naisc"/>
              <w:spacing w:before="0" w:after="0"/>
              <w:jc w:val="both"/>
            </w:pPr>
            <w:r w:rsidRPr="00712FE5">
              <w:t>“</w:t>
            </w:r>
            <w:r w:rsidRPr="00712FE5">
              <w:rPr>
                <w:rStyle w:val="normaltextrun"/>
              </w:rPr>
              <w:t>14. Šo noteikumu 12. punkta prasības nepiemēro, ja to piemērošana nav tehniski iespējama vai nav ekonomiski pamatota.</w:t>
            </w:r>
            <w:r w:rsidRPr="00712FE5">
              <w:t>”</w:t>
            </w:r>
          </w:p>
        </w:tc>
        <w:tc>
          <w:tcPr>
            <w:tcW w:w="4394" w:type="dxa"/>
            <w:tcBorders>
              <w:left w:val="single" w:sz="6" w:space="0" w:color="000000"/>
              <w:bottom w:val="single" w:sz="4" w:space="0" w:color="auto"/>
              <w:right w:val="single" w:sz="6" w:space="0" w:color="000000"/>
            </w:tcBorders>
          </w:tcPr>
          <w:p w14:paraId="42A63CC0" w14:textId="77777777" w:rsidR="00B770EA" w:rsidRPr="00712FE5" w:rsidRDefault="00B770EA" w:rsidP="00B770EA">
            <w:pPr>
              <w:pStyle w:val="naisc"/>
              <w:spacing w:before="0" w:after="0"/>
              <w:jc w:val="both"/>
              <w:rPr>
                <w:b/>
                <w:bCs/>
              </w:rPr>
            </w:pPr>
            <w:r w:rsidRPr="00712FE5">
              <w:rPr>
                <w:b/>
                <w:bCs/>
              </w:rPr>
              <w:t>Tieslietu ministrija</w:t>
            </w:r>
          </w:p>
          <w:p w14:paraId="7E756CB6" w14:textId="77777777" w:rsidR="00B770EA" w:rsidRPr="00712FE5" w:rsidRDefault="00B770EA" w:rsidP="00B770EA">
            <w:pPr>
              <w:pStyle w:val="naisc"/>
              <w:spacing w:before="0" w:after="0"/>
              <w:jc w:val="both"/>
            </w:pPr>
            <w:r w:rsidRPr="00712FE5">
              <w:t xml:space="preserve">Saskaņā ar Ministru kabineta 2009. gada 15. decembra noteikumu Nr. 108 "Normatīvo aktu projektu sagatavošanas noteikumi" (turpmāk – noteikumi Nr. 108) 3.2. apakšpunktu normatīvā akta projektā neietver normas, kas dublē augstāka vai tāda paša spēka normatīvā akta tiesību normās ietverto normatīvo regulējumu. Attiecīgi lūdzam izvērtēt un svītrot noteikumu projekta 6., 11. un 14. punktu, jo minētās normas nosaka izņēmumus no prasībām ekspluatējamas ēkas inženiertehniskajām sistēmām, ja šo prasību piemērošana nav tehniski iespējama vai ekonomiski pamatota, savukārt Ēku energoefektivitātes likuma 4. panta trešā daļa (likumprojektā izteiktā redakcijā) vispārīgi noteic, ka minimālās prasības ēkas inženiertehniskajām sistēmām nepiemēro, </w:t>
            </w:r>
            <w:r w:rsidRPr="00712FE5">
              <w:lastRenderedPageBreak/>
              <w:t xml:space="preserve">ja šo prasību piemērošana </w:t>
            </w:r>
            <w:r w:rsidRPr="00712FE5">
              <w:rPr>
                <w:u w:val="single"/>
              </w:rPr>
              <w:t>nav tehniski</w:t>
            </w:r>
            <w:r w:rsidRPr="00712FE5">
              <w:t xml:space="preserve"> vai funkcionāli </w:t>
            </w:r>
            <w:r w:rsidRPr="00712FE5">
              <w:rPr>
                <w:u w:val="single"/>
              </w:rPr>
              <w:t>iespējama vai nav ekonomiski pamatota</w:t>
            </w:r>
            <w:r w:rsidRPr="00712FE5">
              <w:t>.</w:t>
            </w:r>
          </w:p>
          <w:p w14:paraId="79D86F96" w14:textId="77777777" w:rsidR="00B770EA" w:rsidRPr="00712FE5" w:rsidRDefault="00B770EA" w:rsidP="00B770EA">
            <w:pPr>
              <w:pStyle w:val="naisc"/>
              <w:spacing w:before="0" w:after="0"/>
              <w:jc w:val="both"/>
              <w:rPr>
                <w:b/>
                <w:bCs/>
              </w:rPr>
            </w:pPr>
            <w:r w:rsidRPr="00712FE5">
              <w:rPr>
                <w:b/>
                <w:bCs/>
              </w:rPr>
              <w:t>Latvijas Lielo pilsētu asociācija</w:t>
            </w:r>
          </w:p>
          <w:p w14:paraId="7F3DB5DD" w14:textId="77777777" w:rsidR="00B770EA" w:rsidRPr="00712FE5" w:rsidRDefault="00B770EA" w:rsidP="00B770EA">
            <w:r w:rsidRPr="00712FE5">
              <w:t>Noteikumu projekta 6., 11. un 14. punkti regulē vienu jautājumu, proti, tiesību nepiemērot konkrētas prasībās, ja to piemērošana nav tehniski iespējama vai ekonomiski pamatota, līdz ar to šos punktus būtu nepieciešams apvienot vienā punktā.</w:t>
            </w:r>
          </w:p>
        </w:tc>
        <w:tc>
          <w:tcPr>
            <w:tcW w:w="3119" w:type="dxa"/>
            <w:gridSpan w:val="2"/>
            <w:tcBorders>
              <w:left w:val="single" w:sz="6" w:space="0" w:color="000000"/>
              <w:bottom w:val="single" w:sz="4" w:space="0" w:color="auto"/>
              <w:right w:val="single" w:sz="6" w:space="0" w:color="000000"/>
            </w:tcBorders>
          </w:tcPr>
          <w:p w14:paraId="7D76E088" w14:textId="77777777" w:rsidR="00B770EA" w:rsidRPr="00712FE5" w:rsidRDefault="00B770EA" w:rsidP="00B770EA">
            <w:pPr>
              <w:pStyle w:val="naisc"/>
              <w:spacing w:before="0" w:after="0"/>
              <w:rPr>
                <w:b/>
                <w:bCs/>
              </w:rPr>
            </w:pPr>
            <w:r w:rsidRPr="00712FE5">
              <w:rPr>
                <w:b/>
                <w:bCs/>
              </w:rPr>
              <w:lastRenderedPageBreak/>
              <w:t>Ņemts vērā.</w:t>
            </w:r>
          </w:p>
          <w:p w14:paraId="5490CE58" w14:textId="77777777" w:rsidR="00B770EA" w:rsidRPr="00712FE5" w:rsidRDefault="00B770EA" w:rsidP="00B770EA">
            <w:pPr>
              <w:pStyle w:val="naisc"/>
              <w:spacing w:before="0" w:after="0"/>
              <w:jc w:val="both"/>
            </w:pPr>
          </w:p>
        </w:tc>
        <w:tc>
          <w:tcPr>
            <w:tcW w:w="3118" w:type="dxa"/>
            <w:tcBorders>
              <w:top w:val="single" w:sz="4" w:space="0" w:color="auto"/>
              <w:left w:val="single" w:sz="4" w:space="0" w:color="auto"/>
              <w:bottom w:val="single" w:sz="4" w:space="0" w:color="auto"/>
            </w:tcBorders>
          </w:tcPr>
          <w:p w14:paraId="5248F96F" w14:textId="77777777" w:rsidR="00B770EA" w:rsidRPr="00712FE5" w:rsidRDefault="00B770EA" w:rsidP="00B770EA">
            <w:r w:rsidRPr="00712FE5">
              <w:t>Noteikumu projekta normas svītrotas.</w:t>
            </w:r>
          </w:p>
        </w:tc>
      </w:tr>
      <w:tr w:rsidR="00B770EA" w:rsidRPr="00712FE5" w14:paraId="55EC8E1D" w14:textId="77777777" w:rsidTr="00F10DF3">
        <w:tc>
          <w:tcPr>
            <w:tcW w:w="708" w:type="dxa"/>
            <w:tcBorders>
              <w:left w:val="single" w:sz="6" w:space="0" w:color="000000"/>
              <w:bottom w:val="single" w:sz="4" w:space="0" w:color="auto"/>
              <w:right w:val="single" w:sz="6" w:space="0" w:color="000000"/>
            </w:tcBorders>
          </w:tcPr>
          <w:p w14:paraId="16CA9003" w14:textId="72401426" w:rsidR="00B770EA" w:rsidRPr="00712FE5" w:rsidRDefault="00B770EA" w:rsidP="00B770EA">
            <w:pPr>
              <w:pStyle w:val="naisc"/>
              <w:spacing w:before="0" w:after="0"/>
            </w:pPr>
            <w:r w:rsidRPr="00712FE5">
              <w:t>1</w:t>
            </w:r>
            <w:r>
              <w:t>5</w:t>
            </w:r>
            <w:r w:rsidRPr="00712FE5">
              <w:t>.</w:t>
            </w:r>
          </w:p>
        </w:tc>
        <w:tc>
          <w:tcPr>
            <w:tcW w:w="3086" w:type="dxa"/>
            <w:gridSpan w:val="2"/>
            <w:tcBorders>
              <w:left w:val="single" w:sz="6" w:space="0" w:color="000000"/>
              <w:bottom w:val="single" w:sz="4" w:space="0" w:color="auto"/>
              <w:right w:val="single" w:sz="6" w:space="0" w:color="000000"/>
            </w:tcBorders>
          </w:tcPr>
          <w:p w14:paraId="740377FD" w14:textId="77777777" w:rsidR="00B770EA" w:rsidRPr="00712FE5" w:rsidRDefault="00B770EA" w:rsidP="00B770EA">
            <w:pPr>
              <w:pStyle w:val="naisc"/>
              <w:spacing w:before="0" w:after="0"/>
              <w:jc w:val="both"/>
            </w:pPr>
            <w:r w:rsidRPr="00712FE5">
              <w:t>6. punkts:</w:t>
            </w:r>
          </w:p>
          <w:p w14:paraId="441F07E4" w14:textId="77777777" w:rsidR="00B770EA" w:rsidRPr="00712FE5" w:rsidRDefault="00B770EA" w:rsidP="00B770EA">
            <w:pPr>
              <w:pStyle w:val="naisc"/>
              <w:spacing w:before="0" w:after="0"/>
              <w:jc w:val="both"/>
            </w:pPr>
            <w:r w:rsidRPr="00712FE5">
              <w:t>“</w:t>
            </w:r>
            <w:r w:rsidRPr="00712FE5">
              <w:rPr>
                <w:rStyle w:val="normaltextrun"/>
              </w:rPr>
              <w:t>6. Šo noteikumu 5. punkta prasības nepiemēro, ja to piemērošana nav tehniski iespējama vai nav ekonomiski pamatota.</w:t>
            </w:r>
            <w:r w:rsidRPr="00712FE5">
              <w:t>”;</w:t>
            </w:r>
          </w:p>
          <w:p w14:paraId="757E8DB7" w14:textId="77777777" w:rsidR="00B770EA" w:rsidRPr="00712FE5" w:rsidRDefault="00B770EA" w:rsidP="00B770EA">
            <w:pPr>
              <w:pStyle w:val="naisc"/>
              <w:spacing w:before="0" w:after="0"/>
              <w:jc w:val="both"/>
            </w:pPr>
            <w:r w:rsidRPr="00712FE5">
              <w:t>11. punkts:</w:t>
            </w:r>
          </w:p>
          <w:p w14:paraId="130FA829" w14:textId="77777777" w:rsidR="00B770EA" w:rsidRPr="00712FE5" w:rsidRDefault="00B770EA" w:rsidP="00B770EA">
            <w:pPr>
              <w:pStyle w:val="naisc"/>
              <w:spacing w:before="0" w:after="0"/>
              <w:jc w:val="both"/>
            </w:pPr>
            <w:r w:rsidRPr="00712FE5">
              <w:t>“</w:t>
            </w:r>
            <w:r w:rsidRPr="00712FE5">
              <w:rPr>
                <w:rStyle w:val="eop"/>
              </w:rPr>
              <w:t>11. </w:t>
            </w:r>
            <w:r w:rsidRPr="00712FE5">
              <w:rPr>
                <w:rStyle w:val="normaltextrun"/>
              </w:rPr>
              <w:t>Šo noteikumu 10. punkta prasības nepiemēro, ja to piemērošana nav tehniski iespējama vai nav ekonomiski pamatota.</w:t>
            </w:r>
            <w:r w:rsidRPr="00712FE5">
              <w:t>”;</w:t>
            </w:r>
          </w:p>
          <w:p w14:paraId="5AB2D7FA" w14:textId="77777777" w:rsidR="00B770EA" w:rsidRPr="00712FE5" w:rsidRDefault="00B770EA" w:rsidP="00B770EA">
            <w:pPr>
              <w:pStyle w:val="naisc"/>
              <w:spacing w:before="0" w:after="0"/>
              <w:jc w:val="both"/>
            </w:pPr>
            <w:r w:rsidRPr="00712FE5">
              <w:t>14. punkts:</w:t>
            </w:r>
          </w:p>
          <w:p w14:paraId="1A147CAC" w14:textId="77777777" w:rsidR="00B770EA" w:rsidRPr="00712FE5" w:rsidRDefault="00B770EA" w:rsidP="00B770EA">
            <w:pPr>
              <w:pStyle w:val="naisc"/>
              <w:spacing w:before="0" w:after="0"/>
              <w:jc w:val="both"/>
            </w:pPr>
            <w:r w:rsidRPr="00712FE5">
              <w:t>“</w:t>
            </w:r>
            <w:r w:rsidRPr="00712FE5">
              <w:rPr>
                <w:rStyle w:val="normaltextrun"/>
              </w:rPr>
              <w:t>14. Šo noteikumu 12. punkta prasības nepiemēro, ja to piemērošana nav tehniski iespējama vai nav ekonomiski pamatota.</w:t>
            </w:r>
            <w:r w:rsidRPr="00712FE5">
              <w:t>”</w:t>
            </w:r>
          </w:p>
        </w:tc>
        <w:tc>
          <w:tcPr>
            <w:tcW w:w="4394" w:type="dxa"/>
            <w:tcBorders>
              <w:left w:val="single" w:sz="6" w:space="0" w:color="000000"/>
              <w:bottom w:val="single" w:sz="4" w:space="0" w:color="auto"/>
              <w:right w:val="single" w:sz="6" w:space="0" w:color="000000"/>
            </w:tcBorders>
          </w:tcPr>
          <w:p w14:paraId="1EFF86B6" w14:textId="77777777" w:rsidR="00B770EA" w:rsidRPr="00712FE5" w:rsidRDefault="00B770EA" w:rsidP="00B770EA">
            <w:pPr>
              <w:pStyle w:val="naisc"/>
              <w:spacing w:before="0" w:after="0"/>
              <w:jc w:val="both"/>
              <w:rPr>
                <w:b/>
                <w:bCs/>
              </w:rPr>
            </w:pPr>
            <w:r w:rsidRPr="00712FE5">
              <w:rPr>
                <w:b/>
                <w:bCs/>
              </w:rPr>
              <w:t>Biedrība “Latvijas Mazo un vidējo uzņēmumu asociācija”</w:t>
            </w:r>
          </w:p>
          <w:p w14:paraId="4BDFBEBF" w14:textId="77777777" w:rsidR="00B770EA" w:rsidRPr="00712FE5" w:rsidRDefault="00B770EA" w:rsidP="00B770EA">
            <w:r w:rsidRPr="00712FE5">
              <w:t>No noteikumu projekta nav skaidrs, kas tiek saprasts ar “tehnisko iespējamību”? Kā noteikt, vai tā ir, vai nav?</w:t>
            </w:r>
          </w:p>
        </w:tc>
        <w:tc>
          <w:tcPr>
            <w:tcW w:w="3119" w:type="dxa"/>
            <w:gridSpan w:val="2"/>
            <w:tcBorders>
              <w:left w:val="single" w:sz="6" w:space="0" w:color="000000"/>
              <w:bottom w:val="single" w:sz="4" w:space="0" w:color="auto"/>
              <w:right w:val="single" w:sz="6" w:space="0" w:color="000000"/>
            </w:tcBorders>
          </w:tcPr>
          <w:p w14:paraId="61A57BED" w14:textId="77777777" w:rsidR="00B770EA" w:rsidRPr="00712FE5" w:rsidRDefault="00B770EA" w:rsidP="00B770EA">
            <w:pPr>
              <w:pStyle w:val="naisc"/>
              <w:spacing w:before="0" w:after="0"/>
              <w:rPr>
                <w:b/>
                <w:bCs/>
              </w:rPr>
            </w:pPr>
            <w:r w:rsidRPr="00712FE5">
              <w:rPr>
                <w:b/>
                <w:bCs/>
              </w:rPr>
              <w:t>Panākta vienošanās.</w:t>
            </w:r>
          </w:p>
          <w:p w14:paraId="24902B6F" w14:textId="77777777" w:rsidR="00B770EA" w:rsidRPr="00712FE5" w:rsidRDefault="00B770EA" w:rsidP="00B770EA">
            <w:pPr>
              <w:pStyle w:val="naisc"/>
              <w:spacing w:before="0" w:after="0"/>
              <w:jc w:val="both"/>
            </w:pPr>
            <w:r w:rsidRPr="00712FE5">
              <w:t>Tehniskā iespējamība izvērtējama katrā konkrētajā gadījumā atkarībā no ēkas inženiertehniskajām sistēmām. Individuālu siltumenerģijas patēriņa skaitītāju  uzstādīšanas tehniskā iespējamība ir noteikta Noteikumu projekta 6.punktā.</w:t>
            </w:r>
          </w:p>
        </w:tc>
        <w:tc>
          <w:tcPr>
            <w:tcW w:w="3118" w:type="dxa"/>
            <w:tcBorders>
              <w:top w:val="single" w:sz="4" w:space="0" w:color="auto"/>
              <w:left w:val="single" w:sz="4" w:space="0" w:color="auto"/>
              <w:bottom w:val="single" w:sz="4" w:space="0" w:color="auto"/>
            </w:tcBorders>
          </w:tcPr>
          <w:p w14:paraId="49DF1039" w14:textId="75058B72" w:rsidR="00B770EA" w:rsidRPr="00712FE5" w:rsidRDefault="00B770EA" w:rsidP="00B770EA">
            <w:r>
              <w:t>6</w:t>
            </w:r>
            <w:r w:rsidRPr="00712FE5">
              <w:t>. punkts:</w:t>
            </w:r>
          </w:p>
          <w:p w14:paraId="0D7E3ED1" w14:textId="1B5155E7" w:rsidR="00B770EA" w:rsidRPr="00712FE5" w:rsidRDefault="00B770EA" w:rsidP="00B770EA">
            <w:r w:rsidRPr="00712FE5">
              <w:t>“</w:t>
            </w:r>
            <w:r>
              <w:rPr>
                <w:rStyle w:val="normaltextrun"/>
              </w:rPr>
              <w:t>6</w:t>
            </w:r>
            <w:r w:rsidRPr="00712FE5">
              <w:rPr>
                <w:rStyle w:val="normaltextrun"/>
              </w:rPr>
              <w:t xml:space="preserve">. Individuālu siltumenerģijas patēriņa </w:t>
            </w:r>
            <w:r w:rsidRPr="00712FE5">
              <w:rPr>
                <w:rStyle w:val="eop"/>
              </w:rPr>
              <w:t>skaitītāju daudzdzīvokļu dzīvojamās mājas telpu grupā uzstāda tādā gadījumā, ja ir tehniski iespējams ar vienu skaitītāju uzskaitīt visā telpu grupā patērēto siltumenerģiju</w:t>
            </w:r>
            <w:r w:rsidRPr="00712FE5">
              <w:rPr>
                <w:rStyle w:val="normaltextrun"/>
              </w:rPr>
              <w:t>.</w:t>
            </w:r>
            <w:r w:rsidRPr="00712FE5">
              <w:t>”</w:t>
            </w:r>
          </w:p>
          <w:p w14:paraId="3F3C7ED0" w14:textId="77777777" w:rsidR="00B770EA" w:rsidRPr="00712FE5" w:rsidRDefault="00B770EA" w:rsidP="00B770EA"/>
          <w:p w14:paraId="0ED9D5D2" w14:textId="77777777" w:rsidR="00B770EA" w:rsidRPr="00712FE5" w:rsidRDefault="00B770EA" w:rsidP="00B770EA">
            <w:r w:rsidRPr="00712FE5">
              <w:t>11. un 14. punkts svītrots.</w:t>
            </w:r>
          </w:p>
        </w:tc>
      </w:tr>
      <w:tr w:rsidR="00B770EA" w:rsidRPr="00712FE5" w14:paraId="294E2AAA" w14:textId="77777777" w:rsidTr="00F10DF3">
        <w:tc>
          <w:tcPr>
            <w:tcW w:w="708" w:type="dxa"/>
            <w:tcBorders>
              <w:left w:val="single" w:sz="6" w:space="0" w:color="000000"/>
              <w:bottom w:val="single" w:sz="4" w:space="0" w:color="auto"/>
              <w:right w:val="single" w:sz="6" w:space="0" w:color="000000"/>
            </w:tcBorders>
          </w:tcPr>
          <w:p w14:paraId="6F14CA8B" w14:textId="24E4AD3C" w:rsidR="00B770EA" w:rsidRPr="00712FE5" w:rsidRDefault="00B770EA" w:rsidP="00B770EA">
            <w:pPr>
              <w:pStyle w:val="naisc"/>
              <w:spacing w:before="0" w:after="0"/>
            </w:pPr>
            <w:r w:rsidRPr="00712FE5">
              <w:t>1</w:t>
            </w:r>
            <w:r>
              <w:t>6</w:t>
            </w:r>
            <w:r w:rsidRPr="00712FE5">
              <w:t>.</w:t>
            </w:r>
          </w:p>
        </w:tc>
        <w:tc>
          <w:tcPr>
            <w:tcW w:w="3086" w:type="dxa"/>
            <w:gridSpan w:val="2"/>
            <w:tcBorders>
              <w:left w:val="single" w:sz="6" w:space="0" w:color="000000"/>
              <w:bottom w:val="single" w:sz="4" w:space="0" w:color="auto"/>
              <w:right w:val="single" w:sz="6" w:space="0" w:color="000000"/>
            </w:tcBorders>
          </w:tcPr>
          <w:p w14:paraId="0BAB38CD" w14:textId="77777777" w:rsidR="00B770EA" w:rsidRPr="00712FE5" w:rsidRDefault="00B770EA" w:rsidP="00B770EA">
            <w:pPr>
              <w:pStyle w:val="naisc"/>
              <w:spacing w:before="0" w:after="0"/>
              <w:jc w:val="both"/>
            </w:pPr>
            <w:r w:rsidRPr="00712FE5">
              <w:t>7. punkts:</w:t>
            </w:r>
          </w:p>
          <w:p w14:paraId="42AEBF27" w14:textId="77777777" w:rsidR="00B770EA" w:rsidRPr="00712FE5" w:rsidRDefault="00B770EA" w:rsidP="00B770EA">
            <w:pPr>
              <w:pStyle w:val="naisc"/>
              <w:spacing w:before="0" w:after="0"/>
              <w:jc w:val="both"/>
            </w:pPr>
            <w:r w:rsidRPr="00712FE5">
              <w:t>“</w:t>
            </w:r>
            <w:r w:rsidRPr="00712FE5">
              <w:rPr>
                <w:rStyle w:val="normaltextrun"/>
              </w:rPr>
              <w:t xml:space="preserve">7. Individuālu siltumenerģijas patēriņa </w:t>
            </w:r>
            <w:r w:rsidRPr="00712FE5">
              <w:rPr>
                <w:rStyle w:val="eop"/>
              </w:rPr>
              <w:t xml:space="preserve">skaitītāju telpu grupā uzstāda tādā gadījumā, ja ir tehniski </w:t>
            </w:r>
            <w:r w:rsidRPr="00712FE5">
              <w:rPr>
                <w:rStyle w:val="eop"/>
              </w:rPr>
              <w:lastRenderedPageBreak/>
              <w:t>iespējams ar vienu skaitītāju uzskaitīt visā telpu grupā patērēto siltumenerģiju</w:t>
            </w:r>
            <w:r w:rsidRPr="00712FE5">
              <w:rPr>
                <w:rStyle w:val="normaltextrun"/>
              </w:rPr>
              <w:t>.</w:t>
            </w:r>
            <w:r w:rsidRPr="00712FE5">
              <w:t>”</w:t>
            </w:r>
          </w:p>
        </w:tc>
        <w:tc>
          <w:tcPr>
            <w:tcW w:w="4394" w:type="dxa"/>
            <w:tcBorders>
              <w:left w:val="single" w:sz="6" w:space="0" w:color="000000"/>
              <w:bottom w:val="single" w:sz="4" w:space="0" w:color="auto"/>
              <w:right w:val="single" w:sz="6" w:space="0" w:color="000000"/>
            </w:tcBorders>
          </w:tcPr>
          <w:p w14:paraId="44E81B3A" w14:textId="77777777" w:rsidR="00B770EA" w:rsidRPr="00712FE5" w:rsidRDefault="00B770EA" w:rsidP="00B770EA">
            <w:pPr>
              <w:pStyle w:val="naisc"/>
              <w:spacing w:before="0" w:after="0"/>
              <w:jc w:val="both"/>
              <w:rPr>
                <w:b/>
                <w:bCs/>
              </w:rPr>
            </w:pPr>
            <w:r w:rsidRPr="00712FE5">
              <w:rPr>
                <w:b/>
                <w:bCs/>
              </w:rPr>
              <w:lastRenderedPageBreak/>
              <w:t>Finanšu ministrija</w:t>
            </w:r>
          </w:p>
          <w:p w14:paraId="176954AB" w14:textId="77777777" w:rsidR="00B770EA" w:rsidRPr="00712FE5" w:rsidRDefault="00B770EA" w:rsidP="00B770EA">
            <w:pPr>
              <w:pStyle w:val="naisc"/>
              <w:spacing w:before="0" w:after="0"/>
              <w:jc w:val="both"/>
            </w:pPr>
            <w:r w:rsidRPr="00712FE5">
              <w:t>Lūdzam redakcionāli precizēt Noteikumu projekta 7.punktu, lai no tā skaidri izrietētu, ka regulējums attiecas uz 5.punktā noteiktajām daudzdzīvokļu mājām.</w:t>
            </w:r>
          </w:p>
          <w:p w14:paraId="3EE1DA5F" w14:textId="77777777" w:rsidR="00B770EA" w:rsidRPr="00712FE5" w:rsidRDefault="00B770EA" w:rsidP="00B770EA">
            <w:pPr>
              <w:pStyle w:val="naisc"/>
              <w:spacing w:before="0" w:after="0"/>
              <w:jc w:val="both"/>
              <w:rPr>
                <w:b/>
                <w:bCs/>
              </w:rPr>
            </w:pPr>
            <w:r w:rsidRPr="00712FE5">
              <w:rPr>
                <w:b/>
                <w:bCs/>
              </w:rPr>
              <w:lastRenderedPageBreak/>
              <w:t>Tieslietu ministrija</w:t>
            </w:r>
          </w:p>
          <w:p w14:paraId="79833577" w14:textId="77777777" w:rsidR="00B770EA" w:rsidRPr="00712FE5" w:rsidRDefault="00B770EA" w:rsidP="00B770EA">
            <w:pPr>
              <w:ind w:right="12"/>
            </w:pPr>
            <w:r w:rsidRPr="00712FE5">
              <w:t>Vēršam uzmanību, ka no noteikumu projekta teksta nav nepārprotami skaidrs noteikumu projekta 7. punkta mērķis kontekstā ar noteikumu projekta 5. un 6. punktu. Proti, nav saprotams, vai noteikumu projekta 7. punkts vienīgi precizē 6. punktu, atspoguļojot konkrētu gadījumu, kad 5. punkta prasības nepiemēro, vai arī šis punkts apstākļos, ja ir tehniski iespējams ar vienu skaitītāju uzskaitīt visā telpu grupā patērēto siltumenerģiju, paredz, ka nepastāv noteikumu projekta 5. punktā ietvertā izvēle un patērētās siltumenerģijas uzskaitē jāizmanto tieši individuālus siltumenerģijas patēriņa skaitītājus. Attiecīgi lūdzam sniegt atbilstošu skaidrojumu par minēto, nepieciešamības gadījumā precizējot noteikumu projekta 7. punktu.</w:t>
            </w:r>
          </w:p>
          <w:p w14:paraId="39A716F5" w14:textId="77777777" w:rsidR="00B770EA" w:rsidRPr="00712FE5" w:rsidRDefault="00B770EA" w:rsidP="00B770EA">
            <w:r w:rsidRPr="00712FE5">
              <w:t xml:space="preserve">Papildus norādām, ka atbilstoši Eiropas Parlamenta un Padomes 2018. gada 11. decembra Direktīvai (ES) 2018/2002, ar ko groza Direktīvu 2012/27/ES par energoefektivitāti, (turpmāk – direktīva Nr. 2018/2002), kuras prasības paredzēts pārņemt noteikumu projektā, 1. panta 6. punktam (Eiropas Parlamenta un Padomes 2012. gada 25. oktobra direktīvas 2012/27/ES par energoefektivitāti, ar ko groza Direktīvas 2009/125/EK un 2010/30/ES un atceļ Direktīvas 2004/8/EK un 2006/32/EK 9.c pants), ja individuālu </w:t>
            </w:r>
            <w:r w:rsidRPr="00712FE5">
              <w:lastRenderedPageBreak/>
              <w:t xml:space="preserve">skaitītāju izmantošana nav tehniski iespējama vai nav rentabla, katrā ēkas vienībā siltumenerģijas patēriņa mērīšanai izmanto individuālus siltummaksas sadalītājus, ar kuriem mēra siltumenerģijas patēriņu katrā radiatorā. Attiecīgi </w:t>
            </w:r>
            <w:proofErr w:type="spellStart"/>
            <w:r w:rsidRPr="00712FE5">
              <w:t>pirmšķietami</w:t>
            </w:r>
            <w:proofErr w:type="spellEnd"/>
            <w:r w:rsidRPr="00712FE5">
              <w:t xml:space="preserve"> secināms, ka direktīva Nr. 2018/2002 paredz, ka individuālus siltummaksas sadalītājus, ar kuriem mēra siltumenerģijas patēriņu katrā radiatorā izmanto vienīgi tad, ja individuālu skaitītāju izmantošana nav tehniski iespējama vai rentabla.</w:t>
            </w:r>
          </w:p>
        </w:tc>
        <w:tc>
          <w:tcPr>
            <w:tcW w:w="3119" w:type="dxa"/>
            <w:gridSpan w:val="2"/>
            <w:tcBorders>
              <w:left w:val="single" w:sz="6" w:space="0" w:color="000000"/>
              <w:bottom w:val="single" w:sz="4" w:space="0" w:color="auto"/>
              <w:right w:val="single" w:sz="6" w:space="0" w:color="000000"/>
            </w:tcBorders>
          </w:tcPr>
          <w:p w14:paraId="5A28913D" w14:textId="77777777" w:rsidR="00B770EA" w:rsidRPr="00712FE5" w:rsidRDefault="00B770EA" w:rsidP="00B770EA">
            <w:pPr>
              <w:pStyle w:val="naisc"/>
              <w:spacing w:before="0" w:after="0"/>
              <w:rPr>
                <w:b/>
                <w:bCs/>
              </w:rPr>
            </w:pPr>
            <w:r w:rsidRPr="00712FE5">
              <w:rPr>
                <w:b/>
                <w:bCs/>
              </w:rPr>
              <w:lastRenderedPageBreak/>
              <w:t>Ņemts vērā.</w:t>
            </w:r>
          </w:p>
          <w:p w14:paraId="6158C200" w14:textId="77777777" w:rsidR="00B770EA" w:rsidRPr="00712FE5" w:rsidRDefault="00B770EA" w:rsidP="00B770EA">
            <w:pPr>
              <w:pStyle w:val="naisc"/>
              <w:spacing w:before="0" w:after="0"/>
              <w:jc w:val="both"/>
              <w:rPr>
                <w:b/>
                <w:bCs/>
              </w:rPr>
            </w:pPr>
          </w:p>
        </w:tc>
        <w:tc>
          <w:tcPr>
            <w:tcW w:w="3118" w:type="dxa"/>
            <w:tcBorders>
              <w:top w:val="single" w:sz="4" w:space="0" w:color="auto"/>
              <w:left w:val="single" w:sz="4" w:space="0" w:color="auto"/>
              <w:bottom w:val="single" w:sz="4" w:space="0" w:color="auto"/>
            </w:tcBorders>
          </w:tcPr>
          <w:p w14:paraId="251768F9" w14:textId="77777777" w:rsidR="00B770EA" w:rsidRPr="00712FE5" w:rsidRDefault="00B770EA" w:rsidP="00B770EA">
            <w:r w:rsidRPr="00712FE5">
              <w:t>Anotācijas I sadaļas 2. punkts papildināts.</w:t>
            </w:r>
          </w:p>
          <w:p w14:paraId="0E22CC50" w14:textId="77777777" w:rsidR="00B770EA" w:rsidRPr="00712FE5" w:rsidRDefault="00B770EA" w:rsidP="00B770EA"/>
          <w:p w14:paraId="6804C0D9" w14:textId="36A77DA8" w:rsidR="00B770EA" w:rsidRPr="00712FE5" w:rsidRDefault="00B770EA" w:rsidP="00B770EA">
            <w:r>
              <w:t>5</w:t>
            </w:r>
            <w:r w:rsidRPr="00712FE5">
              <w:t xml:space="preserve">. un </w:t>
            </w:r>
            <w:r>
              <w:t>6</w:t>
            </w:r>
            <w:r w:rsidRPr="00712FE5">
              <w:t>. punkts:</w:t>
            </w:r>
          </w:p>
          <w:p w14:paraId="7D03DD8F" w14:textId="2CB0506B" w:rsidR="00B770EA" w:rsidRDefault="00B770EA" w:rsidP="00B770EA">
            <w:pPr>
              <w:rPr>
                <w:rStyle w:val="normaltextrun"/>
              </w:rPr>
            </w:pPr>
            <w:r w:rsidRPr="0082421A">
              <w:rPr>
                <w:rStyle w:val="normaltextrun"/>
              </w:rPr>
              <w:lastRenderedPageBreak/>
              <w:t xml:space="preserve">“5. Daudzdzīvokļu dzīvojamajā mājā patērētās siltumenerģijas uzskaiti veic atsevišķi katrai dzīvojamai telpu grupai un nedzīvojamai telpu grupai. Patērētās siltumenerģijas uzskaitē izmanto attālināti nolasāmus individuālus siltumenerģijas patēriņa skaitītājus vai individuālus siltuma maksas sadalītājus katram </w:t>
            </w:r>
            <w:proofErr w:type="spellStart"/>
            <w:r w:rsidRPr="0082421A">
              <w:rPr>
                <w:rStyle w:val="normaltextrun"/>
              </w:rPr>
              <w:t>sildelementam</w:t>
            </w:r>
            <w:proofErr w:type="spellEnd"/>
            <w:r w:rsidRPr="0082421A">
              <w:rPr>
                <w:rStyle w:val="normaltextrun"/>
              </w:rPr>
              <w:t xml:space="preserve">, ja individuālu siltumenerģijas patēriņa skaitītāju uzstādīšana nav tehniski iespējama vai nav ekonomiski pamatota. Individuāliem siltumenerģijas patēriņa skaitītājiem jāatbilst normatīvajos aktos par mērījumu vienotību noteiktajām metroloģiskajām prasībām siltumenerģijas skaitītājiem, un individuāliem siltuma maksas sadalītājiem jāatbilst normatīvajos aktos par kārtību, kādā nosaka, aprēķina un uzskaita katra dzīvojamās mājas īpašnieka maksājamo daļu par dzīvojamās mājas uzturēšanai nepieciešamajiem </w:t>
            </w:r>
            <w:r w:rsidRPr="0082421A">
              <w:rPr>
                <w:rStyle w:val="normaltextrun"/>
              </w:rPr>
              <w:lastRenderedPageBreak/>
              <w:t>pakalpojumiem noteiktajām prasībām.</w:t>
            </w:r>
          </w:p>
          <w:p w14:paraId="77B5895D" w14:textId="77777777" w:rsidR="00B770EA" w:rsidRDefault="00B770EA" w:rsidP="00B770EA">
            <w:pPr>
              <w:rPr>
                <w:rStyle w:val="normaltextrun"/>
              </w:rPr>
            </w:pPr>
          </w:p>
          <w:p w14:paraId="26A88049" w14:textId="1857B488" w:rsidR="00B770EA" w:rsidRPr="00712FE5" w:rsidRDefault="00B770EA" w:rsidP="00B770EA">
            <w:r>
              <w:rPr>
                <w:rStyle w:val="normaltextrun"/>
              </w:rPr>
              <w:t>6</w:t>
            </w:r>
            <w:r w:rsidRPr="00712FE5">
              <w:rPr>
                <w:rStyle w:val="normaltextrun"/>
              </w:rPr>
              <w:t xml:space="preserve">. Individuālu siltumenerģijas patēriņa </w:t>
            </w:r>
            <w:r w:rsidRPr="00712FE5">
              <w:rPr>
                <w:rStyle w:val="eop"/>
              </w:rPr>
              <w:t>skaitītāju daudzdzīvokļu dzīvojamās mājas telpu grupā uzstāda tādā gadījumā, ja ir tehniski iespējams ar vienu skaitītāju uzskaitīt visā telpu grupā patērēto siltumenerģiju</w:t>
            </w:r>
            <w:r w:rsidRPr="00712FE5">
              <w:rPr>
                <w:rStyle w:val="normaltextrun"/>
              </w:rPr>
              <w:t>.</w:t>
            </w:r>
            <w:r w:rsidRPr="00712FE5">
              <w:t>”</w:t>
            </w:r>
          </w:p>
        </w:tc>
      </w:tr>
      <w:tr w:rsidR="00B770EA" w:rsidRPr="00712FE5" w14:paraId="01C55E02" w14:textId="77777777" w:rsidTr="00F10DF3">
        <w:tc>
          <w:tcPr>
            <w:tcW w:w="708" w:type="dxa"/>
            <w:tcBorders>
              <w:left w:val="single" w:sz="6" w:space="0" w:color="000000"/>
              <w:bottom w:val="single" w:sz="4" w:space="0" w:color="auto"/>
              <w:right w:val="single" w:sz="6" w:space="0" w:color="000000"/>
            </w:tcBorders>
          </w:tcPr>
          <w:p w14:paraId="36C793CD" w14:textId="09B70344" w:rsidR="00B770EA" w:rsidRPr="00712FE5" w:rsidRDefault="00B770EA" w:rsidP="00B770EA">
            <w:pPr>
              <w:pStyle w:val="naisc"/>
              <w:spacing w:before="0" w:after="0"/>
            </w:pPr>
            <w:r w:rsidRPr="00712FE5">
              <w:lastRenderedPageBreak/>
              <w:t>1</w:t>
            </w:r>
            <w:r>
              <w:t>7</w:t>
            </w:r>
            <w:r w:rsidRPr="00712FE5">
              <w:t>.</w:t>
            </w:r>
          </w:p>
        </w:tc>
        <w:tc>
          <w:tcPr>
            <w:tcW w:w="3086" w:type="dxa"/>
            <w:gridSpan w:val="2"/>
            <w:tcBorders>
              <w:left w:val="single" w:sz="6" w:space="0" w:color="000000"/>
              <w:bottom w:val="single" w:sz="4" w:space="0" w:color="auto"/>
              <w:right w:val="single" w:sz="6" w:space="0" w:color="000000"/>
            </w:tcBorders>
          </w:tcPr>
          <w:p w14:paraId="217DE35C" w14:textId="77777777" w:rsidR="00B770EA" w:rsidRPr="00712FE5" w:rsidRDefault="00B770EA" w:rsidP="00B770EA">
            <w:pPr>
              <w:pStyle w:val="naisc"/>
              <w:spacing w:before="0" w:after="0"/>
              <w:jc w:val="both"/>
            </w:pPr>
            <w:r w:rsidRPr="00712FE5">
              <w:t>8. punkts:</w:t>
            </w:r>
          </w:p>
          <w:p w14:paraId="758809A0" w14:textId="77777777" w:rsidR="00B770EA" w:rsidRPr="00712FE5" w:rsidRDefault="00B770EA" w:rsidP="00B770EA">
            <w:pPr>
              <w:pStyle w:val="naisc"/>
              <w:spacing w:before="0" w:after="0"/>
              <w:jc w:val="both"/>
            </w:pPr>
            <w:r w:rsidRPr="00712FE5">
              <w:t>“</w:t>
            </w:r>
            <w:r w:rsidRPr="00712FE5">
              <w:rPr>
                <w:rStyle w:val="eop"/>
              </w:rPr>
              <w:t xml:space="preserve">8. Individuālu siltuma maksas sadalītāju un individuālu siltumenerģijas patēriņa skaitītāju uzstādīšanas ekonomisko pamatojumu izvērtē dzīvojamās mājas pārvaldītājs atbilstoši noteiktajai metodikai </w:t>
            </w:r>
            <w:r w:rsidRPr="00712FE5">
              <w:t>individuālu siltuma maksas sadalītāju uzstādīšanas ekonomiskā pamatojuma aprēķināšanai (1. pielikums) un metodikai individuālu siltumenerģijas patēriņa skaitītāju uzstādīšanas ekonomiskā pamatojuma aprēķināšanai (2. pielikums)</w:t>
            </w:r>
            <w:r w:rsidRPr="00712FE5">
              <w:rPr>
                <w:rStyle w:val="eop"/>
              </w:rPr>
              <w:t xml:space="preserve">. Individuālu siltuma maksas sadalītāju vai </w:t>
            </w:r>
            <w:r w:rsidRPr="00712FE5">
              <w:rPr>
                <w:rStyle w:val="eop"/>
              </w:rPr>
              <w:lastRenderedPageBreak/>
              <w:t>individuālu siltumenerģijas patēriņa skaitītāju uzstādīšana ir ekonomiski pamatota, ja, piemērojot diskonta likmi 5 %, neto tagadnes vērtība 10 gadu atmaksāšanās periodam ir pozitīva.</w:t>
            </w:r>
            <w:r w:rsidRPr="00712FE5">
              <w:t>”</w:t>
            </w:r>
          </w:p>
        </w:tc>
        <w:tc>
          <w:tcPr>
            <w:tcW w:w="4394" w:type="dxa"/>
            <w:tcBorders>
              <w:left w:val="single" w:sz="6" w:space="0" w:color="000000"/>
              <w:bottom w:val="single" w:sz="4" w:space="0" w:color="auto"/>
              <w:right w:val="single" w:sz="6" w:space="0" w:color="000000"/>
            </w:tcBorders>
          </w:tcPr>
          <w:p w14:paraId="7EE62AB8" w14:textId="77777777" w:rsidR="00B770EA" w:rsidRPr="00712FE5" w:rsidRDefault="00B770EA" w:rsidP="00B770EA">
            <w:pPr>
              <w:pStyle w:val="naisc"/>
              <w:spacing w:before="0" w:after="0"/>
              <w:jc w:val="both"/>
              <w:rPr>
                <w:b/>
                <w:bCs/>
              </w:rPr>
            </w:pPr>
            <w:r w:rsidRPr="00712FE5">
              <w:rPr>
                <w:b/>
                <w:bCs/>
              </w:rPr>
              <w:lastRenderedPageBreak/>
              <w:t>Finanšu ministrija</w:t>
            </w:r>
          </w:p>
          <w:p w14:paraId="5F01CEC0" w14:textId="77777777" w:rsidR="00B770EA" w:rsidRPr="00712FE5" w:rsidRDefault="00B770EA" w:rsidP="00B770EA">
            <w:pPr>
              <w:pStyle w:val="naisc"/>
              <w:spacing w:before="0" w:after="0"/>
              <w:jc w:val="both"/>
            </w:pPr>
            <w:r w:rsidRPr="00712FE5">
              <w:t>Lūdzam no Noteikumu projekta 8.punkta svītrot otro teikumu, kurā noteikta fiksēta diskonta likmes vērtība, jo ēku īpašniekiem ieguldījumi būs jāveic ņemot vērā faktiskās diskonta likmes.</w:t>
            </w:r>
          </w:p>
          <w:p w14:paraId="636589F8" w14:textId="77777777" w:rsidR="00B770EA" w:rsidRPr="00712FE5" w:rsidRDefault="00B770EA" w:rsidP="00B770EA">
            <w:pPr>
              <w:pStyle w:val="naisc"/>
              <w:spacing w:before="0" w:after="0"/>
              <w:jc w:val="both"/>
              <w:rPr>
                <w:b/>
              </w:rPr>
            </w:pPr>
            <w:r w:rsidRPr="00712FE5">
              <w:rPr>
                <w:b/>
              </w:rPr>
              <w:t>Finanšu ministrija (papildus)</w:t>
            </w:r>
          </w:p>
          <w:p w14:paraId="496AD05A" w14:textId="77777777" w:rsidR="00B770EA" w:rsidRPr="00712FE5" w:rsidRDefault="00B770EA" w:rsidP="00B770EA">
            <w:pPr>
              <w:pStyle w:val="naisc"/>
              <w:spacing w:before="0" w:after="0"/>
              <w:jc w:val="both"/>
              <w:rPr>
                <w:i/>
              </w:rPr>
            </w:pPr>
            <w:r w:rsidRPr="00712FE5">
              <w:t>Valsts kase reizi ceturksnī savā tīmekļvietnē (</w:t>
            </w:r>
            <w:hyperlink r:id="rId9" w:history="1">
              <w:r w:rsidRPr="00712FE5">
                <w:rPr>
                  <w:rStyle w:val="Hyperlink"/>
                  <w:color w:val="auto"/>
                  <w:bdr w:val="none" w:sz="0" w:space="0" w:color="auto" w:frame="1"/>
                  <w:shd w:val="clear" w:color="auto" w:fill="FFFFFF"/>
                </w:rPr>
                <w:t>https://www.kase.gov.</w:t>
              </w:r>
              <w:r w:rsidRPr="00712FE5">
                <w:rPr>
                  <w:rStyle w:val="Hyperlink"/>
                  <w:color w:val="auto"/>
                  <w:bdr w:val="none" w:sz="0" w:space="0" w:color="auto" w:frame="1"/>
                  <w:shd w:val="clear" w:color="auto" w:fill="FFFFFF"/>
                </w:rPr>
                <w:br/>
                <w:t>lv/metodika/diskonta-likmes</w:t>
              </w:r>
            </w:hyperlink>
            <w:r w:rsidRPr="00712FE5">
              <w:t xml:space="preserve">) publicē diskonta likmes dažādiem darījuma un saimnieciskās darbības veidiem, un tās nav nemainīgas. </w:t>
            </w:r>
          </w:p>
        </w:tc>
        <w:tc>
          <w:tcPr>
            <w:tcW w:w="3119" w:type="dxa"/>
            <w:gridSpan w:val="2"/>
            <w:tcBorders>
              <w:left w:val="single" w:sz="6" w:space="0" w:color="000000"/>
              <w:bottom w:val="single" w:sz="4" w:space="0" w:color="auto"/>
              <w:right w:val="single" w:sz="6" w:space="0" w:color="000000"/>
            </w:tcBorders>
          </w:tcPr>
          <w:p w14:paraId="21C7DDB2" w14:textId="77777777" w:rsidR="00B770EA" w:rsidRPr="00712FE5" w:rsidRDefault="00B770EA" w:rsidP="00B770EA">
            <w:pPr>
              <w:pStyle w:val="naisc"/>
              <w:spacing w:before="0" w:after="0"/>
              <w:rPr>
                <w:b/>
                <w:bCs/>
              </w:rPr>
            </w:pPr>
            <w:r w:rsidRPr="00712FE5">
              <w:rPr>
                <w:b/>
                <w:bCs/>
              </w:rPr>
              <w:t>Panākta vienošanās.</w:t>
            </w:r>
          </w:p>
          <w:p w14:paraId="0B90B6B5" w14:textId="77777777" w:rsidR="00B770EA" w:rsidRPr="00712FE5" w:rsidRDefault="00B770EA" w:rsidP="00B770EA">
            <w:pPr>
              <w:pStyle w:val="naisc"/>
              <w:spacing w:before="0" w:after="0"/>
              <w:jc w:val="both"/>
            </w:pPr>
            <w:r w:rsidRPr="00712FE5">
              <w:t>Lai aprēķini tiktu veikti pēc vienotas metodikas, Noteikumu projektā ietverta norāde uz siltumenerģijas patēriņa skaitītāju un siltuma maksas sadalītāju uzstādīšanas  ekonomiskā pamatojuma jeb rentabilitātes aprēķinos izmantojamo diskonta likmi atbilstoši aktuālajai situācijai.</w:t>
            </w:r>
          </w:p>
        </w:tc>
        <w:tc>
          <w:tcPr>
            <w:tcW w:w="3118" w:type="dxa"/>
            <w:tcBorders>
              <w:top w:val="single" w:sz="4" w:space="0" w:color="auto"/>
              <w:left w:val="single" w:sz="4" w:space="0" w:color="auto"/>
              <w:bottom w:val="single" w:sz="4" w:space="0" w:color="auto"/>
            </w:tcBorders>
          </w:tcPr>
          <w:p w14:paraId="49BDE457" w14:textId="705E977F" w:rsidR="00B770EA" w:rsidRPr="00712FE5" w:rsidRDefault="00B770EA" w:rsidP="00B770EA">
            <w:r>
              <w:t>7</w:t>
            </w:r>
            <w:r w:rsidRPr="00712FE5">
              <w:t>. punkts:</w:t>
            </w:r>
          </w:p>
          <w:p w14:paraId="14EDCC5A" w14:textId="15933071" w:rsidR="00B770EA" w:rsidRPr="00712FE5" w:rsidRDefault="00B770EA" w:rsidP="00B770EA">
            <w:r w:rsidRPr="00712FE5">
              <w:t>“</w:t>
            </w:r>
            <w:r>
              <w:t>7</w:t>
            </w:r>
            <w:r w:rsidRPr="00712FE5">
              <w:t xml:space="preserve">. Individuālu siltuma maksas sadalītāju un individuālu siltumenerģijas patēriņa skaitītāju uzstādīšanas ekonomisko pamatojumu izvērtē dzīvojamās mājas pārvaldītājs atbilstoši noteiktajai metodikai individuālu siltuma maksas sadalītāju uzstādīšanas ekonomiskā pamatojuma aprēķināšanai (1. pielikums) un metodikai individuālu siltumenerģijas patēriņa skaitītāju uzstādīšanas ekonomiskā pamatojuma aprēķināšanai (2. pielikums). Individuālu siltuma maksas sadalītāju vai </w:t>
            </w:r>
            <w:r w:rsidRPr="00712FE5">
              <w:lastRenderedPageBreak/>
              <w:t>individuālu siltumenerģijas patēriņa skaitītāju uzstādīšana ir ekonomiski pamatota, ja, piemērojot Valsts kases tīmekļvietnē publicēto pēdējā pieejamā ceturkšņa attiecīgo diskonta likmi ilgtermiņa ieguldījumu patiesās vērtības noteikšanai saimnieciskās darbības veidam “Nekustamais īpašums (vispārīgi)”, neto tagadnes vērtība 10 gadu atmaksāšanās periodam ir pozitīva.”</w:t>
            </w:r>
          </w:p>
        </w:tc>
      </w:tr>
      <w:tr w:rsidR="00B770EA" w:rsidRPr="00712FE5" w14:paraId="44207280" w14:textId="77777777" w:rsidTr="00F10DF3">
        <w:tc>
          <w:tcPr>
            <w:tcW w:w="708" w:type="dxa"/>
            <w:tcBorders>
              <w:left w:val="single" w:sz="6" w:space="0" w:color="000000"/>
              <w:bottom w:val="single" w:sz="4" w:space="0" w:color="auto"/>
              <w:right w:val="single" w:sz="6" w:space="0" w:color="000000"/>
            </w:tcBorders>
          </w:tcPr>
          <w:p w14:paraId="0BB426E1" w14:textId="55FF0488" w:rsidR="00B770EA" w:rsidRPr="00712FE5" w:rsidRDefault="00B770EA" w:rsidP="00B770EA">
            <w:pPr>
              <w:pStyle w:val="naisc"/>
              <w:spacing w:before="0" w:after="0"/>
            </w:pPr>
            <w:r w:rsidRPr="00712FE5">
              <w:lastRenderedPageBreak/>
              <w:t>1</w:t>
            </w:r>
            <w:r>
              <w:t>8</w:t>
            </w:r>
            <w:r w:rsidRPr="00712FE5">
              <w:t>.</w:t>
            </w:r>
          </w:p>
        </w:tc>
        <w:tc>
          <w:tcPr>
            <w:tcW w:w="3086" w:type="dxa"/>
            <w:gridSpan w:val="2"/>
            <w:tcBorders>
              <w:left w:val="single" w:sz="6" w:space="0" w:color="000000"/>
              <w:bottom w:val="single" w:sz="4" w:space="0" w:color="auto"/>
              <w:right w:val="single" w:sz="6" w:space="0" w:color="000000"/>
            </w:tcBorders>
          </w:tcPr>
          <w:p w14:paraId="19444967" w14:textId="77777777" w:rsidR="00B770EA" w:rsidRPr="00712FE5" w:rsidRDefault="00B770EA" w:rsidP="00B770EA">
            <w:pPr>
              <w:pStyle w:val="naisc"/>
              <w:spacing w:before="0" w:after="0"/>
              <w:jc w:val="both"/>
            </w:pPr>
            <w:r w:rsidRPr="00712FE5">
              <w:t>9. punkts:</w:t>
            </w:r>
          </w:p>
          <w:p w14:paraId="6BC0BFB6" w14:textId="77777777" w:rsidR="00B770EA" w:rsidRPr="00712FE5" w:rsidRDefault="00B770EA" w:rsidP="00B770EA">
            <w:pPr>
              <w:pStyle w:val="naisc"/>
              <w:spacing w:before="0" w:after="0"/>
              <w:jc w:val="both"/>
            </w:pPr>
            <w:r w:rsidRPr="00712FE5">
              <w:t>“</w:t>
            </w:r>
            <w:r w:rsidRPr="00712FE5">
              <w:rPr>
                <w:rStyle w:val="eop"/>
              </w:rPr>
              <w:t>9. Individuālu siltuma maksas sadalītāju un individuālu siltumenerģijas patēriņa skaitītāju uzstādīšanas tehnisko iespējamību un ekonomisko pamatojumu atkārtoti izvērtē pēc tam, kad ir veikta daudzdzīvokļu dzīvojamās mājas, kurā individuāli siltuma maksas sadalītāji vai individuāli siltumenerģijas patēriņa skaitītāji nav uzstādīti, vai tās apkures sistēmas atjaunošana vai pārbūve.</w:t>
            </w:r>
            <w:r w:rsidRPr="00712FE5">
              <w:t>”</w:t>
            </w:r>
          </w:p>
        </w:tc>
        <w:tc>
          <w:tcPr>
            <w:tcW w:w="4394" w:type="dxa"/>
            <w:tcBorders>
              <w:left w:val="single" w:sz="6" w:space="0" w:color="000000"/>
              <w:bottom w:val="single" w:sz="4" w:space="0" w:color="auto"/>
              <w:right w:val="single" w:sz="6" w:space="0" w:color="000000"/>
            </w:tcBorders>
          </w:tcPr>
          <w:p w14:paraId="5C8788C3" w14:textId="77777777" w:rsidR="00B770EA" w:rsidRPr="00712FE5" w:rsidRDefault="00B770EA" w:rsidP="00B770EA">
            <w:pPr>
              <w:pStyle w:val="naisc"/>
              <w:spacing w:before="0" w:after="0"/>
              <w:jc w:val="both"/>
              <w:rPr>
                <w:b/>
                <w:bCs/>
              </w:rPr>
            </w:pPr>
            <w:r w:rsidRPr="00712FE5">
              <w:rPr>
                <w:b/>
                <w:bCs/>
              </w:rPr>
              <w:t>Finanšu ministrija</w:t>
            </w:r>
          </w:p>
          <w:p w14:paraId="569688C4" w14:textId="77777777" w:rsidR="00B770EA" w:rsidRPr="00712FE5" w:rsidRDefault="00B770EA" w:rsidP="00B770EA">
            <w:pPr>
              <w:pStyle w:val="naisc"/>
              <w:spacing w:before="0" w:after="0"/>
              <w:jc w:val="both"/>
            </w:pPr>
            <w:r w:rsidRPr="00712FE5">
              <w:t>Lūdzam pārskatīt Noteikumu projekta 9.punktu, jo tajā ietvertais regulējums nav skaidri saprotams.</w:t>
            </w:r>
          </w:p>
        </w:tc>
        <w:tc>
          <w:tcPr>
            <w:tcW w:w="3119" w:type="dxa"/>
            <w:gridSpan w:val="2"/>
            <w:tcBorders>
              <w:left w:val="single" w:sz="6" w:space="0" w:color="000000"/>
              <w:bottom w:val="single" w:sz="4" w:space="0" w:color="auto"/>
              <w:right w:val="single" w:sz="6" w:space="0" w:color="000000"/>
            </w:tcBorders>
          </w:tcPr>
          <w:p w14:paraId="68099E91" w14:textId="77777777" w:rsidR="00B770EA" w:rsidRPr="00712FE5" w:rsidRDefault="00B770EA" w:rsidP="00B770EA">
            <w:pPr>
              <w:pStyle w:val="naisc"/>
              <w:spacing w:before="0" w:after="0"/>
              <w:rPr>
                <w:b/>
                <w:bCs/>
              </w:rPr>
            </w:pPr>
            <w:r w:rsidRPr="00712FE5">
              <w:rPr>
                <w:b/>
                <w:bCs/>
              </w:rPr>
              <w:t>Panākta vienošanās.</w:t>
            </w:r>
          </w:p>
          <w:p w14:paraId="541518EF" w14:textId="77777777" w:rsidR="00B770EA" w:rsidRPr="00712FE5" w:rsidRDefault="00B770EA" w:rsidP="00B770EA">
            <w:pPr>
              <w:pStyle w:val="naisc"/>
              <w:spacing w:before="0" w:after="0"/>
              <w:jc w:val="both"/>
            </w:pPr>
            <w:r w:rsidRPr="00712FE5">
              <w:t>Ar konkrēto tiesisko regulējumu plānots noteikt, ka daudzdzīvokļu dzīvojamajā mājā, kurā sākotnēji izvērtēta siltumenerģijas patēriņa skaitītāju un siltuma maksas sadalītāju uzstādīšanas tehniskā iespējamība un ekonomiskais pamatojums un ierīces nav uzstādītas, pēcāk tiek veikta mājas vai tās apkures sistēmas atjaunošana vai pārbūve – tādā gadījumā atkārtoti jāizvērtē minēto ierīču uzstādīšanas iespējamība un lietderība.</w:t>
            </w:r>
          </w:p>
        </w:tc>
        <w:tc>
          <w:tcPr>
            <w:tcW w:w="3118" w:type="dxa"/>
            <w:tcBorders>
              <w:top w:val="single" w:sz="4" w:space="0" w:color="auto"/>
              <w:left w:val="single" w:sz="4" w:space="0" w:color="auto"/>
              <w:bottom w:val="single" w:sz="4" w:space="0" w:color="auto"/>
            </w:tcBorders>
          </w:tcPr>
          <w:p w14:paraId="486A771E" w14:textId="4FE86BE5" w:rsidR="00B770EA" w:rsidRPr="00712FE5" w:rsidRDefault="00B770EA" w:rsidP="00B770EA">
            <w:pPr>
              <w:pStyle w:val="naisc"/>
              <w:spacing w:before="0" w:after="0"/>
              <w:jc w:val="both"/>
            </w:pPr>
            <w:r>
              <w:t>8</w:t>
            </w:r>
            <w:r w:rsidRPr="00712FE5">
              <w:t>. punkts:</w:t>
            </w:r>
          </w:p>
          <w:p w14:paraId="3768A220" w14:textId="7FF0BB88" w:rsidR="00B770EA" w:rsidRPr="00712FE5" w:rsidRDefault="00B770EA" w:rsidP="00B770EA">
            <w:r w:rsidRPr="00712FE5">
              <w:t>“</w:t>
            </w:r>
            <w:r>
              <w:t>8</w:t>
            </w:r>
            <w:r w:rsidRPr="00712FE5">
              <w:t>.</w:t>
            </w:r>
            <w:r w:rsidRPr="00712FE5">
              <w:rPr>
                <w:rStyle w:val="eop"/>
              </w:rPr>
              <w:t> Individuālu siltuma maksas sadalītāju un individuālu siltumenerģijas patēriņa skaitītāju uzstādīšanas tehnisko iespējamību un ekonomisko pamatojumu atkārtoti izvērtē pēc tam, kad ir veikta daudzdzīvokļu dzīvojamās mājas, kurā individuāli siltuma maksas sadalītāji vai individuāli siltumenerģijas patēriņa skaitītāji nav uzstādīti, vai tās apkures sistēmas atjaunošana vai pārbūve.</w:t>
            </w:r>
            <w:r w:rsidRPr="00712FE5">
              <w:t>”</w:t>
            </w:r>
          </w:p>
        </w:tc>
      </w:tr>
      <w:tr w:rsidR="00B770EA" w:rsidRPr="00712FE5" w14:paraId="4DBAECE6" w14:textId="77777777" w:rsidTr="00F10DF3">
        <w:tc>
          <w:tcPr>
            <w:tcW w:w="708" w:type="dxa"/>
            <w:tcBorders>
              <w:left w:val="single" w:sz="6" w:space="0" w:color="000000"/>
              <w:bottom w:val="single" w:sz="4" w:space="0" w:color="auto"/>
              <w:right w:val="single" w:sz="6" w:space="0" w:color="000000"/>
            </w:tcBorders>
          </w:tcPr>
          <w:p w14:paraId="2BD58047" w14:textId="3023A701" w:rsidR="00B770EA" w:rsidRPr="00712FE5" w:rsidRDefault="00B770EA" w:rsidP="00B770EA">
            <w:pPr>
              <w:pStyle w:val="naisc"/>
              <w:spacing w:before="0" w:after="0"/>
            </w:pPr>
            <w:r w:rsidRPr="00712FE5">
              <w:t>1</w:t>
            </w:r>
            <w:r>
              <w:t>9</w:t>
            </w:r>
            <w:r w:rsidRPr="00712FE5">
              <w:t>.</w:t>
            </w:r>
          </w:p>
        </w:tc>
        <w:tc>
          <w:tcPr>
            <w:tcW w:w="3086" w:type="dxa"/>
            <w:gridSpan w:val="2"/>
            <w:tcBorders>
              <w:left w:val="single" w:sz="6" w:space="0" w:color="000000"/>
              <w:bottom w:val="single" w:sz="4" w:space="0" w:color="auto"/>
              <w:right w:val="single" w:sz="6" w:space="0" w:color="000000"/>
            </w:tcBorders>
          </w:tcPr>
          <w:p w14:paraId="38A6ED39" w14:textId="77777777" w:rsidR="00B770EA" w:rsidRPr="00712FE5" w:rsidRDefault="00B770EA" w:rsidP="00B770EA">
            <w:pPr>
              <w:pStyle w:val="naisc"/>
              <w:spacing w:before="0" w:after="0"/>
              <w:jc w:val="both"/>
            </w:pPr>
            <w:r w:rsidRPr="00712FE5">
              <w:t>10. un 11. punkts:</w:t>
            </w:r>
          </w:p>
          <w:p w14:paraId="76E77DD8" w14:textId="77777777" w:rsidR="00B770EA" w:rsidRPr="00712FE5" w:rsidRDefault="00B770EA" w:rsidP="00B770EA">
            <w:pPr>
              <w:pStyle w:val="paragraph"/>
              <w:spacing w:before="0" w:beforeAutospacing="0" w:after="0" w:afterAutospacing="0"/>
              <w:jc w:val="both"/>
              <w:textAlignment w:val="baseline"/>
            </w:pPr>
            <w:r w:rsidRPr="00712FE5">
              <w:lastRenderedPageBreak/>
              <w:t xml:space="preserve">“10. Ekspluatējamas ēkas tiek aprīkotas ar </w:t>
            </w:r>
            <w:proofErr w:type="spellStart"/>
            <w:r w:rsidRPr="00712FE5">
              <w:t>pašregulējošām</w:t>
            </w:r>
            <w:proofErr w:type="spellEnd"/>
            <w:r w:rsidRPr="00712FE5">
              <w:t xml:space="preserve"> ierīcēm gaisa temperatūras atsevišķai regulēšanai katrā telpā vai telpu grupā gadījumā, ja tiek mainīta ēkas apkures sistēmas daļa, kas ražo siltumenerģiju (</w:t>
            </w:r>
            <w:proofErr w:type="spellStart"/>
            <w:r w:rsidRPr="00712FE5">
              <w:t>siltumģenerators</w:t>
            </w:r>
            <w:proofErr w:type="spellEnd"/>
            <w:r w:rsidRPr="00712FE5">
              <w:t>).</w:t>
            </w:r>
          </w:p>
          <w:p w14:paraId="29D3B504" w14:textId="77777777" w:rsidR="00B770EA" w:rsidRPr="00712FE5" w:rsidRDefault="00B770EA" w:rsidP="00B770EA">
            <w:pPr>
              <w:pStyle w:val="paragraph"/>
              <w:spacing w:before="0" w:beforeAutospacing="0" w:after="0" w:afterAutospacing="0"/>
              <w:jc w:val="both"/>
              <w:textAlignment w:val="baseline"/>
            </w:pPr>
            <w:r w:rsidRPr="00712FE5">
              <w:t>11. Šo noteikumu 10.punkta prasības nepiemēro, ja to piemērošana nav tehniski iespējama vai ekonomiski pamatota.”</w:t>
            </w:r>
          </w:p>
        </w:tc>
        <w:tc>
          <w:tcPr>
            <w:tcW w:w="4394" w:type="dxa"/>
            <w:tcBorders>
              <w:left w:val="single" w:sz="6" w:space="0" w:color="000000"/>
              <w:bottom w:val="single" w:sz="4" w:space="0" w:color="auto"/>
              <w:right w:val="single" w:sz="6" w:space="0" w:color="000000"/>
            </w:tcBorders>
          </w:tcPr>
          <w:p w14:paraId="39D42382" w14:textId="77777777" w:rsidR="00B770EA" w:rsidRPr="00712FE5" w:rsidRDefault="00B770EA" w:rsidP="00B770EA">
            <w:pPr>
              <w:pStyle w:val="naisc"/>
              <w:spacing w:before="0" w:after="0"/>
              <w:jc w:val="both"/>
              <w:rPr>
                <w:b/>
                <w:bCs/>
              </w:rPr>
            </w:pPr>
            <w:r w:rsidRPr="00712FE5">
              <w:rPr>
                <w:b/>
                <w:bCs/>
              </w:rPr>
              <w:lastRenderedPageBreak/>
              <w:t>Finanšu ministrija</w:t>
            </w:r>
          </w:p>
          <w:p w14:paraId="1A630FE4" w14:textId="77777777" w:rsidR="00B770EA" w:rsidRPr="00712FE5" w:rsidRDefault="00B770EA" w:rsidP="00B770EA">
            <w:pPr>
              <w:pStyle w:val="naisc"/>
              <w:spacing w:before="0" w:after="0"/>
              <w:jc w:val="both"/>
            </w:pPr>
            <w:r w:rsidRPr="00712FE5">
              <w:lastRenderedPageBreak/>
              <w:t xml:space="preserve">Lūdzam no Noteikumu projekta svītrot 10.punktu, jo tam nav pamatojuma. Papildus lūdzam svītrot arī noteikumu projekta 11.punktu, jo tas attiecas tikai uz noteikumu projekta 10.punktu (noteikumu projekta 11.punkts: “Šo noteikumu </w:t>
            </w:r>
            <w:r w:rsidRPr="00712FE5">
              <w:rPr>
                <w:u w:val="single"/>
              </w:rPr>
              <w:t>10.punkta prasības nepiemēro</w:t>
            </w:r>
            <w:r w:rsidRPr="00712FE5">
              <w:t>, ja to piemērošana nav tehniski iespējama vai ekonomiski pamatota”).</w:t>
            </w:r>
          </w:p>
          <w:p w14:paraId="65655340" w14:textId="77777777" w:rsidR="00B770EA" w:rsidRPr="00712FE5" w:rsidRDefault="00B770EA" w:rsidP="00B770EA">
            <w:pPr>
              <w:pStyle w:val="naisc"/>
              <w:spacing w:before="0" w:after="0"/>
              <w:jc w:val="left"/>
              <w:rPr>
                <w:b/>
              </w:rPr>
            </w:pPr>
            <w:r w:rsidRPr="00712FE5">
              <w:rPr>
                <w:b/>
              </w:rPr>
              <w:t>Latvijas Lielo pilsētu asociācija (sanāksmē izteikts komentārs)</w:t>
            </w:r>
          </w:p>
          <w:p w14:paraId="7B37ABA4" w14:textId="77777777" w:rsidR="00B770EA" w:rsidRPr="00712FE5" w:rsidRDefault="00B770EA" w:rsidP="00B770EA">
            <w:pPr>
              <w:pStyle w:val="naisc"/>
              <w:spacing w:before="0" w:after="0"/>
              <w:jc w:val="both"/>
            </w:pPr>
            <w:r w:rsidRPr="00712FE5">
              <w:rPr>
                <w:shd w:val="clear" w:color="auto" w:fill="FFFFFF"/>
              </w:rPr>
              <w:t xml:space="preserve">Kāpēc tiek noteikts, ka ēka tiek aprīkota ar </w:t>
            </w:r>
            <w:proofErr w:type="spellStart"/>
            <w:r w:rsidRPr="00712FE5">
              <w:rPr>
                <w:shd w:val="clear" w:color="auto" w:fill="FFFFFF"/>
              </w:rPr>
              <w:t>pašregulējošām</w:t>
            </w:r>
            <w:proofErr w:type="spellEnd"/>
            <w:r w:rsidRPr="00712FE5">
              <w:rPr>
                <w:shd w:val="clear" w:color="auto" w:fill="FFFFFF"/>
              </w:rPr>
              <w:t xml:space="preserve"> ierīcēm mainot </w:t>
            </w:r>
            <w:proofErr w:type="spellStart"/>
            <w:r w:rsidRPr="00712FE5">
              <w:rPr>
                <w:shd w:val="clear" w:color="auto" w:fill="FFFFFF"/>
              </w:rPr>
              <w:t>siltumģeneratoru</w:t>
            </w:r>
            <w:proofErr w:type="spellEnd"/>
            <w:r w:rsidRPr="00712FE5">
              <w:rPr>
                <w:shd w:val="clear" w:color="auto" w:fill="FFFFFF"/>
              </w:rPr>
              <w:t xml:space="preserve">? Apkures katls nav tieši saistīts ar temperatūras regulēšanu telpā. Ēkā var tikt nomainīts apkures katls, bet atstāta apkures sistēma, kura nepieļauj termoregulatoru uzstādīšanu. Prasība par temperatūru </w:t>
            </w:r>
            <w:proofErr w:type="spellStart"/>
            <w:r w:rsidRPr="00712FE5">
              <w:rPr>
                <w:shd w:val="clear" w:color="auto" w:fill="FFFFFF"/>
              </w:rPr>
              <w:t>pašregulējošo</w:t>
            </w:r>
            <w:proofErr w:type="spellEnd"/>
            <w:r w:rsidRPr="00712FE5">
              <w:rPr>
                <w:shd w:val="clear" w:color="auto" w:fill="FFFFFF"/>
              </w:rPr>
              <w:t xml:space="preserve"> ierīču uzstādīšanu būtu jāpieprasa, ja tiek veikta apkures sistēmas atjaunošana (caurules, radiatori, ...).</w:t>
            </w:r>
          </w:p>
        </w:tc>
        <w:tc>
          <w:tcPr>
            <w:tcW w:w="3119" w:type="dxa"/>
            <w:gridSpan w:val="2"/>
            <w:tcBorders>
              <w:left w:val="single" w:sz="6" w:space="0" w:color="000000"/>
              <w:bottom w:val="single" w:sz="4" w:space="0" w:color="auto"/>
              <w:right w:val="single" w:sz="6" w:space="0" w:color="000000"/>
            </w:tcBorders>
          </w:tcPr>
          <w:p w14:paraId="21C0BA47" w14:textId="77777777" w:rsidR="00B770EA" w:rsidRPr="00712FE5" w:rsidRDefault="00B770EA" w:rsidP="00B770EA">
            <w:pPr>
              <w:pStyle w:val="naisc"/>
              <w:spacing w:before="0" w:after="0"/>
              <w:rPr>
                <w:b/>
                <w:bCs/>
              </w:rPr>
            </w:pPr>
            <w:r w:rsidRPr="00712FE5">
              <w:rPr>
                <w:b/>
                <w:bCs/>
              </w:rPr>
              <w:lastRenderedPageBreak/>
              <w:t>Panākta vienošanās.</w:t>
            </w:r>
          </w:p>
          <w:p w14:paraId="79B6E778" w14:textId="77777777" w:rsidR="00B770EA" w:rsidRPr="00712FE5" w:rsidRDefault="00B770EA" w:rsidP="00B770EA">
            <w:pPr>
              <w:pStyle w:val="naisc"/>
              <w:spacing w:before="0" w:after="0"/>
              <w:jc w:val="both"/>
            </w:pPr>
            <w:r w:rsidRPr="00712FE5">
              <w:lastRenderedPageBreak/>
              <w:t>Ar konkrēto tiesību normu tiek pārņemta Eiropas Parlamenta un Padomes Direktīvas 2010/31/ES (ar Direktīvas</w:t>
            </w:r>
            <w:r w:rsidRPr="00712FE5">
              <w:rPr>
                <w:rFonts w:eastAsia="Calibri"/>
                <w:bCs/>
              </w:rPr>
              <w:t xml:space="preserve"> (ES) 2018/844 grozījumiem</w:t>
            </w:r>
            <w:r w:rsidRPr="00712FE5">
              <w:t>) prasība, kas noteikta 8.panta 1.punkta trešajā rindkopā attiecībā uz esošām ēkām: “</w:t>
            </w:r>
            <w:r w:rsidRPr="00712FE5">
              <w:rPr>
                <w:rFonts w:eastAsia="Arial Unicode MS"/>
                <w:shd w:val="clear" w:color="auto" w:fill="FFFFFF"/>
              </w:rPr>
              <w:t xml:space="preserve">Dalībvalstis prasa, lai jaunas ēkas, ja tas ir tehniski un ekonomiski iespējams, tiktu aprīkotas ar </w:t>
            </w:r>
            <w:proofErr w:type="spellStart"/>
            <w:r w:rsidRPr="00712FE5">
              <w:rPr>
                <w:rFonts w:eastAsia="Arial Unicode MS"/>
                <w:shd w:val="clear" w:color="auto" w:fill="FFFFFF"/>
              </w:rPr>
              <w:t>pašregulējošām</w:t>
            </w:r>
            <w:proofErr w:type="spellEnd"/>
            <w:r w:rsidRPr="00712FE5">
              <w:rPr>
                <w:rFonts w:eastAsia="Arial Unicode MS"/>
                <w:shd w:val="clear" w:color="auto" w:fill="FFFFFF"/>
              </w:rPr>
              <w:t xml:space="preserve"> ierīcēm temperatūras atsevišķai regulēšanai katrā istabā vai, ja tas ir pamatoti, noteiktā apsildītā ēkas daļas zonā. Esošajās ēkās šādas </w:t>
            </w:r>
            <w:proofErr w:type="spellStart"/>
            <w:r w:rsidRPr="00712FE5">
              <w:rPr>
                <w:rFonts w:eastAsia="Arial Unicode MS"/>
                <w:shd w:val="clear" w:color="auto" w:fill="FFFFFF"/>
              </w:rPr>
              <w:t>pašregulējošas</w:t>
            </w:r>
            <w:proofErr w:type="spellEnd"/>
            <w:r w:rsidRPr="00712FE5">
              <w:rPr>
                <w:rFonts w:eastAsia="Arial Unicode MS"/>
                <w:shd w:val="clear" w:color="auto" w:fill="FFFFFF"/>
              </w:rPr>
              <w:t xml:space="preserve"> ierīces prasa ierīkot tad, kad tiek nomainīti </w:t>
            </w:r>
            <w:proofErr w:type="spellStart"/>
            <w:r w:rsidRPr="00712FE5">
              <w:rPr>
                <w:rFonts w:eastAsia="Arial Unicode MS"/>
                <w:shd w:val="clear" w:color="auto" w:fill="FFFFFF"/>
              </w:rPr>
              <w:t>siltumģeneratori</w:t>
            </w:r>
            <w:proofErr w:type="spellEnd"/>
            <w:r w:rsidRPr="00712FE5">
              <w:rPr>
                <w:rFonts w:eastAsia="Arial Unicode MS"/>
                <w:shd w:val="clear" w:color="auto" w:fill="FFFFFF"/>
              </w:rPr>
              <w:t xml:space="preserve">, ja tas ir tehniski un ekonomiski iespējams.” </w:t>
            </w:r>
            <w:proofErr w:type="spellStart"/>
            <w:r w:rsidRPr="00712FE5">
              <w:rPr>
                <w:rFonts w:eastAsia="Arial Unicode MS"/>
                <w:shd w:val="clear" w:color="auto" w:fill="FFFFFF"/>
              </w:rPr>
              <w:t>Siltumģeneratora</w:t>
            </w:r>
            <w:proofErr w:type="spellEnd"/>
            <w:r w:rsidRPr="00712FE5">
              <w:rPr>
                <w:rFonts w:eastAsia="Arial Unicode MS"/>
                <w:shd w:val="clear" w:color="auto" w:fill="FFFFFF"/>
              </w:rPr>
              <w:t xml:space="preserve"> definīcija iekļauta </w:t>
            </w:r>
            <w:r w:rsidRPr="00712FE5">
              <w:t xml:space="preserve">Direktīvas 2010/31/ES </w:t>
            </w:r>
            <w:r w:rsidRPr="00712FE5">
              <w:rPr>
                <w:rFonts w:eastAsia="Arial Unicode MS"/>
                <w:shd w:val="clear" w:color="auto" w:fill="FFFFFF"/>
              </w:rPr>
              <w:t xml:space="preserve">2.panta </w:t>
            </w:r>
            <w:r w:rsidRPr="00712FE5">
              <w:t>15.b) apakšpunktā.</w:t>
            </w:r>
          </w:p>
        </w:tc>
        <w:tc>
          <w:tcPr>
            <w:tcW w:w="3118" w:type="dxa"/>
            <w:tcBorders>
              <w:top w:val="single" w:sz="4" w:space="0" w:color="auto"/>
              <w:left w:val="single" w:sz="4" w:space="0" w:color="auto"/>
              <w:bottom w:val="single" w:sz="4" w:space="0" w:color="auto"/>
            </w:tcBorders>
          </w:tcPr>
          <w:p w14:paraId="78DAD0D7" w14:textId="11DA1E2E" w:rsidR="00B770EA" w:rsidRPr="00712FE5" w:rsidRDefault="00B770EA" w:rsidP="00B770EA">
            <w:r>
              <w:lastRenderedPageBreak/>
              <w:t>9</w:t>
            </w:r>
            <w:r w:rsidRPr="00712FE5">
              <w:t>. punkts:</w:t>
            </w:r>
          </w:p>
          <w:p w14:paraId="7D8AB7D2" w14:textId="7DBED1A9" w:rsidR="00B770EA" w:rsidRPr="00712FE5" w:rsidRDefault="00B770EA" w:rsidP="00B770EA">
            <w:r w:rsidRPr="00712FE5">
              <w:lastRenderedPageBreak/>
              <w:t>“</w:t>
            </w:r>
            <w:r>
              <w:t>9</w:t>
            </w:r>
            <w:r w:rsidRPr="00712FE5">
              <w:t xml:space="preserve">. Ēkas tiek aprīkotas ar </w:t>
            </w:r>
            <w:proofErr w:type="spellStart"/>
            <w:r w:rsidRPr="00712FE5">
              <w:t>pašregulējošām</w:t>
            </w:r>
            <w:proofErr w:type="spellEnd"/>
            <w:r w:rsidRPr="00712FE5">
              <w:t xml:space="preserve"> ierīcēm gaisa temperatūras atsevišķai regulēšanai katrā telpā vai, ja tas ir pamatoti, telpu grupā tādā gadījumā, ja tiek mainīta ēkas apkures sistēmas daļa, kas ražo siltumenerģiju (</w:t>
            </w:r>
            <w:proofErr w:type="spellStart"/>
            <w:r w:rsidRPr="00712FE5">
              <w:t>siltumģenerators</w:t>
            </w:r>
            <w:proofErr w:type="spellEnd"/>
            <w:r w:rsidRPr="00712FE5">
              <w:t>).”</w:t>
            </w:r>
          </w:p>
        </w:tc>
      </w:tr>
      <w:tr w:rsidR="00B770EA" w:rsidRPr="00712FE5" w14:paraId="0EBB3DAD" w14:textId="77777777" w:rsidTr="00F10DF3">
        <w:tc>
          <w:tcPr>
            <w:tcW w:w="708" w:type="dxa"/>
            <w:tcBorders>
              <w:left w:val="single" w:sz="6" w:space="0" w:color="000000"/>
              <w:bottom w:val="single" w:sz="4" w:space="0" w:color="auto"/>
              <w:right w:val="single" w:sz="6" w:space="0" w:color="000000"/>
            </w:tcBorders>
          </w:tcPr>
          <w:p w14:paraId="171F05E7" w14:textId="23698CA6" w:rsidR="00B770EA" w:rsidRPr="00712FE5" w:rsidRDefault="00B770EA" w:rsidP="00B770EA">
            <w:pPr>
              <w:pStyle w:val="naisc"/>
              <w:spacing w:before="0" w:after="0"/>
            </w:pPr>
            <w:r>
              <w:lastRenderedPageBreak/>
              <w:t>20</w:t>
            </w:r>
            <w:r w:rsidRPr="00712FE5">
              <w:t>.</w:t>
            </w:r>
          </w:p>
        </w:tc>
        <w:tc>
          <w:tcPr>
            <w:tcW w:w="3086" w:type="dxa"/>
            <w:gridSpan w:val="2"/>
            <w:tcBorders>
              <w:left w:val="single" w:sz="6" w:space="0" w:color="000000"/>
              <w:bottom w:val="single" w:sz="4" w:space="0" w:color="auto"/>
              <w:right w:val="single" w:sz="6" w:space="0" w:color="000000"/>
            </w:tcBorders>
          </w:tcPr>
          <w:p w14:paraId="1C323A4C" w14:textId="77777777" w:rsidR="00B770EA" w:rsidRPr="00712FE5" w:rsidRDefault="00B770EA" w:rsidP="00B770EA">
            <w:pPr>
              <w:pStyle w:val="naisc"/>
              <w:spacing w:before="0" w:after="0"/>
              <w:jc w:val="both"/>
            </w:pPr>
            <w:r w:rsidRPr="00712FE5">
              <w:t>10. punkts:</w:t>
            </w:r>
          </w:p>
          <w:p w14:paraId="4DF3451C" w14:textId="77777777" w:rsidR="00B770EA" w:rsidRPr="00712FE5" w:rsidRDefault="00B770EA" w:rsidP="00B770EA">
            <w:pPr>
              <w:pStyle w:val="naisc"/>
              <w:spacing w:before="0" w:after="0"/>
              <w:jc w:val="both"/>
            </w:pPr>
            <w:r w:rsidRPr="00712FE5">
              <w:t xml:space="preserve">”10. Ekspluatējamas ēkas tiek aprīkotas ar </w:t>
            </w:r>
            <w:proofErr w:type="spellStart"/>
            <w:r w:rsidRPr="00712FE5">
              <w:t>pašregulējošām</w:t>
            </w:r>
            <w:proofErr w:type="spellEnd"/>
            <w:r w:rsidRPr="00712FE5">
              <w:t xml:space="preserve"> ierīcēm gaisa temperatūras atsevišķai regulēšanai katrā telpā vai telpu grupā gadījumā, ja tiek mainīta ēkas </w:t>
            </w:r>
            <w:r w:rsidRPr="00712FE5">
              <w:lastRenderedPageBreak/>
              <w:t>apkures sistēmas daļa, kas ražo siltumenerģiju (</w:t>
            </w:r>
            <w:proofErr w:type="spellStart"/>
            <w:r w:rsidRPr="00712FE5">
              <w:t>siltumģenerators</w:t>
            </w:r>
            <w:proofErr w:type="spellEnd"/>
            <w:r w:rsidRPr="00712FE5">
              <w:t>).”</w:t>
            </w:r>
          </w:p>
          <w:p w14:paraId="08AF124D" w14:textId="77777777" w:rsidR="00B770EA" w:rsidRPr="00712FE5" w:rsidRDefault="00B770EA" w:rsidP="00B770EA">
            <w:pPr>
              <w:pStyle w:val="naisc"/>
              <w:spacing w:before="0" w:after="0"/>
              <w:jc w:val="both"/>
            </w:pPr>
          </w:p>
          <w:p w14:paraId="3F5DC041" w14:textId="77777777" w:rsidR="00B770EA" w:rsidRPr="00712FE5" w:rsidRDefault="00B770EA" w:rsidP="00B770EA">
            <w:pPr>
              <w:pStyle w:val="naisc"/>
              <w:spacing w:before="0" w:after="0"/>
              <w:jc w:val="both"/>
            </w:pPr>
          </w:p>
        </w:tc>
        <w:tc>
          <w:tcPr>
            <w:tcW w:w="4394" w:type="dxa"/>
            <w:tcBorders>
              <w:left w:val="single" w:sz="6" w:space="0" w:color="000000"/>
              <w:bottom w:val="single" w:sz="4" w:space="0" w:color="auto"/>
              <w:right w:val="single" w:sz="6" w:space="0" w:color="000000"/>
            </w:tcBorders>
          </w:tcPr>
          <w:p w14:paraId="0AA564DE" w14:textId="77777777" w:rsidR="00B770EA" w:rsidRPr="00712FE5" w:rsidRDefault="00B770EA" w:rsidP="00B770EA">
            <w:pPr>
              <w:pStyle w:val="naisc"/>
              <w:spacing w:before="0" w:after="0"/>
              <w:jc w:val="both"/>
              <w:rPr>
                <w:b/>
                <w:bCs/>
              </w:rPr>
            </w:pPr>
            <w:r w:rsidRPr="00712FE5">
              <w:rPr>
                <w:b/>
                <w:bCs/>
              </w:rPr>
              <w:lastRenderedPageBreak/>
              <w:t>Tieslietu ministrija</w:t>
            </w:r>
          </w:p>
          <w:p w14:paraId="061B57AB" w14:textId="77777777" w:rsidR="00B770EA" w:rsidRPr="00712FE5" w:rsidRDefault="00B770EA" w:rsidP="00B770EA">
            <w:pPr>
              <w:ind w:right="12"/>
            </w:pPr>
            <w:r w:rsidRPr="00712FE5">
              <w:t>Lūdzam izvērtēt un sniegt attiecīgu skaidrojumu, vai ir korekti pārņemtas direktīvas Nr. 2018/844 un Nr. 2018/2002 prasības, proti,:</w:t>
            </w:r>
          </w:p>
          <w:p w14:paraId="61FEE561" w14:textId="77777777" w:rsidR="00B770EA" w:rsidRPr="00712FE5" w:rsidRDefault="00B770EA" w:rsidP="00B770EA">
            <w:pPr>
              <w:ind w:right="12"/>
            </w:pPr>
            <w:r w:rsidRPr="00712FE5">
              <w:rPr>
                <w:u w:val="single"/>
              </w:rPr>
              <w:t>pirmkārt</w:t>
            </w:r>
            <w:r w:rsidRPr="00712FE5">
              <w:t xml:space="preserve">, noteikumu projekta 10. punkts eventuālos apstākļos paredz, ka </w:t>
            </w:r>
            <w:r w:rsidRPr="00712FE5">
              <w:lastRenderedPageBreak/>
              <w:t xml:space="preserve">ekspluatējamas ēkas tiek aprīkotas ar </w:t>
            </w:r>
            <w:proofErr w:type="spellStart"/>
            <w:r w:rsidRPr="00712FE5">
              <w:t>pašregulējošām</w:t>
            </w:r>
            <w:proofErr w:type="spellEnd"/>
            <w:r w:rsidRPr="00712FE5">
              <w:t xml:space="preserve"> ierīcēm gaisa temperatūras atsevišķai regulēšanai katrā telpā vai telpu grupā. Savukārt no direktīvas Nr. 2018/844 1. panta 5. punktā izteiktās direktīvas Nr. 2010/31/ES 8. panta 1. punkta trešās daļas </w:t>
            </w:r>
            <w:proofErr w:type="spellStart"/>
            <w:r w:rsidRPr="00712FE5">
              <w:t>pirmšķietami</w:t>
            </w:r>
            <w:proofErr w:type="spellEnd"/>
            <w:r w:rsidRPr="00712FE5">
              <w:t xml:space="preserve"> izriet, ka primāri </w:t>
            </w:r>
            <w:proofErr w:type="spellStart"/>
            <w:r w:rsidRPr="00712FE5">
              <w:t>pašregulējošām</w:t>
            </w:r>
            <w:proofErr w:type="spellEnd"/>
            <w:r w:rsidRPr="00712FE5">
              <w:t xml:space="preserve"> ierīcēm temperatūra būtu jāregulē atsevišķi katrā istabā un tikai tad, ja tas ir pamatoti – noteiktā apsildītā ēkas daļas zonā ("Dalībvalstis prasa, lai jaunas ēkas, ja tas ir tehniski un ekonomiski iespējams, tiktu aprīkotas ar </w:t>
            </w:r>
            <w:proofErr w:type="spellStart"/>
            <w:r w:rsidRPr="00712FE5">
              <w:t>pašregulējošām</w:t>
            </w:r>
            <w:proofErr w:type="spellEnd"/>
            <w:r w:rsidRPr="00712FE5">
              <w:t xml:space="preserve"> ierīcēm temperatūras atsevišķai regulēšanai katrā istabā vai, ja tas ir pamatoti, noteiktā apsildītā ēkas daļas zonā. Esošajās ēkās šādas </w:t>
            </w:r>
            <w:proofErr w:type="spellStart"/>
            <w:r w:rsidRPr="00712FE5">
              <w:t>pašregulējošas</w:t>
            </w:r>
            <w:proofErr w:type="spellEnd"/>
            <w:r w:rsidRPr="00712FE5">
              <w:t xml:space="preserve"> ierīces prasa ierīkot tad, kad tiek nomainīti </w:t>
            </w:r>
            <w:proofErr w:type="spellStart"/>
            <w:r w:rsidRPr="00712FE5">
              <w:t>siltumģeneratori</w:t>
            </w:r>
            <w:proofErr w:type="spellEnd"/>
            <w:r w:rsidRPr="00712FE5">
              <w:t xml:space="preserve">, ja tas ir tehniski un ekonomiski iespējams."), no kā izriet, ka primāri varētu būtu jāveic aprīkošana ar </w:t>
            </w:r>
            <w:proofErr w:type="spellStart"/>
            <w:r w:rsidRPr="00712FE5">
              <w:t>pašregulējošām</w:t>
            </w:r>
            <w:proofErr w:type="spellEnd"/>
            <w:r w:rsidRPr="00712FE5">
              <w:t xml:space="preserve"> ierīcēm gaisa temperatūras atsevišķai regulēšanai katrā telpā;</w:t>
            </w:r>
          </w:p>
          <w:p w14:paraId="0AB2A52A" w14:textId="77777777" w:rsidR="00B770EA" w:rsidRPr="00712FE5" w:rsidRDefault="00B770EA" w:rsidP="00B770EA">
            <w:pPr>
              <w:ind w:right="12"/>
            </w:pPr>
            <w:r w:rsidRPr="00712FE5">
              <w:t>..</w:t>
            </w:r>
          </w:p>
          <w:p w14:paraId="0276F775" w14:textId="77777777" w:rsidR="00B770EA" w:rsidRPr="00712FE5" w:rsidRDefault="00B770EA" w:rsidP="00B770EA">
            <w:pPr>
              <w:ind w:right="12"/>
            </w:pPr>
            <w:r w:rsidRPr="00712FE5">
              <w:t>Nepieciešamības gadījumā lūdzam precizēt noteikumu projektu.</w:t>
            </w:r>
          </w:p>
        </w:tc>
        <w:tc>
          <w:tcPr>
            <w:tcW w:w="3119" w:type="dxa"/>
            <w:gridSpan w:val="2"/>
            <w:tcBorders>
              <w:left w:val="single" w:sz="6" w:space="0" w:color="000000"/>
              <w:bottom w:val="single" w:sz="4" w:space="0" w:color="auto"/>
              <w:right w:val="single" w:sz="6" w:space="0" w:color="000000"/>
            </w:tcBorders>
          </w:tcPr>
          <w:p w14:paraId="28FFE3A6" w14:textId="77777777" w:rsidR="00B770EA" w:rsidRPr="00712FE5" w:rsidRDefault="00B770EA" w:rsidP="00B770EA">
            <w:pPr>
              <w:pStyle w:val="naisc"/>
              <w:spacing w:before="0" w:after="0"/>
              <w:rPr>
                <w:b/>
                <w:bCs/>
              </w:rPr>
            </w:pPr>
            <w:r w:rsidRPr="00712FE5">
              <w:rPr>
                <w:b/>
                <w:bCs/>
              </w:rPr>
              <w:lastRenderedPageBreak/>
              <w:t>Panākta vienošanās.</w:t>
            </w:r>
          </w:p>
          <w:p w14:paraId="7BCD2E38" w14:textId="77777777" w:rsidR="00B770EA" w:rsidRPr="00712FE5" w:rsidRDefault="00B770EA" w:rsidP="00B770EA">
            <w:pPr>
              <w:pStyle w:val="naisc"/>
              <w:spacing w:before="0" w:after="0"/>
              <w:jc w:val="both"/>
              <w:rPr>
                <w:bCs/>
              </w:rPr>
            </w:pPr>
            <w:proofErr w:type="spellStart"/>
            <w:r w:rsidRPr="00712FE5">
              <w:t>Pašregulējošu</w:t>
            </w:r>
            <w:proofErr w:type="spellEnd"/>
            <w:r w:rsidRPr="00712FE5">
              <w:t xml:space="preserve"> ierīču gaisa temperatūras atsevišķai regulēšanai katrā telpā (istabā) uzstādīšanas nepieciešamības izvērtēšana būtu atstājama telpu grupas īpašnieka </w:t>
            </w:r>
            <w:r w:rsidRPr="00712FE5">
              <w:lastRenderedPageBreak/>
              <w:t xml:space="preserve">kompetencē. Turklāt šādu ierīču uzstādīšana katrā telpā varētu radīt nesamērīgu finansiālu slogu ēku (tajā skaitā dzīvokļu) īpašniekiem, no kuriem lielai daļai būs jāuzstāda arī </w:t>
            </w:r>
            <w:r w:rsidRPr="00712FE5">
              <w:rPr>
                <w:rStyle w:val="normaltextrun"/>
              </w:rPr>
              <w:t>siltumenerģijas patēriņa skaitītāji</w:t>
            </w:r>
            <w:r w:rsidRPr="00712FE5">
              <w:rPr>
                <w:rStyle w:val="spellingerror"/>
              </w:rPr>
              <w:t xml:space="preserve"> </w:t>
            </w:r>
            <w:r w:rsidRPr="00712FE5">
              <w:rPr>
                <w:rStyle w:val="normaltextrun"/>
              </w:rPr>
              <w:t>vai</w:t>
            </w:r>
            <w:r w:rsidRPr="00712FE5">
              <w:rPr>
                <w:rStyle w:val="spellingerror"/>
              </w:rPr>
              <w:t xml:space="preserve"> </w:t>
            </w:r>
            <w:r w:rsidRPr="00712FE5">
              <w:rPr>
                <w:rStyle w:val="normaltextrun"/>
              </w:rPr>
              <w:t>siltuma maksas sadalītāji</w:t>
            </w:r>
            <w:r w:rsidRPr="00712FE5">
              <w:t>.</w:t>
            </w:r>
          </w:p>
        </w:tc>
        <w:tc>
          <w:tcPr>
            <w:tcW w:w="3118" w:type="dxa"/>
            <w:tcBorders>
              <w:top w:val="single" w:sz="4" w:space="0" w:color="auto"/>
              <w:left w:val="single" w:sz="4" w:space="0" w:color="auto"/>
              <w:bottom w:val="single" w:sz="4" w:space="0" w:color="auto"/>
            </w:tcBorders>
          </w:tcPr>
          <w:p w14:paraId="0973262A" w14:textId="77777777" w:rsidR="00B770EA" w:rsidRPr="00712FE5" w:rsidRDefault="00B770EA" w:rsidP="00B770EA">
            <w:pPr>
              <w:pStyle w:val="naisc"/>
              <w:spacing w:before="0" w:after="0"/>
              <w:jc w:val="both"/>
            </w:pPr>
            <w:r w:rsidRPr="00712FE5">
              <w:lastRenderedPageBreak/>
              <w:t>Anotācijas I sadaļas 2. punkts papildināts.</w:t>
            </w:r>
          </w:p>
          <w:p w14:paraId="218BCAA3" w14:textId="77777777" w:rsidR="00B770EA" w:rsidRPr="00712FE5" w:rsidRDefault="00B770EA" w:rsidP="00B770EA">
            <w:pPr>
              <w:pStyle w:val="naisc"/>
              <w:spacing w:before="0" w:after="0"/>
              <w:jc w:val="both"/>
            </w:pPr>
          </w:p>
          <w:p w14:paraId="0AE99D98" w14:textId="11DA122C" w:rsidR="00B770EA" w:rsidRPr="00712FE5" w:rsidRDefault="00B770EA" w:rsidP="00B770EA">
            <w:pPr>
              <w:pStyle w:val="naisc"/>
              <w:spacing w:before="0" w:after="0"/>
              <w:jc w:val="both"/>
            </w:pPr>
            <w:r>
              <w:t>9</w:t>
            </w:r>
            <w:r w:rsidRPr="00712FE5">
              <w:t>. punkts:</w:t>
            </w:r>
          </w:p>
          <w:p w14:paraId="3F4F838C" w14:textId="304D219E" w:rsidR="00B770EA" w:rsidRPr="00712FE5" w:rsidRDefault="00B770EA" w:rsidP="00B770EA">
            <w:pPr>
              <w:pStyle w:val="naisc"/>
              <w:spacing w:before="0" w:after="0"/>
              <w:jc w:val="both"/>
            </w:pPr>
            <w:r w:rsidRPr="00712FE5">
              <w:t>”</w:t>
            </w:r>
            <w:r>
              <w:t>9</w:t>
            </w:r>
            <w:r w:rsidRPr="00712FE5">
              <w:t xml:space="preserve">. Ēkas tiek aprīkotas ar </w:t>
            </w:r>
            <w:proofErr w:type="spellStart"/>
            <w:r w:rsidRPr="00712FE5">
              <w:t>pašregulējošām</w:t>
            </w:r>
            <w:proofErr w:type="spellEnd"/>
            <w:r w:rsidRPr="00712FE5">
              <w:t xml:space="preserve"> ierīcēm gaisa temperatūras atsevišķai </w:t>
            </w:r>
            <w:r w:rsidRPr="00712FE5">
              <w:lastRenderedPageBreak/>
              <w:t>regulēšanai katrā telpā vai, ja tas ir pamatoti, telpu grupā tādā gadījumā, ja tiek mainīta ēkas apkures sistēmas daļa, kas ražo siltumenerģiju (</w:t>
            </w:r>
            <w:proofErr w:type="spellStart"/>
            <w:r w:rsidRPr="00712FE5">
              <w:t>siltumģenerators</w:t>
            </w:r>
            <w:proofErr w:type="spellEnd"/>
            <w:r w:rsidRPr="00712FE5">
              <w:t>).”</w:t>
            </w:r>
          </w:p>
          <w:p w14:paraId="68765598" w14:textId="77777777" w:rsidR="00B770EA" w:rsidRPr="00712FE5" w:rsidRDefault="00B770EA" w:rsidP="00B770EA">
            <w:pPr>
              <w:pStyle w:val="naisc"/>
              <w:spacing w:before="0" w:after="0"/>
              <w:jc w:val="both"/>
            </w:pPr>
          </w:p>
          <w:p w14:paraId="1EBE89DA" w14:textId="77777777" w:rsidR="00B770EA" w:rsidRPr="00712FE5" w:rsidRDefault="00B770EA" w:rsidP="00B770EA"/>
        </w:tc>
      </w:tr>
      <w:tr w:rsidR="00B770EA" w:rsidRPr="00712FE5" w14:paraId="2C127D2E" w14:textId="77777777" w:rsidTr="00F10DF3">
        <w:tc>
          <w:tcPr>
            <w:tcW w:w="708" w:type="dxa"/>
            <w:tcBorders>
              <w:left w:val="single" w:sz="6" w:space="0" w:color="000000"/>
              <w:bottom w:val="single" w:sz="4" w:space="0" w:color="auto"/>
              <w:right w:val="single" w:sz="6" w:space="0" w:color="000000"/>
            </w:tcBorders>
          </w:tcPr>
          <w:p w14:paraId="4039C248" w14:textId="0C67D606" w:rsidR="00B770EA" w:rsidRPr="00712FE5" w:rsidRDefault="00B770EA" w:rsidP="00B770EA">
            <w:pPr>
              <w:pStyle w:val="naisc"/>
              <w:spacing w:before="0" w:after="0"/>
            </w:pPr>
            <w:r>
              <w:lastRenderedPageBreak/>
              <w:t>21</w:t>
            </w:r>
            <w:r w:rsidRPr="00712FE5">
              <w:t>.</w:t>
            </w:r>
          </w:p>
        </w:tc>
        <w:tc>
          <w:tcPr>
            <w:tcW w:w="3086" w:type="dxa"/>
            <w:gridSpan w:val="2"/>
            <w:tcBorders>
              <w:left w:val="single" w:sz="6" w:space="0" w:color="000000"/>
              <w:bottom w:val="single" w:sz="4" w:space="0" w:color="auto"/>
              <w:right w:val="single" w:sz="6" w:space="0" w:color="000000"/>
            </w:tcBorders>
          </w:tcPr>
          <w:p w14:paraId="02DF12FC" w14:textId="77777777" w:rsidR="00B770EA" w:rsidRPr="00712FE5" w:rsidRDefault="00B770EA" w:rsidP="00B770EA">
            <w:pPr>
              <w:pStyle w:val="naisc"/>
              <w:spacing w:before="0" w:after="0"/>
              <w:jc w:val="both"/>
            </w:pPr>
            <w:r w:rsidRPr="00712FE5">
              <w:t>13. punkts:</w:t>
            </w:r>
          </w:p>
          <w:p w14:paraId="42E80452" w14:textId="77777777" w:rsidR="00B770EA" w:rsidRPr="00712FE5" w:rsidRDefault="00B770EA" w:rsidP="00B770EA">
            <w:pPr>
              <w:pStyle w:val="paragraph"/>
              <w:spacing w:before="0" w:beforeAutospacing="0" w:after="0" w:afterAutospacing="0"/>
              <w:jc w:val="both"/>
              <w:textAlignment w:val="baseline"/>
            </w:pPr>
            <w:r w:rsidRPr="00712FE5">
              <w:t>”</w:t>
            </w:r>
            <w:r w:rsidRPr="00712FE5">
              <w:rPr>
                <w:rStyle w:val="normaltextrun"/>
              </w:rPr>
              <w:t>13. Ēkas automatizācijas un vadības sistēmai jānodrošina:</w:t>
            </w:r>
          </w:p>
          <w:p w14:paraId="59FA8F2A" w14:textId="77777777" w:rsidR="00B770EA" w:rsidRPr="00712FE5" w:rsidRDefault="00B770EA" w:rsidP="00B770EA">
            <w:pPr>
              <w:pStyle w:val="paragraph"/>
              <w:spacing w:before="0" w:beforeAutospacing="0" w:after="0" w:afterAutospacing="0"/>
              <w:jc w:val="both"/>
              <w:textAlignment w:val="baseline"/>
            </w:pPr>
            <w:r w:rsidRPr="00712FE5">
              <w:rPr>
                <w:rStyle w:val="normaltextrun"/>
              </w:rPr>
              <w:t>13.1. iespēja pastāvīgi uzraudzīt, reģistrēt, analizēt un koriģēt ēkas enerģijas izmantošanu;</w:t>
            </w:r>
          </w:p>
          <w:p w14:paraId="7C5312C6" w14:textId="77777777" w:rsidR="00B770EA" w:rsidRPr="00712FE5" w:rsidRDefault="00B770EA" w:rsidP="00B770EA">
            <w:pPr>
              <w:pStyle w:val="paragraph"/>
              <w:spacing w:before="0" w:beforeAutospacing="0" w:after="0" w:afterAutospacing="0"/>
              <w:jc w:val="both"/>
              <w:textAlignment w:val="baseline"/>
            </w:pPr>
            <w:r w:rsidRPr="00712FE5">
              <w:rPr>
                <w:rStyle w:val="normaltextrun"/>
              </w:rPr>
              <w:lastRenderedPageBreak/>
              <w:t>13.2. iespēja salīdzinoši novērtēt ēkas energoefektivitāti, atklāt ēkas inženiertehniskās sistēmas efektivitātes zudumus;</w:t>
            </w:r>
          </w:p>
          <w:p w14:paraId="1A0431F0" w14:textId="77777777" w:rsidR="00B770EA" w:rsidRPr="00712FE5" w:rsidRDefault="00B770EA" w:rsidP="00B770EA">
            <w:pPr>
              <w:pStyle w:val="naisc"/>
              <w:spacing w:before="0" w:after="0"/>
              <w:jc w:val="both"/>
            </w:pPr>
            <w:r w:rsidRPr="00712FE5">
              <w:rPr>
                <w:rStyle w:val="normaltextrun"/>
              </w:rPr>
              <w:t>13.3. tiešsaiste ar ēkas inženiertehnisko sistēmu un spēja veikt savas funkcijas neatkarīgi no inženiertehniskās sistēmas sastāvdaļu ražotāja.</w:t>
            </w:r>
            <w:r w:rsidRPr="00712FE5">
              <w:t>”</w:t>
            </w:r>
          </w:p>
        </w:tc>
        <w:tc>
          <w:tcPr>
            <w:tcW w:w="4394" w:type="dxa"/>
            <w:tcBorders>
              <w:left w:val="single" w:sz="6" w:space="0" w:color="000000"/>
              <w:bottom w:val="single" w:sz="4" w:space="0" w:color="auto"/>
              <w:right w:val="single" w:sz="6" w:space="0" w:color="000000"/>
            </w:tcBorders>
          </w:tcPr>
          <w:p w14:paraId="2DFC8F58" w14:textId="77777777" w:rsidR="00B770EA" w:rsidRPr="00712FE5" w:rsidRDefault="00B770EA" w:rsidP="00B770EA">
            <w:pPr>
              <w:pStyle w:val="naisc"/>
              <w:spacing w:before="0" w:after="0"/>
              <w:jc w:val="both"/>
              <w:rPr>
                <w:b/>
                <w:bCs/>
              </w:rPr>
            </w:pPr>
            <w:r w:rsidRPr="00712FE5">
              <w:rPr>
                <w:b/>
                <w:bCs/>
              </w:rPr>
              <w:lastRenderedPageBreak/>
              <w:t>Tieslietu ministrija</w:t>
            </w:r>
          </w:p>
          <w:p w14:paraId="4D13DD90" w14:textId="77777777" w:rsidR="00B770EA" w:rsidRPr="00712FE5" w:rsidRDefault="00B770EA" w:rsidP="00B770EA">
            <w:pPr>
              <w:ind w:right="12"/>
            </w:pPr>
            <w:r w:rsidRPr="00712FE5">
              <w:t>Lūdzam izvērtēt un sniegt attiecīgu skaidrojumu, vai ir korekti pārņemtas direktīvas Nr. 2018/844 un Nr. 2018/2002 prasības, proti,:</w:t>
            </w:r>
          </w:p>
          <w:p w14:paraId="0E27B8CE" w14:textId="77777777" w:rsidR="00B770EA" w:rsidRPr="00712FE5" w:rsidRDefault="00B770EA" w:rsidP="00B770EA">
            <w:pPr>
              <w:pStyle w:val="naisc"/>
              <w:spacing w:before="0" w:after="0"/>
              <w:jc w:val="both"/>
              <w:rPr>
                <w:bCs/>
              </w:rPr>
            </w:pPr>
            <w:r w:rsidRPr="00712FE5">
              <w:rPr>
                <w:bCs/>
              </w:rPr>
              <w:t>..</w:t>
            </w:r>
          </w:p>
          <w:p w14:paraId="24E961FF" w14:textId="77777777" w:rsidR="00B770EA" w:rsidRPr="00712FE5" w:rsidRDefault="00B770EA" w:rsidP="00B770EA">
            <w:pPr>
              <w:pStyle w:val="naisc"/>
              <w:spacing w:before="0" w:after="0"/>
              <w:jc w:val="both"/>
            </w:pPr>
            <w:r w:rsidRPr="00712FE5">
              <w:rPr>
                <w:u w:val="single"/>
              </w:rPr>
              <w:lastRenderedPageBreak/>
              <w:t>otrkārt</w:t>
            </w:r>
            <w:r w:rsidRPr="00712FE5">
              <w:t xml:space="preserve">, kā viena no ēkas automatizācijas un vadības sistēmas prasībām ar noteikumu projektu izvirzīta iespēja salīdzinoši novērtēt ēkas energoefektivitāti, atklāt ēkas inženiertehniskās sistēmas efektivitātes zudumus (13.2. apakšpunkts). Tomēr norādām, ka no </w:t>
            </w:r>
            <w:bookmarkStart w:id="2" w:name="_Hlk33114329"/>
            <w:r w:rsidRPr="00712FE5">
              <w:t xml:space="preserve">direktīvas Nr. 2018/844 1. panta 7. punktā izteiktā direktīvas Nr. 2010/31/ES 14. panta 4. punkta otrās daļas "b" apakšpunkta un 15. panta 4. punkta otrās daļas "b" apakšpunkta </w:t>
            </w:r>
            <w:bookmarkEnd w:id="2"/>
            <w:r w:rsidRPr="00712FE5">
              <w:t xml:space="preserve">izriet, ka ēku automatizācijas un vadības sistēmas spēj ne vien salīdzinoši novērtēt ēkas energoefektivitāti, atklāt ēkas inženiertehnisko sistēmu efektivitātes zudumus, bet arī </w:t>
            </w:r>
            <w:r w:rsidRPr="00712FE5">
              <w:rPr>
                <w:u w:val="single"/>
              </w:rPr>
              <w:t>informēt par ēku atbildīgo personu vai ēkas inženiertehnisko sistēmu apsaimniekotāju par energoefektivitātes uzlabošanas iespējām</w:t>
            </w:r>
            <w:r w:rsidRPr="00712FE5">
              <w:t>.</w:t>
            </w:r>
          </w:p>
          <w:p w14:paraId="28613F17" w14:textId="77777777" w:rsidR="00B770EA" w:rsidRPr="00712FE5" w:rsidRDefault="00B770EA" w:rsidP="00B770EA">
            <w:pPr>
              <w:pStyle w:val="naisc"/>
              <w:spacing w:before="0" w:after="0"/>
              <w:jc w:val="both"/>
              <w:rPr>
                <w:bCs/>
              </w:rPr>
            </w:pPr>
            <w:r w:rsidRPr="00712FE5">
              <w:t>Nepieciešamības gadījumā lūdzam precizēt noteikumu projektu.</w:t>
            </w:r>
          </w:p>
        </w:tc>
        <w:tc>
          <w:tcPr>
            <w:tcW w:w="3119" w:type="dxa"/>
            <w:gridSpan w:val="2"/>
            <w:tcBorders>
              <w:left w:val="single" w:sz="6" w:space="0" w:color="000000"/>
              <w:bottom w:val="single" w:sz="4" w:space="0" w:color="auto"/>
              <w:right w:val="single" w:sz="6" w:space="0" w:color="000000"/>
            </w:tcBorders>
          </w:tcPr>
          <w:p w14:paraId="35BE2BD3" w14:textId="77777777" w:rsidR="00B770EA" w:rsidRPr="00712FE5" w:rsidRDefault="00B770EA" w:rsidP="00B770EA">
            <w:pPr>
              <w:pStyle w:val="naisc"/>
              <w:spacing w:before="0" w:after="0"/>
              <w:rPr>
                <w:b/>
                <w:bCs/>
              </w:rPr>
            </w:pPr>
            <w:r w:rsidRPr="00712FE5">
              <w:rPr>
                <w:b/>
                <w:bCs/>
              </w:rPr>
              <w:lastRenderedPageBreak/>
              <w:t>Ņemts vērā.</w:t>
            </w:r>
          </w:p>
        </w:tc>
        <w:tc>
          <w:tcPr>
            <w:tcW w:w="3118" w:type="dxa"/>
            <w:tcBorders>
              <w:top w:val="single" w:sz="4" w:space="0" w:color="auto"/>
              <w:left w:val="single" w:sz="4" w:space="0" w:color="auto"/>
              <w:bottom w:val="single" w:sz="4" w:space="0" w:color="auto"/>
            </w:tcBorders>
          </w:tcPr>
          <w:p w14:paraId="5BA408A7" w14:textId="5E03A458" w:rsidR="00B770EA" w:rsidRPr="00712FE5" w:rsidRDefault="00B770EA" w:rsidP="00B770EA">
            <w:pPr>
              <w:pStyle w:val="naisc"/>
              <w:spacing w:before="0" w:after="0"/>
              <w:jc w:val="both"/>
            </w:pPr>
            <w:r w:rsidRPr="00712FE5">
              <w:t>1</w:t>
            </w:r>
            <w:r>
              <w:t>1</w:t>
            </w:r>
            <w:r w:rsidRPr="00712FE5">
              <w:t>. punkts:</w:t>
            </w:r>
          </w:p>
          <w:p w14:paraId="3EECE80D" w14:textId="77777777" w:rsidR="00B770EA" w:rsidRPr="00712FE5" w:rsidRDefault="00B770EA" w:rsidP="00B770EA">
            <w:pPr>
              <w:pStyle w:val="paragraph"/>
              <w:spacing w:before="0" w:beforeAutospacing="0" w:after="0" w:afterAutospacing="0"/>
              <w:jc w:val="both"/>
              <w:textAlignment w:val="baseline"/>
            </w:pPr>
            <w:r w:rsidRPr="00712FE5">
              <w:t>”</w:t>
            </w:r>
            <w:r w:rsidRPr="00712FE5">
              <w:rPr>
                <w:rStyle w:val="normaltextrun"/>
              </w:rPr>
              <w:t>11. Ēkas automatizācijas un vadības sistēmai jānodrošina:</w:t>
            </w:r>
          </w:p>
          <w:p w14:paraId="218F1E74" w14:textId="476899A8" w:rsidR="00B770EA" w:rsidRPr="00712FE5" w:rsidRDefault="00B770EA" w:rsidP="00B770EA">
            <w:pPr>
              <w:pStyle w:val="paragraph"/>
              <w:spacing w:before="0" w:beforeAutospacing="0" w:after="0" w:afterAutospacing="0"/>
              <w:ind w:left="33"/>
              <w:jc w:val="both"/>
              <w:textAlignment w:val="baseline"/>
            </w:pPr>
            <w:r w:rsidRPr="00712FE5">
              <w:rPr>
                <w:rStyle w:val="normaltextrun"/>
              </w:rPr>
              <w:t>1</w:t>
            </w:r>
            <w:r>
              <w:rPr>
                <w:rStyle w:val="normaltextrun"/>
              </w:rPr>
              <w:t>1</w:t>
            </w:r>
            <w:r w:rsidRPr="00712FE5">
              <w:rPr>
                <w:rStyle w:val="normaltextrun"/>
              </w:rPr>
              <w:t>.1. iespēja pastāvīgi uzraudzīt, reģistrēt, analizēt un koriģēt ēkas enerģijas izmantošanu;</w:t>
            </w:r>
          </w:p>
          <w:p w14:paraId="0A9018EB" w14:textId="0EF7602D" w:rsidR="00B770EA" w:rsidRPr="00712FE5" w:rsidRDefault="00B770EA" w:rsidP="00B770EA">
            <w:pPr>
              <w:pStyle w:val="paragraph"/>
              <w:spacing w:before="0" w:beforeAutospacing="0" w:after="0" w:afterAutospacing="0"/>
              <w:ind w:left="33"/>
              <w:jc w:val="both"/>
              <w:textAlignment w:val="baseline"/>
            </w:pPr>
            <w:r w:rsidRPr="00712FE5">
              <w:rPr>
                <w:rStyle w:val="normaltextrun"/>
              </w:rPr>
              <w:lastRenderedPageBreak/>
              <w:t>1</w:t>
            </w:r>
            <w:r>
              <w:rPr>
                <w:rStyle w:val="normaltextrun"/>
              </w:rPr>
              <w:t>1</w:t>
            </w:r>
            <w:r w:rsidRPr="00712FE5">
              <w:rPr>
                <w:rStyle w:val="normaltextrun"/>
              </w:rPr>
              <w:t>.2. iespēja salīdzinoši novērtēt ēkas energoefektivitāti, atklāt ēkas inženiertehniskās sistēmas efektivitātes zudumus un informēt ēkas pārvaldītāju par ēkas energoefektivitātes uzlabošanas iespējām;</w:t>
            </w:r>
          </w:p>
          <w:p w14:paraId="55189B81" w14:textId="58926100" w:rsidR="00B770EA" w:rsidRPr="00712FE5" w:rsidRDefault="00B770EA" w:rsidP="00B770EA">
            <w:pPr>
              <w:pStyle w:val="naisc"/>
              <w:spacing w:before="0" w:after="0"/>
              <w:jc w:val="both"/>
            </w:pPr>
            <w:r w:rsidRPr="00712FE5">
              <w:rPr>
                <w:rStyle w:val="normaltextrun"/>
              </w:rPr>
              <w:t>1</w:t>
            </w:r>
            <w:r>
              <w:rPr>
                <w:rStyle w:val="normaltextrun"/>
              </w:rPr>
              <w:t>1</w:t>
            </w:r>
            <w:r w:rsidRPr="00712FE5">
              <w:rPr>
                <w:rStyle w:val="normaltextrun"/>
              </w:rPr>
              <w:t>.3. tiešsaiste ar ēkas inženiertehnisko sistēmu un spēja veikt savas funkcijas neatkarīgi no inženiertehniskās sistēmas sastāvdaļu ražotāja.</w:t>
            </w:r>
            <w:r w:rsidRPr="00712FE5">
              <w:t>”</w:t>
            </w:r>
          </w:p>
        </w:tc>
      </w:tr>
      <w:tr w:rsidR="00B770EA" w:rsidRPr="00712FE5" w14:paraId="1B3F2ACA" w14:textId="77777777" w:rsidTr="00F10DF3">
        <w:tc>
          <w:tcPr>
            <w:tcW w:w="708" w:type="dxa"/>
            <w:tcBorders>
              <w:left w:val="single" w:sz="6" w:space="0" w:color="000000"/>
              <w:bottom w:val="single" w:sz="4" w:space="0" w:color="auto"/>
              <w:right w:val="single" w:sz="6" w:space="0" w:color="000000"/>
            </w:tcBorders>
          </w:tcPr>
          <w:p w14:paraId="5C5914F7" w14:textId="035784F5" w:rsidR="00B770EA" w:rsidRPr="00712FE5" w:rsidRDefault="00B770EA" w:rsidP="00B770EA">
            <w:pPr>
              <w:pStyle w:val="naisc"/>
              <w:spacing w:before="0" w:after="0"/>
            </w:pPr>
            <w:r w:rsidRPr="00712FE5">
              <w:lastRenderedPageBreak/>
              <w:t>2</w:t>
            </w:r>
            <w:r>
              <w:t>2</w:t>
            </w:r>
            <w:r w:rsidRPr="00712FE5">
              <w:t>.</w:t>
            </w:r>
          </w:p>
        </w:tc>
        <w:tc>
          <w:tcPr>
            <w:tcW w:w="3086" w:type="dxa"/>
            <w:gridSpan w:val="2"/>
            <w:tcBorders>
              <w:left w:val="single" w:sz="6" w:space="0" w:color="000000"/>
              <w:bottom w:val="single" w:sz="4" w:space="0" w:color="auto"/>
              <w:right w:val="single" w:sz="6" w:space="0" w:color="000000"/>
            </w:tcBorders>
          </w:tcPr>
          <w:p w14:paraId="60863DF7" w14:textId="77777777" w:rsidR="00B770EA" w:rsidRPr="00712FE5" w:rsidRDefault="00B770EA" w:rsidP="00B770EA">
            <w:pPr>
              <w:pStyle w:val="naisc"/>
              <w:spacing w:before="0" w:after="0"/>
              <w:jc w:val="both"/>
            </w:pPr>
            <w:r w:rsidRPr="00712FE5">
              <w:t>16. punkts:</w:t>
            </w:r>
          </w:p>
          <w:p w14:paraId="19041EB3" w14:textId="77777777" w:rsidR="00B770EA" w:rsidRPr="00712FE5" w:rsidRDefault="00B770EA" w:rsidP="00B770EA">
            <w:pPr>
              <w:pStyle w:val="naisc"/>
              <w:spacing w:before="0" w:after="0"/>
              <w:jc w:val="both"/>
            </w:pPr>
            <w:r w:rsidRPr="00712FE5">
              <w:t>“</w:t>
            </w:r>
            <w:r w:rsidRPr="00712FE5">
              <w:rPr>
                <w:rStyle w:val="normaltextrun"/>
              </w:rPr>
              <w:t>16. Šo noteikumu 5., 6., 10., 11., 12., 13. un 14. punkts stājas spēkā 2021. gada 1. janvārī.</w:t>
            </w:r>
            <w:r w:rsidRPr="00712FE5">
              <w:t>”</w:t>
            </w:r>
          </w:p>
        </w:tc>
        <w:tc>
          <w:tcPr>
            <w:tcW w:w="4394" w:type="dxa"/>
            <w:tcBorders>
              <w:left w:val="single" w:sz="6" w:space="0" w:color="000000"/>
              <w:bottom w:val="single" w:sz="4" w:space="0" w:color="auto"/>
              <w:right w:val="single" w:sz="6" w:space="0" w:color="000000"/>
            </w:tcBorders>
          </w:tcPr>
          <w:p w14:paraId="4E1A7711" w14:textId="77777777" w:rsidR="00B770EA" w:rsidRPr="00712FE5" w:rsidRDefault="00B770EA" w:rsidP="00B770EA">
            <w:pPr>
              <w:pStyle w:val="naisc"/>
              <w:spacing w:before="0" w:after="0"/>
              <w:jc w:val="both"/>
              <w:rPr>
                <w:b/>
                <w:bCs/>
              </w:rPr>
            </w:pPr>
            <w:r w:rsidRPr="00712FE5">
              <w:rPr>
                <w:b/>
                <w:bCs/>
              </w:rPr>
              <w:t>Tieslietu ministrija</w:t>
            </w:r>
          </w:p>
          <w:p w14:paraId="6856B04C" w14:textId="77777777" w:rsidR="00B770EA" w:rsidRPr="00712FE5" w:rsidRDefault="00B770EA" w:rsidP="00B770EA">
            <w:pPr>
              <w:pStyle w:val="naisc"/>
              <w:spacing w:before="0" w:after="0"/>
              <w:jc w:val="both"/>
            </w:pPr>
            <w:r w:rsidRPr="00712FE5">
              <w:t xml:space="preserve">Ņemot vērā, ka ar noteikumu projekta 16. punktu paredzēta tā 5., 6., 10., 11., 12., 13. un 14. punkta spēkā stāšanās 2021. gada 1. janvārī, aicinām izvērtēt iespēju minēto normu uzskaitījumu papildināt arī ar tiesību normām, kas ir tiešā veidā saistītas ar iepriekš uzskaitīto punktu piemērošanu (sk. 7., 8., 9. punktu un 1. un 2. pielikumu) un kam </w:t>
            </w:r>
            <w:proofErr w:type="spellStart"/>
            <w:r w:rsidRPr="00712FE5">
              <w:t>pirmšķietami</w:t>
            </w:r>
            <w:proofErr w:type="spellEnd"/>
            <w:r w:rsidRPr="00712FE5">
              <w:t xml:space="preserve"> nav patstāvīgas juridiskās nozīmes, kas attaisnotu attiecīgo normu stāšanos spēkā pirms 2021. gada </w:t>
            </w:r>
            <w:r w:rsidRPr="00712FE5">
              <w:lastRenderedPageBreak/>
              <w:t>1. janvāra, tādā veidā nodrošinot noteikumu Nr. 108 3.1. apakšpunkta ievērošanu.</w:t>
            </w:r>
          </w:p>
          <w:p w14:paraId="60B64DBE" w14:textId="77777777" w:rsidR="00B770EA" w:rsidRPr="00712FE5" w:rsidRDefault="00B770EA" w:rsidP="00B770EA">
            <w:pPr>
              <w:pStyle w:val="naisc"/>
              <w:spacing w:before="0" w:after="0"/>
              <w:jc w:val="both"/>
              <w:rPr>
                <w:b/>
                <w:bCs/>
              </w:rPr>
            </w:pPr>
            <w:r w:rsidRPr="00712FE5">
              <w:rPr>
                <w:b/>
                <w:bCs/>
              </w:rPr>
              <w:t>Tieslietu ministrija (papildus)</w:t>
            </w:r>
          </w:p>
          <w:p w14:paraId="4CD14EB6" w14:textId="77777777" w:rsidR="00B770EA" w:rsidRPr="00712FE5" w:rsidRDefault="00B770EA" w:rsidP="00B770EA">
            <w:pPr>
              <w:pStyle w:val="naisc"/>
              <w:spacing w:before="0" w:after="0"/>
              <w:jc w:val="both"/>
            </w:pPr>
            <w:r w:rsidRPr="00712FE5">
              <w:rPr>
                <w:bdr w:val="none" w:sz="0" w:space="0" w:color="auto" w:frame="1"/>
              </w:rPr>
              <w:t>Uztur iebildumu saistībā ar noteikumu projekta 16. punktu (iepriekš 13. punkts), kas paredz, ka noteikumu 5., 9., 10. un 11. punkts stājas spēkā 2021. gada 1. janvārī, jo uzskatām, ka tas varētu būt papildināms ar</w:t>
            </w:r>
            <w:r w:rsidRPr="00712FE5">
              <w:rPr>
                <w:rStyle w:val="apple-converted-space"/>
                <w:bdr w:val="none" w:sz="0" w:space="0" w:color="auto" w:frame="1"/>
              </w:rPr>
              <w:t> </w:t>
            </w:r>
            <w:r w:rsidRPr="00712FE5">
              <w:rPr>
                <w:bdr w:val="none" w:sz="0" w:space="0" w:color="auto" w:frame="1"/>
              </w:rPr>
              <w:t>noteikumu projekta 5., 9., 10. un 11. punktu tieši saistītām tiesību normām, kam nav patstāvīgas juridiskas nozīmes</w:t>
            </w:r>
            <w:r w:rsidRPr="00712FE5">
              <w:rPr>
                <w:rStyle w:val="apple-converted-space"/>
                <w:bdr w:val="none" w:sz="0" w:space="0" w:color="auto" w:frame="1"/>
              </w:rPr>
              <w:t> </w:t>
            </w:r>
            <w:r w:rsidRPr="00712FE5">
              <w:rPr>
                <w:bdr w:val="none" w:sz="0" w:space="0" w:color="auto" w:frame="1"/>
              </w:rPr>
              <w:t>. Izziņā saistībā ar minēto skaidrots, ka tiesiskais regulējums  (acīmredzot, ar to domāts noteikumu projekta 6., 7. un 8. punkts, kā arī 1. un 2. pielikums) plānots ar mērķi noteikt siltumenerģijas patēriņa skaitītāju un siltuma maksas sadalītāju uzstādīšanas tehnisko iespējamību un ekonomisko pamatotību jau savlaicīgi, lai varētu lemt par ierīču uzstādīšanu. Tomēr attiecīgā gadījumā lūdzam skaidrot, kāda konkrēti</w:t>
            </w:r>
            <w:r w:rsidRPr="00712FE5">
              <w:rPr>
                <w:rStyle w:val="apple-converted-space"/>
                <w:bdr w:val="none" w:sz="0" w:space="0" w:color="auto" w:frame="1"/>
              </w:rPr>
              <w:t> </w:t>
            </w:r>
            <w:r w:rsidRPr="00712FE5">
              <w:rPr>
                <w:u w:val="single"/>
                <w:bdr w:val="none" w:sz="0" w:space="0" w:color="auto" w:frame="1"/>
              </w:rPr>
              <w:t>patstāvīga</w:t>
            </w:r>
            <w:r w:rsidRPr="00712FE5">
              <w:rPr>
                <w:rStyle w:val="apple-converted-space"/>
                <w:bdr w:val="none" w:sz="0" w:space="0" w:color="auto" w:frame="1"/>
              </w:rPr>
              <w:t> </w:t>
            </w:r>
            <w:r w:rsidRPr="00712FE5">
              <w:rPr>
                <w:bdr w:val="none" w:sz="0" w:space="0" w:color="auto" w:frame="1"/>
              </w:rPr>
              <w:t>tiesiskā nozīme ir noteikumu projekta 6. (no 6. punkta, skatot to atrauti no noteikumu projekta 5. punkta, turklāt izriet, ka pienākums uzstādīt individuālu siltumenerģijas patēriņa skaitītāju pastāv pirms 2021. gada 1. janvāra), 7. un 8. punkta, kā arī 1. un 2. pielikuma piemērošanai pirms 2021. gada 1. janvāra (t.i., vai paredzēta atbildība par šo normu neievērošanu,  vai, piemēram, paredzēts veikt pārbaudes, ka tiek</w:t>
            </w:r>
            <w:r w:rsidRPr="00712FE5">
              <w:rPr>
                <w:rStyle w:val="apple-converted-space"/>
                <w:bdr w:val="none" w:sz="0" w:space="0" w:color="auto" w:frame="1"/>
              </w:rPr>
              <w:t> </w:t>
            </w:r>
            <w:r w:rsidRPr="00712FE5">
              <w:rPr>
                <w:bdr w:val="none" w:sz="0" w:space="0" w:color="auto" w:frame="1"/>
              </w:rPr>
              <w:t xml:space="preserve">noteikta siltumenerģijas patēriņa skaitītāju un </w:t>
            </w:r>
            <w:r w:rsidRPr="00712FE5">
              <w:rPr>
                <w:bdr w:val="none" w:sz="0" w:space="0" w:color="auto" w:frame="1"/>
              </w:rPr>
              <w:lastRenderedPageBreak/>
              <w:t>siltuma maksas sadalītāju uzstādīšanas tehniskā iespējamība un ekonomiskā pamatotība pirms 2021. gada 1. janvāra). Nepieciešamības gadījumā lūdzam precizēt noteikumu projektu.</w:t>
            </w:r>
          </w:p>
        </w:tc>
        <w:tc>
          <w:tcPr>
            <w:tcW w:w="3119" w:type="dxa"/>
            <w:gridSpan w:val="2"/>
            <w:tcBorders>
              <w:left w:val="single" w:sz="6" w:space="0" w:color="000000"/>
              <w:bottom w:val="single" w:sz="4" w:space="0" w:color="auto"/>
              <w:right w:val="single" w:sz="6" w:space="0" w:color="000000"/>
            </w:tcBorders>
          </w:tcPr>
          <w:p w14:paraId="14C56A0C" w14:textId="77777777" w:rsidR="00B770EA" w:rsidRPr="00712FE5" w:rsidRDefault="00B770EA" w:rsidP="00B770EA">
            <w:pPr>
              <w:pStyle w:val="naisc"/>
              <w:spacing w:before="0" w:after="0"/>
              <w:rPr>
                <w:b/>
                <w:bCs/>
              </w:rPr>
            </w:pPr>
            <w:r w:rsidRPr="00712FE5">
              <w:rPr>
                <w:b/>
                <w:bCs/>
              </w:rPr>
              <w:lastRenderedPageBreak/>
              <w:t>Ņemts vērā.</w:t>
            </w:r>
          </w:p>
          <w:p w14:paraId="7481FE3C" w14:textId="77777777" w:rsidR="00B770EA" w:rsidRPr="00712FE5" w:rsidRDefault="00B770EA" w:rsidP="00B770EA">
            <w:pPr>
              <w:pStyle w:val="naisc"/>
              <w:spacing w:before="0" w:after="0"/>
              <w:jc w:val="both"/>
              <w:rPr>
                <w:i/>
              </w:rPr>
            </w:pPr>
          </w:p>
        </w:tc>
        <w:tc>
          <w:tcPr>
            <w:tcW w:w="3118" w:type="dxa"/>
            <w:tcBorders>
              <w:top w:val="single" w:sz="4" w:space="0" w:color="auto"/>
              <w:left w:val="single" w:sz="4" w:space="0" w:color="auto"/>
              <w:bottom w:val="single" w:sz="4" w:space="0" w:color="auto"/>
            </w:tcBorders>
          </w:tcPr>
          <w:p w14:paraId="3A03469F" w14:textId="55424920" w:rsidR="00B770EA" w:rsidRPr="00712FE5" w:rsidRDefault="00B770EA" w:rsidP="00B770EA">
            <w:r w:rsidRPr="00712FE5">
              <w:t>1</w:t>
            </w:r>
            <w:r>
              <w:t>3</w:t>
            </w:r>
            <w:r w:rsidRPr="00712FE5">
              <w:t>. punkts:</w:t>
            </w:r>
          </w:p>
          <w:p w14:paraId="2AB9214C" w14:textId="502CAD2E" w:rsidR="00B770EA" w:rsidRPr="00712FE5" w:rsidRDefault="00B770EA" w:rsidP="00B770EA">
            <w:r>
              <w:t>“</w:t>
            </w:r>
            <w:r w:rsidRPr="00A27BE0">
              <w:t>13. Šo noteikumu 5., 6., 7., 8., 9., 10. un 11. punkts stājas spēkā 2021. gada 1. janvārī.</w:t>
            </w:r>
            <w:r>
              <w:t>”</w:t>
            </w:r>
          </w:p>
        </w:tc>
      </w:tr>
      <w:tr w:rsidR="00B770EA" w:rsidRPr="00712FE5" w14:paraId="4F0D1D7F" w14:textId="77777777" w:rsidTr="00F10DF3">
        <w:tc>
          <w:tcPr>
            <w:tcW w:w="708" w:type="dxa"/>
            <w:tcBorders>
              <w:left w:val="single" w:sz="6" w:space="0" w:color="000000"/>
              <w:bottom w:val="single" w:sz="4" w:space="0" w:color="auto"/>
              <w:right w:val="single" w:sz="6" w:space="0" w:color="000000"/>
            </w:tcBorders>
          </w:tcPr>
          <w:p w14:paraId="61595A7A" w14:textId="0BE4F03F" w:rsidR="00B770EA" w:rsidRPr="00712FE5" w:rsidRDefault="00B770EA" w:rsidP="00B770EA">
            <w:pPr>
              <w:pStyle w:val="naisc"/>
              <w:spacing w:before="0" w:after="0"/>
            </w:pPr>
            <w:r w:rsidRPr="00712FE5">
              <w:lastRenderedPageBreak/>
              <w:t>2</w:t>
            </w:r>
            <w:r>
              <w:t>3</w:t>
            </w:r>
            <w:r w:rsidRPr="00712FE5">
              <w:t>.</w:t>
            </w:r>
          </w:p>
        </w:tc>
        <w:tc>
          <w:tcPr>
            <w:tcW w:w="3086" w:type="dxa"/>
            <w:gridSpan w:val="2"/>
            <w:tcBorders>
              <w:left w:val="single" w:sz="6" w:space="0" w:color="000000"/>
              <w:bottom w:val="single" w:sz="4" w:space="0" w:color="auto"/>
              <w:right w:val="single" w:sz="6" w:space="0" w:color="000000"/>
            </w:tcBorders>
          </w:tcPr>
          <w:p w14:paraId="3BF0E505" w14:textId="77777777" w:rsidR="00B770EA" w:rsidRPr="00712FE5" w:rsidRDefault="00B770EA" w:rsidP="00B770EA">
            <w:r w:rsidRPr="00712FE5">
              <w:t>13. punkts (sākotnēji 16. punkts):</w:t>
            </w:r>
          </w:p>
          <w:p w14:paraId="238EBD78" w14:textId="77777777" w:rsidR="00B770EA" w:rsidRPr="00712FE5" w:rsidRDefault="00B770EA" w:rsidP="00B770EA">
            <w:r w:rsidRPr="00712FE5">
              <w:t>“</w:t>
            </w:r>
            <w:r w:rsidRPr="00712FE5">
              <w:rPr>
                <w:rStyle w:val="normaltextrun"/>
              </w:rPr>
              <w:t>13. Šo noteikumu 5., 9., 10. un 11. punkts stājas spēkā 2021. gada 1. janvārī.</w:t>
            </w:r>
            <w:r w:rsidRPr="00712FE5">
              <w:t>”</w:t>
            </w:r>
          </w:p>
        </w:tc>
        <w:tc>
          <w:tcPr>
            <w:tcW w:w="4394" w:type="dxa"/>
            <w:tcBorders>
              <w:left w:val="single" w:sz="6" w:space="0" w:color="000000"/>
              <w:bottom w:val="single" w:sz="4" w:space="0" w:color="auto"/>
              <w:right w:val="single" w:sz="6" w:space="0" w:color="000000"/>
            </w:tcBorders>
          </w:tcPr>
          <w:p w14:paraId="36077777" w14:textId="77777777" w:rsidR="00B770EA" w:rsidRPr="00712FE5" w:rsidRDefault="00B770EA" w:rsidP="00B770EA">
            <w:pPr>
              <w:pStyle w:val="CommentText"/>
              <w:rPr>
                <w:sz w:val="24"/>
                <w:szCs w:val="24"/>
              </w:rPr>
            </w:pPr>
            <w:r w:rsidRPr="00712FE5">
              <w:rPr>
                <w:b/>
                <w:bCs/>
                <w:sz w:val="24"/>
                <w:szCs w:val="24"/>
              </w:rPr>
              <w:t>Latvijas Lielo pilsētu asociācija (papildus</w:t>
            </w:r>
            <w:r w:rsidRPr="00712FE5">
              <w:rPr>
                <w:b/>
                <w:sz w:val="24"/>
                <w:szCs w:val="24"/>
              </w:rPr>
              <w:t>)</w:t>
            </w:r>
          </w:p>
          <w:p w14:paraId="577EE606" w14:textId="77777777" w:rsidR="00B770EA" w:rsidRPr="00712FE5" w:rsidRDefault="00B770EA" w:rsidP="00B770EA">
            <w:pPr>
              <w:pStyle w:val="CommentText"/>
              <w:rPr>
                <w:sz w:val="24"/>
                <w:szCs w:val="24"/>
              </w:rPr>
            </w:pPr>
            <w:r w:rsidRPr="00712FE5">
              <w:rPr>
                <w:sz w:val="24"/>
                <w:szCs w:val="24"/>
              </w:rPr>
              <w:t>5. punkta stāšanās spēkā no 2021. gada 1. janvāra nav iespējama, pamatojoties uz sekojošiem apsvērumiem:</w:t>
            </w:r>
          </w:p>
          <w:p w14:paraId="3A4B4D32" w14:textId="77777777" w:rsidR="00B770EA" w:rsidRPr="00712FE5" w:rsidRDefault="00B770EA" w:rsidP="00B770EA">
            <w:pPr>
              <w:pStyle w:val="CommentText"/>
              <w:rPr>
                <w:sz w:val="24"/>
                <w:szCs w:val="24"/>
              </w:rPr>
            </w:pPr>
            <w:r w:rsidRPr="00712FE5">
              <w:rPr>
                <w:sz w:val="24"/>
                <w:szCs w:val="24"/>
              </w:rPr>
              <w:t>Daudzdzīvokļu dzīvojamās mājās, kas tiek pārvaldītas uz likuma “Par valsts un pašvaldību dzīvojamo māju privatizāciju” pamata:</w:t>
            </w:r>
          </w:p>
          <w:p w14:paraId="75DD48E8" w14:textId="77777777" w:rsidR="00B770EA" w:rsidRPr="00712FE5" w:rsidRDefault="00B770EA" w:rsidP="00B770EA">
            <w:pPr>
              <w:pStyle w:val="CommentText"/>
              <w:rPr>
                <w:sz w:val="24"/>
                <w:szCs w:val="24"/>
              </w:rPr>
            </w:pPr>
            <w:r w:rsidRPr="00712FE5">
              <w:rPr>
                <w:sz w:val="24"/>
                <w:szCs w:val="24"/>
              </w:rPr>
              <w:t xml:space="preserve">MK noteikumi Nr. 408 “Dzīvojamās mājas pārvaldīšanas un apsaimniekošanas maksas aprēķināšanas noteikumi” paredz veicamo remontdarbu plānošanu vismaz turpmāko trīs gadu periodā, par ko dzīvokļu īpašnieki tiek informēti līdz katra gada 15. oktobrim. Līdz ar to dzīvokļu īpašnieki jau ir informēti par plānotajiem darbiem laika periodā līdz 2022. gada 31. decembrim. Ja Noteikumi tiek pieņemti tuvākajā laikā, </w:t>
            </w:r>
            <w:r w:rsidRPr="00712FE5">
              <w:rPr>
                <w:b/>
                <w:sz w:val="24"/>
                <w:szCs w:val="24"/>
              </w:rPr>
              <w:t>5. punkta spēkā stāšanās laiku būtu lietderīgi noteikt no 2023. gada 1. janvāra</w:t>
            </w:r>
            <w:r w:rsidRPr="00712FE5">
              <w:rPr>
                <w:sz w:val="24"/>
                <w:szCs w:val="24"/>
              </w:rPr>
              <w:t xml:space="preserve">, lai dotu laiku veikt izmaiņas dzīvojamo māju remontdarbu plānos. Ja Noteikumi tiek pieņemti pēc 2020. gada 1. augusta – </w:t>
            </w:r>
            <w:r w:rsidRPr="00712FE5">
              <w:rPr>
                <w:b/>
                <w:sz w:val="24"/>
                <w:szCs w:val="24"/>
              </w:rPr>
              <w:t>no 2024. gada 1. janvāra</w:t>
            </w:r>
            <w:r w:rsidRPr="00712FE5">
              <w:rPr>
                <w:sz w:val="24"/>
                <w:szCs w:val="24"/>
              </w:rPr>
              <w:t xml:space="preserve">, tā kā nepieciešams veikt nākošā gada apsaimniekošanas izdevumu aprēķinu līdz 15. oktobrim. </w:t>
            </w:r>
          </w:p>
          <w:p w14:paraId="4542F301" w14:textId="77777777" w:rsidR="00B770EA" w:rsidRPr="00712FE5" w:rsidRDefault="00B770EA" w:rsidP="00B770EA">
            <w:pPr>
              <w:pStyle w:val="CommentText"/>
              <w:rPr>
                <w:sz w:val="24"/>
                <w:szCs w:val="24"/>
              </w:rPr>
            </w:pPr>
            <w:r w:rsidRPr="00712FE5">
              <w:rPr>
                <w:sz w:val="24"/>
                <w:szCs w:val="24"/>
              </w:rPr>
              <w:lastRenderedPageBreak/>
              <w:t xml:space="preserve">Dzīvojamās mājas, kas tiek pārvaldītas uz līguma pamata: </w:t>
            </w:r>
          </w:p>
          <w:p w14:paraId="3471379E" w14:textId="77777777" w:rsidR="00B770EA" w:rsidRPr="00712FE5" w:rsidRDefault="00B770EA" w:rsidP="00B770EA">
            <w:pPr>
              <w:pStyle w:val="CommentText"/>
              <w:rPr>
                <w:sz w:val="24"/>
                <w:szCs w:val="24"/>
              </w:rPr>
            </w:pPr>
            <w:r w:rsidRPr="00712FE5">
              <w:rPr>
                <w:sz w:val="24"/>
                <w:szCs w:val="24"/>
              </w:rPr>
              <w:t xml:space="preserve">Atbilstoši Dzīvokļa īpašuma likuma 13. pantam, dzīvokļu īpašnieku kopība pieņem lēmumu par obligāti veicamo dzīvojamās mājas pārvaldīšanas darbību finansēšanu. Līdz ar to noteikumu spēkā stāšanās termiņā nebūs iespējams veikt visus nepieciešamos pasākumus dzīvokļu īpašnieku kopību lēmumu pieņemšanai.   </w:t>
            </w:r>
          </w:p>
        </w:tc>
        <w:tc>
          <w:tcPr>
            <w:tcW w:w="3119" w:type="dxa"/>
            <w:gridSpan w:val="2"/>
            <w:tcBorders>
              <w:left w:val="single" w:sz="6" w:space="0" w:color="000000"/>
              <w:bottom w:val="single" w:sz="4" w:space="0" w:color="auto"/>
              <w:right w:val="single" w:sz="6" w:space="0" w:color="000000"/>
            </w:tcBorders>
          </w:tcPr>
          <w:p w14:paraId="766F8276" w14:textId="77777777" w:rsidR="00B770EA" w:rsidRPr="00712FE5" w:rsidRDefault="00B770EA" w:rsidP="00B770EA">
            <w:pPr>
              <w:pStyle w:val="naisc"/>
              <w:spacing w:before="0" w:after="0"/>
              <w:rPr>
                <w:b/>
                <w:bCs/>
              </w:rPr>
            </w:pPr>
            <w:r w:rsidRPr="00712FE5">
              <w:rPr>
                <w:b/>
                <w:bCs/>
              </w:rPr>
              <w:lastRenderedPageBreak/>
              <w:t>Neuztur iebildumu.</w:t>
            </w:r>
          </w:p>
          <w:p w14:paraId="2EECCF72" w14:textId="77777777" w:rsidR="00B770EA" w:rsidRPr="00712FE5" w:rsidRDefault="00B770EA" w:rsidP="00B770EA">
            <w:pPr>
              <w:pStyle w:val="naisc"/>
              <w:spacing w:before="0" w:after="0"/>
              <w:jc w:val="both"/>
              <w:rPr>
                <w:b/>
                <w:bCs/>
              </w:rPr>
            </w:pPr>
            <w:r w:rsidRPr="00712FE5">
              <w:t xml:space="preserve">Saskaņā ar </w:t>
            </w:r>
            <w:r w:rsidRPr="00712FE5">
              <w:rPr>
                <w:bCs/>
              </w:rPr>
              <w:t>Direktīvas (ES) 2018/2002 2. panta 1. punkta pirmo un otro rindkopu d</w:t>
            </w:r>
            <w:r w:rsidRPr="00712FE5">
              <w:t>alībvalstīs stājas spēkā normatīvie un administratīvie akti, kas vajadzīgi, lai izpildītu šīs direktīvas prasības līdz 2020. gada 25. jūnijam. Tomēr dalībvalstīs stājas spēkā normatīvie un administratīvie akti, kas vajadzīgi, lai izpildītu 1. panta 5. līdz 10. punktu (tajā skaitā par patērētās siltumenerģijas uzskaiti) un pielikuma 3. un 4. punktu līdz 2020. gada 25. oktobrim.</w:t>
            </w:r>
          </w:p>
        </w:tc>
        <w:tc>
          <w:tcPr>
            <w:tcW w:w="3118" w:type="dxa"/>
            <w:tcBorders>
              <w:top w:val="single" w:sz="4" w:space="0" w:color="auto"/>
              <w:left w:val="single" w:sz="4" w:space="0" w:color="auto"/>
              <w:bottom w:val="single" w:sz="4" w:space="0" w:color="auto"/>
            </w:tcBorders>
          </w:tcPr>
          <w:p w14:paraId="0EAE51A5" w14:textId="77777777" w:rsidR="00B770EA" w:rsidRPr="00712FE5" w:rsidRDefault="00B770EA" w:rsidP="00B770EA">
            <w:r w:rsidRPr="00712FE5">
              <w:t>1</w:t>
            </w:r>
            <w:r>
              <w:t>3</w:t>
            </w:r>
            <w:r w:rsidRPr="00712FE5">
              <w:t>. punkts:</w:t>
            </w:r>
          </w:p>
          <w:p w14:paraId="02493F46" w14:textId="507EDA0B" w:rsidR="00B770EA" w:rsidRPr="00712FE5" w:rsidRDefault="00B770EA" w:rsidP="00B770EA">
            <w:r>
              <w:t>“</w:t>
            </w:r>
            <w:r w:rsidRPr="00A27BE0">
              <w:t>13. Šo noteikumu 5., 6., 7., 8., 9., 10. un 11. punkts stājas spēkā 2021. gada 1. janvārī.</w:t>
            </w:r>
            <w:r>
              <w:t>”</w:t>
            </w:r>
          </w:p>
        </w:tc>
      </w:tr>
      <w:tr w:rsidR="00B770EA" w:rsidRPr="00712FE5" w14:paraId="16BF6075" w14:textId="77777777" w:rsidTr="00F10DF3">
        <w:tc>
          <w:tcPr>
            <w:tcW w:w="708" w:type="dxa"/>
            <w:tcBorders>
              <w:left w:val="single" w:sz="6" w:space="0" w:color="000000"/>
              <w:bottom w:val="single" w:sz="4" w:space="0" w:color="auto"/>
              <w:right w:val="single" w:sz="6" w:space="0" w:color="000000"/>
            </w:tcBorders>
          </w:tcPr>
          <w:p w14:paraId="45316C67" w14:textId="253DBEAD" w:rsidR="00B770EA" w:rsidRPr="00712FE5" w:rsidRDefault="00B770EA" w:rsidP="00B770EA">
            <w:pPr>
              <w:pStyle w:val="naisc"/>
              <w:spacing w:before="0" w:after="0"/>
            </w:pPr>
            <w:r w:rsidRPr="00712FE5">
              <w:t>2</w:t>
            </w:r>
            <w:r>
              <w:t>4</w:t>
            </w:r>
            <w:r w:rsidRPr="00712FE5">
              <w:t>.</w:t>
            </w:r>
          </w:p>
        </w:tc>
        <w:tc>
          <w:tcPr>
            <w:tcW w:w="3086" w:type="dxa"/>
            <w:gridSpan w:val="2"/>
            <w:tcBorders>
              <w:left w:val="single" w:sz="6" w:space="0" w:color="000000"/>
              <w:bottom w:val="single" w:sz="4" w:space="0" w:color="auto"/>
              <w:right w:val="single" w:sz="6" w:space="0" w:color="000000"/>
            </w:tcBorders>
          </w:tcPr>
          <w:p w14:paraId="14187F0A" w14:textId="77777777" w:rsidR="00B770EA" w:rsidRPr="00712FE5" w:rsidRDefault="00B770EA" w:rsidP="00B770EA">
            <w:pPr>
              <w:pStyle w:val="naisc"/>
              <w:spacing w:before="0" w:after="0"/>
              <w:jc w:val="both"/>
            </w:pPr>
            <w:r w:rsidRPr="00712FE5">
              <w:t>16. un 17. punkts:</w:t>
            </w:r>
          </w:p>
          <w:p w14:paraId="0ACE7163" w14:textId="77777777" w:rsidR="00B770EA" w:rsidRPr="00712FE5" w:rsidRDefault="00B770EA" w:rsidP="00B770EA">
            <w:pPr>
              <w:pStyle w:val="naisc"/>
              <w:spacing w:before="0" w:after="0"/>
              <w:jc w:val="both"/>
            </w:pPr>
            <w:r w:rsidRPr="00712FE5">
              <w:t>“</w:t>
            </w:r>
            <w:r w:rsidRPr="00712FE5">
              <w:rPr>
                <w:rStyle w:val="normaltextrun"/>
              </w:rPr>
              <w:t>16. Šo noteikumu 5., 6., 10., 11., 12., 13. un 14. punkts stājas spēkā 2021. gada 1. janvārī.</w:t>
            </w:r>
          </w:p>
          <w:p w14:paraId="2CE092C5" w14:textId="77777777" w:rsidR="00B770EA" w:rsidRPr="00712FE5" w:rsidRDefault="00B770EA" w:rsidP="00B770EA">
            <w:pPr>
              <w:pStyle w:val="naisc"/>
              <w:spacing w:before="0" w:after="0"/>
              <w:jc w:val="both"/>
            </w:pPr>
            <w:r w:rsidRPr="00712FE5">
              <w:rPr>
                <w:rFonts w:eastAsia="Arial Unicode MS"/>
                <w:shd w:val="clear" w:color="auto" w:fill="FFFFFF"/>
              </w:rPr>
              <w:t>17. </w:t>
            </w:r>
            <w:r w:rsidRPr="00712FE5">
              <w:rPr>
                <w:rStyle w:val="eop"/>
              </w:rPr>
              <w:t xml:space="preserve">Individuāliem siltuma maksas sadalītājiem un individuāliem siltumenerģijas patēriņa skaitītājiem, kas uzstādīti pirms 2021. gada 1. janvāra un nav attālināti nolasāmi, līdz 2027. gada 1. janvārim nodrošina </w:t>
            </w:r>
            <w:r w:rsidRPr="00712FE5">
              <w:rPr>
                <w:rFonts w:eastAsia="Arial Unicode MS"/>
                <w:shd w:val="clear" w:color="auto" w:fill="FFFFFF"/>
              </w:rPr>
              <w:t xml:space="preserve">attālinātu </w:t>
            </w:r>
            <w:proofErr w:type="spellStart"/>
            <w:r w:rsidRPr="00712FE5">
              <w:rPr>
                <w:rFonts w:eastAsia="Arial Unicode MS"/>
                <w:shd w:val="clear" w:color="auto" w:fill="FFFFFF"/>
              </w:rPr>
              <w:t>nolasāmību</w:t>
            </w:r>
            <w:proofErr w:type="spellEnd"/>
            <w:r w:rsidRPr="00712FE5">
              <w:rPr>
                <w:rFonts w:eastAsia="Arial Unicode MS"/>
                <w:shd w:val="clear" w:color="auto" w:fill="FFFFFF"/>
              </w:rPr>
              <w:t xml:space="preserve"> vai aizstāj tos ar attālināti nolasāmiem i</w:t>
            </w:r>
            <w:r w:rsidRPr="00712FE5">
              <w:rPr>
                <w:rStyle w:val="eop"/>
              </w:rPr>
              <w:t>ndividuāliem siltuma maksas sadalītājiem vai individuāliem siltumenerģijas patēriņa skaitītājiem.</w:t>
            </w:r>
            <w:r w:rsidRPr="00712FE5">
              <w:t>”</w:t>
            </w:r>
          </w:p>
        </w:tc>
        <w:tc>
          <w:tcPr>
            <w:tcW w:w="4394" w:type="dxa"/>
            <w:tcBorders>
              <w:left w:val="single" w:sz="6" w:space="0" w:color="000000"/>
              <w:bottom w:val="single" w:sz="4" w:space="0" w:color="auto"/>
              <w:right w:val="single" w:sz="6" w:space="0" w:color="000000"/>
            </w:tcBorders>
          </w:tcPr>
          <w:p w14:paraId="3E6B650F" w14:textId="77777777" w:rsidR="00B770EA" w:rsidRPr="00712FE5" w:rsidRDefault="00B770EA" w:rsidP="00B770EA">
            <w:pPr>
              <w:pStyle w:val="naisc"/>
              <w:spacing w:before="0" w:after="0"/>
              <w:jc w:val="both"/>
              <w:rPr>
                <w:b/>
                <w:bCs/>
              </w:rPr>
            </w:pPr>
            <w:r w:rsidRPr="00712FE5">
              <w:rPr>
                <w:b/>
                <w:bCs/>
              </w:rPr>
              <w:t>Tieslietu ministrija</w:t>
            </w:r>
          </w:p>
          <w:p w14:paraId="3910D3F4" w14:textId="77777777" w:rsidR="00B770EA" w:rsidRPr="00712FE5" w:rsidRDefault="00B770EA" w:rsidP="00B770EA">
            <w:pPr>
              <w:pStyle w:val="naisc"/>
              <w:spacing w:before="0" w:after="0"/>
              <w:jc w:val="both"/>
            </w:pPr>
            <w:r w:rsidRPr="00712FE5">
              <w:t xml:space="preserve">Vēršam uzmanību, ka atbilstoši </w:t>
            </w:r>
            <w:bookmarkStart w:id="3" w:name="_Hlk33112547"/>
            <w:r w:rsidRPr="00712FE5">
              <w:t>noteikumu Nr. 108</w:t>
            </w:r>
            <w:bookmarkEnd w:id="3"/>
            <w:r w:rsidRPr="00712FE5">
              <w:t xml:space="preserve"> 115. punktam pārejas kārtību no pastāvošā tiesiskā regulējuma uz jauno tiesisko regulējumu nosaka noslēguma jautājumos. Tātad noslēguma jautājumu punktos ietver </w:t>
            </w:r>
            <w:proofErr w:type="spellStart"/>
            <w:r w:rsidRPr="00712FE5">
              <w:t>palīgnormas</w:t>
            </w:r>
            <w:proofErr w:type="spellEnd"/>
            <w:r w:rsidRPr="00712FE5">
              <w:t>, lai nodrošinātu pāreju uz jauno tiesisko regulējumu. Ievērojot minēto, lūdzam izvērtēt un nepieciešamības gadījumā precizēt noteikumu projekta 16. punktu un 17. punktu, jo minētās normas pēc būtības noteic attiecīgi citu noteikumu projekta normu spēkā stāšanās laiku un piemērošanas kārtību.</w:t>
            </w:r>
          </w:p>
          <w:p w14:paraId="55A019DF" w14:textId="77777777" w:rsidR="00B770EA" w:rsidRPr="00712FE5" w:rsidRDefault="00B770EA" w:rsidP="00B770EA">
            <w:pPr>
              <w:pStyle w:val="naisc"/>
              <w:spacing w:before="0" w:after="0"/>
              <w:jc w:val="both"/>
            </w:pPr>
          </w:p>
        </w:tc>
        <w:tc>
          <w:tcPr>
            <w:tcW w:w="3119" w:type="dxa"/>
            <w:gridSpan w:val="2"/>
            <w:tcBorders>
              <w:left w:val="single" w:sz="6" w:space="0" w:color="000000"/>
              <w:bottom w:val="single" w:sz="4" w:space="0" w:color="auto"/>
              <w:right w:val="single" w:sz="6" w:space="0" w:color="000000"/>
            </w:tcBorders>
          </w:tcPr>
          <w:p w14:paraId="7A0D5EDE" w14:textId="77777777" w:rsidR="00B770EA" w:rsidRPr="00712FE5" w:rsidRDefault="00B770EA" w:rsidP="00B770EA">
            <w:pPr>
              <w:pStyle w:val="naisc"/>
              <w:spacing w:before="0" w:after="0"/>
              <w:rPr>
                <w:b/>
                <w:bCs/>
              </w:rPr>
            </w:pPr>
            <w:r w:rsidRPr="00712FE5">
              <w:rPr>
                <w:b/>
                <w:bCs/>
              </w:rPr>
              <w:t>Panākta vienošanās.</w:t>
            </w:r>
          </w:p>
          <w:p w14:paraId="6DFD6933" w14:textId="77777777" w:rsidR="00B770EA" w:rsidRPr="00712FE5" w:rsidRDefault="00B770EA" w:rsidP="00B770EA">
            <w:pPr>
              <w:pStyle w:val="naisc"/>
              <w:spacing w:before="0" w:after="0"/>
              <w:jc w:val="both"/>
            </w:pPr>
            <w:r w:rsidRPr="00712FE5">
              <w:t>Noteikumu projekta normas noformētas atbilstoši Ministru kabineta 2009. gada 15. decembra noteikumu Nr. 108 ”Normatīvo aktu projektu sagatavošanas noteikumi” 116.punktam.</w:t>
            </w:r>
          </w:p>
          <w:p w14:paraId="2DB9C1CA" w14:textId="77777777" w:rsidR="00B770EA" w:rsidRPr="00712FE5" w:rsidRDefault="00B770EA" w:rsidP="00B770EA">
            <w:pPr>
              <w:pStyle w:val="naisc"/>
              <w:spacing w:before="0" w:after="0"/>
              <w:jc w:val="both"/>
            </w:pPr>
          </w:p>
        </w:tc>
        <w:tc>
          <w:tcPr>
            <w:tcW w:w="3118" w:type="dxa"/>
            <w:tcBorders>
              <w:top w:val="single" w:sz="4" w:space="0" w:color="auto"/>
              <w:left w:val="single" w:sz="4" w:space="0" w:color="auto"/>
              <w:bottom w:val="single" w:sz="4" w:space="0" w:color="auto"/>
            </w:tcBorders>
          </w:tcPr>
          <w:p w14:paraId="4A4C2A63" w14:textId="577D9059" w:rsidR="00B770EA" w:rsidRPr="00712FE5" w:rsidRDefault="00B770EA" w:rsidP="00B770EA">
            <w:r w:rsidRPr="00712FE5">
              <w:t>1</w:t>
            </w:r>
            <w:r>
              <w:t>3</w:t>
            </w:r>
            <w:r w:rsidRPr="00712FE5">
              <w:t>. un 1</w:t>
            </w:r>
            <w:r>
              <w:t>4</w:t>
            </w:r>
            <w:r w:rsidRPr="00712FE5">
              <w:t>. punkts:</w:t>
            </w:r>
          </w:p>
          <w:p w14:paraId="34D6F31F" w14:textId="77777777" w:rsidR="00B770EA" w:rsidRDefault="00B770EA" w:rsidP="00B770EA">
            <w:pPr>
              <w:pStyle w:val="paragraph"/>
              <w:textAlignment w:val="baseline"/>
            </w:pPr>
            <w:r>
              <w:t>“13. Šo noteikumu 5., 6., 7., 8., 9., 10. un 11. punkts stājas spēkā 2021. gada 1. janvārī.</w:t>
            </w:r>
          </w:p>
          <w:p w14:paraId="7A3678A6" w14:textId="01FC2172" w:rsidR="00B770EA" w:rsidRPr="00712FE5" w:rsidRDefault="00B770EA" w:rsidP="00B770EA">
            <w:pPr>
              <w:pStyle w:val="paragraph"/>
              <w:spacing w:before="0" w:beforeAutospacing="0" w:after="0" w:afterAutospacing="0"/>
              <w:jc w:val="both"/>
              <w:textAlignment w:val="baseline"/>
            </w:pPr>
            <w:r>
              <w:t xml:space="preserve">14. Individuāliem siltuma maksas sadalītājiem un individuāliem siltumenerģijas patēriņa skaitītājiem, kas uzstādīti pirms 2021. gada 1. janvāra un nav attālināti nolasāmi, līdz 2027. gada 1. janvārim nodrošina attālinātu </w:t>
            </w:r>
            <w:proofErr w:type="spellStart"/>
            <w:r>
              <w:t>nolasāmību</w:t>
            </w:r>
            <w:proofErr w:type="spellEnd"/>
            <w:r>
              <w:t xml:space="preserve"> vai aizstāj tos ar attālināti nolasāmiem individuāliem siltuma maksas sadalītājiem vai individuāliem siltumenerģijas patēriņa skaitītājiem.”</w:t>
            </w:r>
          </w:p>
        </w:tc>
      </w:tr>
      <w:tr w:rsidR="00B770EA" w:rsidRPr="00712FE5" w14:paraId="6DECA169" w14:textId="77777777" w:rsidTr="00F10DF3">
        <w:tc>
          <w:tcPr>
            <w:tcW w:w="708" w:type="dxa"/>
            <w:tcBorders>
              <w:left w:val="single" w:sz="6" w:space="0" w:color="000000"/>
              <w:bottom w:val="single" w:sz="4" w:space="0" w:color="auto"/>
              <w:right w:val="single" w:sz="6" w:space="0" w:color="000000"/>
            </w:tcBorders>
          </w:tcPr>
          <w:p w14:paraId="46E42E90" w14:textId="4E0271E0" w:rsidR="00B770EA" w:rsidRPr="00712FE5" w:rsidRDefault="00B770EA" w:rsidP="00B770EA">
            <w:pPr>
              <w:pStyle w:val="naisc"/>
              <w:spacing w:before="0" w:after="0"/>
            </w:pPr>
            <w:r w:rsidRPr="00712FE5">
              <w:t>2</w:t>
            </w:r>
            <w:r>
              <w:t>5</w:t>
            </w:r>
            <w:r w:rsidRPr="00712FE5">
              <w:t>.</w:t>
            </w:r>
          </w:p>
        </w:tc>
        <w:tc>
          <w:tcPr>
            <w:tcW w:w="3086" w:type="dxa"/>
            <w:gridSpan w:val="2"/>
            <w:tcBorders>
              <w:left w:val="single" w:sz="6" w:space="0" w:color="000000"/>
              <w:bottom w:val="single" w:sz="4" w:space="0" w:color="auto"/>
              <w:right w:val="single" w:sz="6" w:space="0" w:color="000000"/>
            </w:tcBorders>
          </w:tcPr>
          <w:p w14:paraId="3ADB1DC9" w14:textId="77777777" w:rsidR="00B770EA" w:rsidRPr="00712FE5" w:rsidRDefault="00B770EA" w:rsidP="00B770EA">
            <w:pPr>
              <w:pStyle w:val="naisc"/>
              <w:spacing w:before="0" w:after="0"/>
              <w:jc w:val="both"/>
            </w:pPr>
            <w:r w:rsidRPr="00712FE5">
              <w:t>Noteikumu projekts.</w:t>
            </w:r>
          </w:p>
        </w:tc>
        <w:tc>
          <w:tcPr>
            <w:tcW w:w="4394" w:type="dxa"/>
            <w:tcBorders>
              <w:left w:val="single" w:sz="6" w:space="0" w:color="000000"/>
              <w:bottom w:val="single" w:sz="4" w:space="0" w:color="auto"/>
              <w:right w:val="single" w:sz="6" w:space="0" w:color="000000"/>
            </w:tcBorders>
          </w:tcPr>
          <w:p w14:paraId="031268D6" w14:textId="77777777" w:rsidR="00B770EA" w:rsidRPr="00712FE5" w:rsidRDefault="00B770EA" w:rsidP="00B770EA">
            <w:pPr>
              <w:pStyle w:val="naisc"/>
              <w:spacing w:before="0" w:after="0"/>
              <w:jc w:val="both"/>
              <w:rPr>
                <w:b/>
                <w:bCs/>
              </w:rPr>
            </w:pPr>
            <w:r w:rsidRPr="00712FE5">
              <w:rPr>
                <w:b/>
                <w:bCs/>
              </w:rPr>
              <w:t>Tieslietu ministrija</w:t>
            </w:r>
          </w:p>
          <w:p w14:paraId="744C91C9" w14:textId="77777777" w:rsidR="00B770EA" w:rsidRPr="00712FE5" w:rsidRDefault="00B770EA" w:rsidP="00B770EA">
            <w:r w:rsidRPr="00712FE5">
              <w:t xml:space="preserve">Lūdzam saskaņā ar noteikumu Nr. 108 162.1. apakšpunktu noteikumu projektā </w:t>
            </w:r>
            <w:r w:rsidRPr="00712FE5">
              <w:lastRenderedPageBreak/>
              <w:t>ietvert informatīvas atsauces uz Eiropas Savienības direktīvām, ņemot vērā, ka noteikumu projektā ir iekļautas tiesību normas, kas pārņem Eiropas Savienības direktīvu prasības, tādējādi nodrošinot attiecīgo prasību korektu pārņemšanu.</w:t>
            </w:r>
          </w:p>
        </w:tc>
        <w:tc>
          <w:tcPr>
            <w:tcW w:w="3119" w:type="dxa"/>
            <w:gridSpan w:val="2"/>
            <w:tcBorders>
              <w:left w:val="single" w:sz="6" w:space="0" w:color="000000"/>
              <w:bottom w:val="single" w:sz="4" w:space="0" w:color="auto"/>
              <w:right w:val="single" w:sz="6" w:space="0" w:color="000000"/>
            </w:tcBorders>
          </w:tcPr>
          <w:p w14:paraId="3881C721" w14:textId="77777777" w:rsidR="00B770EA" w:rsidRPr="00712FE5" w:rsidRDefault="00B770EA" w:rsidP="00B770EA">
            <w:pPr>
              <w:pStyle w:val="naisc"/>
              <w:spacing w:before="0" w:after="0"/>
              <w:rPr>
                <w:b/>
                <w:bCs/>
              </w:rPr>
            </w:pPr>
            <w:r w:rsidRPr="00712FE5">
              <w:rPr>
                <w:b/>
                <w:bCs/>
              </w:rPr>
              <w:lastRenderedPageBreak/>
              <w:t>Ņemts vērā.</w:t>
            </w:r>
          </w:p>
        </w:tc>
        <w:tc>
          <w:tcPr>
            <w:tcW w:w="3118" w:type="dxa"/>
            <w:tcBorders>
              <w:top w:val="single" w:sz="4" w:space="0" w:color="auto"/>
              <w:left w:val="single" w:sz="4" w:space="0" w:color="auto"/>
              <w:bottom w:val="single" w:sz="4" w:space="0" w:color="auto"/>
            </w:tcBorders>
          </w:tcPr>
          <w:p w14:paraId="65C1182D" w14:textId="77777777" w:rsidR="00B770EA" w:rsidRPr="00712FE5" w:rsidRDefault="00B770EA" w:rsidP="00B770EA">
            <w:r w:rsidRPr="00712FE5">
              <w:t>Noteikumu projekts papildināts:</w:t>
            </w:r>
          </w:p>
          <w:p w14:paraId="3BC9525C" w14:textId="77777777" w:rsidR="00B770EA" w:rsidRPr="00712FE5" w:rsidRDefault="00B770EA" w:rsidP="00B770EA">
            <w:pPr>
              <w:rPr>
                <w:b/>
                <w:bCs/>
              </w:rPr>
            </w:pPr>
            <w:r w:rsidRPr="00712FE5">
              <w:lastRenderedPageBreak/>
              <w:t>“</w:t>
            </w:r>
            <w:r w:rsidRPr="00712FE5">
              <w:rPr>
                <w:b/>
                <w:bCs/>
              </w:rPr>
              <w:t>Informatīva atsauce uz Eiropas Savienības direktīvām</w:t>
            </w:r>
            <w:bookmarkStart w:id="4" w:name="es-726214"/>
            <w:bookmarkStart w:id="5" w:name="p213"/>
            <w:bookmarkStart w:id="6" w:name="p-726215"/>
            <w:bookmarkEnd w:id="4"/>
            <w:bookmarkEnd w:id="5"/>
            <w:bookmarkEnd w:id="6"/>
          </w:p>
          <w:p w14:paraId="35696F5C" w14:textId="77777777" w:rsidR="00B770EA" w:rsidRPr="00712FE5" w:rsidRDefault="00B770EA" w:rsidP="00B770EA">
            <w:r w:rsidRPr="00712FE5">
              <w:t>Noteikumos iekļautas tiesību normas, kas izriet no:</w:t>
            </w:r>
          </w:p>
          <w:p w14:paraId="28E1F164" w14:textId="77777777" w:rsidR="00B770EA" w:rsidRPr="00712FE5" w:rsidRDefault="00B770EA" w:rsidP="00B770EA">
            <w:r w:rsidRPr="00712FE5">
              <w:t xml:space="preserve">1) Eiropas Parlamenta un Padomes 2010. gada 19. maija </w:t>
            </w:r>
            <w:r w:rsidRPr="00712FE5">
              <w:rPr>
                <w:rFonts w:eastAsia="Calibri"/>
                <w:bCs/>
              </w:rPr>
              <w:t xml:space="preserve">Direktīvas 2010/31/ES </w:t>
            </w:r>
            <w:r w:rsidRPr="00712FE5">
              <w:t>par ēku energoefektivitāti;</w:t>
            </w:r>
          </w:p>
          <w:p w14:paraId="7EF6626A" w14:textId="77777777" w:rsidR="00B770EA" w:rsidRPr="00712FE5" w:rsidRDefault="00B770EA" w:rsidP="00B770EA">
            <w:r w:rsidRPr="00712FE5">
              <w:t>2) Eiropas Parlamenta un Padomes 2012. gada 25. oktobra Direktīvas 2012/27/ES par energoefektivitāti, ar ko groza Direktīvas 2009/125/EK un 2010/30/ES un atceļ Direktīvas 2004/8/EK un 2006/32/EK;</w:t>
            </w:r>
          </w:p>
          <w:p w14:paraId="4D2A7B96" w14:textId="77777777" w:rsidR="00B770EA" w:rsidRPr="00712FE5" w:rsidRDefault="00B770EA" w:rsidP="00B770EA">
            <w:r w:rsidRPr="00712FE5">
              <w:t xml:space="preserve">3) Eiropas Parlamenta un Padomes 2018. gada 30. maija </w:t>
            </w:r>
            <w:r w:rsidRPr="00712FE5">
              <w:rPr>
                <w:rFonts w:eastAsia="Calibri"/>
                <w:bCs/>
              </w:rPr>
              <w:t>Direktīvas (ES) 2018/844,</w:t>
            </w:r>
            <w:r w:rsidRPr="00712FE5">
              <w:t xml:space="preserve"> ar ko groza Direktīvu 2010/31/ES par ēku energoefektivitāti un Direktīvu 2012/27/ES par energoefektivitāti;</w:t>
            </w:r>
          </w:p>
          <w:p w14:paraId="71D405BA" w14:textId="77777777" w:rsidR="00B770EA" w:rsidRPr="00712FE5" w:rsidRDefault="00B770EA" w:rsidP="00B770EA">
            <w:r w:rsidRPr="00712FE5">
              <w:t xml:space="preserve">4) Eiropas Parlamenta un Padomes 2018. gada 11. decembra </w:t>
            </w:r>
            <w:r w:rsidRPr="00712FE5">
              <w:rPr>
                <w:rFonts w:eastAsia="Calibri"/>
                <w:bCs/>
              </w:rPr>
              <w:t>Direktīvas (ES) 2018/2002,</w:t>
            </w:r>
            <w:r w:rsidRPr="00712FE5">
              <w:t xml:space="preserve"> ar ko groza Direktīvu 2012/27/ES par energoefektivitāti.”</w:t>
            </w:r>
          </w:p>
        </w:tc>
      </w:tr>
      <w:tr w:rsidR="00B770EA" w:rsidRPr="00712FE5" w14:paraId="1CF306FC" w14:textId="77777777" w:rsidTr="00F10DF3">
        <w:tc>
          <w:tcPr>
            <w:tcW w:w="708" w:type="dxa"/>
            <w:tcBorders>
              <w:left w:val="single" w:sz="6" w:space="0" w:color="000000"/>
              <w:bottom w:val="single" w:sz="4" w:space="0" w:color="auto"/>
              <w:right w:val="single" w:sz="6" w:space="0" w:color="000000"/>
            </w:tcBorders>
          </w:tcPr>
          <w:p w14:paraId="29F92844" w14:textId="3E3C6459" w:rsidR="00B770EA" w:rsidRPr="00712FE5" w:rsidRDefault="00B770EA" w:rsidP="00B770EA">
            <w:pPr>
              <w:pStyle w:val="naisc"/>
              <w:spacing w:before="0" w:after="0"/>
            </w:pPr>
            <w:r w:rsidRPr="00712FE5">
              <w:lastRenderedPageBreak/>
              <w:t>2</w:t>
            </w:r>
            <w:r>
              <w:t>6</w:t>
            </w:r>
            <w:r w:rsidRPr="00712FE5">
              <w:t>.</w:t>
            </w:r>
          </w:p>
        </w:tc>
        <w:tc>
          <w:tcPr>
            <w:tcW w:w="3086" w:type="dxa"/>
            <w:gridSpan w:val="2"/>
            <w:tcBorders>
              <w:left w:val="single" w:sz="6" w:space="0" w:color="000000"/>
              <w:bottom w:val="single" w:sz="4" w:space="0" w:color="auto"/>
              <w:right w:val="single" w:sz="6" w:space="0" w:color="000000"/>
            </w:tcBorders>
          </w:tcPr>
          <w:p w14:paraId="568A7A90" w14:textId="77777777" w:rsidR="00B770EA" w:rsidRPr="00712FE5" w:rsidRDefault="00B770EA" w:rsidP="00B770EA">
            <w:pPr>
              <w:pStyle w:val="naisc"/>
              <w:spacing w:before="0" w:after="0"/>
              <w:jc w:val="both"/>
            </w:pPr>
            <w:r w:rsidRPr="00712FE5">
              <w:t>1. pielikuma 1. punkts:</w:t>
            </w:r>
          </w:p>
          <w:p w14:paraId="198CD98E" w14:textId="77777777" w:rsidR="00B770EA" w:rsidRPr="00712FE5" w:rsidRDefault="00B770EA" w:rsidP="00B770EA">
            <w:pPr>
              <w:pStyle w:val="ListParagraph"/>
              <w:tabs>
                <w:tab w:val="left" w:pos="3123"/>
              </w:tabs>
              <w:spacing w:after="0" w:line="240" w:lineRule="auto"/>
              <w:ind w:left="0"/>
              <w:rPr>
                <w:rFonts w:ascii="Times New Roman" w:hAnsi="Times New Roman"/>
                <w:sz w:val="24"/>
                <w:szCs w:val="24"/>
                <w:lang w:eastAsia="lv-LV"/>
              </w:rPr>
            </w:pPr>
            <w:r w:rsidRPr="00712FE5">
              <w:rPr>
                <w:rFonts w:ascii="Times New Roman" w:hAnsi="Times New Roman"/>
                <w:sz w:val="24"/>
                <w:szCs w:val="24"/>
              </w:rPr>
              <w:t>”1. Kopējās siltuma maksas sadalītāju un to darbībai nepieciešamo iekārtu uzstādīšanas izmaksas aprēķina, izmantojot šādu formulu:</w:t>
            </w:r>
          </w:p>
          <w:p w14:paraId="4B82DDFF" w14:textId="265198FB" w:rsidR="00B770EA" w:rsidRPr="00712FE5" w:rsidRDefault="00F56801" w:rsidP="00B770EA">
            <w:pPr>
              <w:pStyle w:val="ListParagraph"/>
              <w:tabs>
                <w:tab w:val="left" w:pos="3123"/>
              </w:tabs>
              <w:spacing w:after="0" w:line="240" w:lineRule="auto"/>
              <w:ind w:left="0"/>
              <w:rPr>
                <w:rFonts w:ascii="Times New Roman" w:hAnsi="Times New Roman"/>
                <w:sz w:val="24"/>
                <w:szCs w:val="24"/>
                <w:lang w:eastAsia="lv-LV"/>
              </w:rPr>
            </w:pPr>
            <m:oMathPara>
              <m:oMath>
                <m:sSub>
                  <m:sSubPr>
                    <m:ctrlPr>
                      <w:rPr>
                        <w:rFonts w:ascii="Cambria Math" w:hAnsi="Cambria Math"/>
                        <w:i/>
                      </w:rPr>
                    </m:ctrlPr>
                  </m:sSubPr>
                  <m:e>
                    <m:r>
                      <w:rPr>
                        <w:rFonts w:ascii="Cambria Math" w:hAnsi="Cambria Math"/>
                      </w:rPr>
                      <m:t>I</m:t>
                    </m:r>
                  </m:e>
                  <m:sub>
                    <m:r>
                      <w:rPr>
                        <w:rFonts w:ascii="Cambria Math" w:hAnsi="Cambria Math"/>
                      </w:rPr>
                      <m:t>kop.uzst.</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al.uzst.</m:t>
                        </m:r>
                      </m:sub>
                    </m:sSub>
                    <m:r>
                      <w:rPr>
                        <w:rFonts w:ascii="Cambria Math" w:hAnsi="Cambria Math"/>
                      </w:rPr>
                      <m:t>×N</m:t>
                    </m:r>
                  </m:e>
                </m:d>
                <m:r>
                  <w:rPr>
                    <w:rFonts w:ascii="Cambria Math" w:hAnsi="Cambria Math"/>
                  </w:rPr>
                  <m:t>+</m:t>
                </m:r>
              </m:oMath>
            </m:oMathPara>
          </w:p>
          <w:p w14:paraId="768B6F6D" w14:textId="37C4C26D" w:rsidR="00B770EA" w:rsidRPr="00712FE5" w:rsidRDefault="00F56801" w:rsidP="00B770EA">
            <w:pPr>
              <w:pStyle w:val="ListParagraph"/>
              <w:tabs>
                <w:tab w:val="left" w:pos="3123"/>
              </w:tabs>
              <w:spacing w:after="0" w:line="240" w:lineRule="auto"/>
              <w:ind w:left="0"/>
              <w:jc w:val="left"/>
              <w:rPr>
                <w:rFonts w:ascii="Times New Roman" w:hAnsi="Times New Roman"/>
                <w:sz w:val="24"/>
                <w:szCs w:val="24"/>
              </w:rPr>
            </w:pPr>
            <m:oMath>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pap.reg.</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pap.rad.</m:t>
                          </m:r>
                        </m:sub>
                      </m:sSub>
                    </m:e>
                  </m:d>
                  <m:r>
                    <w:rPr>
                      <w:rFonts w:ascii="Cambria Math" w:hAnsi="Cambria Math"/>
                    </w:rPr>
                    <m:t>×N</m:t>
                  </m:r>
                </m:e>
              </m:d>
            </m:oMath>
            <w:r w:rsidR="00B770EA" w:rsidRPr="00712FE5">
              <w:rPr>
                <w:rFonts w:ascii="Times New Roman" w:hAnsi="Times New Roman"/>
                <w:sz w:val="24"/>
                <w:szCs w:val="24"/>
              </w:rPr>
              <w:fldChar w:fldCharType="begin"/>
            </w:r>
            <w:r w:rsidR="00B770EA" w:rsidRPr="00712FE5">
              <w:rPr>
                <w:rFonts w:ascii="Times New Roman" w:hAnsi="Times New Roman"/>
                <w:sz w:val="24"/>
                <w:szCs w:val="24"/>
              </w:rPr>
              <w:instrText xml:space="preserve"> QUOTE </w:instrText>
            </w:r>
            <m:oMath>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kop.uzst.</m:t>
                  </m:r>
                </m:sub>
              </m:sSub>
              <m:r>
                <m:rPr>
                  <m:sty m:val="p"/>
                </m:rPr>
                <w:rPr>
                  <w:rFonts w:ascii="Cambria Math" w:hAnsi="Cambria Math"/>
                </w:rPr>
                <m:t>=</m:t>
              </m:r>
              <m:d>
                <m:dPr>
                  <m:ctrlPr>
                    <w:rPr>
                      <w:rFonts w:ascii="Cambria Math" w:hAnsi="Cambria Math"/>
                      <w:i/>
                    </w:rPr>
                  </m:ctrlPr>
                </m:dPr>
                <m:e>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al.uzst.</m:t>
                      </m:r>
                    </m:sub>
                  </m:sSub>
                  <m:r>
                    <m:rPr>
                      <m:sty m:val="p"/>
                    </m:rPr>
                    <w:rPr>
                      <w:rFonts w:ascii="Cambria Math" w:hAnsi="Cambria Math"/>
                    </w:rPr>
                    <m:t>×N</m:t>
                  </m:r>
                </m:e>
              </m:d>
              <m:r>
                <m:rPr>
                  <m:sty m:val="p"/>
                </m:rPr>
                <w:rPr>
                  <w:rFonts w:ascii="Cambria Math" w:hAnsi="Cambria Math"/>
                </w:rPr>
                <m:t>+</m:t>
              </m:r>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pap.reg.</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pap.rad.</m:t>
                          </m:r>
                        </m:sub>
                      </m:sSub>
                    </m:e>
                  </m:d>
                  <m:r>
                    <m:rPr>
                      <m:sty m:val="p"/>
                    </m:rPr>
                    <w:rPr>
                      <w:rFonts w:ascii="Cambria Math" w:hAnsi="Cambria Math"/>
                    </w:rPr>
                    <m:t>×N</m:t>
                  </m:r>
                </m:e>
              </m:d>
            </m:oMath>
            <w:r w:rsidR="00B770EA" w:rsidRPr="00712FE5">
              <w:rPr>
                <w:rFonts w:ascii="Times New Roman" w:hAnsi="Times New Roman"/>
                <w:sz w:val="24"/>
                <w:szCs w:val="24"/>
              </w:rPr>
              <w:instrText xml:space="preserve"> </w:instrText>
            </w:r>
            <w:r w:rsidR="00B770EA" w:rsidRPr="00712FE5">
              <w:rPr>
                <w:rFonts w:ascii="Times New Roman" w:hAnsi="Times New Roman"/>
                <w:sz w:val="24"/>
                <w:szCs w:val="24"/>
              </w:rPr>
              <w:fldChar w:fldCharType="end"/>
            </w:r>
          </w:p>
          <w:p w14:paraId="5E3EA919" w14:textId="77777777" w:rsidR="00B770EA" w:rsidRPr="00712FE5" w:rsidRDefault="00B770EA" w:rsidP="00B770EA">
            <w:pPr>
              <w:pStyle w:val="ListParagraph"/>
              <w:tabs>
                <w:tab w:val="left" w:pos="3123"/>
              </w:tabs>
              <w:spacing w:after="0" w:line="240" w:lineRule="auto"/>
              <w:ind w:left="284"/>
              <w:rPr>
                <w:rFonts w:ascii="Times New Roman" w:hAnsi="Times New Roman"/>
                <w:sz w:val="24"/>
                <w:szCs w:val="24"/>
                <w:lang w:eastAsia="lv-LV"/>
              </w:rPr>
            </w:pPr>
            <w:r w:rsidRPr="00712FE5">
              <w:rPr>
                <w:rFonts w:ascii="Times New Roman" w:hAnsi="Times New Roman"/>
                <w:sz w:val="24"/>
                <w:szCs w:val="24"/>
                <w:lang w:eastAsia="lv-LV"/>
              </w:rPr>
              <w:t>kur:</w:t>
            </w:r>
          </w:p>
          <w:p w14:paraId="24EA11B4" w14:textId="77777777" w:rsidR="00B770EA" w:rsidRPr="00712FE5" w:rsidRDefault="00B770EA" w:rsidP="00B770EA">
            <w:pPr>
              <w:tabs>
                <w:tab w:val="left" w:pos="3123"/>
              </w:tabs>
              <w:rPr>
                <w:sz w:val="20"/>
                <w:szCs w:val="20"/>
              </w:rPr>
            </w:pPr>
            <w:proofErr w:type="spellStart"/>
            <w:r w:rsidRPr="00712FE5">
              <w:rPr>
                <w:i/>
                <w:iCs/>
                <w:sz w:val="20"/>
                <w:szCs w:val="20"/>
              </w:rPr>
              <w:t>I</w:t>
            </w:r>
            <w:r w:rsidRPr="00712FE5">
              <w:rPr>
                <w:i/>
                <w:iCs/>
                <w:sz w:val="20"/>
                <w:szCs w:val="20"/>
                <w:vertAlign w:val="subscript"/>
              </w:rPr>
              <w:t>kop.uzst</w:t>
            </w:r>
            <w:proofErr w:type="spellEnd"/>
            <w:r w:rsidRPr="00712FE5">
              <w:rPr>
                <w:i/>
                <w:iCs/>
                <w:sz w:val="20"/>
                <w:szCs w:val="20"/>
                <w:vertAlign w:val="subscript"/>
              </w:rPr>
              <w:t>.</w:t>
            </w:r>
            <w:r w:rsidRPr="00712FE5">
              <w:rPr>
                <w:sz w:val="20"/>
                <w:szCs w:val="20"/>
              </w:rPr>
              <w:t> – kopējās iekārtu uzstādīšanas izmaksas (</w:t>
            </w:r>
            <w:proofErr w:type="spellStart"/>
            <w:r w:rsidRPr="00712FE5">
              <w:rPr>
                <w:i/>
                <w:iCs/>
                <w:sz w:val="20"/>
                <w:szCs w:val="20"/>
              </w:rPr>
              <w:t>euro</w:t>
            </w:r>
            <w:proofErr w:type="spellEnd"/>
            <w:r w:rsidRPr="00712FE5">
              <w:rPr>
                <w:sz w:val="20"/>
                <w:szCs w:val="20"/>
              </w:rPr>
              <w:t>);</w:t>
            </w:r>
          </w:p>
          <w:p w14:paraId="42B5F644" w14:textId="77777777" w:rsidR="00B770EA" w:rsidRPr="00712FE5" w:rsidRDefault="00B770EA" w:rsidP="00B770EA">
            <w:pPr>
              <w:rPr>
                <w:sz w:val="20"/>
                <w:szCs w:val="20"/>
              </w:rPr>
            </w:pPr>
            <w:proofErr w:type="spellStart"/>
            <w:r w:rsidRPr="00712FE5">
              <w:rPr>
                <w:i/>
                <w:iCs/>
                <w:sz w:val="20"/>
                <w:szCs w:val="20"/>
              </w:rPr>
              <w:t>I</w:t>
            </w:r>
            <w:r w:rsidRPr="00712FE5">
              <w:rPr>
                <w:i/>
                <w:iCs/>
                <w:sz w:val="20"/>
                <w:szCs w:val="20"/>
                <w:vertAlign w:val="subscript"/>
              </w:rPr>
              <w:t>al.uzst</w:t>
            </w:r>
            <w:proofErr w:type="spellEnd"/>
            <w:r w:rsidRPr="00712FE5">
              <w:rPr>
                <w:sz w:val="20"/>
                <w:szCs w:val="20"/>
                <w:vertAlign w:val="subscript"/>
              </w:rPr>
              <w:t>. </w:t>
            </w:r>
            <w:r w:rsidRPr="00712FE5">
              <w:rPr>
                <w:sz w:val="20"/>
                <w:szCs w:val="20"/>
              </w:rPr>
              <w:t>– siltuma maksas sadalītāju iekārtas un tās uzstādīšanas izmaksas par vienu sildelementu (</w:t>
            </w:r>
            <w:proofErr w:type="spellStart"/>
            <w:r w:rsidRPr="00712FE5">
              <w:rPr>
                <w:i/>
                <w:iCs/>
                <w:sz w:val="20"/>
                <w:szCs w:val="20"/>
              </w:rPr>
              <w:t>euro</w:t>
            </w:r>
            <w:proofErr w:type="spellEnd"/>
            <w:r w:rsidRPr="00712FE5">
              <w:rPr>
                <w:sz w:val="20"/>
                <w:szCs w:val="20"/>
              </w:rPr>
              <w:t>);</w:t>
            </w:r>
          </w:p>
          <w:p w14:paraId="59B55A4E" w14:textId="77777777" w:rsidR="00B770EA" w:rsidRPr="00712FE5" w:rsidRDefault="00B770EA" w:rsidP="00B770EA">
            <w:pPr>
              <w:tabs>
                <w:tab w:val="left" w:pos="3123"/>
              </w:tabs>
              <w:rPr>
                <w:sz w:val="20"/>
                <w:szCs w:val="20"/>
              </w:rPr>
            </w:pPr>
            <w:r w:rsidRPr="00712FE5">
              <w:rPr>
                <w:i/>
                <w:iCs/>
                <w:sz w:val="20"/>
                <w:szCs w:val="20"/>
              </w:rPr>
              <w:t>I</w:t>
            </w:r>
            <w:r w:rsidRPr="00712FE5">
              <w:rPr>
                <w:i/>
                <w:iCs/>
                <w:sz w:val="20"/>
                <w:szCs w:val="20"/>
                <w:vertAlign w:val="subscript"/>
              </w:rPr>
              <w:t>pap.reg.</w:t>
            </w:r>
            <w:r w:rsidRPr="00712FE5">
              <w:rPr>
                <w:sz w:val="20"/>
                <w:szCs w:val="20"/>
                <w:vertAlign w:val="subscript"/>
              </w:rPr>
              <w:t> </w:t>
            </w:r>
            <w:r w:rsidRPr="00712FE5">
              <w:rPr>
                <w:sz w:val="20"/>
                <w:szCs w:val="20"/>
              </w:rPr>
              <w:t xml:space="preserve">– termoregulatoru un </w:t>
            </w:r>
            <w:proofErr w:type="spellStart"/>
            <w:r w:rsidRPr="00712FE5">
              <w:rPr>
                <w:sz w:val="20"/>
                <w:szCs w:val="20"/>
              </w:rPr>
              <w:t>apvadcauruļu</w:t>
            </w:r>
            <w:proofErr w:type="spellEnd"/>
            <w:r w:rsidRPr="00712FE5">
              <w:rPr>
                <w:sz w:val="20"/>
                <w:szCs w:val="20"/>
              </w:rPr>
              <w:t xml:space="preserve"> uzstādīšanas izmaksas par vienu sildelementu (</w:t>
            </w:r>
            <w:proofErr w:type="spellStart"/>
            <w:r w:rsidRPr="00712FE5">
              <w:rPr>
                <w:i/>
                <w:iCs/>
                <w:sz w:val="20"/>
                <w:szCs w:val="20"/>
              </w:rPr>
              <w:t>euro</w:t>
            </w:r>
            <w:proofErr w:type="spellEnd"/>
            <w:r w:rsidRPr="00712FE5">
              <w:rPr>
                <w:sz w:val="20"/>
                <w:szCs w:val="20"/>
              </w:rPr>
              <w:t>);</w:t>
            </w:r>
          </w:p>
          <w:p w14:paraId="1D5646BE" w14:textId="77777777" w:rsidR="00B770EA" w:rsidRPr="00712FE5" w:rsidRDefault="00B770EA" w:rsidP="00B770EA">
            <w:pPr>
              <w:rPr>
                <w:sz w:val="20"/>
                <w:szCs w:val="20"/>
              </w:rPr>
            </w:pPr>
            <w:proofErr w:type="spellStart"/>
            <w:r w:rsidRPr="00712FE5">
              <w:rPr>
                <w:i/>
                <w:iCs/>
                <w:sz w:val="20"/>
                <w:szCs w:val="20"/>
              </w:rPr>
              <w:t>I</w:t>
            </w:r>
            <w:r w:rsidRPr="00712FE5">
              <w:rPr>
                <w:i/>
                <w:iCs/>
                <w:sz w:val="20"/>
                <w:szCs w:val="20"/>
                <w:vertAlign w:val="subscript"/>
              </w:rPr>
              <w:t>pap.rad</w:t>
            </w:r>
            <w:proofErr w:type="spellEnd"/>
            <w:r w:rsidRPr="00712FE5">
              <w:rPr>
                <w:sz w:val="20"/>
                <w:szCs w:val="20"/>
                <w:vertAlign w:val="subscript"/>
              </w:rPr>
              <w:t>.</w:t>
            </w:r>
            <w:r w:rsidRPr="00712FE5">
              <w:rPr>
                <w:sz w:val="20"/>
                <w:szCs w:val="20"/>
              </w:rPr>
              <w:t xml:space="preserve"> – viena </w:t>
            </w:r>
            <w:proofErr w:type="spellStart"/>
            <w:r w:rsidRPr="00712FE5">
              <w:rPr>
                <w:sz w:val="20"/>
                <w:szCs w:val="20"/>
              </w:rPr>
              <w:t>sildelementa</w:t>
            </w:r>
            <w:proofErr w:type="spellEnd"/>
            <w:r w:rsidRPr="00712FE5">
              <w:rPr>
                <w:sz w:val="20"/>
                <w:szCs w:val="20"/>
              </w:rPr>
              <w:t xml:space="preserve"> uzstādīšanas izmaksas (</w:t>
            </w:r>
            <w:proofErr w:type="spellStart"/>
            <w:r w:rsidRPr="00712FE5">
              <w:rPr>
                <w:i/>
                <w:iCs/>
                <w:sz w:val="20"/>
                <w:szCs w:val="20"/>
              </w:rPr>
              <w:t>euro</w:t>
            </w:r>
            <w:proofErr w:type="spellEnd"/>
            <w:r w:rsidRPr="00712FE5">
              <w:rPr>
                <w:sz w:val="20"/>
                <w:szCs w:val="20"/>
              </w:rPr>
              <w:t>);</w:t>
            </w:r>
          </w:p>
          <w:p w14:paraId="11E4A9CA" w14:textId="77777777" w:rsidR="00B770EA" w:rsidRPr="00712FE5" w:rsidRDefault="00B770EA" w:rsidP="00B770EA">
            <w:pPr>
              <w:pStyle w:val="naisc"/>
              <w:spacing w:before="0" w:after="0"/>
              <w:jc w:val="both"/>
            </w:pPr>
            <w:r w:rsidRPr="00712FE5">
              <w:rPr>
                <w:i/>
                <w:iCs/>
                <w:sz w:val="20"/>
                <w:szCs w:val="20"/>
              </w:rPr>
              <w:t>N</w:t>
            </w:r>
            <w:r w:rsidRPr="00712FE5">
              <w:rPr>
                <w:sz w:val="20"/>
                <w:szCs w:val="20"/>
              </w:rPr>
              <w:t> – sildelementu skaits ēkā.</w:t>
            </w:r>
            <w:r w:rsidRPr="00712FE5">
              <w:t>”</w:t>
            </w:r>
          </w:p>
          <w:p w14:paraId="0C5257CB" w14:textId="77777777" w:rsidR="00B770EA" w:rsidRPr="00712FE5" w:rsidRDefault="00B770EA" w:rsidP="00B770EA">
            <w:pPr>
              <w:pStyle w:val="naisc"/>
              <w:spacing w:before="0" w:after="0"/>
              <w:jc w:val="both"/>
            </w:pPr>
          </w:p>
        </w:tc>
        <w:tc>
          <w:tcPr>
            <w:tcW w:w="4394" w:type="dxa"/>
            <w:tcBorders>
              <w:left w:val="single" w:sz="6" w:space="0" w:color="000000"/>
              <w:bottom w:val="single" w:sz="4" w:space="0" w:color="auto"/>
              <w:right w:val="single" w:sz="6" w:space="0" w:color="000000"/>
            </w:tcBorders>
          </w:tcPr>
          <w:p w14:paraId="4DFEBD12" w14:textId="77777777" w:rsidR="00B770EA" w:rsidRPr="00712FE5" w:rsidRDefault="00B770EA" w:rsidP="00B770EA">
            <w:pPr>
              <w:pStyle w:val="naisc"/>
              <w:spacing w:before="0" w:after="0"/>
              <w:jc w:val="both"/>
              <w:rPr>
                <w:b/>
                <w:bCs/>
              </w:rPr>
            </w:pPr>
            <w:r w:rsidRPr="00712FE5">
              <w:rPr>
                <w:b/>
                <w:bCs/>
              </w:rPr>
              <w:t>Finanšu ministrija</w:t>
            </w:r>
          </w:p>
          <w:p w14:paraId="40A82977" w14:textId="77777777" w:rsidR="00B770EA" w:rsidRPr="00712FE5" w:rsidRDefault="00B770EA" w:rsidP="00B770EA">
            <w:pPr>
              <w:widowControl w:val="0"/>
              <w:shd w:val="clear" w:color="auto" w:fill="FFFFFF"/>
              <w:suppressAutoHyphens/>
              <w:contextualSpacing/>
            </w:pPr>
            <w:r w:rsidRPr="00712FE5">
              <w:t>Norādām, ka pirms radiatoru aprīkošanas ar siltuma maksas sadales sistēmu, nepieciešams novērtēt apkures sistēmas stāvokli un piemērotību, kā arī nepieciešamības gadījumā jāveic sistēmas rekonstrukcija. Ņemot vērā minēto, lūdzam precizēt 1. pielikuma 1.punktu, izsakot to šādā redakcijā:</w:t>
            </w:r>
          </w:p>
          <w:p w14:paraId="0E4B907A" w14:textId="77777777" w:rsidR="00B770EA" w:rsidRPr="00712FE5" w:rsidRDefault="00B770EA" w:rsidP="00B770EA">
            <w:r w:rsidRPr="00712FE5">
              <w:t xml:space="preserve">“1. Kopējās siltuma maksas sadalītāju un to darbībai nepieciešamo iekārtu uzstādīšanas </w:t>
            </w:r>
            <w:r w:rsidRPr="00712FE5">
              <w:rPr>
                <w:bCs/>
              </w:rPr>
              <w:t>un apkures sistēmas pielāgošanas</w:t>
            </w:r>
            <w:r w:rsidRPr="00712FE5">
              <w:t xml:space="preserve"> izmaksas aprēķina, izmantojot šādu formulu:</w:t>
            </w:r>
          </w:p>
          <w:p w14:paraId="03F24E6C" w14:textId="18E89E2C" w:rsidR="00B770EA" w:rsidRPr="00712FE5" w:rsidRDefault="00F56801" w:rsidP="00B770EA">
            <w:pPr>
              <w:contextualSpacing/>
              <w:jc w:val="center"/>
            </w:pPr>
            <m:oMath>
              <m:sSub>
                <m:sSubPr>
                  <m:ctrlPr>
                    <w:rPr>
                      <w:rFonts w:ascii="Cambria Math" w:hAnsi="Cambria Math" w:cs="Calibri"/>
                      <w:i/>
                      <w:iCs/>
                    </w:rPr>
                  </m:ctrlPr>
                </m:sSubPr>
                <m:e>
                  <m:r>
                    <w:rPr>
                      <w:rFonts w:ascii="Cambria Math" w:hAnsi="Cambria Math" w:cs="Calibri"/>
                    </w:rPr>
                    <m:t>I</m:t>
                  </m:r>
                </m:e>
                <m:sub>
                  <m:r>
                    <w:rPr>
                      <w:rFonts w:ascii="Cambria Math" w:hAnsi="Cambria Math" w:cs="Calibri"/>
                    </w:rPr>
                    <m:t>kop.uzst.</m:t>
                  </m:r>
                </m:sub>
              </m:sSub>
              <m:r>
                <w:rPr>
                  <w:rFonts w:ascii="Cambria Math" w:hAnsi="Cambria Math" w:cs="Calibri"/>
                </w:rPr>
                <m:t>=</m:t>
              </m:r>
              <m:d>
                <m:dPr>
                  <m:ctrlPr>
                    <w:rPr>
                      <w:rFonts w:ascii="Cambria Math" w:hAnsi="Cambria Math" w:cs="Calibri"/>
                      <w:i/>
                      <w:iCs/>
                    </w:rPr>
                  </m:ctrlPr>
                </m:dPr>
                <m:e>
                  <m:sSub>
                    <m:sSubPr>
                      <m:ctrlPr>
                        <w:rPr>
                          <w:rFonts w:ascii="Cambria Math" w:hAnsi="Cambria Math" w:cs="Calibri"/>
                          <w:i/>
                          <w:iCs/>
                        </w:rPr>
                      </m:ctrlPr>
                    </m:sSubPr>
                    <m:e>
                      <m:r>
                        <w:rPr>
                          <w:rFonts w:ascii="Cambria Math" w:hAnsi="Cambria Math" w:cs="Calibri"/>
                        </w:rPr>
                        <m:t>I</m:t>
                      </m:r>
                    </m:e>
                    <m:sub>
                      <m:r>
                        <w:rPr>
                          <w:rFonts w:ascii="Cambria Math" w:hAnsi="Cambria Math" w:cs="Calibri"/>
                        </w:rPr>
                        <m:t>al.uzst.</m:t>
                      </m:r>
                    </m:sub>
                  </m:sSub>
                  <m:r>
                    <w:rPr>
                      <w:rFonts w:ascii="Cambria Math" w:hAnsi="Cambria Math" w:cs="Calibri"/>
                    </w:rPr>
                    <m:t>×N</m:t>
                  </m:r>
                </m:e>
              </m:d>
              <m:r>
                <w:rPr>
                  <w:rFonts w:ascii="Cambria Math" w:hAnsi="Cambria Math" w:cs="Calibri"/>
                </w:rPr>
                <m:t>+</m:t>
              </m:r>
              <m:d>
                <m:dPr>
                  <m:ctrlPr>
                    <w:rPr>
                      <w:rFonts w:ascii="Cambria Math" w:hAnsi="Cambria Math" w:cs="Calibri"/>
                      <w:i/>
                      <w:iCs/>
                    </w:rPr>
                  </m:ctrlPr>
                </m:dPr>
                <m:e>
                  <m:d>
                    <m:dPr>
                      <m:ctrlPr>
                        <w:rPr>
                          <w:rFonts w:ascii="Cambria Math" w:hAnsi="Cambria Math" w:cs="Calibri"/>
                          <w:i/>
                          <w:iCs/>
                        </w:rPr>
                      </m:ctrlPr>
                    </m:dPr>
                    <m:e>
                      <m:sSub>
                        <m:sSubPr>
                          <m:ctrlPr>
                            <w:rPr>
                              <w:rFonts w:ascii="Cambria Math" w:hAnsi="Cambria Math" w:cs="Calibri"/>
                              <w:i/>
                              <w:iCs/>
                            </w:rPr>
                          </m:ctrlPr>
                        </m:sSubPr>
                        <m:e>
                          <m:r>
                            <w:rPr>
                              <w:rFonts w:ascii="Cambria Math" w:hAnsi="Cambria Math" w:cs="Calibri"/>
                            </w:rPr>
                            <m:t>I</m:t>
                          </m:r>
                        </m:e>
                        <m:sub>
                          <m:r>
                            <w:rPr>
                              <w:rFonts w:ascii="Cambria Math" w:hAnsi="Cambria Math" w:cs="Calibri"/>
                            </w:rPr>
                            <m:t>pap.reg.</m:t>
                          </m:r>
                        </m:sub>
                      </m:sSub>
                      <m:r>
                        <w:rPr>
                          <w:rFonts w:ascii="Cambria Math" w:hAnsi="Cambria Math" w:cs="Calibri"/>
                        </w:rPr>
                        <m:t>+</m:t>
                      </m:r>
                      <m:sSub>
                        <m:sSubPr>
                          <m:ctrlPr>
                            <w:rPr>
                              <w:rFonts w:ascii="Cambria Math" w:hAnsi="Cambria Math" w:cs="Calibri"/>
                              <w:i/>
                              <w:iCs/>
                            </w:rPr>
                          </m:ctrlPr>
                        </m:sSubPr>
                        <m:e>
                          <m:r>
                            <w:rPr>
                              <w:rFonts w:ascii="Cambria Math" w:hAnsi="Cambria Math" w:cs="Calibri"/>
                            </w:rPr>
                            <m:t>I</m:t>
                          </m:r>
                        </m:e>
                        <m:sub>
                          <m:r>
                            <w:rPr>
                              <w:rFonts w:ascii="Cambria Math" w:hAnsi="Cambria Math" w:cs="Calibri"/>
                            </w:rPr>
                            <m:t>pap.rad.</m:t>
                          </m:r>
                        </m:sub>
                      </m:sSub>
                    </m:e>
                  </m:d>
                  <m:r>
                    <w:rPr>
                      <w:rFonts w:ascii="Cambria Math" w:hAnsi="Cambria Math" w:cs="Calibri"/>
                    </w:rPr>
                    <m:t>×N</m:t>
                  </m:r>
                </m:e>
              </m:d>
            </m:oMath>
            <w:r w:rsidR="00B770EA" w:rsidRPr="00712FE5">
              <w:t xml:space="preserve"> </w:t>
            </w:r>
            <w:r w:rsidR="00B770EA" w:rsidRPr="00712FE5">
              <w:rPr>
                <w:bCs/>
              </w:rPr>
              <w:t xml:space="preserve">+ </w:t>
            </w:r>
            <w:proofErr w:type="spellStart"/>
            <w:r w:rsidR="00B770EA" w:rsidRPr="00712FE5">
              <w:rPr>
                <w:bCs/>
              </w:rPr>
              <w:t>I</w:t>
            </w:r>
            <w:r w:rsidR="00B770EA" w:rsidRPr="00712FE5">
              <w:rPr>
                <w:bCs/>
                <w:vertAlign w:val="subscript"/>
              </w:rPr>
              <w:t>apk</w:t>
            </w:r>
            <w:proofErr w:type="spellEnd"/>
            <w:r w:rsidR="00B770EA" w:rsidRPr="00712FE5">
              <w:rPr>
                <w:bCs/>
                <w:vertAlign w:val="subscript"/>
              </w:rPr>
              <w:t>.</w:t>
            </w:r>
            <w:r w:rsidR="00B770EA" w:rsidRPr="00712FE5">
              <w:t>,</w:t>
            </w:r>
          </w:p>
          <w:p w14:paraId="01B73E42" w14:textId="77777777" w:rsidR="00B770EA" w:rsidRPr="00712FE5" w:rsidRDefault="00B770EA" w:rsidP="00B770EA">
            <w:pPr>
              <w:ind w:left="284"/>
              <w:contextualSpacing/>
            </w:pPr>
            <w:r w:rsidRPr="00712FE5">
              <w:t>kur:</w:t>
            </w:r>
          </w:p>
          <w:p w14:paraId="6DDC2637" w14:textId="77777777" w:rsidR="00B770EA" w:rsidRPr="00712FE5" w:rsidRDefault="00B770EA" w:rsidP="00B770EA">
            <w:pPr>
              <w:rPr>
                <w:sz w:val="20"/>
              </w:rPr>
            </w:pPr>
            <w:proofErr w:type="spellStart"/>
            <w:r w:rsidRPr="00712FE5">
              <w:rPr>
                <w:i/>
                <w:iCs/>
                <w:sz w:val="20"/>
              </w:rPr>
              <w:t>I</w:t>
            </w:r>
            <w:r w:rsidRPr="00712FE5">
              <w:rPr>
                <w:i/>
                <w:iCs/>
                <w:sz w:val="20"/>
                <w:vertAlign w:val="subscript"/>
              </w:rPr>
              <w:t>kop.uzst</w:t>
            </w:r>
            <w:proofErr w:type="spellEnd"/>
            <w:r w:rsidRPr="00712FE5">
              <w:rPr>
                <w:i/>
                <w:iCs/>
                <w:sz w:val="20"/>
                <w:vertAlign w:val="subscript"/>
              </w:rPr>
              <w:t>.</w:t>
            </w:r>
            <w:r w:rsidRPr="00712FE5">
              <w:rPr>
                <w:sz w:val="20"/>
              </w:rPr>
              <w:t> – kopējās iekārtu uzstādīšanas izmaksas (</w:t>
            </w:r>
            <w:proofErr w:type="spellStart"/>
            <w:r w:rsidRPr="00712FE5">
              <w:rPr>
                <w:i/>
                <w:iCs/>
                <w:sz w:val="20"/>
              </w:rPr>
              <w:t>euro</w:t>
            </w:r>
            <w:proofErr w:type="spellEnd"/>
            <w:r w:rsidRPr="00712FE5">
              <w:rPr>
                <w:sz w:val="20"/>
              </w:rPr>
              <w:t>);</w:t>
            </w:r>
          </w:p>
          <w:p w14:paraId="31B30DAF" w14:textId="77777777" w:rsidR="00B770EA" w:rsidRPr="00712FE5" w:rsidRDefault="00B770EA" w:rsidP="00B770EA">
            <w:pPr>
              <w:rPr>
                <w:sz w:val="20"/>
              </w:rPr>
            </w:pPr>
            <w:proofErr w:type="spellStart"/>
            <w:r w:rsidRPr="00712FE5">
              <w:rPr>
                <w:i/>
                <w:iCs/>
                <w:sz w:val="20"/>
              </w:rPr>
              <w:t>I</w:t>
            </w:r>
            <w:r w:rsidRPr="00712FE5">
              <w:rPr>
                <w:i/>
                <w:iCs/>
                <w:sz w:val="20"/>
                <w:vertAlign w:val="subscript"/>
              </w:rPr>
              <w:t>al.uzst</w:t>
            </w:r>
            <w:proofErr w:type="spellEnd"/>
            <w:r w:rsidRPr="00712FE5">
              <w:rPr>
                <w:sz w:val="20"/>
                <w:vertAlign w:val="subscript"/>
              </w:rPr>
              <w:t>. </w:t>
            </w:r>
            <w:r w:rsidRPr="00712FE5">
              <w:rPr>
                <w:sz w:val="20"/>
              </w:rPr>
              <w:t>– siltuma maksas sadalītāju iekārtas un tās uzstādīšanas izmaksas par vienu sildelementu (</w:t>
            </w:r>
            <w:proofErr w:type="spellStart"/>
            <w:r w:rsidRPr="00712FE5">
              <w:rPr>
                <w:i/>
                <w:iCs/>
                <w:sz w:val="20"/>
              </w:rPr>
              <w:t>euro</w:t>
            </w:r>
            <w:proofErr w:type="spellEnd"/>
            <w:r w:rsidRPr="00712FE5">
              <w:rPr>
                <w:sz w:val="20"/>
              </w:rPr>
              <w:t>);</w:t>
            </w:r>
          </w:p>
          <w:p w14:paraId="3D20CD2A" w14:textId="77777777" w:rsidR="00B770EA" w:rsidRPr="00712FE5" w:rsidRDefault="00B770EA" w:rsidP="00B770EA">
            <w:pPr>
              <w:rPr>
                <w:sz w:val="20"/>
              </w:rPr>
            </w:pPr>
            <w:r w:rsidRPr="00712FE5">
              <w:rPr>
                <w:i/>
                <w:iCs/>
                <w:sz w:val="20"/>
              </w:rPr>
              <w:t>I</w:t>
            </w:r>
            <w:r w:rsidRPr="00712FE5">
              <w:rPr>
                <w:i/>
                <w:iCs/>
                <w:sz w:val="20"/>
                <w:vertAlign w:val="subscript"/>
              </w:rPr>
              <w:t>pap.reg.</w:t>
            </w:r>
            <w:r w:rsidRPr="00712FE5">
              <w:rPr>
                <w:sz w:val="20"/>
                <w:vertAlign w:val="subscript"/>
              </w:rPr>
              <w:t> </w:t>
            </w:r>
            <w:r w:rsidRPr="00712FE5">
              <w:rPr>
                <w:sz w:val="20"/>
              </w:rPr>
              <w:t>– </w:t>
            </w:r>
            <w:r w:rsidRPr="00712FE5">
              <w:rPr>
                <w:bCs/>
                <w:sz w:val="20"/>
              </w:rPr>
              <w:t xml:space="preserve">termostatisko vārstu, </w:t>
            </w:r>
            <w:proofErr w:type="spellStart"/>
            <w:r w:rsidRPr="00712FE5">
              <w:rPr>
                <w:bCs/>
                <w:sz w:val="20"/>
              </w:rPr>
              <w:t>pašregulējošu</w:t>
            </w:r>
            <w:proofErr w:type="spellEnd"/>
            <w:r w:rsidRPr="00712FE5">
              <w:rPr>
                <w:bCs/>
                <w:sz w:val="20"/>
              </w:rPr>
              <w:t xml:space="preserve"> </w:t>
            </w:r>
            <w:r w:rsidRPr="00712FE5">
              <w:rPr>
                <w:sz w:val="20"/>
              </w:rPr>
              <w:t xml:space="preserve">termoregulatoru, </w:t>
            </w:r>
            <w:proofErr w:type="spellStart"/>
            <w:r w:rsidRPr="00712FE5">
              <w:rPr>
                <w:sz w:val="20"/>
              </w:rPr>
              <w:t>apvadcauruļu</w:t>
            </w:r>
            <w:proofErr w:type="spellEnd"/>
            <w:r w:rsidRPr="00712FE5">
              <w:rPr>
                <w:sz w:val="20"/>
              </w:rPr>
              <w:t xml:space="preserve"> uzstādīšanas un citas pārveidošanas izmaksas katram </w:t>
            </w:r>
            <w:proofErr w:type="spellStart"/>
            <w:r w:rsidRPr="00712FE5">
              <w:rPr>
                <w:sz w:val="20"/>
              </w:rPr>
              <w:t>sildelementam</w:t>
            </w:r>
            <w:proofErr w:type="spellEnd"/>
            <w:r w:rsidRPr="00712FE5">
              <w:rPr>
                <w:sz w:val="20"/>
              </w:rPr>
              <w:t xml:space="preserve"> (</w:t>
            </w:r>
            <w:proofErr w:type="spellStart"/>
            <w:r w:rsidRPr="00712FE5">
              <w:rPr>
                <w:i/>
                <w:iCs/>
                <w:sz w:val="20"/>
              </w:rPr>
              <w:t>euro</w:t>
            </w:r>
            <w:proofErr w:type="spellEnd"/>
            <w:r w:rsidRPr="00712FE5">
              <w:rPr>
                <w:sz w:val="20"/>
              </w:rPr>
              <w:t>);</w:t>
            </w:r>
          </w:p>
          <w:p w14:paraId="2E6B8EE3" w14:textId="77777777" w:rsidR="00B770EA" w:rsidRPr="00712FE5" w:rsidRDefault="00B770EA" w:rsidP="00B770EA">
            <w:pPr>
              <w:rPr>
                <w:sz w:val="20"/>
              </w:rPr>
            </w:pPr>
            <w:proofErr w:type="spellStart"/>
            <w:r w:rsidRPr="00712FE5">
              <w:rPr>
                <w:i/>
                <w:iCs/>
                <w:sz w:val="20"/>
              </w:rPr>
              <w:t>I</w:t>
            </w:r>
            <w:r w:rsidRPr="00712FE5">
              <w:rPr>
                <w:i/>
                <w:iCs/>
                <w:sz w:val="20"/>
                <w:vertAlign w:val="subscript"/>
              </w:rPr>
              <w:t>pap.rad</w:t>
            </w:r>
            <w:proofErr w:type="spellEnd"/>
            <w:r w:rsidRPr="00712FE5">
              <w:rPr>
                <w:sz w:val="20"/>
                <w:vertAlign w:val="subscript"/>
              </w:rPr>
              <w:t>.</w:t>
            </w:r>
            <w:r w:rsidRPr="00712FE5">
              <w:rPr>
                <w:sz w:val="20"/>
              </w:rPr>
              <w:t xml:space="preserve"> – viena </w:t>
            </w:r>
            <w:proofErr w:type="spellStart"/>
            <w:r w:rsidRPr="00712FE5">
              <w:rPr>
                <w:sz w:val="20"/>
              </w:rPr>
              <w:t>sildelementa</w:t>
            </w:r>
            <w:proofErr w:type="spellEnd"/>
            <w:r w:rsidRPr="00712FE5">
              <w:rPr>
                <w:sz w:val="20"/>
              </w:rPr>
              <w:t xml:space="preserve"> uzstādīšanas izmaksas (</w:t>
            </w:r>
            <w:proofErr w:type="spellStart"/>
            <w:r w:rsidRPr="00712FE5">
              <w:rPr>
                <w:i/>
                <w:iCs/>
                <w:sz w:val="20"/>
              </w:rPr>
              <w:t>euro</w:t>
            </w:r>
            <w:proofErr w:type="spellEnd"/>
            <w:r w:rsidRPr="00712FE5">
              <w:rPr>
                <w:sz w:val="20"/>
              </w:rPr>
              <w:t>);</w:t>
            </w:r>
          </w:p>
          <w:p w14:paraId="6F557101" w14:textId="77777777" w:rsidR="00B770EA" w:rsidRPr="00712FE5" w:rsidRDefault="00B770EA" w:rsidP="00B770EA">
            <w:pPr>
              <w:rPr>
                <w:sz w:val="20"/>
              </w:rPr>
            </w:pPr>
            <w:r w:rsidRPr="00712FE5">
              <w:rPr>
                <w:i/>
                <w:iCs/>
                <w:sz w:val="20"/>
              </w:rPr>
              <w:t>N</w:t>
            </w:r>
            <w:r w:rsidRPr="00712FE5">
              <w:rPr>
                <w:sz w:val="20"/>
              </w:rPr>
              <w:t> – sildelementu skaits ēkā.</w:t>
            </w:r>
          </w:p>
          <w:p w14:paraId="3BDD2BB3" w14:textId="77777777" w:rsidR="00B770EA" w:rsidRPr="00712FE5" w:rsidRDefault="00B770EA" w:rsidP="00B770EA">
            <w:pPr>
              <w:pStyle w:val="naisc"/>
              <w:spacing w:before="0" w:after="0"/>
              <w:jc w:val="both"/>
              <w:rPr>
                <w:sz w:val="20"/>
              </w:rPr>
            </w:pPr>
            <w:proofErr w:type="spellStart"/>
            <w:r w:rsidRPr="00712FE5">
              <w:rPr>
                <w:i/>
                <w:iCs/>
                <w:sz w:val="20"/>
              </w:rPr>
              <w:t>I</w:t>
            </w:r>
            <w:r w:rsidRPr="00712FE5">
              <w:rPr>
                <w:i/>
                <w:iCs/>
                <w:sz w:val="20"/>
                <w:vertAlign w:val="subscript"/>
              </w:rPr>
              <w:t>apk</w:t>
            </w:r>
            <w:proofErr w:type="spellEnd"/>
            <w:r w:rsidRPr="00712FE5">
              <w:rPr>
                <w:i/>
                <w:iCs/>
                <w:sz w:val="20"/>
                <w:vertAlign w:val="subscript"/>
              </w:rPr>
              <w:t>.</w:t>
            </w:r>
            <w:r w:rsidRPr="00712FE5">
              <w:rPr>
                <w:sz w:val="20"/>
              </w:rPr>
              <w:t> – apkures sistēmas rekonstrukcijas izmaksas (</w:t>
            </w:r>
            <w:proofErr w:type="spellStart"/>
            <w:r w:rsidRPr="00712FE5">
              <w:rPr>
                <w:i/>
                <w:iCs/>
                <w:sz w:val="20"/>
              </w:rPr>
              <w:t>euro</w:t>
            </w:r>
            <w:proofErr w:type="spellEnd"/>
            <w:r w:rsidRPr="00712FE5">
              <w:rPr>
                <w:sz w:val="20"/>
              </w:rPr>
              <w:t xml:space="preserve">); Apkures sistēmas pārveidošanas un pielāgošanas izmaksas ietver visas izmaksas, kas saistītas ar apkures sistēmas pielāgošanu tādai apkures sistēmas darbībai, kas nodrošina visas sistēmas nevainojamu darbību atbilstoši sistēmā paredzēto elementu ražotāju noteiktiem ekspluatācijas nosacījumiem. Apkures sistēmas </w:t>
            </w:r>
            <w:r w:rsidRPr="00712FE5">
              <w:rPr>
                <w:sz w:val="20"/>
              </w:rPr>
              <w:lastRenderedPageBreak/>
              <w:t>pielāgošana var ietvert apkures sūkņa, regulēšanas vārstu, kontroles iekārtu uzstādīšanu vai nomaiņu siltummezglā, divcauruļu apkures sistēmas izbūvi, kā arī citus pasākumus, kas nepieciešami nevainojamai sistēmas darbībai.”</w:t>
            </w:r>
          </w:p>
          <w:p w14:paraId="2EE24114" w14:textId="77777777" w:rsidR="00B770EA" w:rsidRPr="00712FE5" w:rsidRDefault="00B770EA" w:rsidP="00B770EA">
            <w:pPr>
              <w:pStyle w:val="naisc"/>
              <w:spacing w:before="0" w:after="0"/>
              <w:jc w:val="both"/>
              <w:rPr>
                <w:b/>
              </w:rPr>
            </w:pPr>
            <w:r w:rsidRPr="00712FE5">
              <w:rPr>
                <w:b/>
              </w:rPr>
              <w:t>Finanšu ministrija (papildus)</w:t>
            </w:r>
          </w:p>
          <w:p w14:paraId="38E767F2" w14:textId="77777777" w:rsidR="00B770EA" w:rsidRPr="00712FE5" w:rsidRDefault="00B770EA" w:rsidP="00B770EA">
            <w:pPr>
              <w:pStyle w:val="naisc"/>
              <w:spacing w:before="0" w:after="0"/>
              <w:jc w:val="both"/>
              <w:rPr>
                <w:i/>
              </w:rPr>
            </w:pPr>
            <w:r w:rsidRPr="00712FE5">
              <w:t>Noteikumu projekta anotācijā norādāmi minētie iespējamie pasākumi apkures sistēmas pielāgošanai, lai varētu uzstādīt siltuma maksas sadalītājus.</w:t>
            </w:r>
          </w:p>
        </w:tc>
        <w:tc>
          <w:tcPr>
            <w:tcW w:w="3119" w:type="dxa"/>
            <w:gridSpan w:val="2"/>
            <w:tcBorders>
              <w:left w:val="single" w:sz="6" w:space="0" w:color="000000"/>
              <w:bottom w:val="single" w:sz="4" w:space="0" w:color="auto"/>
              <w:right w:val="single" w:sz="6" w:space="0" w:color="000000"/>
            </w:tcBorders>
          </w:tcPr>
          <w:p w14:paraId="208B73ED" w14:textId="77777777" w:rsidR="00B770EA" w:rsidRPr="00712FE5" w:rsidRDefault="00B770EA" w:rsidP="00B770EA">
            <w:pPr>
              <w:pStyle w:val="naisc"/>
              <w:spacing w:before="0" w:after="0"/>
              <w:rPr>
                <w:b/>
              </w:rPr>
            </w:pPr>
            <w:r w:rsidRPr="00712FE5">
              <w:rPr>
                <w:b/>
              </w:rPr>
              <w:lastRenderedPageBreak/>
              <w:t>Ņemts vērā.</w:t>
            </w:r>
          </w:p>
          <w:p w14:paraId="20EB09BD" w14:textId="77777777" w:rsidR="00B770EA" w:rsidRPr="00712FE5" w:rsidRDefault="00B770EA" w:rsidP="00B770EA">
            <w:pPr>
              <w:pStyle w:val="naisc"/>
              <w:spacing w:before="0" w:after="0"/>
              <w:jc w:val="both"/>
            </w:pPr>
            <w:r w:rsidRPr="00712FE5">
              <w:t>Noteikumu projekta mērķis ir noteikt metodiku, pēc kādas aprēķināma siltuma maksas sadalītāju (alokatoru) uzstādīšanas rentabilitāte. Apkures sistēmas uzlabošanas pasākumi, nodrošinot tās nevainojamu darbību, ir ārpus Noteikumu projekta tvēruma. Noteikumu projekts precizēts, siltuma maksas sadalītāju uzstādīšanas izmaksās iekļaujot tādas apkures sistēmas pielāgošanas izmaksas, kas nepieciešamas siltuma maksas sadalītāju darbības nodrošināšanai.</w:t>
            </w:r>
          </w:p>
        </w:tc>
        <w:tc>
          <w:tcPr>
            <w:tcW w:w="3118" w:type="dxa"/>
            <w:tcBorders>
              <w:top w:val="single" w:sz="4" w:space="0" w:color="auto"/>
              <w:left w:val="single" w:sz="4" w:space="0" w:color="auto"/>
              <w:bottom w:val="single" w:sz="4" w:space="0" w:color="auto"/>
            </w:tcBorders>
          </w:tcPr>
          <w:p w14:paraId="73E16BCD" w14:textId="77777777" w:rsidR="00B770EA" w:rsidRPr="00712FE5" w:rsidRDefault="00B770EA" w:rsidP="00B770EA">
            <w:r w:rsidRPr="00712FE5">
              <w:t>Anotācijas I sadaļas 2.punkts papildināts ar skaidrojumu par apkures sistēmas pielāgošanas izmaksām.</w:t>
            </w:r>
          </w:p>
          <w:p w14:paraId="29F19701" w14:textId="77777777" w:rsidR="00B770EA" w:rsidRPr="00712FE5" w:rsidRDefault="00B770EA" w:rsidP="00B770EA"/>
          <w:p w14:paraId="343ABAD6" w14:textId="77777777" w:rsidR="00B770EA" w:rsidRPr="00712FE5" w:rsidRDefault="00B770EA" w:rsidP="00B770EA">
            <w:r w:rsidRPr="00712FE5">
              <w:t>1. pielikuma 1. punkts:</w:t>
            </w:r>
          </w:p>
          <w:p w14:paraId="4C1E636E" w14:textId="77777777" w:rsidR="00B770EA" w:rsidRPr="00712FE5" w:rsidRDefault="00B770EA" w:rsidP="00B770EA">
            <w:pPr>
              <w:pStyle w:val="ListParagraph"/>
              <w:tabs>
                <w:tab w:val="left" w:pos="3123"/>
              </w:tabs>
              <w:spacing w:after="0" w:line="240" w:lineRule="auto"/>
              <w:ind w:left="0"/>
              <w:rPr>
                <w:rFonts w:ascii="Times New Roman" w:hAnsi="Times New Roman"/>
                <w:sz w:val="24"/>
                <w:szCs w:val="24"/>
                <w:lang w:eastAsia="lv-LV"/>
              </w:rPr>
            </w:pPr>
            <w:r w:rsidRPr="00712FE5">
              <w:rPr>
                <w:rFonts w:ascii="Times New Roman" w:hAnsi="Times New Roman"/>
                <w:sz w:val="24"/>
                <w:szCs w:val="24"/>
              </w:rPr>
              <w:t>”1. Kopējās siltuma maksas sadalītāju un to darbībai nepieciešamo iekārtu uzstādīšanas un apkures sistēmas pielāgošanas izmaksas aprēķina, izmantojot šādu formulu:</w:t>
            </w:r>
          </w:p>
          <w:p w14:paraId="44D95BEF" w14:textId="0B14A180" w:rsidR="00B770EA" w:rsidRPr="00712FE5" w:rsidRDefault="00F56801" w:rsidP="00B770EA">
            <w:pPr>
              <w:pStyle w:val="ListParagraph"/>
              <w:tabs>
                <w:tab w:val="left" w:pos="3123"/>
              </w:tabs>
              <w:spacing w:after="0" w:line="240" w:lineRule="auto"/>
              <w:ind w:left="33"/>
              <w:rPr>
                <w:rFonts w:ascii="Times New Roman" w:hAnsi="Times New Roman"/>
                <w:sz w:val="24"/>
                <w:szCs w:val="24"/>
                <w:lang w:eastAsia="lv-LV"/>
              </w:rPr>
            </w:pPr>
            <m:oMathPara>
              <m:oMath>
                <m:sSub>
                  <m:sSubPr>
                    <m:ctrlPr>
                      <w:rPr>
                        <w:rFonts w:ascii="Cambria Math" w:hAnsi="Cambria Math"/>
                        <w:i/>
                      </w:rPr>
                    </m:ctrlPr>
                  </m:sSubPr>
                  <m:e>
                    <m:r>
                      <w:rPr>
                        <w:rFonts w:ascii="Cambria Math" w:hAnsi="Cambria Math"/>
                      </w:rPr>
                      <m:t>I</m:t>
                    </m:r>
                  </m:e>
                  <m:sub>
                    <m:r>
                      <w:rPr>
                        <w:rFonts w:ascii="Cambria Math" w:hAnsi="Cambria Math"/>
                      </w:rPr>
                      <m:t>kop.uzst.</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al.uzst.</m:t>
                        </m:r>
                      </m:sub>
                    </m:sSub>
                    <m:r>
                      <w:rPr>
                        <w:rFonts w:ascii="Cambria Math" w:hAnsi="Cambria Math"/>
                      </w:rPr>
                      <m:t>×N</m:t>
                    </m:r>
                  </m:e>
                </m:d>
                <m:r>
                  <w:rPr>
                    <w:rFonts w:ascii="Cambria Math" w:hAnsi="Cambria Math"/>
                  </w:rPr>
                  <m:t>+</m:t>
                </m:r>
              </m:oMath>
            </m:oMathPara>
          </w:p>
          <w:p w14:paraId="61A8CC05" w14:textId="06C8D538" w:rsidR="00B770EA" w:rsidRPr="00712FE5" w:rsidRDefault="00F56801" w:rsidP="00B770EA">
            <w:pPr>
              <w:pStyle w:val="ListParagraph"/>
              <w:tabs>
                <w:tab w:val="left" w:pos="3123"/>
              </w:tabs>
              <w:spacing w:after="0" w:line="240" w:lineRule="auto"/>
              <w:ind w:left="33"/>
              <w:jc w:val="left"/>
              <w:rPr>
                <w:rFonts w:ascii="Times New Roman" w:hAnsi="Times New Roman"/>
                <w:sz w:val="24"/>
                <w:szCs w:val="24"/>
              </w:rPr>
            </w:pPr>
            <m:oMathPara>
              <m:oMath>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pap.reg.</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pap.reg.</m:t>
                        </m:r>
                      </m:sub>
                    </m:sSub>
                  </m:e>
                </m:d>
                <m:r>
                  <w:rPr>
                    <w:rFonts w:ascii="Cambria Math" w:hAnsi="Cambria Math"/>
                  </w:rPr>
                  <m:t>+</m:t>
                </m:r>
              </m:oMath>
            </m:oMathPara>
          </w:p>
          <w:p w14:paraId="23A7C0BF" w14:textId="6113205A" w:rsidR="00B770EA" w:rsidRPr="00712FE5" w:rsidRDefault="00F56801" w:rsidP="00B770EA">
            <w:pPr>
              <w:pStyle w:val="ListParagraph"/>
              <w:tabs>
                <w:tab w:val="left" w:pos="3123"/>
              </w:tabs>
              <w:spacing w:after="0" w:line="240" w:lineRule="auto"/>
              <w:ind w:left="33"/>
              <w:jc w:val="left"/>
              <w:rPr>
                <w:rFonts w:ascii="Times New Roman" w:hAnsi="Times New Roman"/>
                <w:sz w:val="24"/>
                <w:szCs w:val="24"/>
              </w:rPr>
            </w:pPr>
            <m:oMathPara>
              <m:oMath>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pap.rad.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pap.rad.</m:t>
                        </m:r>
                      </m:sub>
                    </m:sSub>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apk.</m:t>
                    </m:r>
                  </m:sub>
                </m:sSub>
              </m:oMath>
            </m:oMathPara>
          </w:p>
          <w:p w14:paraId="759A2C8F" w14:textId="77777777" w:rsidR="00B770EA" w:rsidRPr="00712FE5" w:rsidRDefault="00B770EA" w:rsidP="00B770EA">
            <w:pPr>
              <w:pStyle w:val="ListParagraph"/>
              <w:tabs>
                <w:tab w:val="left" w:pos="3123"/>
              </w:tabs>
              <w:spacing w:after="0" w:line="240" w:lineRule="auto"/>
              <w:ind w:left="284"/>
              <w:rPr>
                <w:rFonts w:ascii="Times New Roman" w:hAnsi="Times New Roman"/>
                <w:sz w:val="24"/>
                <w:szCs w:val="24"/>
                <w:lang w:eastAsia="lv-LV"/>
              </w:rPr>
            </w:pPr>
            <w:r w:rsidRPr="00712FE5">
              <w:rPr>
                <w:rFonts w:ascii="Times New Roman" w:hAnsi="Times New Roman"/>
                <w:sz w:val="24"/>
                <w:szCs w:val="24"/>
                <w:lang w:eastAsia="lv-LV"/>
              </w:rPr>
              <w:t>kur:</w:t>
            </w:r>
          </w:p>
          <w:p w14:paraId="36AC6D99" w14:textId="77777777" w:rsidR="00B770EA" w:rsidRPr="00712FE5" w:rsidRDefault="00B770EA" w:rsidP="00B770EA">
            <w:pPr>
              <w:tabs>
                <w:tab w:val="left" w:pos="3123"/>
              </w:tabs>
              <w:rPr>
                <w:sz w:val="20"/>
                <w:szCs w:val="20"/>
              </w:rPr>
            </w:pPr>
            <w:proofErr w:type="spellStart"/>
            <w:r w:rsidRPr="00712FE5">
              <w:rPr>
                <w:i/>
                <w:iCs/>
                <w:sz w:val="20"/>
                <w:szCs w:val="20"/>
              </w:rPr>
              <w:t>I</w:t>
            </w:r>
            <w:r w:rsidRPr="00712FE5">
              <w:rPr>
                <w:i/>
                <w:iCs/>
                <w:sz w:val="20"/>
                <w:szCs w:val="20"/>
                <w:vertAlign w:val="subscript"/>
              </w:rPr>
              <w:t>kop.uzst</w:t>
            </w:r>
            <w:proofErr w:type="spellEnd"/>
            <w:r w:rsidRPr="00712FE5">
              <w:rPr>
                <w:i/>
                <w:iCs/>
                <w:sz w:val="20"/>
                <w:szCs w:val="20"/>
                <w:vertAlign w:val="subscript"/>
              </w:rPr>
              <w:t>.</w:t>
            </w:r>
            <w:r w:rsidRPr="00712FE5">
              <w:rPr>
                <w:sz w:val="20"/>
                <w:szCs w:val="20"/>
              </w:rPr>
              <w:t> – kopējās iekārtu uzstādīšanas izmaksas (</w:t>
            </w:r>
            <w:proofErr w:type="spellStart"/>
            <w:r w:rsidRPr="00712FE5">
              <w:rPr>
                <w:i/>
                <w:iCs/>
                <w:sz w:val="20"/>
                <w:szCs w:val="20"/>
              </w:rPr>
              <w:t>euro</w:t>
            </w:r>
            <w:proofErr w:type="spellEnd"/>
            <w:r w:rsidRPr="00712FE5">
              <w:rPr>
                <w:sz w:val="20"/>
                <w:szCs w:val="20"/>
              </w:rPr>
              <w:t>);</w:t>
            </w:r>
          </w:p>
          <w:p w14:paraId="0FF565F8" w14:textId="77777777" w:rsidR="00B770EA" w:rsidRPr="00712FE5" w:rsidRDefault="00B770EA" w:rsidP="00B770EA">
            <w:pPr>
              <w:rPr>
                <w:sz w:val="20"/>
                <w:szCs w:val="20"/>
              </w:rPr>
            </w:pPr>
            <w:proofErr w:type="spellStart"/>
            <w:r w:rsidRPr="00712FE5">
              <w:rPr>
                <w:i/>
                <w:iCs/>
                <w:sz w:val="20"/>
                <w:szCs w:val="20"/>
              </w:rPr>
              <w:t>I</w:t>
            </w:r>
            <w:r w:rsidRPr="00712FE5">
              <w:rPr>
                <w:i/>
                <w:iCs/>
                <w:sz w:val="20"/>
                <w:szCs w:val="20"/>
                <w:vertAlign w:val="subscript"/>
              </w:rPr>
              <w:t>al.uzst</w:t>
            </w:r>
            <w:proofErr w:type="spellEnd"/>
            <w:r w:rsidRPr="00712FE5">
              <w:rPr>
                <w:sz w:val="20"/>
                <w:szCs w:val="20"/>
                <w:vertAlign w:val="subscript"/>
              </w:rPr>
              <w:t>. </w:t>
            </w:r>
            <w:r w:rsidRPr="00712FE5">
              <w:rPr>
                <w:sz w:val="20"/>
                <w:szCs w:val="20"/>
              </w:rPr>
              <w:t>– siltuma maksas sadalītāju iekārtas un tās uzstādīšanas izmaksas par vienu sildelementu (</w:t>
            </w:r>
            <w:proofErr w:type="spellStart"/>
            <w:r w:rsidRPr="00712FE5">
              <w:rPr>
                <w:i/>
                <w:iCs/>
                <w:sz w:val="20"/>
                <w:szCs w:val="20"/>
              </w:rPr>
              <w:t>euro</w:t>
            </w:r>
            <w:proofErr w:type="spellEnd"/>
            <w:r w:rsidRPr="00712FE5">
              <w:rPr>
                <w:sz w:val="20"/>
                <w:szCs w:val="20"/>
              </w:rPr>
              <w:t>);</w:t>
            </w:r>
          </w:p>
          <w:p w14:paraId="54559756" w14:textId="77777777" w:rsidR="00B770EA" w:rsidRPr="00712FE5" w:rsidRDefault="00B770EA" w:rsidP="00B770EA">
            <w:pPr>
              <w:tabs>
                <w:tab w:val="left" w:pos="3123"/>
              </w:tabs>
              <w:rPr>
                <w:sz w:val="20"/>
                <w:szCs w:val="20"/>
              </w:rPr>
            </w:pPr>
            <w:r w:rsidRPr="00712FE5">
              <w:rPr>
                <w:i/>
                <w:iCs/>
                <w:sz w:val="20"/>
                <w:szCs w:val="20"/>
              </w:rPr>
              <w:t>I</w:t>
            </w:r>
            <w:r w:rsidRPr="00712FE5">
              <w:rPr>
                <w:i/>
                <w:iCs/>
                <w:sz w:val="20"/>
                <w:szCs w:val="20"/>
                <w:vertAlign w:val="subscript"/>
              </w:rPr>
              <w:t>pap.reg.</w:t>
            </w:r>
            <w:r w:rsidRPr="00712FE5">
              <w:rPr>
                <w:sz w:val="20"/>
                <w:szCs w:val="20"/>
                <w:vertAlign w:val="subscript"/>
              </w:rPr>
              <w:t> </w:t>
            </w:r>
            <w:r w:rsidRPr="00712FE5">
              <w:rPr>
                <w:sz w:val="20"/>
                <w:szCs w:val="20"/>
              </w:rPr>
              <w:t xml:space="preserve">– termoregulatoru un </w:t>
            </w:r>
            <w:proofErr w:type="spellStart"/>
            <w:r w:rsidRPr="00712FE5">
              <w:rPr>
                <w:sz w:val="20"/>
                <w:szCs w:val="20"/>
              </w:rPr>
              <w:t>apvadcauruļu</w:t>
            </w:r>
            <w:proofErr w:type="spellEnd"/>
            <w:r w:rsidRPr="00712FE5">
              <w:rPr>
                <w:sz w:val="20"/>
                <w:szCs w:val="20"/>
              </w:rPr>
              <w:t xml:space="preserve"> uzstādīšanas izmaksas par vienu sildelementu (</w:t>
            </w:r>
            <w:proofErr w:type="spellStart"/>
            <w:r w:rsidRPr="00712FE5">
              <w:rPr>
                <w:i/>
                <w:iCs/>
                <w:sz w:val="20"/>
                <w:szCs w:val="20"/>
              </w:rPr>
              <w:t>euro</w:t>
            </w:r>
            <w:proofErr w:type="spellEnd"/>
            <w:r w:rsidRPr="00712FE5">
              <w:rPr>
                <w:sz w:val="20"/>
                <w:szCs w:val="20"/>
              </w:rPr>
              <w:t>);</w:t>
            </w:r>
          </w:p>
          <w:p w14:paraId="729B9994" w14:textId="77777777" w:rsidR="00B770EA" w:rsidRPr="00712FE5" w:rsidRDefault="00B770EA" w:rsidP="00B770EA">
            <w:pPr>
              <w:rPr>
                <w:sz w:val="20"/>
                <w:szCs w:val="20"/>
              </w:rPr>
            </w:pPr>
            <w:proofErr w:type="spellStart"/>
            <w:r w:rsidRPr="00712FE5">
              <w:rPr>
                <w:i/>
                <w:iCs/>
                <w:sz w:val="20"/>
                <w:szCs w:val="20"/>
              </w:rPr>
              <w:t>I</w:t>
            </w:r>
            <w:r w:rsidRPr="00712FE5">
              <w:rPr>
                <w:i/>
                <w:iCs/>
                <w:sz w:val="20"/>
                <w:szCs w:val="20"/>
                <w:vertAlign w:val="subscript"/>
              </w:rPr>
              <w:t>pap.rad</w:t>
            </w:r>
            <w:proofErr w:type="spellEnd"/>
            <w:r w:rsidRPr="00712FE5">
              <w:rPr>
                <w:sz w:val="20"/>
                <w:szCs w:val="20"/>
                <w:vertAlign w:val="subscript"/>
              </w:rPr>
              <w:t>.</w:t>
            </w:r>
            <w:r w:rsidRPr="00712FE5">
              <w:rPr>
                <w:sz w:val="20"/>
                <w:szCs w:val="20"/>
              </w:rPr>
              <w:t xml:space="preserve"> – viena </w:t>
            </w:r>
            <w:proofErr w:type="spellStart"/>
            <w:r w:rsidRPr="00712FE5">
              <w:rPr>
                <w:sz w:val="20"/>
                <w:szCs w:val="20"/>
              </w:rPr>
              <w:t>sildelementa</w:t>
            </w:r>
            <w:proofErr w:type="spellEnd"/>
            <w:r w:rsidRPr="00712FE5">
              <w:rPr>
                <w:sz w:val="20"/>
                <w:szCs w:val="20"/>
              </w:rPr>
              <w:t xml:space="preserve"> uzstādīšanas izmaksas (</w:t>
            </w:r>
            <w:proofErr w:type="spellStart"/>
            <w:r w:rsidRPr="00712FE5">
              <w:rPr>
                <w:i/>
                <w:iCs/>
                <w:sz w:val="20"/>
                <w:szCs w:val="20"/>
              </w:rPr>
              <w:t>euro</w:t>
            </w:r>
            <w:proofErr w:type="spellEnd"/>
            <w:r w:rsidRPr="00712FE5">
              <w:rPr>
                <w:sz w:val="20"/>
                <w:szCs w:val="20"/>
              </w:rPr>
              <w:t>);</w:t>
            </w:r>
          </w:p>
          <w:p w14:paraId="565FACB7" w14:textId="77777777" w:rsidR="00B770EA" w:rsidRPr="00712FE5" w:rsidRDefault="00B770EA" w:rsidP="00B770EA">
            <w:pPr>
              <w:rPr>
                <w:sz w:val="20"/>
                <w:szCs w:val="20"/>
              </w:rPr>
            </w:pPr>
            <w:r w:rsidRPr="00712FE5">
              <w:rPr>
                <w:i/>
                <w:iCs/>
                <w:sz w:val="20"/>
                <w:szCs w:val="20"/>
              </w:rPr>
              <w:t>N</w:t>
            </w:r>
            <w:r w:rsidRPr="00712FE5">
              <w:rPr>
                <w:sz w:val="20"/>
                <w:szCs w:val="20"/>
              </w:rPr>
              <w:t> – sildelementu skaits ēkā;</w:t>
            </w:r>
          </w:p>
          <w:p w14:paraId="2F71BC54" w14:textId="77777777" w:rsidR="00B770EA" w:rsidRPr="00712FE5" w:rsidRDefault="00B770EA" w:rsidP="00B770EA">
            <w:pPr>
              <w:rPr>
                <w:sz w:val="20"/>
                <w:szCs w:val="20"/>
              </w:rPr>
            </w:pPr>
            <w:r w:rsidRPr="00712FE5">
              <w:rPr>
                <w:i/>
                <w:iCs/>
                <w:sz w:val="20"/>
                <w:szCs w:val="20"/>
              </w:rPr>
              <w:t>N</w:t>
            </w:r>
            <w:r w:rsidRPr="00712FE5">
              <w:rPr>
                <w:i/>
                <w:iCs/>
                <w:sz w:val="20"/>
                <w:szCs w:val="20"/>
                <w:vertAlign w:val="subscript"/>
              </w:rPr>
              <w:t>pap.reg.</w:t>
            </w:r>
            <w:r w:rsidRPr="00712FE5">
              <w:rPr>
                <w:sz w:val="20"/>
                <w:szCs w:val="20"/>
              </w:rPr>
              <w:t xml:space="preserve"> – sildelementu skaits, kam jāuzstāda </w:t>
            </w:r>
            <w:proofErr w:type="spellStart"/>
            <w:r w:rsidRPr="00712FE5">
              <w:rPr>
                <w:sz w:val="20"/>
                <w:szCs w:val="20"/>
              </w:rPr>
              <w:t>termoregulators</w:t>
            </w:r>
            <w:proofErr w:type="spellEnd"/>
            <w:r w:rsidRPr="00712FE5">
              <w:rPr>
                <w:sz w:val="20"/>
                <w:szCs w:val="20"/>
              </w:rPr>
              <w:t xml:space="preserve"> vai </w:t>
            </w:r>
            <w:proofErr w:type="spellStart"/>
            <w:r w:rsidRPr="00712FE5">
              <w:rPr>
                <w:sz w:val="20"/>
                <w:szCs w:val="20"/>
              </w:rPr>
              <w:t>apvadcaurules</w:t>
            </w:r>
            <w:proofErr w:type="spellEnd"/>
            <w:r w:rsidRPr="00712FE5">
              <w:rPr>
                <w:sz w:val="20"/>
                <w:szCs w:val="20"/>
              </w:rPr>
              <w:t>;</w:t>
            </w:r>
          </w:p>
          <w:p w14:paraId="39529FCF" w14:textId="77777777" w:rsidR="00B770EA" w:rsidRPr="00712FE5" w:rsidRDefault="00B770EA" w:rsidP="00B770EA">
            <w:pPr>
              <w:rPr>
                <w:sz w:val="20"/>
                <w:szCs w:val="20"/>
              </w:rPr>
            </w:pPr>
            <w:proofErr w:type="spellStart"/>
            <w:r w:rsidRPr="00712FE5">
              <w:rPr>
                <w:i/>
                <w:iCs/>
                <w:sz w:val="20"/>
                <w:szCs w:val="20"/>
              </w:rPr>
              <w:t>N</w:t>
            </w:r>
            <w:r w:rsidRPr="00712FE5">
              <w:rPr>
                <w:i/>
                <w:iCs/>
                <w:sz w:val="20"/>
                <w:szCs w:val="20"/>
                <w:vertAlign w:val="subscript"/>
              </w:rPr>
              <w:t>pap.rad</w:t>
            </w:r>
            <w:proofErr w:type="spellEnd"/>
            <w:r w:rsidRPr="00712FE5">
              <w:rPr>
                <w:i/>
                <w:iCs/>
                <w:sz w:val="20"/>
                <w:szCs w:val="20"/>
                <w:vertAlign w:val="subscript"/>
              </w:rPr>
              <w:t>.</w:t>
            </w:r>
            <w:r w:rsidRPr="00712FE5">
              <w:rPr>
                <w:sz w:val="20"/>
                <w:szCs w:val="20"/>
              </w:rPr>
              <w:t> – sildelementu skaits, kas jāuzstāda;</w:t>
            </w:r>
          </w:p>
          <w:p w14:paraId="31C99201" w14:textId="77777777" w:rsidR="00B770EA" w:rsidRPr="00712FE5" w:rsidRDefault="00B770EA" w:rsidP="00B770EA">
            <w:pPr>
              <w:rPr>
                <w:sz w:val="20"/>
                <w:szCs w:val="20"/>
              </w:rPr>
            </w:pPr>
            <w:proofErr w:type="spellStart"/>
            <w:r w:rsidRPr="00712FE5">
              <w:rPr>
                <w:i/>
                <w:iCs/>
                <w:sz w:val="20"/>
                <w:szCs w:val="20"/>
              </w:rPr>
              <w:t>I</w:t>
            </w:r>
            <w:r w:rsidRPr="00712FE5">
              <w:rPr>
                <w:i/>
                <w:iCs/>
                <w:sz w:val="20"/>
                <w:szCs w:val="20"/>
                <w:vertAlign w:val="subscript"/>
              </w:rPr>
              <w:t>apk</w:t>
            </w:r>
            <w:proofErr w:type="spellEnd"/>
            <w:r w:rsidRPr="00712FE5">
              <w:rPr>
                <w:i/>
                <w:iCs/>
                <w:sz w:val="20"/>
                <w:szCs w:val="20"/>
                <w:vertAlign w:val="subscript"/>
              </w:rPr>
              <w:t>..</w:t>
            </w:r>
            <w:r w:rsidRPr="00712FE5">
              <w:rPr>
                <w:sz w:val="20"/>
                <w:szCs w:val="20"/>
              </w:rPr>
              <w:t xml:space="preserve"> – citas apkures sistēmas pielāgošanas izmaksas, kas </w:t>
            </w:r>
            <w:r w:rsidRPr="00712FE5">
              <w:rPr>
                <w:sz w:val="20"/>
                <w:szCs w:val="20"/>
              </w:rPr>
              <w:lastRenderedPageBreak/>
              <w:t>nepieciešamas siltuma maksas sadalītāju darbības nodrošināšanai.</w:t>
            </w:r>
            <w:r w:rsidRPr="00712FE5">
              <w:t>”</w:t>
            </w:r>
          </w:p>
        </w:tc>
      </w:tr>
      <w:tr w:rsidR="00B770EA" w:rsidRPr="00712FE5" w14:paraId="4D467210" w14:textId="77777777" w:rsidTr="00F10DF3">
        <w:tc>
          <w:tcPr>
            <w:tcW w:w="708" w:type="dxa"/>
            <w:tcBorders>
              <w:left w:val="single" w:sz="6" w:space="0" w:color="000000"/>
              <w:bottom w:val="single" w:sz="4" w:space="0" w:color="auto"/>
              <w:right w:val="single" w:sz="6" w:space="0" w:color="000000"/>
            </w:tcBorders>
          </w:tcPr>
          <w:p w14:paraId="325FA420" w14:textId="64041407" w:rsidR="00B770EA" w:rsidRPr="00712FE5" w:rsidRDefault="00B770EA" w:rsidP="00B770EA">
            <w:pPr>
              <w:pStyle w:val="naisc"/>
              <w:spacing w:before="0" w:after="0"/>
            </w:pPr>
            <w:r w:rsidRPr="00712FE5">
              <w:lastRenderedPageBreak/>
              <w:t>2</w:t>
            </w:r>
            <w:r>
              <w:t>7</w:t>
            </w:r>
            <w:r w:rsidRPr="00712FE5">
              <w:t>.</w:t>
            </w:r>
          </w:p>
        </w:tc>
        <w:tc>
          <w:tcPr>
            <w:tcW w:w="3086" w:type="dxa"/>
            <w:gridSpan w:val="2"/>
            <w:tcBorders>
              <w:left w:val="single" w:sz="6" w:space="0" w:color="000000"/>
              <w:bottom w:val="single" w:sz="4" w:space="0" w:color="auto"/>
              <w:right w:val="single" w:sz="6" w:space="0" w:color="000000"/>
            </w:tcBorders>
          </w:tcPr>
          <w:p w14:paraId="1A282A68" w14:textId="77777777" w:rsidR="00B770EA" w:rsidRPr="00712FE5" w:rsidRDefault="00B770EA" w:rsidP="00B770EA">
            <w:pPr>
              <w:pStyle w:val="naisc"/>
              <w:spacing w:before="0" w:after="0"/>
              <w:jc w:val="both"/>
            </w:pPr>
            <w:r w:rsidRPr="00712FE5">
              <w:t>1. pielikuma 1. punkts:</w:t>
            </w:r>
          </w:p>
          <w:p w14:paraId="11EF95E6" w14:textId="77777777" w:rsidR="00B770EA" w:rsidRPr="00712FE5" w:rsidRDefault="00B770EA" w:rsidP="00B770EA">
            <w:pPr>
              <w:pStyle w:val="ListParagraph"/>
              <w:tabs>
                <w:tab w:val="left" w:pos="3123"/>
              </w:tabs>
              <w:spacing w:after="0" w:line="240" w:lineRule="auto"/>
              <w:ind w:left="0"/>
              <w:rPr>
                <w:rFonts w:ascii="Times New Roman" w:hAnsi="Times New Roman"/>
                <w:sz w:val="24"/>
                <w:szCs w:val="24"/>
                <w:lang w:eastAsia="lv-LV"/>
              </w:rPr>
            </w:pPr>
            <w:r w:rsidRPr="00712FE5">
              <w:rPr>
                <w:rFonts w:ascii="Times New Roman" w:hAnsi="Times New Roman"/>
                <w:sz w:val="24"/>
                <w:szCs w:val="24"/>
              </w:rPr>
              <w:t>”1. Kopējās siltuma maksas sadalītāju un to darbībai nepieciešamo iekārtu uzstādīšanas izmaksas aprēķina, izmantojot šādu formulu:</w:t>
            </w:r>
          </w:p>
          <w:p w14:paraId="2F566249" w14:textId="109681C7" w:rsidR="00B770EA" w:rsidRPr="00712FE5" w:rsidRDefault="00F56801" w:rsidP="00B770EA">
            <w:pPr>
              <w:pStyle w:val="ListParagraph"/>
              <w:tabs>
                <w:tab w:val="left" w:pos="3123"/>
              </w:tabs>
              <w:spacing w:after="0" w:line="240" w:lineRule="auto"/>
              <w:ind w:left="0"/>
              <w:rPr>
                <w:rFonts w:ascii="Times New Roman" w:hAnsi="Times New Roman"/>
                <w:sz w:val="24"/>
                <w:szCs w:val="24"/>
                <w:lang w:eastAsia="lv-LV"/>
              </w:rPr>
            </w:pPr>
            <m:oMathPara>
              <m:oMath>
                <m:sSub>
                  <m:sSubPr>
                    <m:ctrlPr>
                      <w:rPr>
                        <w:rFonts w:ascii="Cambria Math" w:hAnsi="Cambria Math"/>
                        <w:i/>
                      </w:rPr>
                    </m:ctrlPr>
                  </m:sSubPr>
                  <m:e>
                    <m:r>
                      <w:rPr>
                        <w:rFonts w:ascii="Cambria Math" w:hAnsi="Cambria Math"/>
                      </w:rPr>
                      <m:t>I</m:t>
                    </m:r>
                  </m:e>
                  <m:sub>
                    <m:r>
                      <w:rPr>
                        <w:rFonts w:ascii="Cambria Math" w:hAnsi="Cambria Math"/>
                      </w:rPr>
                      <m:t>kop.uzst.</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al.uzst.</m:t>
                        </m:r>
                      </m:sub>
                    </m:sSub>
                    <m:r>
                      <w:rPr>
                        <w:rFonts w:ascii="Cambria Math" w:hAnsi="Cambria Math"/>
                      </w:rPr>
                      <m:t>×N</m:t>
                    </m:r>
                  </m:e>
                </m:d>
                <m:r>
                  <w:rPr>
                    <w:rFonts w:ascii="Cambria Math" w:hAnsi="Cambria Math"/>
                  </w:rPr>
                  <m:t>+</m:t>
                </m:r>
              </m:oMath>
            </m:oMathPara>
          </w:p>
          <w:p w14:paraId="20055A2C" w14:textId="788C1B3E" w:rsidR="00B770EA" w:rsidRPr="00712FE5" w:rsidRDefault="00F56801" w:rsidP="00B770EA">
            <w:pPr>
              <w:pStyle w:val="ListParagraph"/>
              <w:tabs>
                <w:tab w:val="left" w:pos="3123"/>
              </w:tabs>
              <w:spacing w:after="0" w:line="240" w:lineRule="auto"/>
              <w:ind w:left="0"/>
              <w:jc w:val="left"/>
              <w:rPr>
                <w:rFonts w:ascii="Times New Roman" w:hAnsi="Times New Roman"/>
                <w:sz w:val="24"/>
                <w:szCs w:val="24"/>
              </w:rPr>
            </w:pPr>
            <m:oMath>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pap.reg.</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pap.rad.</m:t>
                          </m:r>
                        </m:sub>
                      </m:sSub>
                    </m:e>
                  </m:d>
                  <m:r>
                    <w:rPr>
                      <w:rFonts w:ascii="Cambria Math" w:hAnsi="Cambria Math"/>
                    </w:rPr>
                    <m:t>×N</m:t>
                  </m:r>
                </m:e>
              </m:d>
            </m:oMath>
            <w:r w:rsidR="00B770EA" w:rsidRPr="00712FE5">
              <w:rPr>
                <w:rFonts w:ascii="Times New Roman" w:hAnsi="Times New Roman"/>
                <w:sz w:val="24"/>
                <w:szCs w:val="24"/>
              </w:rPr>
              <w:fldChar w:fldCharType="begin"/>
            </w:r>
            <w:r w:rsidR="00B770EA" w:rsidRPr="00712FE5">
              <w:rPr>
                <w:rFonts w:ascii="Times New Roman" w:hAnsi="Times New Roman"/>
                <w:sz w:val="24"/>
                <w:szCs w:val="24"/>
              </w:rPr>
              <w:instrText xml:space="preserve"> QUOTE </w:instrText>
            </w:r>
            <m:oMath>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kop.uzst.</m:t>
                  </m:r>
                </m:sub>
              </m:sSub>
              <m:r>
                <m:rPr>
                  <m:sty m:val="p"/>
                </m:rPr>
                <w:rPr>
                  <w:rFonts w:ascii="Cambria Math" w:hAnsi="Cambria Math"/>
                </w:rPr>
                <m:t>=</m:t>
              </m:r>
              <m:d>
                <m:dPr>
                  <m:ctrlPr>
                    <w:rPr>
                      <w:rFonts w:ascii="Cambria Math" w:hAnsi="Cambria Math"/>
                      <w:i/>
                    </w:rPr>
                  </m:ctrlPr>
                </m:dPr>
                <m:e>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al.uzst.</m:t>
                      </m:r>
                    </m:sub>
                  </m:sSub>
                  <m:r>
                    <m:rPr>
                      <m:sty m:val="p"/>
                    </m:rPr>
                    <w:rPr>
                      <w:rFonts w:ascii="Cambria Math" w:hAnsi="Cambria Math"/>
                    </w:rPr>
                    <m:t>×N</m:t>
                  </m:r>
                </m:e>
              </m:d>
              <m:r>
                <m:rPr>
                  <m:sty m:val="p"/>
                </m:rPr>
                <w:rPr>
                  <w:rFonts w:ascii="Cambria Math" w:hAnsi="Cambria Math"/>
                </w:rPr>
                <m:t>+</m:t>
              </m:r>
              <m:d>
                <m:dPr>
                  <m:ctrlPr>
                    <w:rPr>
                      <w:rFonts w:ascii="Cambria Math" w:hAnsi="Cambria Math"/>
                      <w:i/>
                    </w:rPr>
                  </m:ctrlPr>
                </m:dPr>
                <m:e>
                  <m:d>
                    <m:dPr>
                      <m:ctrlPr>
                        <w:rPr>
                          <w:rFonts w:ascii="Cambria Math" w:hAnsi="Cambria Math"/>
                          <w:i/>
                        </w:rPr>
                      </m:ctrlPr>
                    </m:dPr>
                    <m:e>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pap.reg.</m:t>
                          </m:r>
                        </m:sub>
                      </m:sSub>
                      <m:r>
                        <m:rPr>
                          <m:sty m:val="p"/>
                        </m:rPr>
                        <w:rPr>
                          <w:rFonts w:ascii="Cambria Math" w:hAnsi="Cambria Math"/>
                        </w:rPr>
                        <m:t>+</m:t>
                      </m:r>
                      <m:sSub>
                        <m:sSubPr>
                          <m:ctrlPr>
                            <w:rPr>
                              <w:rFonts w:ascii="Cambria Math" w:hAnsi="Cambria Math"/>
                              <w:i/>
                            </w:rPr>
                          </m:ctrlPr>
                        </m:sSubPr>
                        <m:e>
                          <m:r>
                            <m:rPr>
                              <m:sty m:val="p"/>
                            </m:rPr>
                            <w:rPr>
                              <w:rFonts w:ascii="Cambria Math" w:hAnsi="Cambria Math"/>
                            </w:rPr>
                            <m:t>I</m:t>
                          </m:r>
                        </m:e>
                        <m:sub>
                          <m:r>
                            <m:rPr>
                              <m:sty m:val="p"/>
                            </m:rPr>
                            <w:rPr>
                              <w:rFonts w:ascii="Cambria Math" w:hAnsi="Cambria Math"/>
                            </w:rPr>
                            <m:t>pap.rad.</m:t>
                          </m:r>
                        </m:sub>
                      </m:sSub>
                    </m:e>
                  </m:d>
                  <m:r>
                    <m:rPr>
                      <m:sty m:val="p"/>
                    </m:rPr>
                    <w:rPr>
                      <w:rFonts w:ascii="Cambria Math" w:hAnsi="Cambria Math"/>
                    </w:rPr>
                    <m:t>×N</m:t>
                  </m:r>
                </m:e>
              </m:d>
            </m:oMath>
            <w:r w:rsidR="00B770EA" w:rsidRPr="00712FE5">
              <w:rPr>
                <w:rFonts w:ascii="Times New Roman" w:hAnsi="Times New Roman"/>
                <w:sz w:val="24"/>
                <w:szCs w:val="24"/>
              </w:rPr>
              <w:instrText xml:space="preserve"> </w:instrText>
            </w:r>
            <w:r w:rsidR="00B770EA" w:rsidRPr="00712FE5">
              <w:rPr>
                <w:rFonts w:ascii="Times New Roman" w:hAnsi="Times New Roman"/>
                <w:sz w:val="24"/>
                <w:szCs w:val="24"/>
              </w:rPr>
              <w:fldChar w:fldCharType="end"/>
            </w:r>
          </w:p>
          <w:p w14:paraId="086100B0" w14:textId="77777777" w:rsidR="00B770EA" w:rsidRPr="00712FE5" w:rsidRDefault="00B770EA" w:rsidP="00B770EA">
            <w:pPr>
              <w:pStyle w:val="ListParagraph"/>
              <w:tabs>
                <w:tab w:val="left" w:pos="3123"/>
              </w:tabs>
              <w:spacing w:after="0" w:line="240" w:lineRule="auto"/>
              <w:ind w:left="284"/>
              <w:rPr>
                <w:rFonts w:ascii="Times New Roman" w:hAnsi="Times New Roman"/>
                <w:sz w:val="24"/>
                <w:szCs w:val="24"/>
                <w:lang w:eastAsia="lv-LV"/>
              </w:rPr>
            </w:pPr>
            <w:r w:rsidRPr="00712FE5">
              <w:rPr>
                <w:rFonts w:ascii="Times New Roman" w:hAnsi="Times New Roman"/>
                <w:sz w:val="24"/>
                <w:szCs w:val="24"/>
                <w:lang w:eastAsia="lv-LV"/>
              </w:rPr>
              <w:t>kur:</w:t>
            </w:r>
          </w:p>
          <w:p w14:paraId="0C6403FB" w14:textId="77777777" w:rsidR="00B770EA" w:rsidRPr="00712FE5" w:rsidRDefault="00B770EA" w:rsidP="00B770EA">
            <w:pPr>
              <w:tabs>
                <w:tab w:val="left" w:pos="3123"/>
              </w:tabs>
              <w:rPr>
                <w:sz w:val="20"/>
                <w:szCs w:val="20"/>
              </w:rPr>
            </w:pPr>
            <w:proofErr w:type="spellStart"/>
            <w:r w:rsidRPr="00712FE5">
              <w:rPr>
                <w:i/>
                <w:iCs/>
                <w:sz w:val="20"/>
                <w:szCs w:val="20"/>
              </w:rPr>
              <w:t>I</w:t>
            </w:r>
            <w:r w:rsidRPr="00712FE5">
              <w:rPr>
                <w:i/>
                <w:iCs/>
                <w:sz w:val="20"/>
                <w:szCs w:val="20"/>
                <w:vertAlign w:val="subscript"/>
              </w:rPr>
              <w:t>kop.uzst</w:t>
            </w:r>
            <w:proofErr w:type="spellEnd"/>
            <w:r w:rsidRPr="00712FE5">
              <w:rPr>
                <w:i/>
                <w:iCs/>
                <w:sz w:val="20"/>
                <w:szCs w:val="20"/>
                <w:vertAlign w:val="subscript"/>
              </w:rPr>
              <w:t>.</w:t>
            </w:r>
            <w:r w:rsidRPr="00712FE5">
              <w:rPr>
                <w:sz w:val="20"/>
                <w:szCs w:val="20"/>
              </w:rPr>
              <w:t> – kopējās iekārtu uzstādīšanas izmaksas (</w:t>
            </w:r>
            <w:proofErr w:type="spellStart"/>
            <w:r w:rsidRPr="00712FE5">
              <w:rPr>
                <w:i/>
                <w:iCs/>
                <w:sz w:val="20"/>
                <w:szCs w:val="20"/>
              </w:rPr>
              <w:t>euro</w:t>
            </w:r>
            <w:proofErr w:type="spellEnd"/>
            <w:r w:rsidRPr="00712FE5">
              <w:rPr>
                <w:sz w:val="20"/>
                <w:szCs w:val="20"/>
              </w:rPr>
              <w:t>);</w:t>
            </w:r>
          </w:p>
          <w:p w14:paraId="73F975D1" w14:textId="77777777" w:rsidR="00B770EA" w:rsidRPr="00712FE5" w:rsidRDefault="00B770EA" w:rsidP="00B770EA">
            <w:pPr>
              <w:rPr>
                <w:sz w:val="20"/>
                <w:szCs w:val="20"/>
              </w:rPr>
            </w:pPr>
            <w:proofErr w:type="spellStart"/>
            <w:r w:rsidRPr="00712FE5">
              <w:rPr>
                <w:i/>
                <w:iCs/>
                <w:sz w:val="20"/>
                <w:szCs w:val="20"/>
              </w:rPr>
              <w:t>I</w:t>
            </w:r>
            <w:r w:rsidRPr="00712FE5">
              <w:rPr>
                <w:i/>
                <w:iCs/>
                <w:sz w:val="20"/>
                <w:szCs w:val="20"/>
                <w:vertAlign w:val="subscript"/>
              </w:rPr>
              <w:t>al.uzst</w:t>
            </w:r>
            <w:proofErr w:type="spellEnd"/>
            <w:r w:rsidRPr="00712FE5">
              <w:rPr>
                <w:sz w:val="20"/>
                <w:szCs w:val="20"/>
                <w:vertAlign w:val="subscript"/>
              </w:rPr>
              <w:t>. </w:t>
            </w:r>
            <w:r w:rsidRPr="00712FE5">
              <w:rPr>
                <w:sz w:val="20"/>
                <w:szCs w:val="20"/>
              </w:rPr>
              <w:t>– siltuma maksas sadalītāju iekārtas un tās uzstādīšanas izmaksas par vienu sildelementu (</w:t>
            </w:r>
            <w:proofErr w:type="spellStart"/>
            <w:r w:rsidRPr="00712FE5">
              <w:rPr>
                <w:i/>
                <w:iCs/>
                <w:sz w:val="20"/>
                <w:szCs w:val="20"/>
              </w:rPr>
              <w:t>euro</w:t>
            </w:r>
            <w:proofErr w:type="spellEnd"/>
            <w:r w:rsidRPr="00712FE5">
              <w:rPr>
                <w:sz w:val="20"/>
                <w:szCs w:val="20"/>
              </w:rPr>
              <w:t>);</w:t>
            </w:r>
          </w:p>
          <w:p w14:paraId="4429D7A0" w14:textId="77777777" w:rsidR="00B770EA" w:rsidRPr="00712FE5" w:rsidRDefault="00B770EA" w:rsidP="00B770EA">
            <w:pPr>
              <w:tabs>
                <w:tab w:val="left" w:pos="3123"/>
              </w:tabs>
              <w:rPr>
                <w:sz w:val="20"/>
                <w:szCs w:val="20"/>
              </w:rPr>
            </w:pPr>
            <w:r w:rsidRPr="00712FE5">
              <w:rPr>
                <w:i/>
                <w:iCs/>
                <w:sz w:val="20"/>
                <w:szCs w:val="20"/>
              </w:rPr>
              <w:t>I</w:t>
            </w:r>
            <w:r w:rsidRPr="00712FE5">
              <w:rPr>
                <w:i/>
                <w:iCs/>
                <w:sz w:val="20"/>
                <w:szCs w:val="20"/>
                <w:vertAlign w:val="subscript"/>
              </w:rPr>
              <w:t>pap.reg.</w:t>
            </w:r>
            <w:r w:rsidRPr="00712FE5">
              <w:rPr>
                <w:sz w:val="20"/>
                <w:szCs w:val="20"/>
                <w:vertAlign w:val="subscript"/>
              </w:rPr>
              <w:t> </w:t>
            </w:r>
            <w:r w:rsidRPr="00712FE5">
              <w:rPr>
                <w:sz w:val="20"/>
                <w:szCs w:val="20"/>
              </w:rPr>
              <w:t xml:space="preserve">– termoregulatoru un </w:t>
            </w:r>
            <w:proofErr w:type="spellStart"/>
            <w:r w:rsidRPr="00712FE5">
              <w:rPr>
                <w:sz w:val="20"/>
                <w:szCs w:val="20"/>
              </w:rPr>
              <w:t>apvadcauruļu</w:t>
            </w:r>
            <w:proofErr w:type="spellEnd"/>
            <w:r w:rsidRPr="00712FE5">
              <w:rPr>
                <w:sz w:val="20"/>
                <w:szCs w:val="20"/>
              </w:rPr>
              <w:t xml:space="preserve"> uzstādīšanas izmaksas par vienu sildelementu (</w:t>
            </w:r>
            <w:proofErr w:type="spellStart"/>
            <w:r w:rsidRPr="00712FE5">
              <w:rPr>
                <w:i/>
                <w:iCs/>
                <w:sz w:val="20"/>
                <w:szCs w:val="20"/>
              </w:rPr>
              <w:t>euro</w:t>
            </w:r>
            <w:proofErr w:type="spellEnd"/>
            <w:r w:rsidRPr="00712FE5">
              <w:rPr>
                <w:sz w:val="20"/>
                <w:szCs w:val="20"/>
              </w:rPr>
              <w:t>);</w:t>
            </w:r>
          </w:p>
          <w:p w14:paraId="1441E2FA" w14:textId="77777777" w:rsidR="00B770EA" w:rsidRPr="00712FE5" w:rsidRDefault="00B770EA" w:rsidP="00B770EA">
            <w:pPr>
              <w:rPr>
                <w:sz w:val="20"/>
                <w:szCs w:val="20"/>
              </w:rPr>
            </w:pPr>
            <w:proofErr w:type="spellStart"/>
            <w:r w:rsidRPr="00712FE5">
              <w:rPr>
                <w:i/>
                <w:iCs/>
                <w:sz w:val="20"/>
                <w:szCs w:val="20"/>
              </w:rPr>
              <w:t>I</w:t>
            </w:r>
            <w:r w:rsidRPr="00712FE5">
              <w:rPr>
                <w:i/>
                <w:iCs/>
                <w:sz w:val="20"/>
                <w:szCs w:val="20"/>
                <w:vertAlign w:val="subscript"/>
              </w:rPr>
              <w:t>pap.rad</w:t>
            </w:r>
            <w:proofErr w:type="spellEnd"/>
            <w:r w:rsidRPr="00712FE5">
              <w:rPr>
                <w:sz w:val="20"/>
                <w:szCs w:val="20"/>
                <w:vertAlign w:val="subscript"/>
              </w:rPr>
              <w:t>.</w:t>
            </w:r>
            <w:r w:rsidRPr="00712FE5">
              <w:rPr>
                <w:sz w:val="20"/>
                <w:szCs w:val="20"/>
              </w:rPr>
              <w:t xml:space="preserve"> – viena </w:t>
            </w:r>
            <w:proofErr w:type="spellStart"/>
            <w:r w:rsidRPr="00712FE5">
              <w:rPr>
                <w:sz w:val="20"/>
                <w:szCs w:val="20"/>
              </w:rPr>
              <w:t>sildelementa</w:t>
            </w:r>
            <w:proofErr w:type="spellEnd"/>
            <w:r w:rsidRPr="00712FE5">
              <w:rPr>
                <w:sz w:val="20"/>
                <w:szCs w:val="20"/>
              </w:rPr>
              <w:t xml:space="preserve"> uzstādīšanas izmaksas (</w:t>
            </w:r>
            <w:proofErr w:type="spellStart"/>
            <w:r w:rsidRPr="00712FE5">
              <w:rPr>
                <w:i/>
                <w:iCs/>
                <w:sz w:val="20"/>
                <w:szCs w:val="20"/>
              </w:rPr>
              <w:t>euro</w:t>
            </w:r>
            <w:proofErr w:type="spellEnd"/>
            <w:r w:rsidRPr="00712FE5">
              <w:rPr>
                <w:sz w:val="20"/>
                <w:szCs w:val="20"/>
              </w:rPr>
              <w:t>);</w:t>
            </w:r>
          </w:p>
          <w:p w14:paraId="3EAD6018" w14:textId="77777777" w:rsidR="00B770EA" w:rsidRPr="00712FE5" w:rsidRDefault="00B770EA" w:rsidP="00B770EA">
            <w:pPr>
              <w:pStyle w:val="naisc"/>
              <w:spacing w:before="0" w:after="0"/>
              <w:jc w:val="both"/>
            </w:pPr>
            <w:r w:rsidRPr="00712FE5">
              <w:rPr>
                <w:i/>
                <w:iCs/>
                <w:sz w:val="20"/>
                <w:szCs w:val="20"/>
              </w:rPr>
              <w:t>N</w:t>
            </w:r>
            <w:r w:rsidRPr="00712FE5">
              <w:rPr>
                <w:sz w:val="20"/>
                <w:szCs w:val="20"/>
              </w:rPr>
              <w:t> – sildelementu skaits ēkā.</w:t>
            </w:r>
            <w:r w:rsidRPr="00712FE5">
              <w:t>”</w:t>
            </w:r>
          </w:p>
          <w:p w14:paraId="1C4C594E" w14:textId="77777777" w:rsidR="00B770EA" w:rsidRPr="00712FE5" w:rsidRDefault="00B770EA" w:rsidP="00B770EA">
            <w:pPr>
              <w:pStyle w:val="naisc"/>
              <w:spacing w:before="0" w:after="0"/>
              <w:jc w:val="both"/>
            </w:pPr>
          </w:p>
        </w:tc>
        <w:tc>
          <w:tcPr>
            <w:tcW w:w="4394" w:type="dxa"/>
            <w:tcBorders>
              <w:left w:val="single" w:sz="6" w:space="0" w:color="000000"/>
              <w:bottom w:val="single" w:sz="4" w:space="0" w:color="auto"/>
              <w:right w:val="single" w:sz="6" w:space="0" w:color="000000"/>
            </w:tcBorders>
          </w:tcPr>
          <w:p w14:paraId="380ABDFC" w14:textId="77777777" w:rsidR="00B770EA" w:rsidRPr="00712FE5" w:rsidRDefault="00B770EA" w:rsidP="00B770EA">
            <w:pPr>
              <w:pStyle w:val="naisc"/>
              <w:spacing w:before="0" w:after="0"/>
              <w:jc w:val="both"/>
              <w:rPr>
                <w:b/>
                <w:bCs/>
              </w:rPr>
            </w:pPr>
            <w:r w:rsidRPr="00712FE5">
              <w:rPr>
                <w:b/>
                <w:bCs/>
              </w:rPr>
              <w:t>Latvijas Lielo pilsētu asociācija</w:t>
            </w:r>
          </w:p>
          <w:p w14:paraId="0F272C50" w14:textId="77777777" w:rsidR="00B770EA" w:rsidRPr="00712FE5" w:rsidRDefault="00B770EA" w:rsidP="00B770EA">
            <w:r w:rsidRPr="00712FE5">
              <w:t xml:space="preserve">Rosinām izvērtēt iespēju vienkāršot noteikumu projekta 1. pielikuma 1. punktā noteikto formulu, piemēram izsakot to šādā redakcijā: </w:t>
            </w:r>
          </w:p>
          <w:p w14:paraId="6CDBC2A4" w14:textId="77777777" w:rsidR="00B770EA" w:rsidRPr="00712FE5" w:rsidRDefault="00B770EA" w:rsidP="00B770EA">
            <w:pPr>
              <w:pStyle w:val="naisc"/>
              <w:spacing w:before="0" w:after="0"/>
              <w:jc w:val="both"/>
              <w:rPr>
                <w:b/>
                <w:bCs/>
              </w:rPr>
            </w:pPr>
            <w:r w:rsidRPr="00712FE5">
              <w:rPr>
                <w:sz w:val="18"/>
                <w:szCs w:val="18"/>
              </w:rPr>
              <w:t>“</w:t>
            </w:r>
            <w:proofErr w:type="spellStart"/>
            <w:r w:rsidRPr="00712FE5">
              <w:rPr>
                <w:sz w:val="18"/>
                <w:szCs w:val="18"/>
              </w:rPr>
              <w:t>Ikop.uzst</w:t>
            </w:r>
            <w:proofErr w:type="spellEnd"/>
            <w:r w:rsidRPr="00712FE5">
              <w:rPr>
                <w:sz w:val="18"/>
                <w:szCs w:val="18"/>
              </w:rPr>
              <w:t>. = (Ial.</w:t>
            </w:r>
            <w:proofErr w:type="spellStart"/>
            <w:r w:rsidRPr="00712FE5">
              <w:rPr>
                <w:sz w:val="18"/>
                <w:szCs w:val="18"/>
              </w:rPr>
              <w:t>uzst</w:t>
            </w:r>
            <w:proofErr w:type="spellEnd"/>
            <w:r w:rsidRPr="00712FE5">
              <w:rPr>
                <w:sz w:val="18"/>
                <w:szCs w:val="18"/>
              </w:rPr>
              <w:t>.+Ipap.</w:t>
            </w:r>
            <w:proofErr w:type="spellStart"/>
            <w:r w:rsidRPr="00712FE5">
              <w:rPr>
                <w:sz w:val="18"/>
                <w:szCs w:val="18"/>
              </w:rPr>
              <w:t>reg</w:t>
            </w:r>
            <w:proofErr w:type="spellEnd"/>
            <w:r w:rsidRPr="00712FE5">
              <w:rPr>
                <w:sz w:val="18"/>
                <w:szCs w:val="18"/>
              </w:rPr>
              <w:t>.+</w:t>
            </w:r>
            <w:proofErr w:type="spellStart"/>
            <w:r w:rsidRPr="00712FE5">
              <w:rPr>
                <w:sz w:val="18"/>
                <w:szCs w:val="18"/>
              </w:rPr>
              <w:t>Ipap.rad</w:t>
            </w:r>
            <w:proofErr w:type="spellEnd"/>
            <w:r w:rsidRPr="00712FE5">
              <w:rPr>
                <w:sz w:val="18"/>
                <w:szCs w:val="18"/>
              </w:rPr>
              <w:t>.) x N”</w:t>
            </w:r>
            <w:r w:rsidRPr="00712FE5">
              <w:t>.</w:t>
            </w:r>
          </w:p>
        </w:tc>
        <w:tc>
          <w:tcPr>
            <w:tcW w:w="3119" w:type="dxa"/>
            <w:gridSpan w:val="2"/>
            <w:tcBorders>
              <w:left w:val="single" w:sz="6" w:space="0" w:color="000000"/>
              <w:bottom w:val="single" w:sz="4" w:space="0" w:color="auto"/>
              <w:right w:val="single" w:sz="6" w:space="0" w:color="000000"/>
            </w:tcBorders>
          </w:tcPr>
          <w:p w14:paraId="45C6F5A7" w14:textId="77777777" w:rsidR="00B770EA" w:rsidRPr="00712FE5" w:rsidRDefault="00B770EA" w:rsidP="00B770EA">
            <w:pPr>
              <w:pStyle w:val="naisc"/>
              <w:spacing w:before="0" w:after="0"/>
              <w:rPr>
                <w:b/>
                <w:bCs/>
              </w:rPr>
            </w:pPr>
            <w:r w:rsidRPr="00712FE5">
              <w:rPr>
                <w:b/>
                <w:bCs/>
              </w:rPr>
              <w:t>Panākta vienošanās.</w:t>
            </w:r>
          </w:p>
          <w:p w14:paraId="7CCAED0B" w14:textId="77777777" w:rsidR="00B770EA" w:rsidRPr="00712FE5" w:rsidRDefault="00B770EA" w:rsidP="00B770EA">
            <w:pPr>
              <w:pStyle w:val="naisc"/>
              <w:spacing w:before="0" w:after="0"/>
              <w:jc w:val="both"/>
            </w:pPr>
            <w:r w:rsidRPr="00712FE5">
              <w:t xml:space="preserve">Kopējās siltuma maksas sadalītāju un to darbībai nepieciešamo iekārtu uzstādīšanas izmaksas ir atkarīgas no katra konkrētā gadījuma, tajā skaitā no katram </w:t>
            </w:r>
            <w:proofErr w:type="spellStart"/>
            <w:r w:rsidRPr="00712FE5">
              <w:t>sildelementam</w:t>
            </w:r>
            <w:proofErr w:type="spellEnd"/>
            <w:r w:rsidRPr="00712FE5">
              <w:t xml:space="preserve"> nepieciešamajiem pielāgošanas darbiem iekārtu uzstādīšanai, kas var nebūt nepieciešami visiem </w:t>
            </w:r>
            <w:proofErr w:type="spellStart"/>
            <w:r w:rsidRPr="00712FE5">
              <w:t>sildelementiem</w:t>
            </w:r>
            <w:proofErr w:type="spellEnd"/>
            <w:r w:rsidRPr="00712FE5">
              <w:t xml:space="preserve"> telpu grupā vai ēkā. Ja kādas no formulā paredzētajām izmaksām nebūs nepieciešamas, tās aprēķinos netiks iekļautas.</w:t>
            </w:r>
          </w:p>
        </w:tc>
        <w:tc>
          <w:tcPr>
            <w:tcW w:w="3118" w:type="dxa"/>
            <w:tcBorders>
              <w:top w:val="single" w:sz="4" w:space="0" w:color="auto"/>
              <w:left w:val="single" w:sz="4" w:space="0" w:color="auto"/>
              <w:bottom w:val="single" w:sz="4" w:space="0" w:color="auto"/>
            </w:tcBorders>
          </w:tcPr>
          <w:p w14:paraId="0FF4B5FC" w14:textId="77777777" w:rsidR="00B770EA" w:rsidRPr="00712FE5" w:rsidRDefault="00B770EA" w:rsidP="00B770EA">
            <w:r w:rsidRPr="00712FE5">
              <w:t>1. pielikuma 1. punkts:</w:t>
            </w:r>
          </w:p>
          <w:p w14:paraId="39F6491B" w14:textId="77777777" w:rsidR="00B770EA" w:rsidRPr="00712FE5" w:rsidRDefault="00B770EA" w:rsidP="00B770EA">
            <w:pPr>
              <w:pStyle w:val="ListParagraph"/>
              <w:tabs>
                <w:tab w:val="left" w:pos="3123"/>
              </w:tabs>
              <w:spacing w:after="0" w:line="240" w:lineRule="auto"/>
              <w:ind w:left="0"/>
              <w:rPr>
                <w:rFonts w:ascii="Times New Roman" w:hAnsi="Times New Roman"/>
                <w:sz w:val="24"/>
                <w:szCs w:val="24"/>
                <w:lang w:eastAsia="lv-LV"/>
              </w:rPr>
            </w:pPr>
            <w:r w:rsidRPr="00712FE5">
              <w:rPr>
                <w:rFonts w:ascii="Times New Roman" w:hAnsi="Times New Roman"/>
                <w:sz w:val="24"/>
                <w:szCs w:val="24"/>
              </w:rPr>
              <w:t>”1. Kopējās siltuma maksas sadalītāju un to darbībai nepieciešamo iekārtu uzstādīšanas un apkures sistēmas pielāgošanas izmaksas aprēķina, izmantojot šādu formulu:</w:t>
            </w:r>
          </w:p>
          <w:p w14:paraId="385F725E" w14:textId="2E3024D7" w:rsidR="00B770EA" w:rsidRPr="00712FE5" w:rsidRDefault="00F56801" w:rsidP="00B770EA">
            <w:pPr>
              <w:pStyle w:val="ListParagraph"/>
              <w:tabs>
                <w:tab w:val="left" w:pos="3123"/>
              </w:tabs>
              <w:spacing w:after="0" w:line="240" w:lineRule="auto"/>
              <w:ind w:left="33"/>
              <w:rPr>
                <w:rFonts w:ascii="Times New Roman" w:hAnsi="Times New Roman"/>
                <w:sz w:val="24"/>
                <w:szCs w:val="24"/>
                <w:lang w:eastAsia="lv-LV"/>
              </w:rPr>
            </w:pPr>
            <m:oMathPara>
              <m:oMath>
                <m:sSub>
                  <m:sSubPr>
                    <m:ctrlPr>
                      <w:rPr>
                        <w:rFonts w:ascii="Cambria Math" w:hAnsi="Cambria Math"/>
                        <w:i/>
                      </w:rPr>
                    </m:ctrlPr>
                  </m:sSubPr>
                  <m:e>
                    <m:r>
                      <w:rPr>
                        <w:rFonts w:ascii="Cambria Math" w:hAnsi="Cambria Math"/>
                      </w:rPr>
                      <m:t>I</m:t>
                    </m:r>
                  </m:e>
                  <m:sub>
                    <m:r>
                      <w:rPr>
                        <w:rFonts w:ascii="Cambria Math" w:hAnsi="Cambria Math"/>
                      </w:rPr>
                      <m:t>kop.uzst.</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al.uzst.</m:t>
                        </m:r>
                      </m:sub>
                    </m:sSub>
                    <m:r>
                      <w:rPr>
                        <w:rFonts w:ascii="Cambria Math" w:hAnsi="Cambria Math"/>
                      </w:rPr>
                      <m:t>×N</m:t>
                    </m:r>
                  </m:e>
                </m:d>
                <m:r>
                  <w:rPr>
                    <w:rFonts w:ascii="Cambria Math" w:hAnsi="Cambria Math"/>
                  </w:rPr>
                  <m:t>+</m:t>
                </m:r>
              </m:oMath>
            </m:oMathPara>
          </w:p>
          <w:p w14:paraId="40B346A8" w14:textId="64787EE1" w:rsidR="00B770EA" w:rsidRPr="00712FE5" w:rsidRDefault="00F56801" w:rsidP="00B770EA">
            <w:pPr>
              <w:pStyle w:val="ListParagraph"/>
              <w:tabs>
                <w:tab w:val="left" w:pos="3123"/>
              </w:tabs>
              <w:spacing w:after="0" w:line="240" w:lineRule="auto"/>
              <w:ind w:left="33"/>
              <w:jc w:val="left"/>
              <w:rPr>
                <w:rFonts w:ascii="Times New Roman" w:hAnsi="Times New Roman"/>
                <w:sz w:val="24"/>
                <w:szCs w:val="24"/>
              </w:rPr>
            </w:pPr>
            <m:oMathPara>
              <m:oMath>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pap.reg.</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pap.reg.</m:t>
                        </m:r>
                      </m:sub>
                    </m:sSub>
                  </m:e>
                </m:d>
                <m:r>
                  <w:rPr>
                    <w:rFonts w:ascii="Cambria Math" w:hAnsi="Cambria Math"/>
                  </w:rPr>
                  <m:t>+</m:t>
                </m:r>
              </m:oMath>
            </m:oMathPara>
          </w:p>
          <w:p w14:paraId="38AA71F3" w14:textId="236CBF22" w:rsidR="00B770EA" w:rsidRPr="00712FE5" w:rsidRDefault="00F56801" w:rsidP="00B770EA">
            <w:pPr>
              <w:pStyle w:val="ListParagraph"/>
              <w:tabs>
                <w:tab w:val="left" w:pos="3123"/>
              </w:tabs>
              <w:spacing w:after="0" w:line="240" w:lineRule="auto"/>
              <w:ind w:left="33"/>
              <w:jc w:val="left"/>
              <w:rPr>
                <w:rFonts w:ascii="Times New Roman" w:hAnsi="Times New Roman"/>
                <w:sz w:val="24"/>
                <w:szCs w:val="24"/>
              </w:rPr>
            </w:pPr>
            <m:oMathPara>
              <m:oMath>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pap.rad.</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pap.rad.</m:t>
                        </m:r>
                      </m:sub>
                    </m:sSub>
                  </m:e>
                </m:d>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apk.</m:t>
                    </m:r>
                  </m:sub>
                </m:sSub>
              </m:oMath>
            </m:oMathPara>
          </w:p>
          <w:p w14:paraId="7DE245B9" w14:textId="77777777" w:rsidR="00B770EA" w:rsidRPr="00712FE5" w:rsidRDefault="00B770EA" w:rsidP="00B770EA">
            <w:pPr>
              <w:pStyle w:val="ListParagraph"/>
              <w:tabs>
                <w:tab w:val="left" w:pos="3123"/>
              </w:tabs>
              <w:spacing w:after="0" w:line="240" w:lineRule="auto"/>
              <w:ind w:left="284"/>
              <w:rPr>
                <w:rFonts w:ascii="Times New Roman" w:hAnsi="Times New Roman"/>
                <w:sz w:val="24"/>
                <w:szCs w:val="24"/>
                <w:lang w:eastAsia="lv-LV"/>
              </w:rPr>
            </w:pPr>
            <w:r w:rsidRPr="00712FE5">
              <w:rPr>
                <w:rFonts w:ascii="Times New Roman" w:hAnsi="Times New Roman"/>
                <w:sz w:val="24"/>
                <w:szCs w:val="24"/>
                <w:lang w:eastAsia="lv-LV"/>
              </w:rPr>
              <w:t>kur:</w:t>
            </w:r>
          </w:p>
          <w:p w14:paraId="6C99D13A" w14:textId="77777777" w:rsidR="00B770EA" w:rsidRPr="00712FE5" w:rsidRDefault="00B770EA" w:rsidP="00B770EA">
            <w:pPr>
              <w:tabs>
                <w:tab w:val="left" w:pos="3123"/>
              </w:tabs>
              <w:rPr>
                <w:sz w:val="20"/>
                <w:szCs w:val="20"/>
              </w:rPr>
            </w:pPr>
            <w:proofErr w:type="spellStart"/>
            <w:r w:rsidRPr="00712FE5">
              <w:rPr>
                <w:i/>
                <w:iCs/>
                <w:sz w:val="20"/>
                <w:szCs w:val="20"/>
              </w:rPr>
              <w:t>I</w:t>
            </w:r>
            <w:r w:rsidRPr="00712FE5">
              <w:rPr>
                <w:i/>
                <w:iCs/>
                <w:sz w:val="20"/>
                <w:szCs w:val="20"/>
                <w:vertAlign w:val="subscript"/>
              </w:rPr>
              <w:t>kop.uzst</w:t>
            </w:r>
            <w:proofErr w:type="spellEnd"/>
            <w:r w:rsidRPr="00712FE5">
              <w:rPr>
                <w:i/>
                <w:iCs/>
                <w:sz w:val="20"/>
                <w:szCs w:val="20"/>
                <w:vertAlign w:val="subscript"/>
              </w:rPr>
              <w:t>.</w:t>
            </w:r>
            <w:r w:rsidRPr="00712FE5">
              <w:rPr>
                <w:sz w:val="20"/>
                <w:szCs w:val="20"/>
              </w:rPr>
              <w:t> – kopējās iekārtu uzstādīšanas izmaksas (</w:t>
            </w:r>
            <w:proofErr w:type="spellStart"/>
            <w:r w:rsidRPr="00712FE5">
              <w:rPr>
                <w:i/>
                <w:iCs/>
                <w:sz w:val="20"/>
                <w:szCs w:val="20"/>
              </w:rPr>
              <w:t>euro</w:t>
            </w:r>
            <w:proofErr w:type="spellEnd"/>
            <w:r w:rsidRPr="00712FE5">
              <w:rPr>
                <w:sz w:val="20"/>
                <w:szCs w:val="20"/>
              </w:rPr>
              <w:t>);</w:t>
            </w:r>
          </w:p>
          <w:p w14:paraId="63FC8432" w14:textId="77777777" w:rsidR="00B770EA" w:rsidRPr="00712FE5" w:rsidRDefault="00B770EA" w:rsidP="00B770EA">
            <w:pPr>
              <w:rPr>
                <w:sz w:val="20"/>
                <w:szCs w:val="20"/>
              </w:rPr>
            </w:pPr>
            <w:proofErr w:type="spellStart"/>
            <w:r w:rsidRPr="00712FE5">
              <w:rPr>
                <w:i/>
                <w:iCs/>
                <w:sz w:val="20"/>
                <w:szCs w:val="20"/>
              </w:rPr>
              <w:t>I</w:t>
            </w:r>
            <w:r w:rsidRPr="00712FE5">
              <w:rPr>
                <w:i/>
                <w:iCs/>
                <w:sz w:val="20"/>
                <w:szCs w:val="20"/>
                <w:vertAlign w:val="subscript"/>
              </w:rPr>
              <w:t>al.uzst</w:t>
            </w:r>
            <w:proofErr w:type="spellEnd"/>
            <w:r w:rsidRPr="00712FE5">
              <w:rPr>
                <w:sz w:val="20"/>
                <w:szCs w:val="20"/>
                <w:vertAlign w:val="subscript"/>
              </w:rPr>
              <w:t>. </w:t>
            </w:r>
            <w:r w:rsidRPr="00712FE5">
              <w:rPr>
                <w:sz w:val="20"/>
                <w:szCs w:val="20"/>
              </w:rPr>
              <w:t>– siltuma maksas sadalītāju iekārtas un tās uzstādīšanas izmaksas par vienu sildelementu (</w:t>
            </w:r>
            <w:proofErr w:type="spellStart"/>
            <w:r w:rsidRPr="00712FE5">
              <w:rPr>
                <w:i/>
                <w:iCs/>
                <w:sz w:val="20"/>
                <w:szCs w:val="20"/>
              </w:rPr>
              <w:t>euro</w:t>
            </w:r>
            <w:proofErr w:type="spellEnd"/>
            <w:r w:rsidRPr="00712FE5">
              <w:rPr>
                <w:sz w:val="20"/>
                <w:szCs w:val="20"/>
              </w:rPr>
              <w:t>);</w:t>
            </w:r>
          </w:p>
          <w:p w14:paraId="6968622E" w14:textId="77777777" w:rsidR="00B770EA" w:rsidRPr="00712FE5" w:rsidRDefault="00B770EA" w:rsidP="00B770EA">
            <w:pPr>
              <w:tabs>
                <w:tab w:val="left" w:pos="3123"/>
              </w:tabs>
              <w:rPr>
                <w:sz w:val="20"/>
                <w:szCs w:val="20"/>
              </w:rPr>
            </w:pPr>
            <w:r w:rsidRPr="00712FE5">
              <w:rPr>
                <w:i/>
                <w:iCs/>
                <w:sz w:val="20"/>
                <w:szCs w:val="20"/>
              </w:rPr>
              <w:t>I</w:t>
            </w:r>
            <w:r w:rsidRPr="00712FE5">
              <w:rPr>
                <w:i/>
                <w:iCs/>
                <w:sz w:val="20"/>
                <w:szCs w:val="20"/>
                <w:vertAlign w:val="subscript"/>
              </w:rPr>
              <w:t>pap.reg.</w:t>
            </w:r>
            <w:r w:rsidRPr="00712FE5">
              <w:rPr>
                <w:sz w:val="20"/>
                <w:szCs w:val="20"/>
                <w:vertAlign w:val="subscript"/>
              </w:rPr>
              <w:t> </w:t>
            </w:r>
            <w:r w:rsidRPr="00712FE5">
              <w:rPr>
                <w:sz w:val="20"/>
                <w:szCs w:val="20"/>
              </w:rPr>
              <w:t xml:space="preserve">– termoregulatoru un </w:t>
            </w:r>
            <w:proofErr w:type="spellStart"/>
            <w:r w:rsidRPr="00712FE5">
              <w:rPr>
                <w:sz w:val="20"/>
                <w:szCs w:val="20"/>
              </w:rPr>
              <w:t>apvadcauruļu</w:t>
            </w:r>
            <w:proofErr w:type="spellEnd"/>
            <w:r w:rsidRPr="00712FE5">
              <w:rPr>
                <w:sz w:val="20"/>
                <w:szCs w:val="20"/>
              </w:rPr>
              <w:t xml:space="preserve"> uzstādīšanas izmaksas par vienu sildelementu (</w:t>
            </w:r>
            <w:proofErr w:type="spellStart"/>
            <w:r w:rsidRPr="00712FE5">
              <w:rPr>
                <w:i/>
                <w:iCs/>
                <w:sz w:val="20"/>
                <w:szCs w:val="20"/>
              </w:rPr>
              <w:t>euro</w:t>
            </w:r>
            <w:proofErr w:type="spellEnd"/>
            <w:r w:rsidRPr="00712FE5">
              <w:rPr>
                <w:sz w:val="20"/>
                <w:szCs w:val="20"/>
              </w:rPr>
              <w:t>);</w:t>
            </w:r>
          </w:p>
          <w:p w14:paraId="648B6DC1" w14:textId="77777777" w:rsidR="00B770EA" w:rsidRPr="00712FE5" w:rsidRDefault="00B770EA" w:rsidP="00B770EA">
            <w:pPr>
              <w:rPr>
                <w:sz w:val="20"/>
                <w:szCs w:val="20"/>
              </w:rPr>
            </w:pPr>
            <w:proofErr w:type="spellStart"/>
            <w:r w:rsidRPr="00712FE5">
              <w:rPr>
                <w:i/>
                <w:iCs/>
                <w:sz w:val="20"/>
                <w:szCs w:val="20"/>
              </w:rPr>
              <w:t>I</w:t>
            </w:r>
            <w:r w:rsidRPr="00712FE5">
              <w:rPr>
                <w:i/>
                <w:iCs/>
                <w:sz w:val="20"/>
                <w:szCs w:val="20"/>
                <w:vertAlign w:val="subscript"/>
              </w:rPr>
              <w:t>pap.rad</w:t>
            </w:r>
            <w:proofErr w:type="spellEnd"/>
            <w:r w:rsidRPr="00712FE5">
              <w:rPr>
                <w:sz w:val="20"/>
                <w:szCs w:val="20"/>
                <w:vertAlign w:val="subscript"/>
              </w:rPr>
              <w:t>.</w:t>
            </w:r>
            <w:r w:rsidRPr="00712FE5">
              <w:rPr>
                <w:sz w:val="20"/>
                <w:szCs w:val="20"/>
              </w:rPr>
              <w:t xml:space="preserve"> – viena </w:t>
            </w:r>
            <w:proofErr w:type="spellStart"/>
            <w:r w:rsidRPr="00712FE5">
              <w:rPr>
                <w:sz w:val="20"/>
                <w:szCs w:val="20"/>
              </w:rPr>
              <w:t>sildelementa</w:t>
            </w:r>
            <w:proofErr w:type="spellEnd"/>
            <w:r w:rsidRPr="00712FE5">
              <w:rPr>
                <w:sz w:val="20"/>
                <w:szCs w:val="20"/>
              </w:rPr>
              <w:t xml:space="preserve"> uzstādīšanas izmaksas (</w:t>
            </w:r>
            <w:proofErr w:type="spellStart"/>
            <w:r w:rsidRPr="00712FE5">
              <w:rPr>
                <w:i/>
                <w:iCs/>
                <w:sz w:val="20"/>
                <w:szCs w:val="20"/>
              </w:rPr>
              <w:t>euro</w:t>
            </w:r>
            <w:proofErr w:type="spellEnd"/>
            <w:r w:rsidRPr="00712FE5">
              <w:rPr>
                <w:sz w:val="20"/>
                <w:szCs w:val="20"/>
              </w:rPr>
              <w:t>);</w:t>
            </w:r>
          </w:p>
          <w:p w14:paraId="53FE664B" w14:textId="77777777" w:rsidR="00B770EA" w:rsidRPr="00712FE5" w:rsidRDefault="00B770EA" w:rsidP="00B770EA">
            <w:pPr>
              <w:rPr>
                <w:sz w:val="20"/>
                <w:szCs w:val="20"/>
              </w:rPr>
            </w:pPr>
            <w:r w:rsidRPr="00712FE5">
              <w:rPr>
                <w:i/>
                <w:iCs/>
                <w:sz w:val="20"/>
                <w:szCs w:val="20"/>
              </w:rPr>
              <w:t>N</w:t>
            </w:r>
            <w:r w:rsidRPr="00712FE5">
              <w:rPr>
                <w:sz w:val="20"/>
                <w:szCs w:val="20"/>
              </w:rPr>
              <w:t> – sildelementu skaits ēkā;</w:t>
            </w:r>
          </w:p>
          <w:p w14:paraId="61A73BA3" w14:textId="77777777" w:rsidR="00B770EA" w:rsidRPr="00712FE5" w:rsidRDefault="00B770EA" w:rsidP="00B770EA">
            <w:pPr>
              <w:rPr>
                <w:sz w:val="20"/>
                <w:szCs w:val="20"/>
              </w:rPr>
            </w:pPr>
            <w:r w:rsidRPr="00712FE5">
              <w:rPr>
                <w:i/>
                <w:iCs/>
                <w:sz w:val="20"/>
                <w:szCs w:val="20"/>
              </w:rPr>
              <w:lastRenderedPageBreak/>
              <w:t>N</w:t>
            </w:r>
            <w:r w:rsidRPr="00712FE5">
              <w:rPr>
                <w:i/>
                <w:iCs/>
                <w:sz w:val="20"/>
                <w:szCs w:val="20"/>
                <w:vertAlign w:val="subscript"/>
              </w:rPr>
              <w:t>pap.reg.</w:t>
            </w:r>
            <w:r w:rsidRPr="00712FE5">
              <w:rPr>
                <w:sz w:val="20"/>
                <w:szCs w:val="20"/>
              </w:rPr>
              <w:t xml:space="preserve"> – sildelementu skaits, kam jāuzstāda </w:t>
            </w:r>
            <w:proofErr w:type="spellStart"/>
            <w:r w:rsidRPr="00712FE5">
              <w:rPr>
                <w:sz w:val="20"/>
                <w:szCs w:val="20"/>
              </w:rPr>
              <w:t>termoregulators</w:t>
            </w:r>
            <w:proofErr w:type="spellEnd"/>
            <w:r w:rsidRPr="00712FE5">
              <w:rPr>
                <w:sz w:val="20"/>
                <w:szCs w:val="20"/>
              </w:rPr>
              <w:t xml:space="preserve"> vai </w:t>
            </w:r>
            <w:proofErr w:type="spellStart"/>
            <w:r w:rsidRPr="00712FE5">
              <w:rPr>
                <w:sz w:val="20"/>
                <w:szCs w:val="20"/>
              </w:rPr>
              <w:t>apvadcaurules</w:t>
            </w:r>
            <w:proofErr w:type="spellEnd"/>
            <w:r w:rsidRPr="00712FE5">
              <w:rPr>
                <w:sz w:val="20"/>
                <w:szCs w:val="20"/>
              </w:rPr>
              <w:t>;</w:t>
            </w:r>
          </w:p>
          <w:p w14:paraId="67A7C7BC" w14:textId="77777777" w:rsidR="00B770EA" w:rsidRPr="00712FE5" w:rsidRDefault="00B770EA" w:rsidP="00B770EA">
            <w:pPr>
              <w:rPr>
                <w:sz w:val="20"/>
                <w:szCs w:val="20"/>
              </w:rPr>
            </w:pPr>
            <w:proofErr w:type="spellStart"/>
            <w:r w:rsidRPr="00712FE5">
              <w:rPr>
                <w:i/>
                <w:iCs/>
                <w:sz w:val="20"/>
                <w:szCs w:val="20"/>
              </w:rPr>
              <w:t>N</w:t>
            </w:r>
            <w:r w:rsidRPr="00712FE5">
              <w:rPr>
                <w:i/>
                <w:iCs/>
                <w:sz w:val="20"/>
                <w:szCs w:val="20"/>
                <w:vertAlign w:val="subscript"/>
              </w:rPr>
              <w:t>pap.rad</w:t>
            </w:r>
            <w:proofErr w:type="spellEnd"/>
            <w:r w:rsidRPr="00712FE5">
              <w:rPr>
                <w:i/>
                <w:iCs/>
                <w:sz w:val="20"/>
                <w:szCs w:val="20"/>
                <w:vertAlign w:val="subscript"/>
              </w:rPr>
              <w:t>.</w:t>
            </w:r>
            <w:r w:rsidRPr="00712FE5">
              <w:rPr>
                <w:sz w:val="20"/>
                <w:szCs w:val="20"/>
              </w:rPr>
              <w:t> – sildelementu skaits, kas jāuzstāda;</w:t>
            </w:r>
          </w:p>
          <w:p w14:paraId="2AA66A3D" w14:textId="77777777" w:rsidR="00B770EA" w:rsidRPr="00712FE5" w:rsidRDefault="00B770EA" w:rsidP="00B770EA">
            <w:pPr>
              <w:rPr>
                <w:sz w:val="20"/>
                <w:szCs w:val="20"/>
              </w:rPr>
            </w:pPr>
            <w:proofErr w:type="spellStart"/>
            <w:r w:rsidRPr="00712FE5">
              <w:rPr>
                <w:i/>
                <w:iCs/>
                <w:sz w:val="20"/>
                <w:szCs w:val="20"/>
              </w:rPr>
              <w:t>I</w:t>
            </w:r>
            <w:r w:rsidRPr="00712FE5">
              <w:rPr>
                <w:i/>
                <w:iCs/>
                <w:sz w:val="20"/>
                <w:szCs w:val="20"/>
                <w:vertAlign w:val="subscript"/>
              </w:rPr>
              <w:t>apk</w:t>
            </w:r>
            <w:proofErr w:type="spellEnd"/>
            <w:r w:rsidRPr="00712FE5">
              <w:rPr>
                <w:i/>
                <w:iCs/>
                <w:sz w:val="20"/>
                <w:szCs w:val="20"/>
                <w:vertAlign w:val="subscript"/>
              </w:rPr>
              <w:t>..</w:t>
            </w:r>
            <w:r w:rsidRPr="00712FE5">
              <w:rPr>
                <w:sz w:val="20"/>
                <w:szCs w:val="20"/>
              </w:rPr>
              <w:t> – citas apkures sistēmas pielāgošanas izmaksas, kas nepieciešamas siltuma maksas sadalītāju darbības nodrošināšanai.</w:t>
            </w:r>
            <w:r w:rsidRPr="00712FE5">
              <w:t>”</w:t>
            </w:r>
          </w:p>
        </w:tc>
      </w:tr>
      <w:tr w:rsidR="00B770EA" w:rsidRPr="00712FE5" w14:paraId="6D8C4D39" w14:textId="77777777" w:rsidTr="00F10DF3">
        <w:tc>
          <w:tcPr>
            <w:tcW w:w="708" w:type="dxa"/>
            <w:tcBorders>
              <w:left w:val="single" w:sz="6" w:space="0" w:color="000000"/>
              <w:bottom w:val="single" w:sz="4" w:space="0" w:color="auto"/>
              <w:right w:val="single" w:sz="6" w:space="0" w:color="000000"/>
            </w:tcBorders>
          </w:tcPr>
          <w:p w14:paraId="2292A9BB" w14:textId="788DFD61" w:rsidR="00B770EA" w:rsidRPr="00712FE5" w:rsidRDefault="00B770EA" w:rsidP="00B770EA">
            <w:pPr>
              <w:pStyle w:val="naisc"/>
              <w:spacing w:before="0" w:after="0"/>
            </w:pPr>
            <w:r w:rsidRPr="00712FE5">
              <w:lastRenderedPageBreak/>
              <w:t>2</w:t>
            </w:r>
            <w:r>
              <w:t>8</w:t>
            </w:r>
            <w:r w:rsidRPr="00712FE5">
              <w:t>.</w:t>
            </w:r>
          </w:p>
        </w:tc>
        <w:tc>
          <w:tcPr>
            <w:tcW w:w="3086" w:type="dxa"/>
            <w:gridSpan w:val="2"/>
            <w:tcBorders>
              <w:left w:val="single" w:sz="6" w:space="0" w:color="000000"/>
              <w:bottom w:val="single" w:sz="4" w:space="0" w:color="auto"/>
              <w:right w:val="single" w:sz="6" w:space="0" w:color="000000"/>
            </w:tcBorders>
          </w:tcPr>
          <w:p w14:paraId="6F861D35" w14:textId="77777777" w:rsidR="00B770EA" w:rsidRPr="00712FE5" w:rsidRDefault="00B770EA" w:rsidP="00B770EA">
            <w:pPr>
              <w:pStyle w:val="naisc"/>
              <w:spacing w:before="0" w:after="0"/>
              <w:jc w:val="both"/>
            </w:pPr>
            <w:r w:rsidRPr="00712FE5">
              <w:t>1. pielikuma 2. punkts:</w:t>
            </w:r>
          </w:p>
          <w:p w14:paraId="071B75E4" w14:textId="77777777" w:rsidR="00B770EA" w:rsidRPr="00712FE5" w:rsidRDefault="00B770EA" w:rsidP="00B770EA">
            <w:pPr>
              <w:pStyle w:val="naisc"/>
              <w:spacing w:before="0" w:after="0"/>
              <w:jc w:val="both"/>
            </w:pPr>
            <w:r w:rsidRPr="00712FE5">
              <w:t xml:space="preserve">”2. Kopējās siltuma maksas sadalītāju iekārtu ekspluatācijas izmaksas gadā aprēķina, izmantojot šādu formulu: </w:t>
            </w:r>
          </w:p>
          <w:p w14:paraId="43865437" w14:textId="3C3E268F" w:rsidR="00B770EA" w:rsidRPr="00712FE5" w:rsidRDefault="00F56801" w:rsidP="00B770EA">
            <w:pPr>
              <w:pStyle w:val="naisc"/>
              <w:spacing w:before="0" w:after="0"/>
              <w:jc w:val="both"/>
            </w:pPr>
            <m:oMath>
              <m:sSub>
                <m:sSubPr>
                  <m:ctrlPr>
                    <w:rPr>
                      <w:rFonts w:ascii="Cambria Math" w:hAnsi="Cambria Math"/>
                      <w:i/>
                    </w:rPr>
                  </m:ctrlPr>
                </m:sSubPr>
                <m:e>
                  <m:r>
                    <w:rPr>
                      <w:rFonts w:ascii="Cambria Math" w:hAnsi="Cambria Math"/>
                    </w:rPr>
                    <m:t>I</m:t>
                  </m:r>
                </m:e>
                <m:sub>
                  <m:r>
                    <w:rPr>
                      <w:rFonts w:ascii="Cambria Math" w:hAnsi="Cambria Math"/>
                    </w:rPr>
                    <m:t>ikg.</m:t>
                  </m:r>
                </m:sub>
              </m:sSub>
              <m:r>
                <w:rPr>
                  <w:rFonts w:ascii="Cambria Math" w:hAnsi="Cambria Math"/>
                </w:rPr>
                <m:t>=</m:t>
              </m:r>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I</m:t>
                      </m:r>
                    </m:e>
                    <m:sub>
                      <m:r>
                        <w:rPr>
                          <w:rFonts w:ascii="Cambria Math" w:hAnsi="Cambria Math"/>
                        </w:rPr>
                        <m:t>al.ekspl.</m:t>
                      </m:r>
                    </m:sub>
                  </m:sSub>
                </m:e>
              </m:d>
              <m:r>
                <w:rPr>
                  <w:rFonts w:ascii="Cambria Math" w:hAnsi="Cambria Math"/>
                </w:rPr>
                <m:t>×6</m:t>
              </m:r>
            </m:oMath>
            <w:r w:rsidR="00B770EA" w:rsidRPr="00712FE5">
              <w:t>,</w:t>
            </w:r>
          </w:p>
          <w:p w14:paraId="13599827" w14:textId="77777777" w:rsidR="00B770EA" w:rsidRPr="00712FE5" w:rsidRDefault="00B770EA" w:rsidP="00B770EA">
            <w:pPr>
              <w:pStyle w:val="naisc"/>
              <w:spacing w:before="0" w:after="0"/>
              <w:jc w:val="both"/>
            </w:pPr>
            <w:r w:rsidRPr="00712FE5">
              <w:t>kur</w:t>
            </w:r>
          </w:p>
          <w:p w14:paraId="6F2EBF4C" w14:textId="77777777" w:rsidR="00B770EA" w:rsidRPr="00712FE5" w:rsidRDefault="00B770EA" w:rsidP="00B770EA">
            <w:pPr>
              <w:pStyle w:val="naisc"/>
              <w:spacing w:before="0" w:after="0"/>
              <w:jc w:val="both"/>
            </w:pPr>
            <w:r w:rsidRPr="00712FE5">
              <w:t>..</w:t>
            </w:r>
          </w:p>
          <w:p w14:paraId="6F6DAA1D" w14:textId="77777777" w:rsidR="00B770EA" w:rsidRPr="00712FE5" w:rsidRDefault="00B770EA" w:rsidP="00B770EA">
            <w:pPr>
              <w:pStyle w:val="naisc"/>
              <w:spacing w:before="0" w:after="0"/>
              <w:jc w:val="both"/>
            </w:pPr>
            <w:r w:rsidRPr="00712FE5">
              <w:t>6 – mēnešu skaits apkures sezonā.”</w:t>
            </w:r>
          </w:p>
          <w:p w14:paraId="5D23FCC4" w14:textId="77777777" w:rsidR="00B770EA" w:rsidRPr="00712FE5" w:rsidRDefault="00B770EA" w:rsidP="00B770EA">
            <w:pPr>
              <w:pStyle w:val="naisc"/>
              <w:spacing w:before="0" w:after="0"/>
              <w:jc w:val="both"/>
            </w:pPr>
          </w:p>
          <w:p w14:paraId="48A4CA23" w14:textId="77777777" w:rsidR="00B770EA" w:rsidRPr="00712FE5" w:rsidRDefault="00B770EA" w:rsidP="00B770EA">
            <w:pPr>
              <w:pStyle w:val="naisc"/>
              <w:spacing w:before="0" w:after="0"/>
              <w:jc w:val="both"/>
            </w:pPr>
            <w:r w:rsidRPr="00712FE5">
              <w:t>2. pielikuma 2. punkts:</w:t>
            </w:r>
          </w:p>
          <w:p w14:paraId="74EB7FDF" w14:textId="77777777" w:rsidR="00B770EA" w:rsidRPr="00712FE5" w:rsidRDefault="00B770EA" w:rsidP="00B770EA">
            <w:pPr>
              <w:pStyle w:val="naisc"/>
              <w:spacing w:before="0" w:after="0"/>
              <w:jc w:val="both"/>
            </w:pPr>
            <w:r w:rsidRPr="00712FE5">
              <w:t>”2. Kopējās siltumenerģijas patēriņa skaitītāju iekārtu ekspluatācijas izmaksas gadā aprēķina, izmantojot šādu formulu:</w:t>
            </w:r>
          </w:p>
          <w:p w14:paraId="09958214" w14:textId="0C91AC1E" w:rsidR="00B770EA" w:rsidRPr="00712FE5" w:rsidRDefault="00F56801" w:rsidP="00B770EA">
            <w:pPr>
              <w:pStyle w:val="naisc"/>
              <w:spacing w:before="0" w:after="0"/>
              <w:jc w:val="both"/>
            </w:pPr>
            <m:oMath>
              <m:sSub>
                <m:sSubPr>
                  <m:ctrlPr>
                    <w:rPr>
                      <w:rFonts w:ascii="Cambria Math" w:hAnsi="Cambria Math"/>
                      <w:i/>
                    </w:rPr>
                  </m:ctrlPr>
                </m:sSubPr>
                <m:e>
                  <m:r>
                    <w:rPr>
                      <w:rFonts w:ascii="Cambria Math" w:hAnsi="Cambria Math"/>
                    </w:rPr>
                    <m:t>I</m:t>
                  </m:r>
                </m:e>
                <m:sub>
                  <m:r>
                    <w:rPr>
                      <w:rFonts w:ascii="Cambria Math" w:hAnsi="Cambria Math"/>
                    </w:rPr>
                    <m:t>ikg.</m:t>
                  </m:r>
                </m:sub>
              </m:sSub>
              <m:r>
                <w:rPr>
                  <w:rFonts w:ascii="Cambria Math" w:hAnsi="Cambria Math"/>
                </w:rPr>
                <m:t>=</m:t>
              </m:r>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I</m:t>
                      </m:r>
                    </m:e>
                    <m:sub>
                      <m:r>
                        <w:rPr>
                          <w:rFonts w:ascii="Cambria Math" w:hAnsi="Cambria Math"/>
                        </w:rPr>
                        <m:t>sk.ekspl.</m:t>
                      </m:r>
                    </m:sub>
                  </m:sSub>
                </m:e>
              </m:d>
              <m:r>
                <w:rPr>
                  <w:rFonts w:ascii="Cambria Math" w:hAnsi="Cambria Math"/>
                </w:rPr>
                <m:t>×6</m:t>
              </m:r>
            </m:oMath>
            <w:r w:rsidR="00B770EA" w:rsidRPr="00712FE5">
              <w:t>,</w:t>
            </w:r>
          </w:p>
          <w:p w14:paraId="47ABFAAE" w14:textId="77777777" w:rsidR="00B770EA" w:rsidRPr="00712FE5" w:rsidRDefault="00B770EA" w:rsidP="00B770EA">
            <w:pPr>
              <w:pStyle w:val="naisc"/>
              <w:spacing w:before="0" w:after="0"/>
              <w:jc w:val="both"/>
            </w:pPr>
            <w:r w:rsidRPr="00712FE5">
              <w:t>kur</w:t>
            </w:r>
          </w:p>
          <w:p w14:paraId="2BBCAEA4" w14:textId="77777777" w:rsidR="00B770EA" w:rsidRPr="00712FE5" w:rsidRDefault="00B770EA" w:rsidP="00B770EA">
            <w:pPr>
              <w:pStyle w:val="naisc"/>
              <w:spacing w:before="0" w:after="0"/>
              <w:jc w:val="both"/>
            </w:pPr>
            <w:r w:rsidRPr="00712FE5">
              <w:t>..</w:t>
            </w:r>
          </w:p>
          <w:p w14:paraId="0084A3B9" w14:textId="77777777" w:rsidR="00B770EA" w:rsidRPr="00712FE5" w:rsidRDefault="00B770EA" w:rsidP="00B770EA">
            <w:pPr>
              <w:pStyle w:val="naisc"/>
              <w:spacing w:before="0" w:after="0"/>
              <w:jc w:val="both"/>
            </w:pPr>
            <w:r w:rsidRPr="00712FE5">
              <w:t>6 – mēnešu skaits apkures sezonā.”</w:t>
            </w:r>
          </w:p>
          <w:p w14:paraId="7B899106" w14:textId="77777777" w:rsidR="00B770EA" w:rsidRPr="00712FE5" w:rsidRDefault="00B770EA" w:rsidP="00B770EA">
            <w:pPr>
              <w:pStyle w:val="naisc"/>
              <w:spacing w:before="0" w:after="0"/>
              <w:jc w:val="both"/>
            </w:pPr>
          </w:p>
        </w:tc>
        <w:tc>
          <w:tcPr>
            <w:tcW w:w="4394" w:type="dxa"/>
            <w:tcBorders>
              <w:left w:val="single" w:sz="6" w:space="0" w:color="000000"/>
              <w:bottom w:val="single" w:sz="4" w:space="0" w:color="auto"/>
              <w:right w:val="single" w:sz="6" w:space="0" w:color="000000"/>
            </w:tcBorders>
          </w:tcPr>
          <w:p w14:paraId="678D8273" w14:textId="77777777" w:rsidR="00B770EA" w:rsidRPr="00712FE5" w:rsidRDefault="00B770EA" w:rsidP="00B770EA">
            <w:pPr>
              <w:pStyle w:val="naisc"/>
              <w:spacing w:before="0" w:after="0"/>
              <w:jc w:val="both"/>
              <w:rPr>
                <w:b/>
                <w:bCs/>
              </w:rPr>
            </w:pPr>
            <w:r w:rsidRPr="00712FE5">
              <w:rPr>
                <w:b/>
                <w:bCs/>
              </w:rPr>
              <w:t>Finanšu ministrija</w:t>
            </w:r>
          </w:p>
          <w:p w14:paraId="3AD2511E" w14:textId="77777777" w:rsidR="00B770EA" w:rsidRPr="00712FE5" w:rsidRDefault="00B770EA" w:rsidP="00B770EA">
            <w:pPr>
              <w:pStyle w:val="naisc"/>
              <w:spacing w:before="0" w:after="0"/>
              <w:jc w:val="both"/>
              <w:rPr>
                <w:kern w:val="1"/>
              </w:rPr>
            </w:pPr>
            <w:r w:rsidRPr="00712FE5">
              <w:rPr>
                <w:kern w:val="1"/>
              </w:rPr>
              <w:t>Lūdzam Noteikumu projekta 1. pielikuma un 2. pielikuma 2.punktā skaitli 6 aizstāt ar skaitli 7, jo Latvijas klimata apstākļos raksturīga apkures sezona sākas oktobrī un beidzas aprīlī.</w:t>
            </w:r>
          </w:p>
          <w:p w14:paraId="317EAF7C" w14:textId="77777777" w:rsidR="00B770EA" w:rsidRPr="00712FE5" w:rsidRDefault="00B770EA" w:rsidP="00B770EA">
            <w:pPr>
              <w:pStyle w:val="naisc"/>
              <w:spacing w:before="0" w:after="0"/>
              <w:jc w:val="both"/>
              <w:rPr>
                <w:b/>
                <w:kern w:val="1"/>
              </w:rPr>
            </w:pPr>
            <w:r w:rsidRPr="00712FE5">
              <w:rPr>
                <w:b/>
                <w:kern w:val="1"/>
              </w:rPr>
              <w:t>Finanšu ministrija (papildus)</w:t>
            </w:r>
          </w:p>
          <w:p w14:paraId="641EFBBD" w14:textId="77777777" w:rsidR="00B770EA" w:rsidRPr="00712FE5" w:rsidRDefault="00B770EA" w:rsidP="00B770EA">
            <w:pPr>
              <w:pStyle w:val="naisc"/>
              <w:spacing w:before="0" w:after="0"/>
              <w:jc w:val="both"/>
            </w:pPr>
            <w:r w:rsidRPr="00712FE5">
              <w:rPr>
                <w:kern w:val="1"/>
              </w:rPr>
              <w:t>Neskatoties uz faktisko apkures sezonas ilgumu (piemēram, 6,4 mēneši), siltuma maksas sadalītāju uzturēšanas izmaksās iekļaujama to apkalpošanas maksa, kurā iekļauj rādījumu nolasīšanas reizes. Proti, ja apkure ir 6,4 mēnešus, bet siltuma maksas sadalītāja rādījumu nolasa vienu reizi mēnesī, tas nolasīšanas reizes būs septiņas.</w:t>
            </w:r>
          </w:p>
        </w:tc>
        <w:tc>
          <w:tcPr>
            <w:tcW w:w="3119" w:type="dxa"/>
            <w:gridSpan w:val="2"/>
            <w:tcBorders>
              <w:left w:val="single" w:sz="6" w:space="0" w:color="000000"/>
              <w:bottom w:val="single" w:sz="4" w:space="0" w:color="auto"/>
              <w:right w:val="single" w:sz="6" w:space="0" w:color="000000"/>
            </w:tcBorders>
          </w:tcPr>
          <w:p w14:paraId="13AC7DBF" w14:textId="77777777" w:rsidR="00B770EA" w:rsidRPr="00712FE5" w:rsidRDefault="00B770EA" w:rsidP="00B770EA">
            <w:pPr>
              <w:pStyle w:val="naisc"/>
              <w:spacing w:before="0" w:after="0"/>
              <w:rPr>
                <w:b/>
              </w:rPr>
            </w:pPr>
            <w:r w:rsidRPr="00712FE5">
              <w:rPr>
                <w:b/>
              </w:rPr>
              <w:t>Ņemts vērā.</w:t>
            </w:r>
          </w:p>
          <w:p w14:paraId="5B60B412" w14:textId="77777777" w:rsidR="00B770EA" w:rsidRPr="00712FE5" w:rsidRDefault="00B770EA" w:rsidP="00B770EA">
            <w:pPr>
              <w:pStyle w:val="naisc"/>
              <w:spacing w:before="0" w:after="0"/>
              <w:jc w:val="both"/>
            </w:pPr>
          </w:p>
        </w:tc>
        <w:tc>
          <w:tcPr>
            <w:tcW w:w="3118" w:type="dxa"/>
            <w:tcBorders>
              <w:top w:val="single" w:sz="4" w:space="0" w:color="auto"/>
              <w:left w:val="single" w:sz="4" w:space="0" w:color="auto"/>
              <w:bottom w:val="single" w:sz="4" w:space="0" w:color="auto"/>
            </w:tcBorders>
          </w:tcPr>
          <w:p w14:paraId="27E8EC69" w14:textId="77777777" w:rsidR="00B770EA" w:rsidRPr="00712FE5" w:rsidRDefault="00B770EA" w:rsidP="00B770EA">
            <w:pPr>
              <w:pStyle w:val="naisc"/>
              <w:spacing w:before="0" w:after="0"/>
              <w:jc w:val="both"/>
            </w:pPr>
            <w:r w:rsidRPr="00712FE5">
              <w:t>1. pielikuma 2. punkts:</w:t>
            </w:r>
          </w:p>
          <w:p w14:paraId="2DC231C4" w14:textId="77777777" w:rsidR="00B770EA" w:rsidRPr="00712FE5" w:rsidRDefault="00B770EA" w:rsidP="00B770EA">
            <w:pPr>
              <w:pStyle w:val="naisc"/>
              <w:spacing w:before="0" w:after="0"/>
              <w:jc w:val="both"/>
            </w:pPr>
            <w:r w:rsidRPr="00712FE5">
              <w:t>”2. Kopējās siltuma maksas sadalītāju iekārtu ekspluatācijas izmaksas gadā aprēķina, izmantojot šādu formulu:</w:t>
            </w:r>
          </w:p>
          <w:p w14:paraId="0DFBF9D5" w14:textId="1863C610" w:rsidR="00B770EA" w:rsidRPr="00712FE5" w:rsidRDefault="00F56801" w:rsidP="00B770EA">
            <w:pPr>
              <w:pStyle w:val="naisc"/>
              <w:spacing w:before="0" w:after="0"/>
              <w:jc w:val="both"/>
            </w:pPr>
            <m:oMath>
              <m:sSub>
                <m:sSubPr>
                  <m:ctrlPr>
                    <w:rPr>
                      <w:rFonts w:ascii="Cambria Math" w:hAnsi="Cambria Math"/>
                      <w:i/>
                    </w:rPr>
                  </m:ctrlPr>
                </m:sSubPr>
                <m:e>
                  <m:r>
                    <w:rPr>
                      <w:rFonts w:ascii="Cambria Math" w:hAnsi="Cambria Math"/>
                    </w:rPr>
                    <m:t>I</m:t>
                  </m:r>
                </m:e>
                <m:sub>
                  <m:r>
                    <w:rPr>
                      <w:rFonts w:ascii="Cambria Math" w:hAnsi="Cambria Math"/>
                    </w:rPr>
                    <m:t>ikg.</m:t>
                  </m:r>
                </m:sub>
              </m:sSub>
              <m:r>
                <w:rPr>
                  <w:rFonts w:ascii="Cambria Math" w:hAnsi="Cambria Math"/>
                </w:rPr>
                <m:t>=</m:t>
              </m:r>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I</m:t>
                      </m:r>
                    </m:e>
                    <m:sub>
                      <m:r>
                        <w:rPr>
                          <w:rFonts w:ascii="Cambria Math" w:hAnsi="Cambria Math"/>
                        </w:rPr>
                        <m:t>al.ekspl.</m:t>
                      </m:r>
                    </m:sub>
                  </m:sSub>
                </m:e>
              </m:d>
              <m:r>
                <w:rPr>
                  <w:rFonts w:ascii="Cambria Math" w:hAnsi="Cambria Math"/>
                </w:rPr>
                <m:t>×7</m:t>
              </m:r>
            </m:oMath>
            <w:r w:rsidR="00B770EA" w:rsidRPr="00712FE5">
              <w:t>,</w:t>
            </w:r>
          </w:p>
          <w:p w14:paraId="16AC1AC0" w14:textId="77777777" w:rsidR="00B770EA" w:rsidRPr="00712FE5" w:rsidRDefault="00B770EA" w:rsidP="00B770EA">
            <w:pPr>
              <w:pStyle w:val="naisc"/>
              <w:spacing w:before="0" w:after="0"/>
              <w:jc w:val="both"/>
            </w:pPr>
            <w:r w:rsidRPr="00712FE5">
              <w:t>kur</w:t>
            </w:r>
          </w:p>
          <w:p w14:paraId="638AFE55" w14:textId="77777777" w:rsidR="00B770EA" w:rsidRPr="00712FE5" w:rsidRDefault="00B770EA" w:rsidP="00B770EA">
            <w:pPr>
              <w:pStyle w:val="naisc"/>
              <w:spacing w:before="0" w:after="0"/>
              <w:jc w:val="both"/>
            </w:pPr>
            <w:r w:rsidRPr="00712FE5">
              <w:t>..</w:t>
            </w:r>
          </w:p>
          <w:p w14:paraId="664BE0C3" w14:textId="77777777" w:rsidR="00B770EA" w:rsidRPr="00712FE5" w:rsidRDefault="00B770EA" w:rsidP="00B770EA">
            <w:pPr>
              <w:pStyle w:val="naisc"/>
              <w:spacing w:before="0" w:after="0"/>
              <w:jc w:val="both"/>
            </w:pPr>
            <w:r w:rsidRPr="00712FE5">
              <w:t>7 – siltuma maksas sadalītāju iekārtu apkalpošanas reizes apkures sezonā.”</w:t>
            </w:r>
          </w:p>
          <w:p w14:paraId="07FA8989" w14:textId="77777777" w:rsidR="00B770EA" w:rsidRPr="00712FE5" w:rsidRDefault="00B770EA" w:rsidP="00B770EA">
            <w:pPr>
              <w:pStyle w:val="naisc"/>
              <w:spacing w:before="0" w:after="0"/>
              <w:jc w:val="both"/>
            </w:pPr>
          </w:p>
          <w:p w14:paraId="317B0771" w14:textId="77777777" w:rsidR="00B770EA" w:rsidRPr="00712FE5" w:rsidRDefault="00B770EA" w:rsidP="00B770EA">
            <w:pPr>
              <w:pStyle w:val="naisc"/>
              <w:spacing w:before="0" w:after="0"/>
              <w:jc w:val="both"/>
            </w:pPr>
            <w:r w:rsidRPr="00712FE5">
              <w:t>2. pielikuma 2. punkts:</w:t>
            </w:r>
          </w:p>
          <w:p w14:paraId="57D93624" w14:textId="77777777" w:rsidR="00B770EA" w:rsidRPr="00712FE5" w:rsidRDefault="00B770EA" w:rsidP="00B770EA">
            <w:pPr>
              <w:pStyle w:val="naisc"/>
              <w:spacing w:before="0" w:after="0"/>
              <w:jc w:val="both"/>
            </w:pPr>
            <w:r w:rsidRPr="00712FE5">
              <w:t>”2. Kopējās siltumenerģijas patēriņa skaitītāju iekārtu ekspluatācijas izmaksas gadā aprēķina, izmantojot šādu formulu:</w:t>
            </w:r>
          </w:p>
          <w:p w14:paraId="42FEF6D8" w14:textId="270B28E3" w:rsidR="00B770EA" w:rsidRPr="00712FE5" w:rsidRDefault="00F56801" w:rsidP="00B770EA">
            <m:oMath>
              <m:sSub>
                <m:sSubPr>
                  <m:ctrlPr>
                    <w:rPr>
                      <w:rFonts w:ascii="Cambria Math" w:hAnsi="Cambria Math"/>
                      <w:i/>
                    </w:rPr>
                  </m:ctrlPr>
                </m:sSubPr>
                <m:e>
                  <m:r>
                    <w:rPr>
                      <w:rFonts w:ascii="Cambria Math" w:hAnsi="Cambria Math"/>
                    </w:rPr>
                    <m:t>I</m:t>
                  </m:r>
                </m:e>
                <m:sub>
                  <m:r>
                    <w:rPr>
                      <w:rFonts w:ascii="Cambria Math" w:hAnsi="Cambria Math"/>
                    </w:rPr>
                    <m:t>ikg.</m:t>
                  </m:r>
                </m:sub>
              </m:sSub>
              <m:r>
                <w:rPr>
                  <w:rFonts w:ascii="Cambria Math" w:hAnsi="Cambria Math"/>
                </w:rPr>
                <m:t>=</m:t>
              </m:r>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I</m:t>
                      </m:r>
                    </m:e>
                    <m:sub>
                      <m:r>
                        <w:rPr>
                          <w:rFonts w:ascii="Cambria Math" w:hAnsi="Cambria Math"/>
                        </w:rPr>
                        <m:t>sk.ekspl.</m:t>
                      </m:r>
                    </m:sub>
                  </m:sSub>
                </m:e>
              </m:d>
              <m:r>
                <w:rPr>
                  <w:rFonts w:ascii="Cambria Math" w:hAnsi="Cambria Math"/>
                </w:rPr>
                <m:t>×7</m:t>
              </m:r>
            </m:oMath>
            <w:r w:rsidR="00B770EA" w:rsidRPr="00712FE5">
              <w:t>,</w:t>
            </w:r>
          </w:p>
          <w:p w14:paraId="4A50884C" w14:textId="77777777" w:rsidR="00B770EA" w:rsidRPr="00712FE5" w:rsidRDefault="00B770EA" w:rsidP="00B770EA">
            <w:pPr>
              <w:pStyle w:val="naisc"/>
              <w:spacing w:before="0" w:after="0"/>
              <w:jc w:val="both"/>
            </w:pPr>
            <w:r w:rsidRPr="00712FE5">
              <w:t>kur</w:t>
            </w:r>
          </w:p>
          <w:p w14:paraId="0E899E8F" w14:textId="77777777" w:rsidR="00B770EA" w:rsidRPr="00712FE5" w:rsidRDefault="00B770EA" w:rsidP="00B770EA">
            <w:pPr>
              <w:pStyle w:val="naisc"/>
              <w:spacing w:before="0" w:after="0"/>
              <w:jc w:val="both"/>
            </w:pPr>
            <w:r w:rsidRPr="00712FE5">
              <w:t>..</w:t>
            </w:r>
          </w:p>
          <w:p w14:paraId="50948A59" w14:textId="77777777" w:rsidR="00B770EA" w:rsidRPr="00712FE5" w:rsidRDefault="00B770EA" w:rsidP="00B770EA">
            <w:pPr>
              <w:pStyle w:val="naisc"/>
              <w:spacing w:before="0" w:after="0"/>
              <w:jc w:val="both"/>
              <w:rPr>
                <w:highlight w:val="yellow"/>
              </w:rPr>
            </w:pPr>
            <w:r w:rsidRPr="00712FE5">
              <w:t>7 – siltumenerģijas patēriņa skaitītāju apkalpošanas reizes apkures sezonā.”</w:t>
            </w:r>
          </w:p>
        </w:tc>
      </w:tr>
      <w:tr w:rsidR="00B770EA" w:rsidRPr="00712FE5" w14:paraId="38A818D9" w14:textId="77777777" w:rsidTr="00F10DF3">
        <w:tc>
          <w:tcPr>
            <w:tcW w:w="708" w:type="dxa"/>
            <w:tcBorders>
              <w:left w:val="single" w:sz="6" w:space="0" w:color="000000"/>
              <w:bottom w:val="single" w:sz="4" w:space="0" w:color="auto"/>
              <w:right w:val="single" w:sz="6" w:space="0" w:color="000000"/>
            </w:tcBorders>
          </w:tcPr>
          <w:p w14:paraId="3A7B7C31" w14:textId="45ED6B13" w:rsidR="00B770EA" w:rsidRPr="00712FE5" w:rsidRDefault="00B770EA" w:rsidP="00B770EA">
            <w:pPr>
              <w:pStyle w:val="naisc"/>
              <w:spacing w:before="0" w:after="0"/>
            </w:pPr>
            <w:r w:rsidRPr="00712FE5">
              <w:lastRenderedPageBreak/>
              <w:t>2</w:t>
            </w:r>
            <w:r>
              <w:t>9</w:t>
            </w:r>
            <w:r w:rsidRPr="00712FE5">
              <w:t>.</w:t>
            </w:r>
          </w:p>
        </w:tc>
        <w:tc>
          <w:tcPr>
            <w:tcW w:w="3086" w:type="dxa"/>
            <w:gridSpan w:val="2"/>
            <w:tcBorders>
              <w:left w:val="single" w:sz="6" w:space="0" w:color="000000"/>
              <w:bottom w:val="single" w:sz="4" w:space="0" w:color="auto"/>
              <w:right w:val="single" w:sz="6" w:space="0" w:color="000000"/>
            </w:tcBorders>
          </w:tcPr>
          <w:p w14:paraId="2E5840A3" w14:textId="77777777" w:rsidR="00B770EA" w:rsidRPr="00712FE5" w:rsidRDefault="00B770EA" w:rsidP="00B770EA">
            <w:pPr>
              <w:pStyle w:val="naisc"/>
              <w:spacing w:before="0" w:after="0"/>
              <w:jc w:val="both"/>
            </w:pPr>
            <w:r w:rsidRPr="00712FE5">
              <w:t>1. pielikuma 2. punkts:</w:t>
            </w:r>
          </w:p>
          <w:p w14:paraId="0AB48915" w14:textId="002FBB42" w:rsidR="00B770EA" w:rsidRPr="00712FE5" w:rsidRDefault="00F56801" w:rsidP="00B770EA">
            <w:pPr>
              <w:pStyle w:val="naisc"/>
              <w:spacing w:before="0" w:after="0"/>
              <w:jc w:val="both"/>
            </w:pPr>
            <m:oMathPara>
              <m:oMath>
                <m:sSub>
                  <m:sSubPr>
                    <m:ctrlPr>
                      <w:rPr>
                        <w:rFonts w:ascii="Cambria Math" w:hAnsi="Cambria Math"/>
                        <w:i/>
                      </w:rPr>
                    </m:ctrlPr>
                  </m:sSubPr>
                  <m:e>
                    <m:r>
                      <w:rPr>
                        <w:rFonts w:ascii="Cambria Math" w:hAnsi="Cambria Math"/>
                      </w:rPr>
                      <m:t>I</m:t>
                    </m:r>
                  </m:e>
                  <m:sub>
                    <m:r>
                      <w:rPr>
                        <w:rFonts w:ascii="Cambria Math" w:hAnsi="Cambria Math"/>
                      </w:rPr>
                      <m:t>ikg.</m:t>
                    </m:r>
                  </m:sub>
                </m:sSub>
                <m:r>
                  <w:rPr>
                    <w:rFonts w:ascii="Cambria Math" w:hAnsi="Cambria Math"/>
                  </w:rPr>
                  <m:t>=</m:t>
                </m:r>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I</m:t>
                        </m:r>
                      </m:e>
                      <m:sub>
                        <m:r>
                          <w:rPr>
                            <w:rFonts w:ascii="Cambria Math" w:hAnsi="Cambria Math"/>
                          </w:rPr>
                          <m:t>al.ekspl.</m:t>
                        </m:r>
                      </m:sub>
                    </m:sSub>
                  </m:e>
                </m:d>
                <m:r>
                  <w:rPr>
                    <w:rFonts w:ascii="Cambria Math" w:hAnsi="Cambria Math"/>
                  </w:rPr>
                  <m:t>×6</m:t>
                </m:r>
              </m:oMath>
            </m:oMathPara>
          </w:p>
          <w:p w14:paraId="4AFB9244" w14:textId="77777777" w:rsidR="00B770EA" w:rsidRPr="00712FE5" w:rsidRDefault="00B770EA" w:rsidP="00B770EA">
            <w:pPr>
              <w:pStyle w:val="naisc"/>
              <w:spacing w:before="0" w:after="0"/>
              <w:jc w:val="both"/>
            </w:pPr>
            <w:r w:rsidRPr="00712FE5">
              <w:t>2. pielikuma 2. punkts:</w:t>
            </w:r>
          </w:p>
          <w:p w14:paraId="302717EA" w14:textId="2996E062" w:rsidR="00B770EA" w:rsidRPr="00712FE5" w:rsidRDefault="00F56801" w:rsidP="00B770EA">
            <w:pPr>
              <w:pStyle w:val="naisc"/>
              <w:spacing w:before="0" w:after="0"/>
              <w:jc w:val="both"/>
            </w:pPr>
            <m:oMathPara>
              <m:oMath>
                <m:sSub>
                  <m:sSubPr>
                    <m:ctrlPr>
                      <w:rPr>
                        <w:rFonts w:ascii="Cambria Math" w:hAnsi="Cambria Math"/>
                        <w:i/>
                      </w:rPr>
                    </m:ctrlPr>
                  </m:sSubPr>
                  <m:e>
                    <m:r>
                      <w:rPr>
                        <w:rFonts w:ascii="Cambria Math" w:hAnsi="Cambria Math"/>
                      </w:rPr>
                      <m:t>I</m:t>
                    </m:r>
                  </m:e>
                  <m:sub>
                    <m:r>
                      <w:rPr>
                        <w:rFonts w:ascii="Cambria Math" w:hAnsi="Cambria Math"/>
                      </w:rPr>
                      <m:t>ikg.</m:t>
                    </m:r>
                  </m:sub>
                </m:sSub>
                <m:r>
                  <w:rPr>
                    <w:rFonts w:ascii="Cambria Math" w:hAnsi="Cambria Math"/>
                  </w:rPr>
                  <m:t>=</m:t>
                </m:r>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I</m:t>
                        </m:r>
                      </m:e>
                      <m:sub>
                        <m:r>
                          <w:rPr>
                            <w:rFonts w:ascii="Cambria Math" w:hAnsi="Cambria Math"/>
                          </w:rPr>
                          <m:t>sk.ekspl.</m:t>
                        </m:r>
                      </m:sub>
                    </m:sSub>
                  </m:e>
                </m:d>
                <m:r>
                  <w:rPr>
                    <w:rFonts w:ascii="Cambria Math" w:hAnsi="Cambria Math"/>
                  </w:rPr>
                  <m:t>×6</m:t>
                </m:r>
              </m:oMath>
            </m:oMathPara>
          </w:p>
        </w:tc>
        <w:tc>
          <w:tcPr>
            <w:tcW w:w="4394" w:type="dxa"/>
            <w:tcBorders>
              <w:left w:val="single" w:sz="6" w:space="0" w:color="000000"/>
              <w:bottom w:val="single" w:sz="4" w:space="0" w:color="auto"/>
              <w:right w:val="single" w:sz="6" w:space="0" w:color="000000"/>
            </w:tcBorders>
          </w:tcPr>
          <w:p w14:paraId="66CD4459" w14:textId="77777777" w:rsidR="00B770EA" w:rsidRPr="00712FE5" w:rsidRDefault="00B770EA" w:rsidP="00B770EA">
            <w:pPr>
              <w:pStyle w:val="naisc"/>
              <w:spacing w:before="0" w:after="0"/>
              <w:jc w:val="both"/>
              <w:rPr>
                <w:b/>
                <w:bCs/>
              </w:rPr>
            </w:pPr>
            <w:r w:rsidRPr="00712FE5">
              <w:rPr>
                <w:b/>
                <w:bCs/>
              </w:rPr>
              <w:t>Latvijas Lielo pilsētu asociācija</w:t>
            </w:r>
          </w:p>
          <w:p w14:paraId="6BC3EA17" w14:textId="77777777" w:rsidR="00B770EA" w:rsidRPr="00712FE5" w:rsidRDefault="00B770EA" w:rsidP="00B770EA">
            <w:pPr>
              <w:pStyle w:val="naisc"/>
              <w:spacing w:before="0" w:after="0"/>
              <w:jc w:val="both"/>
            </w:pPr>
            <w:r w:rsidRPr="00712FE5">
              <w:t>Attiecībā uz noteikumu projekta 1. un 2. pielikuma 2. punktā norādīto formulu, secināms, ka tajā ir ietverts ikgadējās apkures sezonas ekspluatācijas izmaksas, tāpēc</w:t>
            </w:r>
            <w:r w:rsidRPr="00712FE5">
              <w:rPr>
                <w:b/>
              </w:rPr>
              <w:t xml:space="preserve"> </w:t>
            </w:r>
            <w:r w:rsidRPr="00712FE5">
              <w:rPr>
                <w:bCs/>
              </w:rPr>
              <w:t>aicinām 6 mēnešu apkures sezonas periodu nenorādīt formulas apzīmējumos, bet ietvert paskaidrojumu 2. punkta tekstā.</w:t>
            </w:r>
          </w:p>
        </w:tc>
        <w:tc>
          <w:tcPr>
            <w:tcW w:w="3119" w:type="dxa"/>
            <w:gridSpan w:val="2"/>
            <w:tcBorders>
              <w:left w:val="single" w:sz="6" w:space="0" w:color="000000"/>
              <w:bottom w:val="single" w:sz="4" w:space="0" w:color="auto"/>
              <w:right w:val="single" w:sz="6" w:space="0" w:color="000000"/>
            </w:tcBorders>
          </w:tcPr>
          <w:p w14:paraId="55F85370" w14:textId="77777777" w:rsidR="00B770EA" w:rsidRPr="00712FE5" w:rsidRDefault="00B770EA" w:rsidP="00B770EA">
            <w:pPr>
              <w:pStyle w:val="naisc"/>
              <w:spacing w:before="0" w:after="0"/>
              <w:rPr>
                <w:b/>
              </w:rPr>
            </w:pPr>
            <w:r w:rsidRPr="00712FE5">
              <w:rPr>
                <w:b/>
              </w:rPr>
              <w:t>Panākta vienošanās.</w:t>
            </w:r>
          </w:p>
          <w:p w14:paraId="32A5DCDC" w14:textId="77777777" w:rsidR="00B770EA" w:rsidRPr="00712FE5" w:rsidRDefault="00B770EA" w:rsidP="00B770EA">
            <w:pPr>
              <w:pStyle w:val="naisc"/>
              <w:spacing w:before="0" w:after="0"/>
              <w:jc w:val="both"/>
            </w:pPr>
            <w:r w:rsidRPr="00712FE5">
              <w:t>Noteikumu projekta pielikumos ietvertie aprēķini uzskatāmībai ir atspoguļoti formulu veidā, līdz ar to arī zināmie lielumi tiek iekļauti atbilstošās formulās.</w:t>
            </w:r>
          </w:p>
        </w:tc>
        <w:tc>
          <w:tcPr>
            <w:tcW w:w="3118" w:type="dxa"/>
            <w:tcBorders>
              <w:top w:val="single" w:sz="4" w:space="0" w:color="auto"/>
              <w:left w:val="single" w:sz="4" w:space="0" w:color="auto"/>
              <w:bottom w:val="single" w:sz="4" w:space="0" w:color="auto"/>
            </w:tcBorders>
          </w:tcPr>
          <w:p w14:paraId="2016B05A" w14:textId="77777777" w:rsidR="00B770EA" w:rsidRPr="00712FE5" w:rsidRDefault="00B770EA" w:rsidP="00B770EA">
            <w:pPr>
              <w:pStyle w:val="naisc"/>
              <w:spacing w:before="0" w:after="0"/>
              <w:jc w:val="both"/>
            </w:pPr>
            <w:r w:rsidRPr="00712FE5">
              <w:t>1. pielikuma 2. punkts:</w:t>
            </w:r>
          </w:p>
          <w:p w14:paraId="21782AAA" w14:textId="10C6760D" w:rsidR="00B770EA" w:rsidRPr="00712FE5" w:rsidRDefault="00F56801" w:rsidP="00B770EA">
            <w:pPr>
              <w:pStyle w:val="naisc"/>
              <w:spacing w:before="0" w:after="0"/>
              <w:jc w:val="both"/>
            </w:pPr>
            <m:oMathPara>
              <m:oMath>
                <m:sSub>
                  <m:sSubPr>
                    <m:ctrlPr>
                      <w:rPr>
                        <w:rFonts w:ascii="Cambria Math" w:hAnsi="Cambria Math"/>
                        <w:i/>
                      </w:rPr>
                    </m:ctrlPr>
                  </m:sSubPr>
                  <m:e>
                    <m:r>
                      <w:rPr>
                        <w:rFonts w:ascii="Cambria Math" w:hAnsi="Cambria Math"/>
                      </w:rPr>
                      <m:t>I</m:t>
                    </m:r>
                  </m:e>
                  <m:sub>
                    <m:r>
                      <w:rPr>
                        <w:rFonts w:ascii="Cambria Math" w:hAnsi="Cambria Math"/>
                      </w:rPr>
                      <m:t>ikg.</m:t>
                    </m:r>
                  </m:sub>
                </m:sSub>
                <m:r>
                  <w:rPr>
                    <w:rFonts w:ascii="Cambria Math" w:hAnsi="Cambria Math"/>
                  </w:rPr>
                  <m:t>=</m:t>
                </m:r>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I</m:t>
                        </m:r>
                      </m:e>
                      <m:sub>
                        <m:r>
                          <w:rPr>
                            <w:rFonts w:ascii="Cambria Math" w:hAnsi="Cambria Math"/>
                          </w:rPr>
                          <m:t>al.ekspl.</m:t>
                        </m:r>
                      </m:sub>
                    </m:sSub>
                  </m:e>
                </m:d>
                <m:r>
                  <w:rPr>
                    <w:rFonts w:ascii="Cambria Math" w:hAnsi="Cambria Math"/>
                  </w:rPr>
                  <m:t>×7</m:t>
                </m:r>
              </m:oMath>
            </m:oMathPara>
          </w:p>
          <w:p w14:paraId="1A09778E" w14:textId="77777777" w:rsidR="00B770EA" w:rsidRPr="00712FE5" w:rsidRDefault="00B770EA" w:rsidP="00B770EA">
            <w:pPr>
              <w:pStyle w:val="naisc"/>
              <w:spacing w:before="0" w:after="0"/>
              <w:jc w:val="both"/>
            </w:pPr>
            <w:r w:rsidRPr="00712FE5">
              <w:t>2. pielikuma 2. punkts:</w:t>
            </w:r>
          </w:p>
          <w:p w14:paraId="783C341C" w14:textId="0994DD59" w:rsidR="00B770EA" w:rsidRPr="00712FE5" w:rsidRDefault="00F56801" w:rsidP="00B770EA">
            <m:oMathPara>
              <m:oMath>
                <m:sSub>
                  <m:sSubPr>
                    <m:ctrlPr>
                      <w:rPr>
                        <w:rFonts w:ascii="Cambria Math" w:hAnsi="Cambria Math"/>
                        <w:i/>
                      </w:rPr>
                    </m:ctrlPr>
                  </m:sSubPr>
                  <m:e>
                    <m:r>
                      <w:rPr>
                        <w:rFonts w:ascii="Cambria Math" w:hAnsi="Cambria Math"/>
                      </w:rPr>
                      <m:t>I</m:t>
                    </m:r>
                  </m:e>
                  <m:sub>
                    <m:r>
                      <w:rPr>
                        <w:rFonts w:ascii="Cambria Math" w:hAnsi="Cambria Math"/>
                      </w:rPr>
                      <m:t>ikg.</m:t>
                    </m:r>
                  </m:sub>
                </m:sSub>
                <m:r>
                  <w:rPr>
                    <w:rFonts w:ascii="Cambria Math" w:hAnsi="Cambria Math"/>
                  </w:rPr>
                  <m:t>=</m:t>
                </m:r>
                <m:d>
                  <m:dPr>
                    <m:ctrlPr>
                      <w:rPr>
                        <w:rFonts w:ascii="Cambria Math" w:hAnsi="Cambria Math"/>
                        <w:i/>
                      </w:rPr>
                    </m:ctrlPr>
                  </m:dPr>
                  <m:e>
                    <m:r>
                      <w:rPr>
                        <w:rFonts w:ascii="Cambria Math" w:hAnsi="Cambria Math"/>
                      </w:rPr>
                      <m:t>n×</m:t>
                    </m:r>
                    <m:sSub>
                      <m:sSubPr>
                        <m:ctrlPr>
                          <w:rPr>
                            <w:rFonts w:ascii="Cambria Math" w:hAnsi="Cambria Math"/>
                            <w:i/>
                          </w:rPr>
                        </m:ctrlPr>
                      </m:sSubPr>
                      <m:e>
                        <m:r>
                          <w:rPr>
                            <w:rFonts w:ascii="Cambria Math" w:hAnsi="Cambria Math"/>
                          </w:rPr>
                          <m:t>I</m:t>
                        </m:r>
                      </m:e>
                      <m:sub>
                        <m:r>
                          <w:rPr>
                            <w:rFonts w:ascii="Cambria Math" w:hAnsi="Cambria Math"/>
                          </w:rPr>
                          <m:t>sk.ekspl.</m:t>
                        </m:r>
                      </m:sub>
                    </m:sSub>
                  </m:e>
                </m:d>
                <m:r>
                  <w:rPr>
                    <w:rFonts w:ascii="Cambria Math" w:hAnsi="Cambria Math"/>
                  </w:rPr>
                  <m:t>×7</m:t>
                </m:r>
              </m:oMath>
            </m:oMathPara>
          </w:p>
        </w:tc>
      </w:tr>
      <w:tr w:rsidR="00B770EA" w:rsidRPr="00712FE5" w14:paraId="1239A14D" w14:textId="77777777" w:rsidTr="00F10DF3">
        <w:tc>
          <w:tcPr>
            <w:tcW w:w="708" w:type="dxa"/>
            <w:tcBorders>
              <w:left w:val="single" w:sz="6" w:space="0" w:color="000000"/>
              <w:bottom w:val="single" w:sz="4" w:space="0" w:color="auto"/>
              <w:right w:val="single" w:sz="6" w:space="0" w:color="000000"/>
            </w:tcBorders>
          </w:tcPr>
          <w:p w14:paraId="23CE0E48" w14:textId="041BCEDC" w:rsidR="00B770EA" w:rsidRPr="00712FE5" w:rsidRDefault="00B770EA" w:rsidP="00B770EA">
            <w:pPr>
              <w:pStyle w:val="naisc"/>
              <w:spacing w:before="0" w:after="0"/>
            </w:pPr>
            <w:r>
              <w:t>30</w:t>
            </w:r>
            <w:r w:rsidRPr="00712FE5">
              <w:t>.</w:t>
            </w:r>
          </w:p>
        </w:tc>
        <w:tc>
          <w:tcPr>
            <w:tcW w:w="3086" w:type="dxa"/>
            <w:gridSpan w:val="2"/>
            <w:tcBorders>
              <w:left w:val="single" w:sz="6" w:space="0" w:color="000000"/>
              <w:bottom w:val="single" w:sz="4" w:space="0" w:color="auto"/>
              <w:right w:val="single" w:sz="6" w:space="0" w:color="000000"/>
            </w:tcBorders>
          </w:tcPr>
          <w:p w14:paraId="3306A4A4" w14:textId="77777777" w:rsidR="00B770EA" w:rsidRPr="00712FE5" w:rsidRDefault="00B770EA" w:rsidP="00B770EA">
            <w:pPr>
              <w:pStyle w:val="naisc"/>
              <w:spacing w:before="0" w:after="0"/>
              <w:jc w:val="both"/>
            </w:pPr>
            <w:r w:rsidRPr="00712FE5">
              <w:t>1. pielikuma 3. punkts:</w:t>
            </w:r>
          </w:p>
          <w:p w14:paraId="20E7022B" w14:textId="77777777" w:rsidR="00B770EA" w:rsidRPr="00712FE5" w:rsidRDefault="00B770EA" w:rsidP="00B770EA">
            <w:pPr>
              <w:pStyle w:val="naisc"/>
              <w:spacing w:before="0" w:after="0"/>
              <w:jc w:val="both"/>
            </w:pPr>
            <w:r w:rsidRPr="00712FE5">
              <w:t>”3. Izmaksas par patērēto siltumenerģiju apkures nodrošināšanai gadā aprēķina, izmantojot šādu formulu:</w:t>
            </w:r>
          </w:p>
          <w:p w14:paraId="594AF640" w14:textId="71EFAFA4" w:rsidR="00B770EA" w:rsidRPr="00712FE5" w:rsidRDefault="00B770EA" w:rsidP="00B770EA">
            <w:pPr>
              <w:pStyle w:val="naisc"/>
              <w:spacing w:before="0" w:after="0"/>
            </w:pPr>
            <m:oMath>
              <m:r>
                <w:rPr>
                  <w:rFonts w:ascii="Cambria Math" w:hAnsi="Cambria Math"/>
                </w:rPr>
                <m:t>M=</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apk.</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vien.</m:t>
                          </m:r>
                        </m:sub>
                      </m:sSub>
                    </m:num>
                    <m:den>
                      <m:r>
                        <w:rPr>
                          <w:rFonts w:ascii="Cambria Math" w:hAnsi="Cambria Math"/>
                        </w:rPr>
                        <m:t>1000</m:t>
                      </m:r>
                    </m:den>
                  </m:f>
                </m:e>
              </m:d>
              <m:r>
                <w:rPr>
                  <w:rFonts w:ascii="Cambria Math" w:hAnsi="Cambria Math"/>
                </w:rPr>
                <m:t>×T</m:t>
              </m:r>
            </m:oMath>
            <w:r w:rsidRPr="00712FE5">
              <w:t>,</w:t>
            </w:r>
          </w:p>
          <w:p w14:paraId="2BD5CBCB" w14:textId="77777777" w:rsidR="00B770EA" w:rsidRPr="00712FE5" w:rsidRDefault="00B770EA" w:rsidP="00B770EA">
            <w:pPr>
              <w:pStyle w:val="ListParagraph"/>
              <w:tabs>
                <w:tab w:val="left" w:pos="3123"/>
              </w:tabs>
              <w:spacing w:after="0" w:line="240" w:lineRule="auto"/>
              <w:ind w:left="284"/>
              <w:rPr>
                <w:rFonts w:ascii="Times New Roman" w:hAnsi="Times New Roman"/>
                <w:sz w:val="24"/>
                <w:szCs w:val="24"/>
                <w:lang w:eastAsia="lv-LV"/>
              </w:rPr>
            </w:pPr>
            <w:r w:rsidRPr="00712FE5">
              <w:rPr>
                <w:rFonts w:ascii="Times New Roman" w:hAnsi="Times New Roman"/>
                <w:sz w:val="24"/>
                <w:szCs w:val="24"/>
                <w:lang w:eastAsia="lv-LV"/>
              </w:rPr>
              <w:t>kur:</w:t>
            </w:r>
          </w:p>
          <w:p w14:paraId="43F7FCB8" w14:textId="77777777" w:rsidR="00B770EA" w:rsidRPr="00712FE5" w:rsidRDefault="00B770EA" w:rsidP="00B770EA">
            <w:pPr>
              <w:rPr>
                <w:sz w:val="20"/>
                <w:szCs w:val="20"/>
              </w:rPr>
            </w:pPr>
            <w:r w:rsidRPr="00712FE5">
              <w:rPr>
                <w:i/>
                <w:iCs/>
                <w:sz w:val="20"/>
                <w:szCs w:val="20"/>
              </w:rPr>
              <w:t>M</w:t>
            </w:r>
            <w:r w:rsidRPr="00712FE5">
              <w:rPr>
                <w:sz w:val="20"/>
                <w:szCs w:val="20"/>
              </w:rPr>
              <w:t> – izmaksas par patērēto siltumenerģiju apkures nodrošināšanai gadā (</w:t>
            </w:r>
            <w:proofErr w:type="spellStart"/>
            <w:r w:rsidRPr="00712FE5">
              <w:rPr>
                <w:i/>
                <w:iCs/>
                <w:sz w:val="20"/>
                <w:szCs w:val="20"/>
              </w:rPr>
              <w:t>euro</w:t>
            </w:r>
            <w:proofErr w:type="spellEnd"/>
            <w:r w:rsidRPr="00712FE5">
              <w:rPr>
                <w:sz w:val="20"/>
                <w:szCs w:val="20"/>
              </w:rPr>
              <w:t>);</w:t>
            </w:r>
          </w:p>
          <w:p w14:paraId="1BA6EDBF" w14:textId="77777777" w:rsidR="00B770EA" w:rsidRPr="00712FE5" w:rsidRDefault="00B770EA" w:rsidP="00B770EA">
            <w:pPr>
              <w:rPr>
                <w:sz w:val="20"/>
                <w:szCs w:val="20"/>
              </w:rPr>
            </w:pPr>
            <w:proofErr w:type="spellStart"/>
            <w:r w:rsidRPr="00712FE5">
              <w:rPr>
                <w:i/>
                <w:iCs/>
                <w:sz w:val="20"/>
                <w:szCs w:val="20"/>
              </w:rPr>
              <w:t>S</w:t>
            </w:r>
            <w:r w:rsidRPr="00712FE5">
              <w:rPr>
                <w:i/>
                <w:iCs/>
                <w:sz w:val="20"/>
                <w:szCs w:val="20"/>
                <w:vertAlign w:val="subscript"/>
              </w:rPr>
              <w:t>apk</w:t>
            </w:r>
            <w:proofErr w:type="spellEnd"/>
            <w:r w:rsidRPr="00712FE5">
              <w:rPr>
                <w:i/>
                <w:iCs/>
                <w:sz w:val="20"/>
                <w:szCs w:val="20"/>
                <w:vertAlign w:val="subscript"/>
              </w:rPr>
              <w:t>.</w:t>
            </w:r>
            <w:r w:rsidRPr="00712FE5">
              <w:rPr>
                <w:sz w:val="20"/>
                <w:szCs w:val="20"/>
              </w:rPr>
              <w:t> – mājas kopējā apkurināmā platība (m</w:t>
            </w:r>
            <w:r w:rsidRPr="00712FE5">
              <w:rPr>
                <w:sz w:val="20"/>
                <w:szCs w:val="20"/>
                <w:vertAlign w:val="superscript"/>
              </w:rPr>
              <w:t>2</w:t>
            </w:r>
            <w:r w:rsidRPr="00712FE5">
              <w:rPr>
                <w:sz w:val="20"/>
                <w:szCs w:val="20"/>
              </w:rPr>
              <w:t>);</w:t>
            </w:r>
          </w:p>
          <w:p w14:paraId="6DFB7620" w14:textId="77777777" w:rsidR="00B770EA" w:rsidRPr="00712FE5" w:rsidRDefault="00B770EA" w:rsidP="00B770EA">
            <w:pPr>
              <w:tabs>
                <w:tab w:val="left" w:pos="1515"/>
              </w:tabs>
              <w:rPr>
                <w:sz w:val="20"/>
                <w:szCs w:val="20"/>
              </w:rPr>
            </w:pPr>
            <w:proofErr w:type="spellStart"/>
            <w:r w:rsidRPr="00712FE5">
              <w:rPr>
                <w:i/>
                <w:iCs/>
                <w:sz w:val="20"/>
                <w:szCs w:val="20"/>
              </w:rPr>
              <w:t>Q</w:t>
            </w:r>
            <w:r w:rsidRPr="00712FE5">
              <w:rPr>
                <w:i/>
                <w:iCs/>
                <w:sz w:val="20"/>
                <w:szCs w:val="20"/>
                <w:vertAlign w:val="subscript"/>
              </w:rPr>
              <w:t>vien</w:t>
            </w:r>
            <w:proofErr w:type="spellEnd"/>
            <w:r w:rsidRPr="00712FE5">
              <w:rPr>
                <w:sz w:val="20"/>
                <w:szCs w:val="20"/>
                <w:vertAlign w:val="subscript"/>
              </w:rPr>
              <w:t>.</w:t>
            </w:r>
            <w:r w:rsidRPr="00712FE5">
              <w:rPr>
                <w:sz w:val="20"/>
                <w:szCs w:val="20"/>
              </w:rPr>
              <w:t> – viena kvadrātmetra apsildei patērētās siltumenerģijas daudzums gadā (kWh/m</w:t>
            </w:r>
            <w:r w:rsidRPr="00712FE5">
              <w:rPr>
                <w:sz w:val="20"/>
                <w:szCs w:val="20"/>
                <w:vertAlign w:val="superscript"/>
              </w:rPr>
              <w:t>2</w:t>
            </w:r>
            <w:r w:rsidRPr="00712FE5">
              <w:rPr>
                <w:sz w:val="20"/>
                <w:szCs w:val="20"/>
              </w:rPr>
              <w:t>);</w:t>
            </w:r>
          </w:p>
          <w:p w14:paraId="62EF9D3D" w14:textId="77777777" w:rsidR="00B770EA" w:rsidRPr="00712FE5" w:rsidRDefault="00B770EA" w:rsidP="00B770EA">
            <w:pPr>
              <w:pStyle w:val="naisc"/>
              <w:spacing w:before="0" w:after="0"/>
              <w:jc w:val="both"/>
            </w:pPr>
            <w:r w:rsidRPr="00712FE5">
              <w:rPr>
                <w:i/>
                <w:iCs/>
                <w:sz w:val="20"/>
                <w:szCs w:val="20"/>
              </w:rPr>
              <w:t>T</w:t>
            </w:r>
            <w:r w:rsidRPr="00712FE5">
              <w:rPr>
                <w:sz w:val="20"/>
                <w:szCs w:val="20"/>
              </w:rPr>
              <w:t> – siltumenerģijas tarifs, ieskaitot pievienotās vērtības nodokli (PVN) (</w:t>
            </w:r>
            <w:proofErr w:type="spellStart"/>
            <w:r w:rsidRPr="00712FE5">
              <w:rPr>
                <w:sz w:val="20"/>
                <w:szCs w:val="20"/>
              </w:rPr>
              <w:t>euro</w:t>
            </w:r>
            <w:proofErr w:type="spellEnd"/>
            <w:r w:rsidRPr="00712FE5">
              <w:rPr>
                <w:sz w:val="20"/>
                <w:szCs w:val="20"/>
              </w:rPr>
              <w:t>/MWh).</w:t>
            </w:r>
            <w:r w:rsidRPr="00712FE5">
              <w:t>”</w:t>
            </w:r>
          </w:p>
          <w:p w14:paraId="1D70117E" w14:textId="77777777" w:rsidR="00B770EA" w:rsidRPr="00712FE5" w:rsidRDefault="00B770EA" w:rsidP="00B770EA">
            <w:pPr>
              <w:pStyle w:val="naisc"/>
              <w:spacing w:before="0" w:after="0"/>
              <w:jc w:val="both"/>
            </w:pPr>
          </w:p>
          <w:p w14:paraId="6F5BCA90" w14:textId="77777777" w:rsidR="00B770EA" w:rsidRPr="00712FE5" w:rsidRDefault="00B770EA" w:rsidP="00B770EA">
            <w:pPr>
              <w:pStyle w:val="naisc"/>
              <w:spacing w:before="0" w:after="0"/>
              <w:jc w:val="both"/>
            </w:pPr>
            <w:r w:rsidRPr="00712FE5">
              <w:t>2. pielikuma 3. punkts:</w:t>
            </w:r>
          </w:p>
          <w:p w14:paraId="2F76F491" w14:textId="77777777" w:rsidR="00B770EA" w:rsidRPr="00712FE5" w:rsidRDefault="00B770EA" w:rsidP="00B770EA">
            <w:pPr>
              <w:pStyle w:val="naisc"/>
              <w:spacing w:before="0" w:after="0"/>
              <w:jc w:val="both"/>
            </w:pPr>
            <w:r w:rsidRPr="00712FE5">
              <w:t>”3. Izmaksas par patērēto siltumenerģiju apkures nodrošināšanai gadā aprēķina, izmantojot šādu formulu:</w:t>
            </w:r>
          </w:p>
          <w:p w14:paraId="01913B11" w14:textId="690C7BC5" w:rsidR="00B770EA" w:rsidRPr="00712FE5" w:rsidRDefault="00B770EA" w:rsidP="00B770EA">
            <w:pPr>
              <w:pStyle w:val="naisc"/>
              <w:spacing w:before="0" w:after="0"/>
            </w:pPr>
            <m:oMath>
              <m:r>
                <w:rPr>
                  <w:rFonts w:ascii="Cambria Math" w:hAnsi="Cambria Math"/>
                </w:rPr>
                <m:t>M=</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apk.</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vien.</m:t>
                          </m:r>
                        </m:sub>
                      </m:sSub>
                    </m:num>
                    <m:den>
                      <m:r>
                        <w:rPr>
                          <w:rFonts w:ascii="Cambria Math" w:hAnsi="Cambria Math"/>
                        </w:rPr>
                        <m:t>1000</m:t>
                      </m:r>
                    </m:den>
                  </m:f>
                </m:e>
              </m:d>
              <m:r>
                <w:rPr>
                  <w:rFonts w:ascii="Cambria Math" w:hAnsi="Cambria Math"/>
                </w:rPr>
                <m:t>×T</m:t>
              </m:r>
            </m:oMath>
            <w:r w:rsidRPr="00712FE5">
              <w:t>,</w:t>
            </w:r>
          </w:p>
          <w:p w14:paraId="3B93AD3A" w14:textId="77777777" w:rsidR="00B770EA" w:rsidRPr="00712FE5" w:rsidRDefault="00B770EA" w:rsidP="00B770EA">
            <w:pPr>
              <w:pStyle w:val="ListParagraph"/>
              <w:tabs>
                <w:tab w:val="left" w:pos="3123"/>
              </w:tabs>
              <w:spacing w:after="0" w:line="240" w:lineRule="auto"/>
              <w:ind w:left="284"/>
              <w:rPr>
                <w:rFonts w:ascii="Times New Roman" w:hAnsi="Times New Roman"/>
                <w:sz w:val="24"/>
                <w:szCs w:val="24"/>
                <w:lang w:eastAsia="lv-LV"/>
              </w:rPr>
            </w:pPr>
            <w:r w:rsidRPr="00712FE5">
              <w:rPr>
                <w:rFonts w:ascii="Times New Roman" w:hAnsi="Times New Roman"/>
                <w:sz w:val="24"/>
                <w:szCs w:val="24"/>
                <w:lang w:eastAsia="lv-LV"/>
              </w:rPr>
              <w:t>kur:</w:t>
            </w:r>
          </w:p>
          <w:p w14:paraId="2B6970CD" w14:textId="77777777" w:rsidR="00B770EA" w:rsidRPr="00712FE5" w:rsidRDefault="00B770EA" w:rsidP="00B770EA">
            <w:pPr>
              <w:rPr>
                <w:sz w:val="20"/>
                <w:szCs w:val="20"/>
              </w:rPr>
            </w:pPr>
            <w:r w:rsidRPr="00712FE5">
              <w:rPr>
                <w:i/>
                <w:iCs/>
                <w:sz w:val="20"/>
                <w:szCs w:val="20"/>
              </w:rPr>
              <w:lastRenderedPageBreak/>
              <w:t>M</w:t>
            </w:r>
            <w:r w:rsidRPr="00712FE5">
              <w:rPr>
                <w:sz w:val="20"/>
                <w:szCs w:val="20"/>
              </w:rPr>
              <w:t> – izmaksas par patērēto siltumenerģiju apkures nodrošināšanai gadā (</w:t>
            </w:r>
            <w:proofErr w:type="spellStart"/>
            <w:r w:rsidRPr="00712FE5">
              <w:rPr>
                <w:i/>
                <w:iCs/>
                <w:sz w:val="20"/>
                <w:szCs w:val="20"/>
              </w:rPr>
              <w:t>euro</w:t>
            </w:r>
            <w:proofErr w:type="spellEnd"/>
            <w:r w:rsidRPr="00712FE5">
              <w:rPr>
                <w:sz w:val="20"/>
                <w:szCs w:val="20"/>
              </w:rPr>
              <w:t>);</w:t>
            </w:r>
          </w:p>
          <w:p w14:paraId="0719288A" w14:textId="77777777" w:rsidR="00B770EA" w:rsidRPr="00712FE5" w:rsidRDefault="00B770EA" w:rsidP="00B770EA">
            <w:pPr>
              <w:rPr>
                <w:sz w:val="20"/>
                <w:szCs w:val="20"/>
              </w:rPr>
            </w:pPr>
            <w:proofErr w:type="spellStart"/>
            <w:r w:rsidRPr="00712FE5">
              <w:rPr>
                <w:i/>
                <w:iCs/>
                <w:sz w:val="20"/>
                <w:szCs w:val="20"/>
              </w:rPr>
              <w:t>S</w:t>
            </w:r>
            <w:r w:rsidRPr="00712FE5">
              <w:rPr>
                <w:i/>
                <w:iCs/>
                <w:sz w:val="20"/>
                <w:szCs w:val="20"/>
                <w:vertAlign w:val="subscript"/>
              </w:rPr>
              <w:t>apk</w:t>
            </w:r>
            <w:proofErr w:type="spellEnd"/>
            <w:r w:rsidRPr="00712FE5">
              <w:rPr>
                <w:i/>
                <w:iCs/>
                <w:sz w:val="20"/>
                <w:szCs w:val="20"/>
                <w:vertAlign w:val="subscript"/>
              </w:rPr>
              <w:t>.</w:t>
            </w:r>
            <w:r w:rsidRPr="00712FE5">
              <w:rPr>
                <w:sz w:val="20"/>
                <w:szCs w:val="20"/>
              </w:rPr>
              <w:t> – mājas kopējā apkurināmā platība (m</w:t>
            </w:r>
            <w:r w:rsidRPr="00712FE5">
              <w:rPr>
                <w:sz w:val="20"/>
                <w:szCs w:val="20"/>
                <w:vertAlign w:val="superscript"/>
              </w:rPr>
              <w:t>2</w:t>
            </w:r>
            <w:r w:rsidRPr="00712FE5">
              <w:rPr>
                <w:sz w:val="20"/>
                <w:szCs w:val="20"/>
              </w:rPr>
              <w:t>);</w:t>
            </w:r>
          </w:p>
          <w:p w14:paraId="6B34F538" w14:textId="77777777" w:rsidR="00B770EA" w:rsidRPr="00712FE5" w:rsidRDefault="00B770EA" w:rsidP="00B770EA">
            <w:pPr>
              <w:tabs>
                <w:tab w:val="left" w:pos="1515"/>
              </w:tabs>
              <w:rPr>
                <w:sz w:val="20"/>
                <w:szCs w:val="20"/>
              </w:rPr>
            </w:pPr>
            <w:proofErr w:type="spellStart"/>
            <w:r w:rsidRPr="00712FE5">
              <w:rPr>
                <w:i/>
                <w:iCs/>
                <w:sz w:val="20"/>
                <w:szCs w:val="20"/>
              </w:rPr>
              <w:t>Q</w:t>
            </w:r>
            <w:r w:rsidRPr="00712FE5">
              <w:rPr>
                <w:i/>
                <w:iCs/>
                <w:sz w:val="20"/>
                <w:szCs w:val="20"/>
                <w:vertAlign w:val="subscript"/>
              </w:rPr>
              <w:t>vien</w:t>
            </w:r>
            <w:proofErr w:type="spellEnd"/>
            <w:r w:rsidRPr="00712FE5">
              <w:rPr>
                <w:sz w:val="20"/>
                <w:szCs w:val="20"/>
                <w:vertAlign w:val="subscript"/>
              </w:rPr>
              <w:t>.</w:t>
            </w:r>
            <w:r w:rsidRPr="00712FE5">
              <w:rPr>
                <w:sz w:val="20"/>
                <w:szCs w:val="20"/>
              </w:rPr>
              <w:t> – viena kvadrātmetra apsildei patērētās siltumenerģijas daudzums gadā (kWh/m</w:t>
            </w:r>
            <w:r w:rsidRPr="00712FE5">
              <w:rPr>
                <w:sz w:val="20"/>
                <w:szCs w:val="20"/>
                <w:vertAlign w:val="superscript"/>
              </w:rPr>
              <w:t>2</w:t>
            </w:r>
            <w:r w:rsidRPr="00712FE5">
              <w:rPr>
                <w:sz w:val="20"/>
                <w:szCs w:val="20"/>
              </w:rPr>
              <w:t>);</w:t>
            </w:r>
          </w:p>
          <w:p w14:paraId="69B0634C" w14:textId="77777777" w:rsidR="00B770EA" w:rsidRPr="00712FE5" w:rsidRDefault="00B770EA" w:rsidP="00B770EA">
            <w:pPr>
              <w:pStyle w:val="naisc"/>
              <w:spacing w:before="0" w:after="0"/>
              <w:jc w:val="both"/>
            </w:pPr>
            <w:r w:rsidRPr="00712FE5">
              <w:rPr>
                <w:i/>
                <w:iCs/>
                <w:sz w:val="20"/>
                <w:szCs w:val="20"/>
              </w:rPr>
              <w:t>T</w:t>
            </w:r>
            <w:r w:rsidRPr="00712FE5">
              <w:rPr>
                <w:sz w:val="20"/>
                <w:szCs w:val="20"/>
              </w:rPr>
              <w:t> – siltumenerģijas tarifs, ieskaitot pievienotās vērtības nodokli (PVN) (</w:t>
            </w:r>
            <w:proofErr w:type="spellStart"/>
            <w:r w:rsidRPr="00712FE5">
              <w:rPr>
                <w:sz w:val="20"/>
                <w:szCs w:val="20"/>
              </w:rPr>
              <w:t>euro</w:t>
            </w:r>
            <w:proofErr w:type="spellEnd"/>
            <w:r w:rsidRPr="00712FE5">
              <w:rPr>
                <w:sz w:val="20"/>
                <w:szCs w:val="20"/>
              </w:rPr>
              <w:t>/MWh).</w:t>
            </w:r>
          </w:p>
        </w:tc>
        <w:tc>
          <w:tcPr>
            <w:tcW w:w="4394" w:type="dxa"/>
            <w:tcBorders>
              <w:left w:val="single" w:sz="6" w:space="0" w:color="000000"/>
              <w:bottom w:val="single" w:sz="4" w:space="0" w:color="auto"/>
              <w:right w:val="single" w:sz="6" w:space="0" w:color="000000"/>
            </w:tcBorders>
          </w:tcPr>
          <w:p w14:paraId="2EDE417D" w14:textId="77777777" w:rsidR="00B770EA" w:rsidRPr="00712FE5" w:rsidRDefault="00B770EA" w:rsidP="00B770EA">
            <w:pPr>
              <w:pStyle w:val="naisc"/>
              <w:spacing w:before="0" w:after="0"/>
              <w:jc w:val="both"/>
              <w:rPr>
                <w:b/>
                <w:bCs/>
              </w:rPr>
            </w:pPr>
            <w:r w:rsidRPr="00712FE5">
              <w:rPr>
                <w:b/>
                <w:bCs/>
              </w:rPr>
              <w:lastRenderedPageBreak/>
              <w:t>Finanšu ministrija</w:t>
            </w:r>
          </w:p>
          <w:p w14:paraId="1F831AF3" w14:textId="77777777" w:rsidR="00B770EA" w:rsidRPr="00712FE5" w:rsidRDefault="00B770EA" w:rsidP="00B770EA">
            <w:pPr>
              <w:widowControl w:val="0"/>
              <w:shd w:val="clear" w:color="auto" w:fill="FFFFFF"/>
              <w:suppressAutoHyphens/>
              <w:contextualSpacing/>
            </w:pPr>
            <w:r w:rsidRPr="00712FE5">
              <w:t>Lūdzam Noteikumu projekta 1. pielikuma un 2.pielikuma 3.punktu izteikt šādā redakcijā:</w:t>
            </w:r>
          </w:p>
          <w:p w14:paraId="03AD9B25" w14:textId="77777777" w:rsidR="00B770EA" w:rsidRPr="00712FE5" w:rsidRDefault="00B770EA" w:rsidP="00B770EA">
            <w:pPr>
              <w:contextualSpacing/>
            </w:pPr>
            <w:r w:rsidRPr="00712FE5">
              <w:t>“3. Izmaksas par patērēto siltumenerģiju apkures nodrošināšanai gadā aprēķina, izmantojot šādu formulu:</w:t>
            </w:r>
          </w:p>
          <w:p w14:paraId="36259D21" w14:textId="60619B13" w:rsidR="00B770EA" w:rsidRPr="00712FE5" w:rsidRDefault="00B770EA" w:rsidP="00B770EA">
            <w:pPr>
              <w:spacing w:after="160" w:line="252" w:lineRule="auto"/>
              <w:contextualSpacing/>
              <w:jc w:val="center"/>
              <w:rPr>
                <w:bCs/>
              </w:rPr>
            </w:pPr>
            <m:oMath>
              <m:r>
                <w:rPr>
                  <w:rFonts w:ascii="Cambria Math" w:hAnsi="Cambria Math" w:cs="Calibri"/>
                </w:rPr>
                <m:t>M=</m:t>
              </m:r>
              <m:sSub>
                <m:sSubPr>
                  <m:ctrlPr>
                    <w:rPr>
                      <w:rFonts w:ascii="Cambria Math" w:hAnsi="Cambria Math" w:cs="Calibri"/>
                      <w:bCs/>
                      <w:i/>
                      <w:iCs/>
                    </w:rPr>
                  </m:ctrlPr>
                </m:sSubPr>
                <m:e>
                  <m:r>
                    <w:rPr>
                      <w:rFonts w:ascii="Cambria Math" w:hAnsi="Cambria Math" w:cs="Calibri"/>
                    </w:rPr>
                    <m:t>Q</m:t>
                  </m:r>
                </m:e>
                <m:sub>
                  <m:r>
                    <w:rPr>
                      <w:rFonts w:ascii="Cambria Math" w:hAnsi="Cambria Math" w:cs="Calibri"/>
                    </w:rPr>
                    <m:t>ēkai</m:t>
                  </m:r>
                </m:sub>
              </m:sSub>
              <m:r>
                <w:rPr>
                  <w:rFonts w:ascii="Cambria Math" w:hAnsi="Cambria Math" w:cs="Calibri"/>
                </w:rPr>
                <m:t>×T</m:t>
              </m:r>
            </m:oMath>
            <w:r w:rsidRPr="00712FE5">
              <w:rPr>
                <w:bCs/>
              </w:rPr>
              <w:t>,</w:t>
            </w:r>
          </w:p>
          <w:p w14:paraId="5C09C7CA" w14:textId="77777777" w:rsidR="00B770EA" w:rsidRPr="00712FE5" w:rsidRDefault="00B770EA" w:rsidP="00B770EA">
            <w:pPr>
              <w:ind w:left="284"/>
              <w:contextualSpacing/>
            </w:pPr>
            <w:r w:rsidRPr="00712FE5">
              <w:t>kur:</w:t>
            </w:r>
          </w:p>
          <w:p w14:paraId="7E427130" w14:textId="77777777" w:rsidR="00B770EA" w:rsidRPr="00712FE5" w:rsidRDefault="00B770EA" w:rsidP="00B770EA">
            <w:pPr>
              <w:rPr>
                <w:sz w:val="20"/>
              </w:rPr>
            </w:pPr>
            <w:r w:rsidRPr="00712FE5">
              <w:rPr>
                <w:i/>
                <w:iCs/>
                <w:sz w:val="20"/>
              </w:rPr>
              <w:t>M</w:t>
            </w:r>
            <w:r w:rsidRPr="00712FE5">
              <w:rPr>
                <w:sz w:val="20"/>
              </w:rPr>
              <w:t> – izmaksas par patērēto siltumenerģiju apkures nodrošināšanai gadā (</w:t>
            </w:r>
            <w:proofErr w:type="spellStart"/>
            <w:r w:rsidRPr="00712FE5">
              <w:rPr>
                <w:i/>
                <w:iCs/>
                <w:sz w:val="20"/>
              </w:rPr>
              <w:t>euro</w:t>
            </w:r>
            <w:proofErr w:type="spellEnd"/>
            <w:r w:rsidRPr="00712FE5">
              <w:rPr>
                <w:sz w:val="20"/>
              </w:rPr>
              <w:t>);</w:t>
            </w:r>
          </w:p>
          <w:p w14:paraId="55FD325A" w14:textId="77777777" w:rsidR="00B770EA" w:rsidRPr="00712FE5" w:rsidRDefault="00B770EA" w:rsidP="00B770EA">
            <w:pPr>
              <w:rPr>
                <w:sz w:val="20"/>
              </w:rPr>
            </w:pPr>
            <w:proofErr w:type="spellStart"/>
            <w:r w:rsidRPr="00712FE5">
              <w:rPr>
                <w:i/>
                <w:iCs/>
                <w:sz w:val="20"/>
              </w:rPr>
              <w:t>Q</w:t>
            </w:r>
            <w:r w:rsidRPr="00712FE5">
              <w:rPr>
                <w:i/>
                <w:iCs/>
                <w:sz w:val="20"/>
                <w:vertAlign w:val="subscript"/>
              </w:rPr>
              <w:t>ēkai</w:t>
            </w:r>
            <w:proofErr w:type="spellEnd"/>
            <w:r w:rsidRPr="00712FE5">
              <w:rPr>
                <w:sz w:val="20"/>
                <w:vertAlign w:val="subscript"/>
              </w:rPr>
              <w:t>.</w:t>
            </w:r>
            <w:r w:rsidRPr="00712FE5">
              <w:rPr>
                <w:sz w:val="20"/>
              </w:rPr>
              <w:t> – ēkas apkurei patērētās siltumenerģijas daudzums gadā (MWh);</w:t>
            </w:r>
          </w:p>
          <w:p w14:paraId="6D818088" w14:textId="77777777" w:rsidR="00B770EA" w:rsidRPr="00712FE5" w:rsidRDefault="00B770EA" w:rsidP="00B770EA">
            <w:pPr>
              <w:pStyle w:val="naisc"/>
              <w:spacing w:before="0" w:after="0"/>
              <w:jc w:val="both"/>
              <w:rPr>
                <w:sz w:val="20"/>
              </w:rPr>
            </w:pPr>
            <w:r w:rsidRPr="00712FE5">
              <w:rPr>
                <w:i/>
                <w:iCs/>
                <w:sz w:val="20"/>
              </w:rPr>
              <w:t>T</w:t>
            </w:r>
            <w:r w:rsidRPr="00712FE5">
              <w:rPr>
                <w:sz w:val="20"/>
              </w:rPr>
              <w:t> – siltumenerģijas tarifs, ieskaitot pievienotās vērtības nodokli (PVN) (</w:t>
            </w:r>
            <w:proofErr w:type="spellStart"/>
            <w:r w:rsidRPr="00712FE5">
              <w:rPr>
                <w:sz w:val="20"/>
              </w:rPr>
              <w:t>euro</w:t>
            </w:r>
            <w:proofErr w:type="spellEnd"/>
            <w:r w:rsidRPr="00712FE5">
              <w:rPr>
                <w:sz w:val="20"/>
              </w:rPr>
              <w:t>/MWh).”</w:t>
            </w:r>
          </w:p>
          <w:p w14:paraId="1C2CD972" w14:textId="77777777" w:rsidR="00B770EA" w:rsidRPr="00712FE5" w:rsidRDefault="00B770EA" w:rsidP="00B770EA">
            <w:pPr>
              <w:pStyle w:val="naisc"/>
              <w:spacing w:before="0" w:after="0"/>
              <w:jc w:val="both"/>
              <w:rPr>
                <w:b/>
              </w:rPr>
            </w:pPr>
            <w:r w:rsidRPr="00712FE5">
              <w:rPr>
                <w:b/>
              </w:rPr>
              <w:t>Finanšu ministrija (papildus)</w:t>
            </w:r>
          </w:p>
          <w:p w14:paraId="7F9E9D96" w14:textId="77777777" w:rsidR="00B770EA" w:rsidRPr="00712FE5" w:rsidRDefault="00B770EA" w:rsidP="00B770EA">
            <w:pPr>
              <w:pStyle w:val="naisc"/>
              <w:spacing w:before="0" w:after="0"/>
              <w:jc w:val="both"/>
            </w:pPr>
            <w:r w:rsidRPr="00712FE5">
              <w:t xml:space="preserve">Noteikumu projekta pielikumos iekļautā formula ir nepamatoti sarežģīta ar aprēķinu par vienu vienību (kvadrātmetru), jo ēkas kopējais siltumenerģijas patēriņš jau ir uzskaitīts. Uz patēriņu par vienu kvadrātmetru var būt norādīts ēkas </w:t>
            </w:r>
            <w:proofErr w:type="spellStart"/>
            <w:r w:rsidRPr="00712FE5">
              <w:t>energosertifikātā</w:t>
            </w:r>
            <w:proofErr w:type="spellEnd"/>
            <w:r w:rsidRPr="00712FE5">
              <w:t>, taču aprēķinos to nav nepieciešams izmantot.</w:t>
            </w:r>
          </w:p>
        </w:tc>
        <w:tc>
          <w:tcPr>
            <w:tcW w:w="3119" w:type="dxa"/>
            <w:gridSpan w:val="2"/>
            <w:tcBorders>
              <w:left w:val="single" w:sz="6" w:space="0" w:color="000000"/>
              <w:bottom w:val="single" w:sz="4" w:space="0" w:color="auto"/>
              <w:right w:val="single" w:sz="6" w:space="0" w:color="000000"/>
            </w:tcBorders>
          </w:tcPr>
          <w:p w14:paraId="03108605" w14:textId="77777777" w:rsidR="00B770EA" w:rsidRPr="00712FE5" w:rsidRDefault="00B770EA" w:rsidP="00B770EA">
            <w:pPr>
              <w:pStyle w:val="naisc"/>
              <w:spacing w:before="0" w:after="0"/>
              <w:rPr>
                <w:b/>
              </w:rPr>
            </w:pPr>
            <w:r w:rsidRPr="00712FE5">
              <w:rPr>
                <w:b/>
              </w:rPr>
              <w:t>Ņemts vērā.</w:t>
            </w:r>
          </w:p>
          <w:p w14:paraId="2BF2317A" w14:textId="77777777" w:rsidR="00B770EA" w:rsidRPr="00712FE5" w:rsidRDefault="00B770EA" w:rsidP="00B770EA">
            <w:pPr>
              <w:pStyle w:val="naisc"/>
              <w:spacing w:before="0" w:after="0"/>
              <w:jc w:val="both"/>
              <w:rPr>
                <w:i/>
              </w:rPr>
            </w:pPr>
          </w:p>
        </w:tc>
        <w:tc>
          <w:tcPr>
            <w:tcW w:w="3118" w:type="dxa"/>
            <w:tcBorders>
              <w:top w:val="single" w:sz="4" w:space="0" w:color="auto"/>
              <w:left w:val="single" w:sz="4" w:space="0" w:color="auto"/>
              <w:bottom w:val="single" w:sz="4" w:space="0" w:color="auto"/>
            </w:tcBorders>
          </w:tcPr>
          <w:p w14:paraId="0560EFFD" w14:textId="77777777" w:rsidR="00B770EA" w:rsidRPr="00712FE5" w:rsidRDefault="00B770EA" w:rsidP="00B770EA">
            <w:pPr>
              <w:pStyle w:val="naisc"/>
              <w:spacing w:before="0" w:after="0"/>
              <w:jc w:val="both"/>
            </w:pPr>
            <w:r w:rsidRPr="00712FE5">
              <w:t>1. pielikuma 3. punkts:</w:t>
            </w:r>
          </w:p>
          <w:p w14:paraId="72E37F25" w14:textId="77777777" w:rsidR="00B770EA" w:rsidRPr="00712FE5" w:rsidRDefault="00B770EA" w:rsidP="00B770EA">
            <w:pPr>
              <w:pStyle w:val="naisc"/>
              <w:spacing w:before="0" w:after="0"/>
              <w:jc w:val="both"/>
            </w:pPr>
            <w:r w:rsidRPr="00712FE5">
              <w:t>”3. Izmaksas par patērēto siltumenerģiju apkures nodrošināšanai gadā aprēķina, izmantojot šādu formulu:</w:t>
            </w:r>
          </w:p>
          <w:p w14:paraId="1C919E29" w14:textId="412DB71E" w:rsidR="00B770EA" w:rsidRPr="00712FE5" w:rsidRDefault="00B770EA" w:rsidP="00B770EA">
            <w:pPr>
              <w:pStyle w:val="naisc"/>
              <w:spacing w:before="0" w:after="0"/>
            </w:pPr>
            <m:oMath>
              <m:r>
                <w:rPr>
                  <w:rFonts w:ascii="Cambria Math" w:hAnsi="Cambria Math" w:cs="Calibri"/>
                </w:rPr>
                <m:t>M=</m:t>
              </m:r>
              <m:sSub>
                <m:sSubPr>
                  <m:ctrlPr>
                    <w:rPr>
                      <w:rFonts w:ascii="Cambria Math" w:hAnsi="Cambria Math" w:cs="Calibri"/>
                      <w:bCs/>
                      <w:i/>
                      <w:iCs/>
                    </w:rPr>
                  </m:ctrlPr>
                </m:sSubPr>
                <m:e>
                  <m:r>
                    <w:rPr>
                      <w:rFonts w:ascii="Cambria Math" w:hAnsi="Cambria Math" w:cs="Calibri"/>
                    </w:rPr>
                    <m:t>Q</m:t>
                  </m:r>
                </m:e>
                <m:sub>
                  <m:r>
                    <w:rPr>
                      <w:rFonts w:ascii="Cambria Math" w:hAnsi="Cambria Math" w:cs="Calibri"/>
                    </w:rPr>
                    <m:t>ēkai</m:t>
                  </m:r>
                </m:sub>
              </m:sSub>
              <m:r>
                <w:rPr>
                  <w:rFonts w:ascii="Cambria Math" w:hAnsi="Cambria Math" w:cs="Calibri"/>
                </w:rPr>
                <m:t>×T</m:t>
              </m:r>
            </m:oMath>
            <w:r w:rsidRPr="00712FE5">
              <w:rPr>
                <w:position w:val="-6"/>
              </w:rPr>
              <w:t>,</w:t>
            </w:r>
          </w:p>
          <w:p w14:paraId="196D5E24" w14:textId="77777777" w:rsidR="00B770EA" w:rsidRPr="00712FE5" w:rsidRDefault="00B770EA" w:rsidP="00B770EA">
            <w:pPr>
              <w:pStyle w:val="ListParagraph"/>
              <w:tabs>
                <w:tab w:val="left" w:pos="3123"/>
              </w:tabs>
              <w:spacing w:after="0" w:line="240" w:lineRule="auto"/>
              <w:ind w:left="284"/>
              <w:rPr>
                <w:rFonts w:ascii="Times New Roman" w:hAnsi="Times New Roman"/>
                <w:sz w:val="24"/>
                <w:szCs w:val="24"/>
                <w:lang w:eastAsia="lv-LV"/>
              </w:rPr>
            </w:pPr>
            <w:r w:rsidRPr="00712FE5">
              <w:rPr>
                <w:rFonts w:ascii="Times New Roman" w:hAnsi="Times New Roman"/>
                <w:sz w:val="24"/>
                <w:szCs w:val="24"/>
                <w:lang w:eastAsia="lv-LV"/>
              </w:rPr>
              <w:t>kur:</w:t>
            </w:r>
          </w:p>
          <w:p w14:paraId="13C15D5A" w14:textId="77777777" w:rsidR="00B770EA" w:rsidRPr="00712FE5" w:rsidRDefault="00B770EA" w:rsidP="00B770EA">
            <w:pPr>
              <w:rPr>
                <w:sz w:val="20"/>
                <w:szCs w:val="20"/>
              </w:rPr>
            </w:pPr>
            <w:r w:rsidRPr="00712FE5">
              <w:rPr>
                <w:i/>
                <w:iCs/>
                <w:sz w:val="20"/>
                <w:szCs w:val="20"/>
              </w:rPr>
              <w:t>M</w:t>
            </w:r>
            <w:r w:rsidRPr="00712FE5">
              <w:rPr>
                <w:sz w:val="20"/>
                <w:szCs w:val="20"/>
              </w:rPr>
              <w:t> – izmaksas par patērēto siltumenerģiju apkures nodrošināšanai gadā (</w:t>
            </w:r>
            <w:proofErr w:type="spellStart"/>
            <w:r w:rsidRPr="00712FE5">
              <w:rPr>
                <w:i/>
                <w:iCs/>
                <w:sz w:val="20"/>
                <w:szCs w:val="20"/>
              </w:rPr>
              <w:t>euro</w:t>
            </w:r>
            <w:proofErr w:type="spellEnd"/>
            <w:r w:rsidRPr="00712FE5">
              <w:rPr>
                <w:sz w:val="20"/>
                <w:szCs w:val="20"/>
              </w:rPr>
              <w:t>);</w:t>
            </w:r>
          </w:p>
          <w:p w14:paraId="7C270A1A" w14:textId="77777777" w:rsidR="00B770EA" w:rsidRPr="00712FE5" w:rsidRDefault="00B770EA" w:rsidP="00B770EA">
            <w:pPr>
              <w:tabs>
                <w:tab w:val="left" w:pos="1515"/>
              </w:tabs>
              <w:rPr>
                <w:sz w:val="20"/>
                <w:szCs w:val="20"/>
              </w:rPr>
            </w:pPr>
            <w:proofErr w:type="spellStart"/>
            <w:r w:rsidRPr="00712FE5">
              <w:rPr>
                <w:i/>
                <w:iCs/>
                <w:sz w:val="20"/>
                <w:szCs w:val="20"/>
              </w:rPr>
              <w:t>Q</w:t>
            </w:r>
            <w:r w:rsidRPr="00712FE5">
              <w:rPr>
                <w:i/>
                <w:iCs/>
                <w:sz w:val="20"/>
                <w:szCs w:val="20"/>
                <w:vertAlign w:val="subscript"/>
              </w:rPr>
              <w:t>ēkai</w:t>
            </w:r>
            <w:proofErr w:type="spellEnd"/>
            <w:r w:rsidRPr="00712FE5">
              <w:rPr>
                <w:sz w:val="20"/>
                <w:szCs w:val="20"/>
              </w:rPr>
              <w:t> – ēkas apkurei patērētās siltumenerģijas daudzums gadā (MWh);</w:t>
            </w:r>
          </w:p>
          <w:p w14:paraId="00BB816F" w14:textId="77777777" w:rsidR="00B770EA" w:rsidRPr="00712FE5" w:rsidRDefault="00B770EA" w:rsidP="00B770EA">
            <w:pPr>
              <w:pStyle w:val="naisc"/>
              <w:spacing w:before="0" w:after="0"/>
              <w:jc w:val="both"/>
              <w:rPr>
                <w:sz w:val="20"/>
                <w:szCs w:val="20"/>
                <w:highlight w:val="yellow"/>
              </w:rPr>
            </w:pPr>
            <w:r w:rsidRPr="00712FE5">
              <w:rPr>
                <w:i/>
                <w:iCs/>
                <w:sz w:val="20"/>
                <w:szCs w:val="20"/>
              </w:rPr>
              <w:t>T</w:t>
            </w:r>
            <w:r w:rsidRPr="00712FE5">
              <w:rPr>
                <w:sz w:val="20"/>
                <w:szCs w:val="20"/>
              </w:rPr>
              <w:t> – siltumenerģijas tarifs, ieskaitot pievienotās vērtības nodokli (PVN) (</w:t>
            </w:r>
            <w:proofErr w:type="spellStart"/>
            <w:r w:rsidRPr="00712FE5">
              <w:rPr>
                <w:sz w:val="20"/>
                <w:szCs w:val="20"/>
              </w:rPr>
              <w:t>euro</w:t>
            </w:r>
            <w:proofErr w:type="spellEnd"/>
            <w:r w:rsidRPr="00712FE5">
              <w:rPr>
                <w:sz w:val="20"/>
                <w:szCs w:val="20"/>
              </w:rPr>
              <w:t>/MWh).</w:t>
            </w:r>
            <w:r w:rsidRPr="00712FE5">
              <w:t>”</w:t>
            </w:r>
          </w:p>
          <w:p w14:paraId="346127B6" w14:textId="77777777" w:rsidR="00B770EA" w:rsidRPr="00712FE5" w:rsidRDefault="00B770EA" w:rsidP="00B770EA">
            <w:pPr>
              <w:pStyle w:val="naisc"/>
              <w:spacing w:before="0" w:after="0"/>
              <w:jc w:val="both"/>
              <w:rPr>
                <w:highlight w:val="yellow"/>
              </w:rPr>
            </w:pPr>
          </w:p>
          <w:p w14:paraId="0E3D474A" w14:textId="77777777" w:rsidR="00B770EA" w:rsidRPr="00712FE5" w:rsidRDefault="00B770EA" w:rsidP="00B770EA">
            <w:pPr>
              <w:pStyle w:val="naisc"/>
              <w:spacing w:before="0" w:after="0"/>
              <w:jc w:val="both"/>
            </w:pPr>
            <w:r w:rsidRPr="00712FE5">
              <w:t>2. pielikuma 3. punkts:</w:t>
            </w:r>
          </w:p>
          <w:p w14:paraId="5FE49C83" w14:textId="77777777" w:rsidR="00B770EA" w:rsidRPr="00712FE5" w:rsidRDefault="00B770EA" w:rsidP="00B770EA">
            <w:pPr>
              <w:pStyle w:val="naisc"/>
              <w:spacing w:before="0" w:after="0"/>
              <w:jc w:val="both"/>
            </w:pPr>
            <w:r w:rsidRPr="00712FE5">
              <w:t>”3. Izmaksas par patērēto siltumenerģiju apkures nodrošināšanai gadā aprēķina, izmantojot šādu formulu:</w:t>
            </w:r>
          </w:p>
          <w:p w14:paraId="60553FBE" w14:textId="7E88A44E" w:rsidR="00B770EA" w:rsidRPr="00712FE5" w:rsidRDefault="00B770EA" w:rsidP="00B770EA">
            <w:pPr>
              <w:pStyle w:val="naisc"/>
              <w:spacing w:before="0" w:after="0"/>
              <w:rPr>
                <w:position w:val="-6"/>
              </w:rPr>
            </w:pPr>
            <m:oMath>
              <m:r>
                <w:rPr>
                  <w:rFonts w:ascii="Cambria Math" w:hAnsi="Cambria Math" w:cs="Calibri"/>
                </w:rPr>
                <m:t>M=</m:t>
              </m:r>
              <m:sSub>
                <m:sSubPr>
                  <m:ctrlPr>
                    <w:rPr>
                      <w:rFonts w:ascii="Cambria Math" w:hAnsi="Cambria Math" w:cs="Calibri"/>
                      <w:bCs/>
                      <w:i/>
                      <w:iCs/>
                    </w:rPr>
                  </m:ctrlPr>
                </m:sSubPr>
                <m:e>
                  <m:r>
                    <w:rPr>
                      <w:rFonts w:ascii="Cambria Math" w:hAnsi="Cambria Math" w:cs="Calibri"/>
                    </w:rPr>
                    <m:t>Q</m:t>
                  </m:r>
                </m:e>
                <m:sub>
                  <m:r>
                    <w:rPr>
                      <w:rFonts w:ascii="Cambria Math" w:hAnsi="Cambria Math" w:cs="Calibri"/>
                    </w:rPr>
                    <m:t>ēkai</m:t>
                  </m:r>
                </m:sub>
              </m:sSub>
              <m:r>
                <w:rPr>
                  <w:rFonts w:ascii="Cambria Math" w:hAnsi="Cambria Math" w:cs="Calibri"/>
                </w:rPr>
                <m:t>×T</m:t>
              </m:r>
            </m:oMath>
            <w:r w:rsidRPr="00712FE5">
              <w:rPr>
                <w:position w:val="-6"/>
              </w:rPr>
              <w:t>,</w:t>
            </w:r>
          </w:p>
          <w:p w14:paraId="417B3EA1" w14:textId="77777777" w:rsidR="00B770EA" w:rsidRPr="00712FE5" w:rsidRDefault="00B770EA" w:rsidP="00B770EA">
            <w:pPr>
              <w:pStyle w:val="ListParagraph"/>
              <w:tabs>
                <w:tab w:val="left" w:pos="3123"/>
              </w:tabs>
              <w:spacing w:after="0" w:line="240" w:lineRule="auto"/>
              <w:ind w:left="284"/>
              <w:rPr>
                <w:rFonts w:ascii="Times New Roman" w:hAnsi="Times New Roman"/>
                <w:sz w:val="24"/>
                <w:szCs w:val="24"/>
                <w:lang w:eastAsia="lv-LV"/>
              </w:rPr>
            </w:pPr>
            <w:r w:rsidRPr="00712FE5">
              <w:rPr>
                <w:rFonts w:ascii="Times New Roman" w:hAnsi="Times New Roman"/>
                <w:sz w:val="24"/>
                <w:szCs w:val="24"/>
                <w:lang w:eastAsia="lv-LV"/>
              </w:rPr>
              <w:t>kur:</w:t>
            </w:r>
          </w:p>
          <w:p w14:paraId="301E81D4" w14:textId="77777777" w:rsidR="00B770EA" w:rsidRPr="00712FE5" w:rsidRDefault="00B770EA" w:rsidP="00B770EA">
            <w:pPr>
              <w:rPr>
                <w:sz w:val="20"/>
                <w:szCs w:val="20"/>
              </w:rPr>
            </w:pPr>
            <w:r w:rsidRPr="00712FE5">
              <w:rPr>
                <w:i/>
                <w:iCs/>
                <w:sz w:val="20"/>
                <w:szCs w:val="20"/>
              </w:rPr>
              <w:t>M</w:t>
            </w:r>
            <w:r w:rsidRPr="00712FE5">
              <w:rPr>
                <w:sz w:val="20"/>
                <w:szCs w:val="20"/>
              </w:rPr>
              <w:t> – izmaksas par patērēto siltumenerģiju apkures nodrošināšanai gadā (</w:t>
            </w:r>
            <w:proofErr w:type="spellStart"/>
            <w:r w:rsidRPr="00712FE5">
              <w:rPr>
                <w:i/>
                <w:iCs/>
                <w:sz w:val="20"/>
                <w:szCs w:val="20"/>
              </w:rPr>
              <w:t>euro</w:t>
            </w:r>
            <w:proofErr w:type="spellEnd"/>
            <w:r w:rsidRPr="00712FE5">
              <w:rPr>
                <w:sz w:val="20"/>
                <w:szCs w:val="20"/>
              </w:rPr>
              <w:t>);</w:t>
            </w:r>
          </w:p>
          <w:p w14:paraId="1D67659A" w14:textId="77777777" w:rsidR="00B770EA" w:rsidRPr="00712FE5" w:rsidRDefault="00B770EA" w:rsidP="00B770EA">
            <w:pPr>
              <w:tabs>
                <w:tab w:val="left" w:pos="1515"/>
              </w:tabs>
              <w:rPr>
                <w:sz w:val="20"/>
                <w:szCs w:val="20"/>
              </w:rPr>
            </w:pPr>
            <w:proofErr w:type="spellStart"/>
            <w:r w:rsidRPr="00712FE5">
              <w:rPr>
                <w:i/>
                <w:iCs/>
                <w:sz w:val="20"/>
                <w:szCs w:val="20"/>
              </w:rPr>
              <w:lastRenderedPageBreak/>
              <w:t>Q</w:t>
            </w:r>
            <w:r w:rsidRPr="00712FE5">
              <w:rPr>
                <w:i/>
                <w:iCs/>
                <w:sz w:val="20"/>
                <w:szCs w:val="20"/>
                <w:vertAlign w:val="subscript"/>
              </w:rPr>
              <w:t>ēkai</w:t>
            </w:r>
            <w:proofErr w:type="spellEnd"/>
            <w:r w:rsidRPr="00712FE5">
              <w:rPr>
                <w:sz w:val="20"/>
                <w:szCs w:val="20"/>
              </w:rPr>
              <w:t> – ēkas apkurei patērētās siltumenerģijas daudzums gadā (MWh);</w:t>
            </w:r>
          </w:p>
          <w:p w14:paraId="22B198A4" w14:textId="77777777" w:rsidR="00B770EA" w:rsidRPr="00712FE5" w:rsidRDefault="00B770EA" w:rsidP="00B770EA">
            <w:pPr>
              <w:pStyle w:val="naisc"/>
              <w:spacing w:before="0" w:after="0"/>
              <w:jc w:val="both"/>
            </w:pPr>
            <w:r w:rsidRPr="00712FE5">
              <w:rPr>
                <w:i/>
                <w:iCs/>
                <w:sz w:val="20"/>
                <w:szCs w:val="20"/>
              </w:rPr>
              <w:t>T</w:t>
            </w:r>
            <w:r w:rsidRPr="00712FE5">
              <w:rPr>
                <w:sz w:val="20"/>
                <w:szCs w:val="20"/>
              </w:rPr>
              <w:t> – siltumenerģijas tarifs, ieskaitot pievienotās vērtības nodokli (PVN) (</w:t>
            </w:r>
            <w:proofErr w:type="spellStart"/>
            <w:r w:rsidRPr="00712FE5">
              <w:rPr>
                <w:sz w:val="20"/>
                <w:szCs w:val="20"/>
              </w:rPr>
              <w:t>euro</w:t>
            </w:r>
            <w:proofErr w:type="spellEnd"/>
            <w:r w:rsidRPr="00712FE5">
              <w:rPr>
                <w:sz w:val="20"/>
                <w:szCs w:val="20"/>
              </w:rPr>
              <w:t>/MWh).</w:t>
            </w:r>
            <w:r w:rsidRPr="00712FE5">
              <w:t>”</w:t>
            </w:r>
          </w:p>
        </w:tc>
      </w:tr>
      <w:tr w:rsidR="00B770EA" w:rsidRPr="00712FE5" w14:paraId="3757496E" w14:textId="77777777" w:rsidTr="00F10DF3">
        <w:tc>
          <w:tcPr>
            <w:tcW w:w="708" w:type="dxa"/>
            <w:tcBorders>
              <w:left w:val="single" w:sz="6" w:space="0" w:color="000000"/>
              <w:bottom w:val="single" w:sz="4" w:space="0" w:color="auto"/>
              <w:right w:val="single" w:sz="6" w:space="0" w:color="000000"/>
            </w:tcBorders>
          </w:tcPr>
          <w:p w14:paraId="47EDB2A8" w14:textId="7629E3FD" w:rsidR="00B770EA" w:rsidRPr="00712FE5" w:rsidRDefault="00B770EA" w:rsidP="00B770EA">
            <w:pPr>
              <w:pStyle w:val="naisc"/>
              <w:spacing w:before="0" w:after="0"/>
            </w:pPr>
            <w:r>
              <w:lastRenderedPageBreak/>
              <w:t>31</w:t>
            </w:r>
            <w:r w:rsidRPr="00712FE5">
              <w:t>.</w:t>
            </w:r>
          </w:p>
        </w:tc>
        <w:tc>
          <w:tcPr>
            <w:tcW w:w="3086" w:type="dxa"/>
            <w:gridSpan w:val="2"/>
            <w:tcBorders>
              <w:left w:val="single" w:sz="6" w:space="0" w:color="000000"/>
              <w:bottom w:val="single" w:sz="4" w:space="0" w:color="auto"/>
              <w:right w:val="single" w:sz="6" w:space="0" w:color="000000"/>
            </w:tcBorders>
          </w:tcPr>
          <w:p w14:paraId="04EBACE7" w14:textId="77777777" w:rsidR="00B770EA" w:rsidRPr="00712FE5" w:rsidRDefault="00B770EA" w:rsidP="00B770EA">
            <w:pPr>
              <w:pStyle w:val="naisc"/>
              <w:spacing w:before="0" w:after="0"/>
              <w:jc w:val="both"/>
            </w:pPr>
            <w:r w:rsidRPr="00712FE5">
              <w:t>1. pielikuma 4. punkts:</w:t>
            </w:r>
          </w:p>
          <w:p w14:paraId="6054D389" w14:textId="1A036EB9" w:rsidR="00B770EA" w:rsidRPr="00712FE5" w:rsidRDefault="00F56801" w:rsidP="00B770EA">
            <w:pPr>
              <w:pStyle w:val="naisc"/>
              <w:spacing w:before="0" w:after="0"/>
              <w:jc w:val="both"/>
            </w:pPr>
            <m:oMathPara>
              <m:oMath>
                <m:sSub>
                  <m:sSubPr>
                    <m:ctrlPr>
                      <w:rPr>
                        <w:rFonts w:ascii="Cambria Math" w:hAnsi="Cambria Math"/>
                        <w:i/>
                      </w:rPr>
                    </m:ctrlPr>
                  </m:sSubPr>
                  <m:e>
                    <m:r>
                      <w:rPr>
                        <w:rFonts w:ascii="Cambria Math" w:hAnsi="Cambria Math"/>
                      </w:rPr>
                      <m:t>∆</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kop.uzst.</m:t>
                    </m:r>
                  </m:sub>
                </m:sSub>
              </m:oMath>
            </m:oMathPara>
          </w:p>
          <w:p w14:paraId="314422C2" w14:textId="77777777" w:rsidR="00B770EA" w:rsidRPr="00712FE5" w:rsidRDefault="00B770EA" w:rsidP="00B770EA">
            <w:pPr>
              <w:pStyle w:val="naisc"/>
              <w:spacing w:before="0" w:after="0"/>
              <w:jc w:val="both"/>
            </w:pPr>
            <w:r w:rsidRPr="00712FE5">
              <w:t>2. pielikuma 4. punkts:</w:t>
            </w:r>
          </w:p>
          <w:p w14:paraId="1DF64D36" w14:textId="5A498A9B" w:rsidR="00B770EA" w:rsidRPr="00712FE5" w:rsidRDefault="00F56801" w:rsidP="00B770EA">
            <w:pPr>
              <w:pStyle w:val="naisc"/>
              <w:spacing w:before="0" w:after="0"/>
              <w:jc w:val="both"/>
            </w:pPr>
            <m:oMathPara>
              <m:oMath>
                <m:sSub>
                  <m:sSubPr>
                    <m:ctrlPr>
                      <w:rPr>
                        <w:rFonts w:ascii="Cambria Math" w:hAnsi="Cambria Math"/>
                        <w:i/>
                      </w:rPr>
                    </m:ctrlPr>
                  </m:sSubPr>
                  <m:e>
                    <m:r>
                      <w:rPr>
                        <w:rFonts w:ascii="Cambria Math" w:hAnsi="Cambria Math"/>
                      </w:rPr>
                      <m:t>∆</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kop.sk.uzst.</m:t>
                    </m:r>
                  </m:sub>
                </m:sSub>
              </m:oMath>
            </m:oMathPara>
          </w:p>
        </w:tc>
        <w:tc>
          <w:tcPr>
            <w:tcW w:w="4394" w:type="dxa"/>
            <w:tcBorders>
              <w:left w:val="single" w:sz="6" w:space="0" w:color="000000"/>
              <w:bottom w:val="single" w:sz="4" w:space="0" w:color="auto"/>
              <w:right w:val="single" w:sz="6" w:space="0" w:color="000000"/>
            </w:tcBorders>
          </w:tcPr>
          <w:p w14:paraId="0CFCD734" w14:textId="77777777" w:rsidR="00B770EA" w:rsidRPr="00712FE5" w:rsidRDefault="00B770EA" w:rsidP="00B770EA">
            <w:pPr>
              <w:pStyle w:val="naisc"/>
              <w:spacing w:before="0" w:after="0"/>
              <w:jc w:val="both"/>
              <w:rPr>
                <w:b/>
                <w:bCs/>
              </w:rPr>
            </w:pPr>
            <w:r w:rsidRPr="00712FE5">
              <w:rPr>
                <w:b/>
                <w:bCs/>
              </w:rPr>
              <w:t>Latvijas Lielo pilsētu asociācija</w:t>
            </w:r>
          </w:p>
          <w:p w14:paraId="5AD89D69" w14:textId="77777777" w:rsidR="00B770EA" w:rsidRPr="00712FE5" w:rsidRDefault="00B770EA" w:rsidP="00B770EA">
            <w:pPr>
              <w:pStyle w:val="naisc"/>
              <w:spacing w:before="0" w:after="0"/>
              <w:jc w:val="both"/>
            </w:pPr>
            <w:r w:rsidRPr="00712FE5">
              <w:t xml:space="preserve">Attiecībā uz noteikumu projekta 1. un 2. pielikuma 4. punktu ir </w:t>
            </w:r>
            <w:r w:rsidRPr="00712FE5">
              <w:rPr>
                <w:bCs/>
              </w:rPr>
              <w:t>nepieciešams izvērtēt formulas lietderību ņemot vērā, ka formulu ir iespējams izteikt tekstuāli.</w:t>
            </w:r>
          </w:p>
        </w:tc>
        <w:tc>
          <w:tcPr>
            <w:tcW w:w="3119" w:type="dxa"/>
            <w:gridSpan w:val="2"/>
            <w:tcBorders>
              <w:left w:val="single" w:sz="6" w:space="0" w:color="000000"/>
              <w:bottom w:val="single" w:sz="4" w:space="0" w:color="auto"/>
              <w:right w:val="single" w:sz="6" w:space="0" w:color="000000"/>
            </w:tcBorders>
          </w:tcPr>
          <w:p w14:paraId="431BB5D6" w14:textId="77777777" w:rsidR="00B770EA" w:rsidRPr="00712FE5" w:rsidRDefault="00B770EA" w:rsidP="00B770EA">
            <w:pPr>
              <w:pStyle w:val="naisc"/>
              <w:spacing w:before="0" w:after="0"/>
              <w:rPr>
                <w:b/>
              </w:rPr>
            </w:pPr>
            <w:r w:rsidRPr="00712FE5">
              <w:rPr>
                <w:b/>
              </w:rPr>
              <w:t>Panākta vienošanās.</w:t>
            </w:r>
          </w:p>
          <w:p w14:paraId="191BB3C7" w14:textId="77777777" w:rsidR="00B770EA" w:rsidRPr="00712FE5" w:rsidRDefault="00B770EA" w:rsidP="00B770EA">
            <w:pPr>
              <w:pStyle w:val="naisc"/>
              <w:spacing w:before="0" w:after="0"/>
              <w:jc w:val="both"/>
            </w:pPr>
            <w:r w:rsidRPr="00712FE5">
              <w:t>Noteikumu projekta pielikumos ietvertie aprēķini uzskatāmībai ir atspoguļoti formulu veidā, katram kritērijam piešķirot apzīmējumu.</w:t>
            </w:r>
          </w:p>
        </w:tc>
        <w:tc>
          <w:tcPr>
            <w:tcW w:w="3118" w:type="dxa"/>
            <w:tcBorders>
              <w:top w:val="single" w:sz="4" w:space="0" w:color="auto"/>
              <w:left w:val="single" w:sz="4" w:space="0" w:color="auto"/>
              <w:bottom w:val="single" w:sz="4" w:space="0" w:color="auto"/>
            </w:tcBorders>
          </w:tcPr>
          <w:p w14:paraId="56CC9562" w14:textId="77777777" w:rsidR="00B770EA" w:rsidRPr="00712FE5" w:rsidRDefault="00B770EA" w:rsidP="00B770EA">
            <w:pPr>
              <w:pStyle w:val="naisc"/>
              <w:spacing w:before="0" w:after="0"/>
              <w:jc w:val="both"/>
            </w:pPr>
            <w:r w:rsidRPr="00712FE5">
              <w:t>1. pielikuma 4. punkts:</w:t>
            </w:r>
          </w:p>
          <w:p w14:paraId="018BC45F" w14:textId="0DEE44EE" w:rsidR="00B770EA" w:rsidRPr="00712FE5" w:rsidRDefault="00F56801" w:rsidP="00B770EA">
            <w:pPr>
              <w:pStyle w:val="naisc"/>
              <w:spacing w:before="0" w:after="0"/>
              <w:jc w:val="both"/>
            </w:pPr>
            <m:oMathPara>
              <m:oMath>
                <m:sSub>
                  <m:sSubPr>
                    <m:ctrlPr>
                      <w:rPr>
                        <w:rFonts w:ascii="Cambria Math" w:hAnsi="Cambria Math"/>
                        <w:i/>
                      </w:rPr>
                    </m:ctrlPr>
                  </m:sSubPr>
                  <m:e>
                    <m:r>
                      <w:rPr>
                        <w:rFonts w:ascii="Cambria Math" w:hAnsi="Cambria Math"/>
                      </w:rPr>
                      <m:t>∆</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kop.uzst.</m:t>
                    </m:r>
                  </m:sub>
                </m:sSub>
              </m:oMath>
            </m:oMathPara>
          </w:p>
          <w:p w14:paraId="69F915F9" w14:textId="77777777" w:rsidR="00B770EA" w:rsidRPr="00712FE5" w:rsidRDefault="00B770EA" w:rsidP="00B770EA">
            <w:pPr>
              <w:pStyle w:val="naisc"/>
              <w:spacing w:before="0" w:after="0"/>
              <w:jc w:val="both"/>
            </w:pPr>
            <w:r w:rsidRPr="00712FE5">
              <w:t>2. pielikuma 4. punkts:</w:t>
            </w:r>
          </w:p>
          <w:p w14:paraId="13CCEAC5" w14:textId="55BB23BE" w:rsidR="00B770EA" w:rsidRPr="00712FE5" w:rsidRDefault="00F56801" w:rsidP="00B770EA">
            <w:pPr>
              <w:pStyle w:val="naisc"/>
              <w:spacing w:before="0" w:after="0"/>
              <w:jc w:val="both"/>
            </w:pPr>
            <m:oMathPara>
              <m:oMath>
                <m:sSub>
                  <m:sSubPr>
                    <m:ctrlPr>
                      <w:rPr>
                        <w:rFonts w:ascii="Cambria Math" w:hAnsi="Cambria Math"/>
                        <w:i/>
                      </w:rPr>
                    </m:ctrlPr>
                  </m:sSubPr>
                  <m:e>
                    <m:r>
                      <w:rPr>
                        <w:rFonts w:ascii="Cambria Math" w:hAnsi="Cambria Math"/>
                      </w:rPr>
                      <m:t>∆</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kop.sk.uzst.</m:t>
                    </m:r>
                  </m:sub>
                </m:sSub>
              </m:oMath>
            </m:oMathPara>
          </w:p>
        </w:tc>
      </w:tr>
      <w:tr w:rsidR="00B770EA" w:rsidRPr="00712FE5" w14:paraId="53803EA6" w14:textId="77777777" w:rsidTr="00F10DF3">
        <w:tc>
          <w:tcPr>
            <w:tcW w:w="708" w:type="dxa"/>
            <w:tcBorders>
              <w:left w:val="single" w:sz="6" w:space="0" w:color="000000"/>
              <w:bottom w:val="single" w:sz="4" w:space="0" w:color="auto"/>
              <w:right w:val="single" w:sz="6" w:space="0" w:color="000000"/>
            </w:tcBorders>
          </w:tcPr>
          <w:p w14:paraId="2AA8CDD7" w14:textId="1D2AD73F" w:rsidR="00B770EA" w:rsidRPr="00712FE5" w:rsidRDefault="00B770EA" w:rsidP="00B770EA">
            <w:pPr>
              <w:pStyle w:val="naisc"/>
              <w:spacing w:before="0" w:after="0"/>
            </w:pPr>
            <w:r w:rsidRPr="00712FE5">
              <w:t>3</w:t>
            </w:r>
            <w:r>
              <w:t>2</w:t>
            </w:r>
            <w:r w:rsidRPr="00712FE5">
              <w:t>.</w:t>
            </w:r>
          </w:p>
        </w:tc>
        <w:tc>
          <w:tcPr>
            <w:tcW w:w="3086" w:type="dxa"/>
            <w:gridSpan w:val="2"/>
            <w:tcBorders>
              <w:left w:val="single" w:sz="6" w:space="0" w:color="000000"/>
              <w:bottom w:val="single" w:sz="4" w:space="0" w:color="auto"/>
              <w:right w:val="single" w:sz="6" w:space="0" w:color="000000"/>
            </w:tcBorders>
          </w:tcPr>
          <w:p w14:paraId="28ED7285" w14:textId="77777777" w:rsidR="00B770EA" w:rsidRPr="00712FE5" w:rsidRDefault="00B770EA" w:rsidP="00B770EA">
            <w:pPr>
              <w:pStyle w:val="naisc"/>
              <w:spacing w:before="0" w:after="0"/>
              <w:jc w:val="both"/>
            </w:pPr>
            <w:r w:rsidRPr="00712FE5">
              <w:t>2. pielikuma 1. punkts:</w:t>
            </w:r>
          </w:p>
          <w:p w14:paraId="384F21BF" w14:textId="77777777" w:rsidR="00B770EA" w:rsidRPr="00712FE5" w:rsidRDefault="00B770EA" w:rsidP="00B770EA">
            <w:pPr>
              <w:pStyle w:val="naisc"/>
              <w:spacing w:before="0" w:after="0"/>
              <w:jc w:val="both"/>
            </w:pPr>
            <w:r w:rsidRPr="00712FE5">
              <w:t>”1. Kopējās siltumenerģijas patēriņa skaitītāju uzstādīšanas izmaksas aprēķina, izmantojot šādu formulu:</w:t>
            </w:r>
          </w:p>
          <w:p w14:paraId="4ECE7686" w14:textId="51C3C373" w:rsidR="00B770EA" w:rsidRPr="00712FE5" w:rsidRDefault="00F56801" w:rsidP="00B770EA">
            <w:pPr>
              <w:pStyle w:val="naisc"/>
              <w:spacing w:before="0" w:after="0"/>
              <w:jc w:val="both"/>
            </w:pPr>
            <m:oMathPara>
              <m:oMath>
                <m:sSub>
                  <m:sSubPr>
                    <m:ctrlPr>
                      <w:rPr>
                        <w:rFonts w:ascii="Cambria Math" w:hAnsi="Cambria Math"/>
                        <w:i/>
                      </w:rPr>
                    </m:ctrlPr>
                  </m:sSubPr>
                  <m:e>
                    <m:r>
                      <w:rPr>
                        <w:rFonts w:ascii="Cambria Math" w:hAnsi="Cambria Math"/>
                      </w:rPr>
                      <m:t>I</m:t>
                    </m:r>
                  </m:e>
                  <m:sub>
                    <m:r>
                      <w:rPr>
                        <w:rFonts w:ascii="Cambria Math" w:hAnsi="Cambria Math"/>
                      </w:rPr>
                      <m:t>kop.sk.uzst.</m:t>
                    </m:r>
                  </m:sub>
                </m:sSub>
                <m:r>
                  <w:rPr>
                    <w:rFonts w:ascii="Cambria Math" w:hAnsi="Cambria Math"/>
                  </w:rPr>
                  <m:t>=</m:t>
                </m:r>
              </m:oMath>
            </m:oMathPara>
          </w:p>
          <w:p w14:paraId="61A5E039" w14:textId="1991A803" w:rsidR="00B770EA" w:rsidRPr="00712FE5" w:rsidRDefault="00F56801" w:rsidP="00B770EA">
            <w:pPr>
              <w:pStyle w:val="naisc"/>
              <w:spacing w:before="0" w:after="0"/>
              <w:jc w:val="both"/>
            </w:pPr>
            <m:oMath>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sk.uzst.</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pap.sk.</m:t>
                      </m:r>
                    </m:sub>
                  </m:sSub>
                </m:e>
              </m:d>
              <m:r>
                <w:rPr>
                  <w:rFonts w:ascii="Cambria Math" w:hAnsi="Cambria Math"/>
                </w:rPr>
                <m:t>×n</m:t>
              </m:r>
            </m:oMath>
            <w:r w:rsidR="00B770EA" w:rsidRPr="00712FE5">
              <w:t>,</w:t>
            </w:r>
          </w:p>
          <w:p w14:paraId="3397D9FA" w14:textId="77777777" w:rsidR="00B770EA" w:rsidRPr="00712FE5" w:rsidRDefault="00B770EA" w:rsidP="00B770EA">
            <w:pPr>
              <w:pStyle w:val="ListParagraph"/>
              <w:tabs>
                <w:tab w:val="left" w:pos="3123"/>
              </w:tabs>
              <w:spacing w:after="0" w:line="240" w:lineRule="auto"/>
              <w:ind w:left="284"/>
              <w:rPr>
                <w:rFonts w:ascii="Times New Roman" w:hAnsi="Times New Roman"/>
                <w:sz w:val="24"/>
                <w:szCs w:val="24"/>
                <w:lang w:eastAsia="lv-LV"/>
              </w:rPr>
            </w:pPr>
            <w:r w:rsidRPr="00712FE5">
              <w:rPr>
                <w:rFonts w:ascii="Times New Roman" w:hAnsi="Times New Roman"/>
                <w:sz w:val="24"/>
                <w:szCs w:val="24"/>
                <w:lang w:eastAsia="lv-LV"/>
              </w:rPr>
              <w:t>kur:</w:t>
            </w:r>
          </w:p>
          <w:p w14:paraId="63921B8B" w14:textId="77777777" w:rsidR="00B770EA" w:rsidRPr="00712FE5" w:rsidRDefault="00B770EA" w:rsidP="00B770EA">
            <w:pPr>
              <w:tabs>
                <w:tab w:val="left" w:pos="3123"/>
              </w:tabs>
              <w:rPr>
                <w:sz w:val="20"/>
                <w:szCs w:val="20"/>
              </w:rPr>
            </w:pPr>
            <w:proofErr w:type="spellStart"/>
            <w:r w:rsidRPr="00712FE5">
              <w:rPr>
                <w:i/>
                <w:iCs/>
                <w:sz w:val="20"/>
                <w:szCs w:val="20"/>
              </w:rPr>
              <w:t>I</w:t>
            </w:r>
            <w:r w:rsidRPr="00712FE5">
              <w:rPr>
                <w:i/>
                <w:iCs/>
                <w:sz w:val="20"/>
                <w:szCs w:val="20"/>
                <w:vertAlign w:val="subscript"/>
              </w:rPr>
              <w:t>kop.sk.uzst</w:t>
            </w:r>
            <w:proofErr w:type="spellEnd"/>
            <w:r w:rsidRPr="00712FE5">
              <w:rPr>
                <w:i/>
                <w:iCs/>
                <w:sz w:val="20"/>
                <w:szCs w:val="20"/>
                <w:vertAlign w:val="subscript"/>
              </w:rPr>
              <w:t>.</w:t>
            </w:r>
            <w:r w:rsidRPr="00712FE5">
              <w:rPr>
                <w:sz w:val="20"/>
                <w:szCs w:val="20"/>
              </w:rPr>
              <w:t> – kopējās siltumenerģijas patēriņa skaitītāju uzstādīšanas izmaksas (</w:t>
            </w:r>
            <w:proofErr w:type="spellStart"/>
            <w:r w:rsidRPr="00712FE5">
              <w:rPr>
                <w:i/>
                <w:iCs/>
                <w:sz w:val="20"/>
                <w:szCs w:val="20"/>
              </w:rPr>
              <w:t>euro</w:t>
            </w:r>
            <w:proofErr w:type="spellEnd"/>
            <w:r w:rsidRPr="00712FE5">
              <w:rPr>
                <w:sz w:val="20"/>
                <w:szCs w:val="20"/>
              </w:rPr>
              <w:t>);</w:t>
            </w:r>
          </w:p>
          <w:p w14:paraId="77378786" w14:textId="77777777" w:rsidR="00B770EA" w:rsidRPr="00712FE5" w:rsidRDefault="00B770EA" w:rsidP="00B770EA">
            <w:pPr>
              <w:rPr>
                <w:sz w:val="20"/>
                <w:szCs w:val="20"/>
              </w:rPr>
            </w:pPr>
            <w:proofErr w:type="spellStart"/>
            <w:r w:rsidRPr="00712FE5">
              <w:rPr>
                <w:i/>
                <w:iCs/>
                <w:sz w:val="20"/>
                <w:szCs w:val="20"/>
              </w:rPr>
              <w:t>I</w:t>
            </w:r>
            <w:r w:rsidRPr="00712FE5">
              <w:rPr>
                <w:i/>
                <w:iCs/>
                <w:sz w:val="20"/>
                <w:szCs w:val="20"/>
                <w:vertAlign w:val="subscript"/>
              </w:rPr>
              <w:t>sk.uzst</w:t>
            </w:r>
            <w:proofErr w:type="spellEnd"/>
            <w:r w:rsidRPr="00712FE5">
              <w:rPr>
                <w:sz w:val="20"/>
                <w:szCs w:val="20"/>
                <w:vertAlign w:val="subscript"/>
              </w:rPr>
              <w:t>. </w:t>
            </w:r>
            <w:r w:rsidRPr="00712FE5">
              <w:rPr>
                <w:sz w:val="20"/>
                <w:szCs w:val="20"/>
              </w:rPr>
              <w:t>– siltumenerģijas patēriņa skaitītāju iekārtas un tās uzstādīšanas izmaksas par vienu skaitītāju (</w:t>
            </w:r>
            <w:proofErr w:type="spellStart"/>
            <w:r w:rsidRPr="00712FE5">
              <w:rPr>
                <w:i/>
                <w:iCs/>
                <w:sz w:val="20"/>
                <w:szCs w:val="20"/>
              </w:rPr>
              <w:t>euro</w:t>
            </w:r>
            <w:proofErr w:type="spellEnd"/>
            <w:r w:rsidRPr="00712FE5">
              <w:rPr>
                <w:sz w:val="20"/>
                <w:szCs w:val="20"/>
              </w:rPr>
              <w:t>);</w:t>
            </w:r>
          </w:p>
          <w:p w14:paraId="28570C54" w14:textId="77777777" w:rsidR="00B770EA" w:rsidRPr="00712FE5" w:rsidRDefault="00B770EA" w:rsidP="00B770EA">
            <w:pPr>
              <w:tabs>
                <w:tab w:val="left" w:pos="3123"/>
              </w:tabs>
              <w:rPr>
                <w:sz w:val="20"/>
                <w:szCs w:val="20"/>
              </w:rPr>
            </w:pPr>
            <w:r w:rsidRPr="00712FE5">
              <w:rPr>
                <w:i/>
                <w:iCs/>
                <w:sz w:val="20"/>
                <w:szCs w:val="20"/>
              </w:rPr>
              <w:lastRenderedPageBreak/>
              <w:t>I</w:t>
            </w:r>
            <w:r w:rsidRPr="00712FE5">
              <w:rPr>
                <w:i/>
                <w:iCs/>
                <w:sz w:val="20"/>
                <w:szCs w:val="20"/>
                <w:vertAlign w:val="subscript"/>
              </w:rPr>
              <w:t>pap.sk.</w:t>
            </w:r>
            <w:r w:rsidRPr="00712FE5">
              <w:rPr>
                <w:sz w:val="20"/>
                <w:szCs w:val="20"/>
                <w:vertAlign w:val="subscript"/>
              </w:rPr>
              <w:t> </w:t>
            </w:r>
            <w:r w:rsidRPr="00712FE5">
              <w:rPr>
                <w:sz w:val="20"/>
                <w:szCs w:val="20"/>
              </w:rPr>
              <w:t>– </w:t>
            </w:r>
            <w:proofErr w:type="spellStart"/>
            <w:r w:rsidRPr="00712FE5">
              <w:rPr>
                <w:sz w:val="20"/>
                <w:szCs w:val="20"/>
              </w:rPr>
              <w:t>apvadcauruļu</w:t>
            </w:r>
            <w:proofErr w:type="spellEnd"/>
            <w:r w:rsidRPr="00712FE5">
              <w:rPr>
                <w:sz w:val="20"/>
                <w:szCs w:val="20"/>
              </w:rPr>
              <w:t xml:space="preserve"> uzstādīšanas izmaksas par vienu siltumenerģijas patēriņa skaitītāju (</w:t>
            </w:r>
            <w:proofErr w:type="spellStart"/>
            <w:r w:rsidRPr="00712FE5">
              <w:rPr>
                <w:i/>
                <w:iCs/>
                <w:sz w:val="20"/>
                <w:szCs w:val="20"/>
              </w:rPr>
              <w:t>euro</w:t>
            </w:r>
            <w:proofErr w:type="spellEnd"/>
            <w:r w:rsidRPr="00712FE5">
              <w:rPr>
                <w:sz w:val="20"/>
                <w:szCs w:val="20"/>
              </w:rPr>
              <w:t>);</w:t>
            </w:r>
          </w:p>
          <w:p w14:paraId="2E80B4AE" w14:textId="77777777" w:rsidR="00B770EA" w:rsidRPr="00712FE5" w:rsidRDefault="00B770EA" w:rsidP="00B770EA">
            <w:pPr>
              <w:pStyle w:val="naisc"/>
              <w:spacing w:before="0" w:after="0"/>
              <w:jc w:val="both"/>
            </w:pPr>
            <w:r w:rsidRPr="00712FE5">
              <w:rPr>
                <w:i/>
                <w:iCs/>
                <w:sz w:val="20"/>
                <w:szCs w:val="20"/>
              </w:rPr>
              <w:t>n</w:t>
            </w:r>
            <w:r w:rsidRPr="00712FE5">
              <w:rPr>
                <w:sz w:val="20"/>
                <w:szCs w:val="20"/>
              </w:rPr>
              <w:t> – siltumenerģijas patēriņa skaitītāju skaits ēkā.”</w:t>
            </w:r>
          </w:p>
        </w:tc>
        <w:tc>
          <w:tcPr>
            <w:tcW w:w="4394" w:type="dxa"/>
            <w:tcBorders>
              <w:left w:val="single" w:sz="6" w:space="0" w:color="000000"/>
              <w:bottom w:val="single" w:sz="4" w:space="0" w:color="auto"/>
              <w:right w:val="single" w:sz="6" w:space="0" w:color="000000"/>
            </w:tcBorders>
          </w:tcPr>
          <w:p w14:paraId="1AA0399A" w14:textId="77777777" w:rsidR="00B770EA" w:rsidRPr="00712FE5" w:rsidRDefault="00B770EA" w:rsidP="00B770EA">
            <w:pPr>
              <w:pStyle w:val="naisc"/>
              <w:spacing w:before="0" w:after="0"/>
              <w:jc w:val="both"/>
              <w:rPr>
                <w:b/>
                <w:bCs/>
              </w:rPr>
            </w:pPr>
            <w:r w:rsidRPr="00712FE5">
              <w:rPr>
                <w:b/>
                <w:bCs/>
              </w:rPr>
              <w:lastRenderedPageBreak/>
              <w:t>Finanšu ministrija</w:t>
            </w:r>
          </w:p>
          <w:p w14:paraId="0FCE79E0" w14:textId="77777777" w:rsidR="00B770EA" w:rsidRPr="00712FE5" w:rsidRDefault="00B770EA" w:rsidP="00B770EA">
            <w:pPr>
              <w:pStyle w:val="naisc"/>
              <w:spacing w:before="0" w:after="0"/>
              <w:jc w:val="both"/>
            </w:pPr>
            <w:r w:rsidRPr="00712FE5">
              <w:t>Lūdzam Noteikumu projekta 2.pielikuma 1.punktā vārdus “</w:t>
            </w:r>
            <w:proofErr w:type="spellStart"/>
            <w:r w:rsidRPr="00712FE5">
              <w:t>apvadcauruļu</w:t>
            </w:r>
            <w:proofErr w:type="spellEnd"/>
            <w:r w:rsidRPr="00712FE5">
              <w:t xml:space="preserve"> uzstādīšanas izmaksas” aizstāt ar vārdiem “apkures sadales sistēmas pārveidošanas izmaksas”.</w:t>
            </w:r>
          </w:p>
        </w:tc>
        <w:tc>
          <w:tcPr>
            <w:tcW w:w="3119" w:type="dxa"/>
            <w:gridSpan w:val="2"/>
            <w:tcBorders>
              <w:left w:val="single" w:sz="6" w:space="0" w:color="000000"/>
              <w:bottom w:val="single" w:sz="4" w:space="0" w:color="auto"/>
              <w:right w:val="single" w:sz="6" w:space="0" w:color="000000"/>
            </w:tcBorders>
          </w:tcPr>
          <w:p w14:paraId="7F26514D" w14:textId="77777777" w:rsidR="00B770EA" w:rsidRPr="00712FE5" w:rsidRDefault="00B770EA" w:rsidP="00B770EA">
            <w:pPr>
              <w:pStyle w:val="naisc"/>
              <w:spacing w:before="0" w:after="0"/>
              <w:rPr>
                <w:b/>
              </w:rPr>
            </w:pPr>
            <w:r w:rsidRPr="00712FE5">
              <w:rPr>
                <w:b/>
              </w:rPr>
              <w:t>Ņemts vērā.</w:t>
            </w:r>
          </w:p>
        </w:tc>
        <w:tc>
          <w:tcPr>
            <w:tcW w:w="3118" w:type="dxa"/>
            <w:tcBorders>
              <w:top w:val="single" w:sz="4" w:space="0" w:color="auto"/>
              <w:left w:val="single" w:sz="4" w:space="0" w:color="auto"/>
              <w:bottom w:val="single" w:sz="4" w:space="0" w:color="auto"/>
            </w:tcBorders>
          </w:tcPr>
          <w:p w14:paraId="7C09E963" w14:textId="77777777" w:rsidR="00B770EA" w:rsidRPr="00712FE5" w:rsidRDefault="00B770EA" w:rsidP="00B770EA">
            <w:pPr>
              <w:pStyle w:val="naisc"/>
              <w:spacing w:before="0" w:after="0"/>
              <w:jc w:val="both"/>
            </w:pPr>
            <w:r w:rsidRPr="00712FE5">
              <w:t>2. pielikuma 1. punkts:</w:t>
            </w:r>
          </w:p>
          <w:p w14:paraId="234B62E4" w14:textId="77777777" w:rsidR="00B770EA" w:rsidRPr="00712FE5" w:rsidRDefault="00B770EA" w:rsidP="00B770EA">
            <w:pPr>
              <w:pStyle w:val="naisc"/>
              <w:spacing w:before="0" w:after="0"/>
              <w:jc w:val="both"/>
            </w:pPr>
            <w:r w:rsidRPr="00712FE5">
              <w:t>”1. Kopējās siltumenerģijas patēriņa skaitītāju uzstādīšanas izmaksas aprēķina, izmantojot šādu formulu:</w:t>
            </w:r>
          </w:p>
          <w:p w14:paraId="1E1D9C46" w14:textId="1E0602A5" w:rsidR="00B770EA" w:rsidRPr="00712FE5" w:rsidRDefault="00F56801" w:rsidP="00B770EA">
            <w:pPr>
              <w:pStyle w:val="naisc"/>
              <w:spacing w:before="0" w:after="0"/>
              <w:jc w:val="both"/>
            </w:pPr>
            <m:oMathPara>
              <m:oMath>
                <m:sSub>
                  <m:sSubPr>
                    <m:ctrlPr>
                      <w:rPr>
                        <w:rFonts w:ascii="Cambria Math" w:hAnsi="Cambria Math"/>
                        <w:i/>
                      </w:rPr>
                    </m:ctrlPr>
                  </m:sSubPr>
                  <m:e>
                    <m:r>
                      <w:rPr>
                        <w:rFonts w:ascii="Cambria Math" w:hAnsi="Cambria Math"/>
                      </w:rPr>
                      <m:t>I</m:t>
                    </m:r>
                  </m:e>
                  <m:sub>
                    <m:r>
                      <w:rPr>
                        <w:rFonts w:ascii="Cambria Math" w:hAnsi="Cambria Math"/>
                      </w:rPr>
                      <m:t>kop.sk.uzst.</m:t>
                    </m:r>
                  </m:sub>
                </m:sSub>
                <m:r>
                  <w:rPr>
                    <w:rFonts w:ascii="Cambria Math" w:hAnsi="Cambria Math"/>
                  </w:rPr>
                  <m:t>=</m:t>
                </m:r>
              </m:oMath>
            </m:oMathPara>
          </w:p>
          <w:p w14:paraId="7100DBEE" w14:textId="0440A11B" w:rsidR="00B770EA" w:rsidRPr="00712FE5" w:rsidRDefault="00F56801" w:rsidP="00B770EA">
            <w:pPr>
              <w:pStyle w:val="naisc"/>
              <w:spacing w:before="0" w:after="0"/>
              <w:jc w:val="both"/>
            </w:pPr>
            <m:oMath>
              <m:d>
                <m:dPr>
                  <m:ctrlPr>
                    <w:rPr>
                      <w:rFonts w:ascii="Cambria Math" w:hAnsi="Cambria Math"/>
                      <w:i/>
                    </w:rPr>
                  </m:ctrlPr>
                </m:dPr>
                <m:e>
                  <m:sSub>
                    <m:sSubPr>
                      <m:ctrlPr>
                        <w:rPr>
                          <w:rFonts w:ascii="Cambria Math" w:hAnsi="Cambria Math"/>
                          <w:i/>
                        </w:rPr>
                      </m:ctrlPr>
                    </m:sSubPr>
                    <m:e>
                      <m:r>
                        <w:rPr>
                          <w:rFonts w:ascii="Cambria Math" w:hAnsi="Cambria Math"/>
                        </w:rPr>
                        <m:t>I</m:t>
                      </m:r>
                    </m:e>
                    <m:sub>
                      <m:r>
                        <w:rPr>
                          <w:rFonts w:ascii="Cambria Math" w:hAnsi="Cambria Math"/>
                        </w:rPr>
                        <m:t>sk.uzst.</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pap.sk.</m:t>
                      </m:r>
                    </m:sub>
                  </m:sSub>
                </m:e>
              </m:d>
              <m:r>
                <w:rPr>
                  <w:rFonts w:ascii="Cambria Math" w:hAnsi="Cambria Math"/>
                </w:rPr>
                <m:t>×n</m:t>
              </m:r>
            </m:oMath>
            <w:r w:rsidR="00B770EA" w:rsidRPr="00712FE5">
              <w:t>,</w:t>
            </w:r>
          </w:p>
          <w:p w14:paraId="490223A2" w14:textId="77777777" w:rsidR="00B770EA" w:rsidRPr="00712FE5" w:rsidRDefault="00B770EA" w:rsidP="00B770EA">
            <w:pPr>
              <w:pStyle w:val="ListParagraph"/>
              <w:tabs>
                <w:tab w:val="left" w:pos="3123"/>
              </w:tabs>
              <w:spacing w:after="0" w:line="240" w:lineRule="auto"/>
              <w:ind w:left="284"/>
              <w:rPr>
                <w:rFonts w:ascii="Times New Roman" w:hAnsi="Times New Roman"/>
                <w:sz w:val="24"/>
                <w:szCs w:val="24"/>
                <w:lang w:eastAsia="lv-LV"/>
              </w:rPr>
            </w:pPr>
            <w:r w:rsidRPr="00712FE5">
              <w:rPr>
                <w:rFonts w:ascii="Times New Roman" w:hAnsi="Times New Roman"/>
                <w:sz w:val="24"/>
                <w:szCs w:val="24"/>
                <w:lang w:eastAsia="lv-LV"/>
              </w:rPr>
              <w:t>kur:</w:t>
            </w:r>
          </w:p>
          <w:p w14:paraId="721DE686" w14:textId="77777777" w:rsidR="00B770EA" w:rsidRPr="00712FE5" w:rsidRDefault="00B770EA" w:rsidP="00B770EA">
            <w:pPr>
              <w:tabs>
                <w:tab w:val="left" w:pos="3123"/>
              </w:tabs>
              <w:rPr>
                <w:sz w:val="20"/>
                <w:szCs w:val="20"/>
              </w:rPr>
            </w:pPr>
            <w:proofErr w:type="spellStart"/>
            <w:r w:rsidRPr="00712FE5">
              <w:rPr>
                <w:i/>
                <w:iCs/>
                <w:sz w:val="20"/>
                <w:szCs w:val="20"/>
              </w:rPr>
              <w:t>I</w:t>
            </w:r>
            <w:r w:rsidRPr="00712FE5">
              <w:rPr>
                <w:i/>
                <w:iCs/>
                <w:sz w:val="20"/>
                <w:szCs w:val="20"/>
                <w:vertAlign w:val="subscript"/>
              </w:rPr>
              <w:t>kop.sk.uzst</w:t>
            </w:r>
            <w:proofErr w:type="spellEnd"/>
            <w:r w:rsidRPr="00712FE5">
              <w:rPr>
                <w:i/>
                <w:iCs/>
                <w:sz w:val="20"/>
                <w:szCs w:val="20"/>
                <w:vertAlign w:val="subscript"/>
              </w:rPr>
              <w:t>.</w:t>
            </w:r>
            <w:r w:rsidRPr="00712FE5">
              <w:rPr>
                <w:sz w:val="20"/>
                <w:szCs w:val="20"/>
              </w:rPr>
              <w:t> – kopējās siltumenerģijas patēriņa skaitītāju uzstādīšanas izmaksas (</w:t>
            </w:r>
            <w:proofErr w:type="spellStart"/>
            <w:r w:rsidRPr="00712FE5">
              <w:rPr>
                <w:i/>
                <w:iCs/>
                <w:sz w:val="20"/>
                <w:szCs w:val="20"/>
              </w:rPr>
              <w:t>euro</w:t>
            </w:r>
            <w:proofErr w:type="spellEnd"/>
            <w:r w:rsidRPr="00712FE5">
              <w:rPr>
                <w:sz w:val="20"/>
                <w:szCs w:val="20"/>
              </w:rPr>
              <w:t>);</w:t>
            </w:r>
          </w:p>
          <w:p w14:paraId="0021995F" w14:textId="77777777" w:rsidR="00B770EA" w:rsidRPr="00712FE5" w:rsidRDefault="00B770EA" w:rsidP="00B770EA">
            <w:pPr>
              <w:rPr>
                <w:sz w:val="20"/>
                <w:szCs w:val="20"/>
              </w:rPr>
            </w:pPr>
            <w:proofErr w:type="spellStart"/>
            <w:r w:rsidRPr="00712FE5">
              <w:rPr>
                <w:i/>
                <w:iCs/>
                <w:sz w:val="20"/>
                <w:szCs w:val="20"/>
              </w:rPr>
              <w:t>I</w:t>
            </w:r>
            <w:r w:rsidRPr="00712FE5">
              <w:rPr>
                <w:i/>
                <w:iCs/>
                <w:sz w:val="20"/>
                <w:szCs w:val="20"/>
                <w:vertAlign w:val="subscript"/>
              </w:rPr>
              <w:t>sk.uzst</w:t>
            </w:r>
            <w:proofErr w:type="spellEnd"/>
            <w:r w:rsidRPr="00712FE5">
              <w:rPr>
                <w:sz w:val="20"/>
                <w:szCs w:val="20"/>
                <w:vertAlign w:val="subscript"/>
              </w:rPr>
              <w:t>. </w:t>
            </w:r>
            <w:r w:rsidRPr="00712FE5">
              <w:rPr>
                <w:sz w:val="20"/>
                <w:szCs w:val="20"/>
              </w:rPr>
              <w:t>– siltumenerģijas patēriņa skaitītāju iekārtas un tās uzstādīšanas izmaksas par vienu skaitītāju (</w:t>
            </w:r>
            <w:proofErr w:type="spellStart"/>
            <w:r w:rsidRPr="00712FE5">
              <w:rPr>
                <w:i/>
                <w:iCs/>
                <w:sz w:val="20"/>
                <w:szCs w:val="20"/>
              </w:rPr>
              <w:t>euro</w:t>
            </w:r>
            <w:proofErr w:type="spellEnd"/>
            <w:r w:rsidRPr="00712FE5">
              <w:rPr>
                <w:sz w:val="20"/>
                <w:szCs w:val="20"/>
              </w:rPr>
              <w:t>);</w:t>
            </w:r>
          </w:p>
          <w:p w14:paraId="24057A33" w14:textId="77777777" w:rsidR="00B770EA" w:rsidRPr="00712FE5" w:rsidRDefault="00B770EA" w:rsidP="00B770EA">
            <w:pPr>
              <w:tabs>
                <w:tab w:val="left" w:pos="3123"/>
              </w:tabs>
              <w:rPr>
                <w:sz w:val="20"/>
                <w:szCs w:val="20"/>
              </w:rPr>
            </w:pPr>
            <w:r w:rsidRPr="00712FE5">
              <w:rPr>
                <w:i/>
                <w:iCs/>
                <w:sz w:val="20"/>
                <w:szCs w:val="20"/>
              </w:rPr>
              <w:t>I</w:t>
            </w:r>
            <w:r w:rsidRPr="00712FE5">
              <w:rPr>
                <w:i/>
                <w:iCs/>
                <w:sz w:val="20"/>
                <w:szCs w:val="20"/>
                <w:vertAlign w:val="subscript"/>
              </w:rPr>
              <w:t>pap.sk.</w:t>
            </w:r>
            <w:r w:rsidRPr="00712FE5">
              <w:rPr>
                <w:sz w:val="20"/>
                <w:szCs w:val="20"/>
                <w:vertAlign w:val="subscript"/>
              </w:rPr>
              <w:t> </w:t>
            </w:r>
            <w:r w:rsidRPr="00712FE5">
              <w:rPr>
                <w:sz w:val="20"/>
                <w:szCs w:val="20"/>
              </w:rPr>
              <w:t xml:space="preserve">– apkures sadales sistēmas pārveidošanas izmaksas par vienu </w:t>
            </w:r>
            <w:r w:rsidRPr="00712FE5">
              <w:rPr>
                <w:sz w:val="20"/>
                <w:szCs w:val="20"/>
              </w:rPr>
              <w:lastRenderedPageBreak/>
              <w:t>siltumenerģijas patēriņa skaitītāju (</w:t>
            </w:r>
            <w:proofErr w:type="spellStart"/>
            <w:r w:rsidRPr="00712FE5">
              <w:rPr>
                <w:i/>
                <w:iCs/>
                <w:sz w:val="20"/>
                <w:szCs w:val="20"/>
              </w:rPr>
              <w:t>euro</w:t>
            </w:r>
            <w:proofErr w:type="spellEnd"/>
            <w:r w:rsidRPr="00712FE5">
              <w:rPr>
                <w:sz w:val="20"/>
                <w:szCs w:val="20"/>
              </w:rPr>
              <w:t>);</w:t>
            </w:r>
          </w:p>
          <w:p w14:paraId="012DC236" w14:textId="77777777" w:rsidR="00B770EA" w:rsidRPr="00712FE5" w:rsidRDefault="00B770EA" w:rsidP="00B770EA">
            <w:pPr>
              <w:pStyle w:val="naisc"/>
              <w:spacing w:before="0" w:after="0"/>
              <w:jc w:val="both"/>
            </w:pPr>
            <w:r w:rsidRPr="00712FE5">
              <w:rPr>
                <w:i/>
                <w:iCs/>
                <w:sz w:val="20"/>
                <w:szCs w:val="20"/>
              </w:rPr>
              <w:t>n</w:t>
            </w:r>
            <w:r w:rsidRPr="00712FE5">
              <w:rPr>
                <w:sz w:val="20"/>
                <w:szCs w:val="20"/>
              </w:rPr>
              <w:t> – siltumenerģijas patēriņa skaitītāju skaits ēkā.”</w:t>
            </w:r>
          </w:p>
        </w:tc>
      </w:tr>
      <w:tr w:rsidR="00B770EA" w:rsidRPr="00712FE5" w14:paraId="68755B24" w14:textId="77777777" w:rsidTr="00F10DF3">
        <w:tc>
          <w:tcPr>
            <w:tcW w:w="708" w:type="dxa"/>
            <w:tcBorders>
              <w:left w:val="single" w:sz="6" w:space="0" w:color="000000"/>
              <w:bottom w:val="single" w:sz="4" w:space="0" w:color="auto"/>
              <w:right w:val="single" w:sz="6" w:space="0" w:color="000000"/>
            </w:tcBorders>
          </w:tcPr>
          <w:p w14:paraId="79F04683" w14:textId="30BE0C34" w:rsidR="00B770EA" w:rsidRPr="00712FE5" w:rsidRDefault="00B770EA" w:rsidP="00B770EA">
            <w:pPr>
              <w:pStyle w:val="naisc"/>
              <w:spacing w:before="0" w:after="0"/>
            </w:pPr>
            <w:r w:rsidRPr="00712FE5">
              <w:lastRenderedPageBreak/>
              <w:t>3</w:t>
            </w:r>
            <w:r>
              <w:t>3</w:t>
            </w:r>
            <w:r w:rsidRPr="00712FE5">
              <w:t>.</w:t>
            </w:r>
          </w:p>
        </w:tc>
        <w:tc>
          <w:tcPr>
            <w:tcW w:w="3086" w:type="dxa"/>
            <w:gridSpan w:val="2"/>
            <w:tcBorders>
              <w:left w:val="single" w:sz="6" w:space="0" w:color="000000"/>
              <w:bottom w:val="single" w:sz="4" w:space="0" w:color="auto"/>
              <w:right w:val="single" w:sz="6" w:space="0" w:color="000000"/>
            </w:tcBorders>
          </w:tcPr>
          <w:p w14:paraId="11CDFD96" w14:textId="77777777" w:rsidR="00B770EA" w:rsidRPr="00712FE5" w:rsidRDefault="00B770EA" w:rsidP="00B770EA">
            <w:pPr>
              <w:pStyle w:val="naisc"/>
              <w:spacing w:before="0" w:after="0"/>
              <w:jc w:val="both"/>
            </w:pPr>
            <w:r w:rsidRPr="00712FE5">
              <w:t>Anotācijas I sadaļa</w:t>
            </w:r>
          </w:p>
        </w:tc>
        <w:tc>
          <w:tcPr>
            <w:tcW w:w="4394" w:type="dxa"/>
            <w:tcBorders>
              <w:left w:val="single" w:sz="6" w:space="0" w:color="000000"/>
              <w:bottom w:val="single" w:sz="4" w:space="0" w:color="auto"/>
              <w:right w:val="single" w:sz="6" w:space="0" w:color="000000"/>
            </w:tcBorders>
          </w:tcPr>
          <w:p w14:paraId="26862FD9" w14:textId="77777777" w:rsidR="00B770EA" w:rsidRPr="00712FE5" w:rsidRDefault="00B770EA" w:rsidP="00B770EA">
            <w:pPr>
              <w:pStyle w:val="naisc"/>
              <w:spacing w:before="0" w:after="0"/>
              <w:jc w:val="both"/>
              <w:rPr>
                <w:b/>
                <w:bCs/>
              </w:rPr>
            </w:pPr>
            <w:r w:rsidRPr="00712FE5">
              <w:rPr>
                <w:b/>
                <w:bCs/>
              </w:rPr>
              <w:t>Tieslietu ministrija</w:t>
            </w:r>
          </w:p>
          <w:p w14:paraId="04E64ED5" w14:textId="77777777" w:rsidR="00B770EA" w:rsidRPr="00712FE5" w:rsidRDefault="00B770EA" w:rsidP="00B770EA">
            <w:pPr>
              <w:ind w:right="12"/>
            </w:pPr>
            <w:r w:rsidRPr="00712FE5">
              <w:t>Saskaņā ar Ministru kabineta 2009. gada 15. decembra instrukciju Nr. 19 "Tiesību akta projekta sākotnējās ietekmes izvērtēšanas kārtība" (turpmāk – instrukcija Nr. 19) lūdzam noteikumu projekta anotāciju papildināt skaidrojumu par noteikumu projekta 2.–4. punkta nepieciešamību un mērķi, norādot, kā noteikti, un pamatojot minētajos punktos ietvertos attiecīgos nosacījumus ekspluatējamas ēkas atbilstībai enerģijas patēriņa un primārās enerģijas patēriņa līmeņa minimālajām prasībām, kā arī sniedzot detalizētāku informāciju par vidējo ēkas siltumenerģijas un energoresursu patēriņa aprēķinu, tai skaitā norādot, kad konkrēto aprēķinu veic (šobrīd noteikumu projekta anotācijā bez attiecīga pamatojuma norādīts vienīgi par to, ka tiek pārņemtas direktīvas prasības un par maksimāli pieļaujamo ēkas kopējo primārās enerģijas patēriņa līmeņa noteikšanu).</w:t>
            </w:r>
          </w:p>
          <w:p w14:paraId="126B014C" w14:textId="77777777" w:rsidR="00B770EA" w:rsidRPr="00712FE5" w:rsidRDefault="00B770EA" w:rsidP="00B770EA">
            <w:pPr>
              <w:pStyle w:val="naisc"/>
              <w:spacing w:before="0" w:after="0"/>
              <w:jc w:val="both"/>
            </w:pPr>
            <w:r w:rsidRPr="00712FE5">
              <w:t xml:space="preserve">Tāpat līdzīgi lūdzam noteikumu projekta anotāciju papildināt ar skaidrojumu par to, ka noteikumu projekta 8. punktā kā priekšnoteikums, lai individuālu siltuma maksas sadalītāju vai individuālu siltumenerģijas patēriņa skaitītāju </w:t>
            </w:r>
            <w:r w:rsidRPr="00712FE5">
              <w:lastRenderedPageBreak/>
              <w:t>uzstādīšanu uzskatītu par ekonomiski pamatotu, tiek noteikts nosacījums, ja piemērojot diskonta likmi 5 %, neto tagadnes vērtība 10 gadu atmaksāšanās periodam ir pozitīva.</w:t>
            </w:r>
          </w:p>
          <w:p w14:paraId="2E1D71C4" w14:textId="77777777" w:rsidR="00B770EA" w:rsidRPr="00712FE5" w:rsidRDefault="00B770EA" w:rsidP="00B770EA">
            <w:pPr>
              <w:pStyle w:val="naisc"/>
              <w:spacing w:before="0" w:after="0"/>
              <w:jc w:val="both"/>
              <w:rPr>
                <w:b/>
                <w:bCs/>
              </w:rPr>
            </w:pPr>
            <w:r w:rsidRPr="00712FE5">
              <w:rPr>
                <w:b/>
                <w:bCs/>
              </w:rPr>
              <w:t>Vides aizsardzības un reģionālās attīstības ministrija</w:t>
            </w:r>
          </w:p>
          <w:p w14:paraId="3AA225AC" w14:textId="77777777" w:rsidR="00B770EA" w:rsidRPr="00712FE5" w:rsidRDefault="00B770EA" w:rsidP="00B770EA">
            <w:pPr>
              <w:pStyle w:val="naisc"/>
              <w:spacing w:before="0" w:after="0"/>
              <w:jc w:val="both"/>
            </w:pPr>
            <w:r w:rsidRPr="00712FE5">
              <w:t>Papildināt anotāciju ar skaidrojumu par aprēķina metodi un raksturlielumiem attiecībā uz noteikumu projekta 2.1., 2.2. un 2.3. punktos noteiktajiem rādītājiem.</w:t>
            </w:r>
          </w:p>
        </w:tc>
        <w:tc>
          <w:tcPr>
            <w:tcW w:w="3119" w:type="dxa"/>
            <w:gridSpan w:val="2"/>
            <w:tcBorders>
              <w:left w:val="single" w:sz="6" w:space="0" w:color="000000"/>
              <w:bottom w:val="single" w:sz="4" w:space="0" w:color="auto"/>
              <w:right w:val="single" w:sz="6" w:space="0" w:color="000000"/>
            </w:tcBorders>
          </w:tcPr>
          <w:p w14:paraId="798C1D89" w14:textId="77777777" w:rsidR="00B770EA" w:rsidRPr="00712FE5" w:rsidRDefault="00B770EA" w:rsidP="00B770EA">
            <w:pPr>
              <w:pStyle w:val="naisc"/>
              <w:spacing w:before="0" w:after="0"/>
              <w:rPr>
                <w:b/>
              </w:rPr>
            </w:pPr>
            <w:r w:rsidRPr="00712FE5">
              <w:rPr>
                <w:b/>
              </w:rPr>
              <w:lastRenderedPageBreak/>
              <w:t>Ņemts vērā.</w:t>
            </w:r>
          </w:p>
          <w:p w14:paraId="0F55F9BF" w14:textId="77777777" w:rsidR="00B770EA" w:rsidRPr="00712FE5" w:rsidRDefault="00B770EA" w:rsidP="00B770EA">
            <w:pPr>
              <w:pStyle w:val="naisc"/>
              <w:spacing w:before="0" w:after="0"/>
              <w:jc w:val="both"/>
            </w:pPr>
          </w:p>
        </w:tc>
        <w:tc>
          <w:tcPr>
            <w:tcW w:w="3118" w:type="dxa"/>
            <w:tcBorders>
              <w:top w:val="single" w:sz="4" w:space="0" w:color="auto"/>
              <w:left w:val="single" w:sz="4" w:space="0" w:color="auto"/>
              <w:bottom w:val="single" w:sz="4" w:space="0" w:color="auto"/>
            </w:tcBorders>
          </w:tcPr>
          <w:p w14:paraId="705ADA4B" w14:textId="77777777" w:rsidR="00B770EA" w:rsidRPr="00712FE5" w:rsidRDefault="00B770EA" w:rsidP="00B770EA">
            <w:pPr>
              <w:jc w:val="left"/>
            </w:pPr>
            <w:r w:rsidRPr="00712FE5">
              <w:t>Anotācijas I sadaļa papildināta.</w:t>
            </w:r>
          </w:p>
        </w:tc>
      </w:tr>
      <w:tr w:rsidR="00B770EA" w:rsidRPr="00712FE5" w14:paraId="285F265A" w14:textId="77777777" w:rsidTr="00F10DF3">
        <w:tc>
          <w:tcPr>
            <w:tcW w:w="708" w:type="dxa"/>
            <w:tcBorders>
              <w:left w:val="single" w:sz="6" w:space="0" w:color="000000"/>
              <w:bottom w:val="single" w:sz="4" w:space="0" w:color="auto"/>
              <w:right w:val="single" w:sz="6" w:space="0" w:color="000000"/>
            </w:tcBorders>
          </w:tcPr>
          <w:p w14:paraId="7936637E" w14:textId="05D268A0" w:rsidR="00B770EA" w:rsidRPr="00712FE5" w:rsidRDefault="00B770EA" w:rsidP="00B770EA">
            <w:pPr>
              <w:pStyle w:val="naisc"/>
              <w:spacing w:before="0" w:after="0"/>
            </w:pPr>
            <w:r w:rsidRPr="00712FE5">
              <w:t>3</w:t>
            </w:r>
            <w:r>
              <w:t>4</w:t>
            </w:r>
            <w:r w:rsidRPr="00712FE5">
              <w:t>.</w:t>
            </w:r>
          </w:p>
        </w:tc>
        <w:tc>
          <w:tcPr>
            <w:tcW w:w="3086" w:type="dxa"/>
            <w:gridSpan w:val="2"/>
            <w:tcBorders>
              <w:left w:val="single" w:sz="6" w:space="0" w:color="000000"/>
              <w:bottom w:val="single" w:sz="4" w:space="0" w:color="auto"/>
              <w:right w:val="single" w:sz="6" w:space="0" w:color="000000"/>
            </w:tcBorders>
          </w:tcPr>
          <w:p w14:paraId="3693DCCC" w14:textId="77777777" w:rsidR="00B770EA" w:rsidRPr="00712FE5" w:rsidRDefault="00B770EA" w:rsidP="00B770EA">
            <w:pPr>
              <w:pStyle w:val="naisc"/>
              <w:spacing w:before="0" w:after="0"/>
              <w:jc w:val="both"/>
            </w:pPr>
            <w:r w:rsidRPr="00712FE5">
              <w:t>Anotācijas I sadaļa</w:t>
            </w:r>
          </w:p>
        </w:tc>
        <w:tc>
          <w:tcPr>
            <w:tcW w:w="4394" w:type="dxa"/>
            <w:tcBorders>
              <w:left w:val="single" w:sz="6" w:space="0" w:color="000000"/>
              <w:bottom w:val="single" w:sz="4" w:space="0" w:color="auto"/>
              <w:right w:val="single" w:sz="6" w:space="0" w:color="000000"/>
            </w:tcBorders>
          </w:tcPr>
          <w:p w14:paraId="618A5A0B" w14:textId="77777777" w:rsidR="00B770EA" w:rsidRPr="00712FE5" w:rsidRDefault="00B770EA" w:rsidP="00B770EA">
            <w:pPr>
              <w:pStyle w:val="naisc"/>
              <w:spacing w:before="0" w:after="0"/>
              <w:jc w:val="both"/>
              <w:rPr>
                <w:b/>
                <w:bCs/>
              </w:rPr>
            </w:pPr>
            <w:r w:rsidRPr="00712FE5">
              <w:rPr>
                <w:b/>
                <w:bCs/>
              </w:rPr>
              <w:t>Tieslietu ministrija</w:t>
            </w:r>
          </w:p>
          <w:p w14:paraId="13AD5355" w14:textId="77777777" w:rsidR="00B770EA" w:rsidRPr="00712FE5" w:rsidRDefault="00B770EA" w:rsidP="00B770EA">
            <w:pPr>
              <w:pStyle w:val="naisc"/>
              <w:spacing w:before="0" w:after="0"/>
              <w:jc w:val="both"/>
            </w:pPr>
            <w:r w:rsidRPr="00712FE5">
              <w:t xml:space="preserve">Lūdzam noteikumu projekta anotācijā skaidrot, vai noteikumu projekta 17. punktā ietverto prasību nodrošināt individuāliem siltuma maksas sadalītājiem un individuāliem siltumenerģijas patēriņa skaitītājiem attālinātu </w:t>
            </w:r>
            <w:proofErr w:type="spellStart"/>
            <w:r w:rsidRPr="00712FE5">
              <w:t>nolasāmību</w:t>
            </w:r>
            <w:proofErr w:type="spellEnd"/>
            <w:r w:rsidRPr="00712FE5">
              <w:t xml:space="preserve"> vai aizstāt tos ar attālināti nolasāmiem individuāliem siltuma maksas sadalītājiem vai individuāliem siltumenerģijas patēriņa skaitītājiem var nepiemērot, ja attiecīgo prasību piemērošana nav tehniski iespējama vai nav ekonomiski pamatota, tādējādi novēršot attiecīgās normas vienveidīgu un korektu piemērošanu praksē.</w:t>
            </w:r>
          </w:p>
        </w:tc>
        <w:tc>
          <w:tcPr>
            <w:tcW w:w="3119" w:type="dxa"/>
            <w:gridSpan w:val="2"/>
            <w:tcBorders>
              <w:left w:val="single" w:sz="6" w:space="0" w:color="000000"/>
              <w:bottom w:val="single" w:sz="4" w:space="0" w:color="auto"/>
              <w:right w:val="single" w:sz="6" w:space="0" w:color="000000"/>
            </w:tcBorders>
          </w:tcPr>
          <w:p w14:paraId="7B62969A" w14:textId="77777777" w:rsidR="00B770EA" w:rsidRPr="00712FE5" w:rsidRDefault="00B770EA" w:rsidP="00B770EA">
            <w:pPr>
              <w:pStyle w:val="naisc"/>
              <w:spacing w:before="0" w:after="0"/>
              <w:rPr>
                <w:b/>
              </w:rPr>
            </w:pPr>
            <w:r w:rsidRPr="00712FE5">
              <w:rPr>
                <w:b/>
              </w:rPr>
              <w:t>Panākta vienošanās.</w:t>
            </w:r>
          </w:p>
          <w:p w14:paraId="10389107" w14:textId="77777777" w:rsidR="00B770EA" w:rsidRPr="00712FE5" w:rsidRDefault="00B770EA" w:rsidP="00B770EA">
            <w:pPr>
              <w:pStyle w:val="naisc"/>
              <w:spacing w:before="0" w:after="0"/>
              <w:jc w:val="both"/>
            </w:pPr>
            <w:r w:rsidRPr="00712FE5">
              <w:t xml:space="preserve">Noteikumu projekta regulējums saskaņots ar Eiropas Parlamenta un Padomes Direktīvas 2012/27/ES (ar Direktīvas </w:t>
            </w:r>
            <w:r w:rsidRPr="00712FE5">
              <w:rPr>
                <w:rFonts w:eastAsia="Calibri"/>
                <w:bCs/>
              </w:rPr>
              <w:t>(ES) 2018/2002 grozījumiem</w:t>
            </w:r>
            <w:r w:rsidRPr="00712FE5">
              <w:t xml:space="preserve">) 9.c panta 2. punkta regulējumu: ”No </w:t>
            </w:r>
            <w:r w:rsidRPr="00712FE5">
              <w:rPr>
                <w:rStyle w:val="eop"/>
              </w:rPr>
              <w:t xml:space="preserve">2027. gada 1. janvāra skaitītājus un siltummaksas sadalītājus, kas nav attālināti nolasāmi, bet ir jau uzstādīti, dara </w:t>
            </w:r>
            <w:r w:rsidRPr="00712FE5">
              <w:rPr>
                <w:rFonts w:eastAsia="Arial Unicode MS"/>
                <w:shd w:val="clear" w:color="auto" w:fill="FFFFFF"/>
              </w:rPr>
              <w:t>attālināti nolasāmus vai aizstāj ar attālināti nolasāmām ierīcēm, izņemot gadījumus, ja attiecīgā dalībvalsts ir pierādījusi, ka tas nav rentabli.</w:t>
            </w:r>
            <w:r w:rsidRPr="00712FE5">
              <w:t xml:space="preserve">” Latvija nav pierādījusi attālināti nolasāmu ierīču nerentabilitāti. Citus </w:t>
            </w:r>
            <w:r w:rsidRPr="00712FE5">
              <w:lastRenderedPageBreak/>
              <w:t>izņēmuma gadījumus direktīva neparedz.</w:t>
            </w:r>
          </w:p>
        </w:tc>
        <w:tc>
          <w:tcPr>
            <w:tcW w:w="3118" w:type="dxa"/>
            <w:tcBorders>
              <w:top w:val="single" w:sz="4" w:space="0" w:color="auto"/>
              <w:left w:val="single" w:sz="4" w:space="0" w:color="auto"/>
              <w:bottom w:val="single" w:sz="4" w:space="0" w:color="auto"/>
            </w:tcBorders>
          </w:tcPr>
          <w:p w14:paraId="65206F6A" w14:textId="77777777" w:rsidR="00B770EA" w:rsidRPr="00712FE5" w:rsidRDefault="00B770EA" w:rsidP="00B770EA">
            <w:pPr>
              <w:pStyle w:val="naisc"/>
              <w:spacing w:before="0" w:after="0"/>
              <w:jc w:val="both"/>
            </w:pPr>
            <w:r w:rsidRPr="00712FE5">
              <w:lastRenderedPageBreak/>
              <w:t>Anotācijas I sadaļa.</w:t>
            </w:r>
          </w:p>
        </w:tc>
      </w:tr>
      <w:tr w:rsidR="00B770EA" w:rsidRPr="00712FE5" w14:paraId="52CEE13C" w14:textId="77777777" w:rsidTr="00F10DF3">
        <w:tc>
          <w:tcPr>
            <w:tcW w:w="708" w:type="dxa"/>
            <w:tcBorders>
              <w:left w:val="single" w:sz="6" w:space="0" w:color="000000"/>
              <w:bottom w:val="single" w:sz="4" w:space="0" w:color="auto"/>
              <w:right w:val="single" w:sz="6" w:space="0" w:color="000000"/>
            </w:tcBorders>
          </w:tcPr>
          <w:p w14:paraId="654F134D" w14:textId="68689A67" w:rsidR="00B770EA" w:rsidRPr="00712FE5" w:rsidRDefault="00B770EA" w:rsidP="00B770EA">
            <w:pPr>
              <w:pStyle w:val="naisc"/>
              <w:spacing w:before="0" w:after="0"/>
            </w:pPr>
            <w:r w:rsidRPr="00712FE5">
              <w:t>3</w:t>
            </w:r>
            <w:r>
              <w:t>5</w:t>
            </w:r>
            <w:r w:rsidRPr="00712FE5">
              <w:t>.</w:t>
            </w:r>
          </w:p>
        </w:tc>
        <w:tc>
          <w:tcPr>
            <w:tcW w:w="3086" w:type="dxa"/>
            <w:gridSpan w:val="2"/>
            <w:tcBorders>
              <w:left w:val="single" w:sz="6" w:space="0" w:color="000000"/>
              <w:bottom w:val="single" w:sz="4" w:space="0" w:color="auto"/>
              <w:right w:val="single" w:sz="6" w:space="0" w:color="000000"/>
            </w:tcBorders>
          </w:tcPr>
          <w:p w14:paraId="25A44B30" w14:textId="77777777" w:rsidR="00B770EA" w:rsidRPr="00712FE5" w:rsidRDefault="00B770EA" w:rsidP="00B770EA">
            <w:pPr>
              <w:pStyle w:val="naisc"/>
              <w:spacing w:before="0" w:after="0"/>
              <w:jc w:val="both"/>
            </w:pPr>
            <w:r w:rsidRPr="00712FE5">
              <w:t>Anotācijas I sadaļa</w:t>
            </w:r>
          </w:p>
        </w:tc>
        <w:tc>
          <w:tcPr>
            <w:tcW w:w="4394" w:type="dxa"/>
            <w:tcBorders>
              <w:left w:val="single" w:sz="6" w:space="0" w:color="000000"/>
              <w:bottom w:val="single" w:sz="4" w:space="0" w:color="auto"/>
              <w:right w:val="single" w:sz="6" w:space="0" w:color="000000"/>
            </w:tcBorders>
          </w:tcPr>
          <w:p w14:paraId="2AE53E97" w14:textId="77777777" w:rsidR="00B770EA" w:rsidRPr="00712FE5" w:rsidRDefault="00B770EA" w:rsidP="00B770EA">
            <w:pPr>
              <w:pStyle w:val="naisc"/>
              <w:spacing w:before="0" w:after="0"/>
              <w:jc w:val="both"/>
              <w:rPr>
                <w:b/>
                <w:bCs/>
              </w:rPr>
            </w:pPr>
            <w:r w:rsidRPr="00712FE5">
              <w:rPr>
                <w:b/>
                <w:bCs/>
              </w:rPr>
              <w:t>Tieslietu ministrija</w:t>
            </w:r>
          </w:p>
          <w:p w14:paraId="379EEBA4" w14:textId="77777777" w:rsidR="00B770EA" w:rsidRPr="00712FE5" w:rsidRDefault="00B770EA" w:rsidP="00B770EA">
            <w:pPr>
              <w:ind w:right="12"/>
            </w:pPr>
            <w:r w:rsidRPr="00712FE5">
              <w:t>Tiesiskās noteiktības nolūkā lūdzam noteikumu projekta anotācijā sniegt skaidrojumu, nepieciešamības gadījumā precizējot noteikumu projektu, attiecībā uz to, kādas tiesiskās sekas iestājas gadījumā, ja netiek veiktas noteikumu projekta 12. punktā minētās darbības, t.i., līdz 2025. gada 1. janvārim nedzīvojamo ēku neaprīko ar ēkas automatizācijas un vadības sistēmu, vai ja šī sistēma neatbilst noteikumu projekta 13. punkta prasībām, tai skaitā norādot, vai attiecīgais pienākums saglabājas arī pēc 2025. gada 1. janvāra.</w:t>
            </w:r>
          </w:p>
          <w:p w14:paraId="66C2C2AD" w14:textId="77777777" w:rsidR="00B770EA" w:rsidRPr="00712FE5" w:rsidRDefault="00B770EA" w:rsidP="00B770EA">
            <w:pPr>
              <w:pStyle w:val="naisc"/>
              <w:spacing w:before="0" w:after="0"/>
              <w:jc w:val="both"/>
            </w:pPr>
            <w:r w:rsidRPr="00712FE5">
              <w:t>Tāpat līdzīgu lūdzam sniegt skaidrojumu par tiesiskajām sekām, ja netiek izpildīts noteikumu projekta 15. punktā minētais pienākums.</w:t>
            </w:r>
          </w:p>
        </w:tc>
        <w:tc>
          <w:tcPr>
            <w:tcW w:w="3119" w:type="dxa"/>
            <w:gridSpan w:val="2"/>
            <w:tcBorders>
              <w:left w:val="single" w:sz="6" w:space="0" w:color="000000"/>
              <w:bottom w:val="single" w:sz="4" w:space="0" w:color="auto"/>
              <w:right w:val="single" w:sz="6" w:space="0" w:color="000000"/>
            </w:tcBorders>
          </w:tcPr>
          <w:p w14:paraId="58B3475B" w14:textId="77777777" w:rsidR="00B770EA" w:rsidRPr="00712FE5" w:rsidRDefault="00B770EA" w:rsidP="00B770EA">
            <w:pPr>
              <w:pStyle w:val="naisc"/>
              <w:spacing w:before="0" w:after="0"/>
              <w:rPr>
                <w:b/>
              </w:rPr>
            </w:pPr>
            <w:r w:rsidRPr="00712FE5">
              <w:rPr>
                <w:b/>
              </w:rPr>
              <w:t>Panākta vienošanās.</w:t>
            </w:r>
          </w:p>
          <w:p w14:paraId="70C54619" w14:textId="77777777" w:rsidR="00B770EA" w:rsidRPr="00712FE5" w:rsidRDefault="00B770EA" w:rsidP="00B770EA">
            <w:pPr>
              <w:pStyle w:val="naisc"/>
              <w:spacing w:before="0" w:after="0"/>
              <w:jc w:val="both"/>
              <w:rPr>
                <w:highlight w:val="yellow"/>
              </w:rPr>
            </w:pPr>
          </w:p>
        </w:tc>
        <w:tc>
          <w:tcPr>
            <w:tcW w:w="3118" w:type="dxa"/>
            <w:tcBorders>
              <w:top w:val="single" w:sz="4" w:space="0" w:color="auto"/>
              <w:left w:val="single" w:sz="4" w:space="0" w:color="auto"/>
              <w:bottom w:val="single" w:sz="4" w:space="0" w:color="auto"/>
            </w:tcBorders>
          </w:tcPr>
          <w:p w14:paraId="5B1F1754" w14:textId="77777777" w:rsidR="00B770EA" w:rsidRPr="00712FE5" w:rsidRDefault="00B770EA" w:rsidP="00B770EA">
            <w:pPr>
              <w:jc w:val="left"/>
            </w:pPr>
            <w:r w:rsidRPr="00712FE5">
              <w:t>Anotācijas I sadaļa papildināta.</w:t>
            </w:r>
          </w:p>
        </w:tc>
      </w:tr>
      <w:tr w:rsidR="00B770EA" w:rsidRPr="00712FE5" w14:paraId="20159A1B" w14:textId="77777777" w:rsidTr="00F10DF3">
        <w:tc>
          <w:tcPr>
            <w:tcW w:w="708" w:type="dxa"/>
            <w:tcBorders>
              <w:left w:val="single" w:sz="6" w:space="0" w:color="000000"/>
              <w:bottom w:val="single" w:sz="4" w:space="0" w:color="auto"/>
              <w:right w:val="single" w:sz="6" w:space="0" w:color="000000"/>
            </w:tcBorders>
          </w:tcPr>
          <w:p w14:paraId="65A38DF7" w14:textId="4378C875" w:rsidR="00B770EA" w:rsidRPr="00712FE5" w:rsidRDefault="00B770EA" w:rsidP="00B770EA">
            <w:pPr>
              <w:pStyle w:val="naisc"/>
              <w:spacing w:before="0" w:after="0"/>
            </w:pPr>
            <w:r w:rsidRPr="00712FE5">
              <w:t>3</w:t>
            </w:r>
            <w:r>
              <w:t>6</w:t>
            </w:r>
            <w:r w:rsidRPr="00712FE5">
              <w:t>.</w:t>
            </w:r>
          </w:p>
        </w:tc>
        <w:tc>
          <w:tcPr>
            <w:tcW w:w="3086" w:type="dxa"/>
            <w:gridSpan w:val="2"/>
            <w:tcBorders>
              <w:left w:val="single" w:sz="6" w:space="0" w:color="000000"/>
              <w:bottom w:val="single" w:sz="4" w:space="0" w:color="auto"/>
              <w:right w:val="single" w:sz="6" w:space="0" w:color="000000"/>
            </w:tcBorders>
          </w:tcPr>
          <w:p w14:paraId="4E8A2E65" w14:textId="77777777" w:rsidR="00B770EA" w:rsidRPr="00712FE5" w:rsidRDefault="00B770EA" w:rsidP="00B770EA">
            <w:pPr>
              <w:pStyle w:val="naisc"/>
              <w:spacing w:before="0" w:after="0"/>
              <w:jc w:val="both"/>
            </w:pPr>
            <w:r w:rsidRPr="00712FE5">
              <w:t>Anotācijas I sadaļa</w:t>
            </w:r>
          </w:p>
        </w:tc>
        <w:tc>
          <w:tcPr>
            <w:tcW w:w="4394" w:type="dxa"/>
            <w:tcBorders>
              <w:left w:val="single" w:sz="6" w:space="0" w:color="000000"/>
              <w:bottom w:val="single" w:sz="4" w:space="0" w:color="auto"/>
              <w:right w:val="single" w:sz="6" w:space="0" w:color="000000"/>
            </w:tcBorders>
          </w:tcPr>
          <w:p w14:paraId="2622C796" w14:textId="77777777" w:rsidR="00B770EA" w:rsidRPr="00712FE5" w:rsidRDefault="00B770EA" w:rsidP="00B770EA">
            <w:pPr>
              <w:pStyle w:val="naisc"/>
              <w:spacing w:before="0" w:after="0"/>
              <w:jc w:val="both"/>
              <w:rPr>
                <w:b/>
                <w:bCs/>
              </w:rPr>
            </w:pPr>
            <w:r w:rsidRPr="00712FE5">
              <w:rPr>
                <w:b/>
                <w:bCs/>
              </w:rPr>
              <w:t>Tieslietu ministrija (papildus)</w:t>
            </w:r>
          </w:p>
          <w:p w14:paraId="1F4F98BD" w14:textId="77777777" w:rsidR="00B770EA" w:rsidRPr="00712FE5" w:rsidRDefault="00B770EA" w:rsidP="00B770EA">
            <w:pPr>
              <w:pStyle w:val="NormalWeb"/>
              <w:shd w:val="clear" w:color="auto" w:fill="FFFFFF"/>
              <w:spacing w:before="0" w:beforeAutospacing="0" w:after="0" w:afterAutospacing="0"/>
            </w:pPr>
            <w:r w:rsidRPr="00712FE5">
              <w:rPr>
                <w:bdr w:val="none" w:sz="0" w:space="0" w:color="auto" w:frame="1"/>
              </w:rPr>
              <w:t>Lūdzam precizēt noteikumu projekta 11.2. apakšpunktu, skaidrojot, kas saprotams ar ēkas pārvaldītāju. Vēršam uzmanību, ka Dzīvojamo māju pārvaldīšanas likumā skaidrots jēdziens "dzīvojamās mājas pārvaldītājs" (dzīvojamās mājas īpašnieks vai pārvaldnieks). Nepieciešamības gadījumā jēdziens "ēkas pārvaldītājs" skaidrojams noteikumu projekta anotācijā.</w:t>
            </w:r>
          </w:p>
          <w:p w14:paraId="4BA35CEE" w14:textId="77777777" w:rsidR="00B770EA" w:rsidRPr="00712FE5" w:rsidRDefault="00B770EA" w:rsidP="00B770EA">
            <w:pPr>
              <w:pStyle w:val="NormalWeb"/>
              <w:shd w:val="clear" w:color="auto" w:fill="FFFFFF"/>
              <w:spacing w:before="0" w:beforeAutospacing="0" w:after="0" w:afterAutospacing="0"/>
            </w:pPr>
            <w:r w:rsidRPr="00712FE5">
              <w:rPr>
                <w:bdr w:val="none" w:sz="0" w:space="0" w:color="auto" w:frame="1"/>
              </w:rPr>
              <w:t xml:space="preserve">Tāpat līdzīgi lūdzam precizēt noteikumu projekta 1. pielikuma 1. punktu, skaidrojot, kas saprotams ar citām apkures sistēmas </w:t>
            </w:r>
            <w:r w:rsidRPr="00712FE5">
              <w:rPr>
                <w:bdr w:val="none" w:sz="0" w:space="0" w:color="auto" w:frame="1"/>
              </w:rPr>
              <w:lastRenderedPageBreak/>
              <w:t>pielāgošanas izmaksām, kas nepieciešamas siltuma maksas sadalītāju darbības nodrošināšanai.</w:t>
            </w:r>
          </w:p>
          <w:p w14:paraId="5531013C" w14:textId="77777777" w:rsidR="00B770EA" w:rsidRPr="00712FE5" w:rsidRDefault="00B770EA" w:rsidP="00B770EA">
            <w:pPr>
              <w:pStyle w:val="naisc"/>
              <w:spacing w:before="0" w:after="0"/>
              <w:jc w:val="both"/>
              <w:rPr>
                <w:b/>
                <w:bCs/>
              </w:rPr>
            </w:pPr>
            <w:r w:rsidRPr="00712FE5">
              <w:rPr>
                <w:bdr w:val="none" w:sz="0" w:space="0" w:color="auto" w:frame="1"/>
              </w:rPr>
              <w:t>Norādām, ka atbilstoši juridiskās tehnikas prasībām tiesību normai</w:t>
            </w:r>
            <w:r w:rsidRPr="00712FE5">
              <w:rPr>
                <w:rStyle w:val="apple-converted-space"/>
                <w:bdr w:val="none" w:sz="0" w:space="0" w:color="auto" w:frame="1"/>
              </w:rPr>
              <w:t> </w:t>
            </w:r>
            <w:r w:rsidRPr="00712FE5">
              <w:rPr>
                <w:bdr w:val="none" w:sz="0" w:space="0" w:color="auto" w:frame="1"/>
              </w:rPr>
              <w:t>ir jābūt skaidrai, lai tās lietotājs un piemērotājs gūtu nepārprotamu priekšstatu par saviem pienākumiem un tiesībām.</w:t>
            </w:r>
          </w:p>
        </w:tc>
        <w:tc>
          <w:tcPr>
            <w:tcW w:w="3119" w:type="dxa"/>
            <w:gridSpan w:val="2"/>
            <w:tcBorders>
              <w:left w:val="single" w:sz="6" w:space="0" w:color="000000"/>
              <w:bottom w:val="single" w:sz="4" w:space="0" w:color="auto"/>
              <w:right w:val="single" w:sz="6" w:space="0" w:color="000000"/>
            </w:tcBorders>
          </w:tcPr>
          <w:p w14:paraId="54092E6A" w14:textId="77777777" w:rsidR="00B770EA" w:rsidRPr="00712FE5" w:rsidRDefault="00B770EA" w:rsidP="00B770EA">
            <w:pPr>
              <w:pStyle w:val="naisc"/>
              <w:spacing w:before="0" w:after="0"/>
              <w:rPr>
                <w:b/>
              </w:rPr>
            </w:pPr>
            <w:r w:rsidRPr="00712FE5">
              <w:rPr>
                <w:b/>
              </w:rPr>
              <w:lastRenderedPageBreak/>
              <w:t>Ņemts vērā.</w:t>
            </w:r>
          </w:p>
          <w:p w14:paraId="7F468D9E" w14:textId="77777777" w:rsidR="00B770EA" w:rsidRPr="00712FE5" w:rsidRDefault="00B770EA" w:rsidP="00B770EA">
            <w:pPr>
              <w:pStyle w:val="naisc"/>
              <w:spacing w:before="0" w:after="0"/>
              <w:jc w:val="both"/>
            </w:pPr>
          </w:p>
        </w:tc>
        <w:tc>
          <w:tcPr>
            <w:tcW w:w="3118" w:type="dxa"/>
            <w:tcBorders>
              <w:top w:val="single" w:sz="4" w:space="0" w:color="auto"/>
              <w:left w:val="single" w:sz="4" w:space="0" w:color="auto"/>
              <w:bottom w:val="single" w:sz="4" w:space="0" w:color="auto"/>
            </w:tcBorders>
          </w:tcPr>
          <w:p w14:paraId="50B3E2EE" w14:textId="77777777" w:rsidR="00B770EA" w:rsidRPr="00712FE5" w:rsidRDefault="00B770EA" w:rsidP="00B770EA">
            <w:pPr>
              <w:jc w:val="left"/>
            </w:pPr>
            <w:r w:rsidRPr="00712FE5">
              <w:t>Anotācijas I sadaļa papildināta.</w:t>
            </w:r>
          </w:p>
        </w:tc>
      </w:tr>
      <w:tr w:rsidR="00B770EA" w:rsidRPr="00712FE5" w14:paraId="46256074" w14:textId="77777777" w:rsidTr="00F10DF3">
        <w:tc>
          <w:tcPr>
            <w:tcW w:w="708" w:type="dxa"/>
            <w:tcBorders>
              <w:left w:val="single" w:sz="6" w:space="0" w:color="000000"/>
              <w:bottom w:val="single" w:sz="4" w:space="0" w:color="auto"/>
              <w:right w:val="single" w:sz="6" w:space="0" w:color="000000"/>
            </w:tcBorders>
          </w:tcPr>
          <w:p w14:paraId="77C5C8E2" w14:textId="52B44017" w:rsidR="00B770EA" w:rsidRPr="00712FE5" w:rsidRDefault="00B770EA" w:rsidP="00B770EA">
            <w:pPr>
              <w:pStyle w:val="naisc"/>
              <w:spacing w:before="0" w:after="0"/>
            </w:pPr>
            <w:r w:rsidRPr="00712FE5">
              <w:t>3</w:t>
            </w:r>
            <w:r>
              <w:t>7</w:t>
            </w:r>
            <w:r w:rsidRPr="00712FE5">
              <w:t>.</w:t>
            </w:r>
          </w:p>
        </w:tc>
        <w:tc>
          <w:tcPr>
            <w:tcW w:w="3086" w:type="dxa"/>
            <w:gridSpan w:val="2"/>
            <w:tcBorders>
              <w:left w:val="single" w:sz="6" w:space="0" w:color="000000"/>
              <w:bottom w:val="single" w:sz="4" w:space="0" w:color="auto"/>
              <w:right w:val="single" w:sz="6" w:space="0" w:color="000000"/>
            </w:tcBorders>
          </w:tcPr>
          <w:p w14:paraId="79B88673" w14:textId="77777777" w:rsidR="00B770EA" w:rsidRPr="00712FE5" w:rsidRDefault="00B770EA" w:rsidP="00B770EA">
            <w:pPr>
              <w:pStyle w:val="naisc"/>
              <w:spacing w:before="0" w:after="0"/>
              <w:jc w:val="both"/>
            </w:pPr>
            <w:r w:rsidRPr="00712FE5">
              <w:t>Anotācijas I sadaļa</w:t>
            </w:r>
          </w:p>
        </w:tc>
        <w:tc>
          <w:tcPr>
            <w:tcW w:w="4394" w:type="dxa"/>
            <w:tcBorders>
              <w:left w:val="single" w:sz="6" w:space="0" w:color="000000"/>
              <w:bottom w:val="single" w:sz="4" w:space="0" w:color="auto"/>
              <w:right w:val="single" w:sz="6" w:space="0" w:color="000000"/>
            </w:tcBorders>
          </w:tcPr>
          <w:p w14:paraId="370AEFD3" w14:textId="77777777" w:rsidR="00B770EA" w:rsidRPr="00712FE5" w:rsidRDefault="00B770EA" w:rsidP="00B770EA">
            <w:pPr>
              <w:pStyle w:val="naisc"/>
              <w:spacing w:before="0" w:after="0"/>
              <w:jc w:val="both"/>
              <w:rPr>
                <w:b/>
                <w:bCs/>
              </w:rPr>
            </w:pPr>
            <w:r w:rsidRPr="00712FE5">
              <w:rPr>
                <w:b/>
                <w:bCs/>
              </w:rPr>
              <w:t>Zemkopības ministrija</w:t>
            </w:r>
          </w:p>
          <w:p w14:paraId="399F49D8" w14:textId="77777777" w:rsidR="00B770EA" w:rsidRPr="00712FE5" w:rsidRDefault="00B770EA" w:rsidP="00B770EA">
            <w:pPr>
              <w:tabs>
                <w:tab w:val="left" w:pos="9356"/>
              </w:tabs>
              <w:rPr>
                <w:iCs/>
              </w:rPr>
            </w:pPr>
            <w:r w:rsidRPr="00712FE5">
              <w:t xml:space="preserve">Noteikumu projekta 15.punkts paredz </w:t>
            </w:r>
            <w:r w:rsidRPr="00712FE5">
              <w:rPr>
                <w:bCs/>
              </w:rPr>
              <w:t>“</w:t>
            </w:r>
            <w:r w:rsidRPr="00712FE5">
              <w:rPr>
                <w:i/>
                <w:iCs/>
              </w:rPr>
              <w:t xml:space="preserve">līdz 2025.gada 1.janvārim katrā publiskā ēkā ar vairāk kā 20 autostāvvietām ierīko vismaz vienu </w:t>
            </w:r>
            <w:proofErr w:type="spellStart"/>
            <w:r w:rsidRPr="00712FE5">
              <w:rPr>
                <w:i/>
                <w:iCs/>
              </w:rPr>
              <w:t>elektrotransportlīdzekļu</w:t>
            </w:r>
            <w:proofErr w:type="spellEnd"/>
            <w:r w:rsidRPr="00712FE5">
              <w:rPr>
                <w:i/>
                <w:iCs/>
              </w:rPr>
              <w:t xml:space="preserve"> uzlādes punktu</w:t>
            </w:r>
            <w:r w:rsidRPr="00712FE5">
              <w:rPr>
                <w:bCs/>
              </w:rPr>
              <w:t>”</w:t>
            </w:r>
            <w:r w:rsidRPr="00712FE5">
              <w:t>. Ņemot vērā minēto, lūdzam sākotnējās ietekmes novērtējuma ziņojumu (anotāciju) papildināt ar informāciju par to, uz kādām autostāvvietām (publiskām vai visām) iepriekšminētais punkts tiks attiecināts, par minimālajām prasībām attiecībā uz šo uzlādes punktu ierīkošanu, kā arī sniegt informāciju, vai nākotnē nebūs prasības par šo uzlādes punktu attiecināšanu uz katrām 20 autostāvvietām.</w:t>
            </w:r>
          </w:p>
          <w:p w14:paraId="2EE0B54B" w14:textId="77777777" w:rsidR="00B770EA" w:rsidRPr="00712FE5" w:rsidRDefault="00B770EA" w:rsidP="00B770EA">
            <w:pPr>
              <w:pStyle w:val="naisc"/>
              <w:spacing w:before="0" w:after="0"/>
              <w:jc w:val="both"/>
            </w:pPr>
            <w:r w:rsidRPr="00712FE5">
              <w:t>Papildus vēršam uzmanību, ka noteikumu projekta izpilde radīs ēku uzturēšanas izmaksu palielinājumu, kas radīs nelabvēlīgu ietekmi jau uz tā ierobežotajiem valsts budžeta līdzekļiem.</w:t>
            </w:r>
          </w:p>
        </w:tc>
        <w:tc>
          <w:tcPr>
            <w:tcW w:w="3119" w:type="dxa"/>
            <w:gridSpan w:val="2"/>
            <w:tcBorders>
              <w:left w:val="single" w:sz="6" w:space="0" w:color="000000"/>
              <w:bottom w:val="single" w:sz="4" w:space="0" w:color="auto"/>
              <w:right w:val="single" w:sz="6" w:space="0" w:color="000000"/>
            </w:tcBorders>
          </w:tcPr>
          <w:p w14:paraId="7D97BF35" w14:textId="77777777" w:rsidR="00B770EA" w:rsidRPr="00712FE5" w:rsidRDefault="00B770EA" w:rsidP="00B770EA">
            <w:pPr>
              <w:pStyle w:val="naisc"/>
              <w:spacing w:before="0" w:after="0"/>
              <w:rPr>
                <w:b/>
              </w:rPr>
            </w:pPr>
            <w:r w:rsidRPr="00712FE5">
              <w:rPr>
                <w:b/>
              </w:rPr>
              <w:t>Ņemts vērā.</w:t>
            </w:r>
          </w:p>
          <w:p w14:paraId="418F409A" w14:textId="77777777" w:rsidR="00B770EA" w:rsidRPr="00712FE5" w:rsidRDefault="00B770EA" w:rsidP="00B770EA">
            <w:pPr>
              <w:pStyle w:val="naisc"/>
              <w:spacing w:before="0" w:after="0"/>
              <w:jc w:val="both"/>
            </w:pPr>
          </w:p>
        </w:tc>
        <w:tc>
          <w:tcPr>
            <w:tcW w:w="3118" w:type="dxa"/>
            <w:tcBorders>
              <w:top w:val="single" w:sz="4" w:space="0" w:color="auto"/>
              <w:left w:val="single" w:sz="4" w:space="0" w:color="auto"/>
              <w:bottom w:val="single" w:sz="4" w:space="0" w:color="auto"/>
            </w:tcBorders>
          </w:tcPr>
          <w:p w14:paraId="2FAE2099" w14:textId="77777777" w:rsidR="00B770EA" w:rsidRPr="00712FE5" w:rsidRDefault="00B770EA" w:rsidP="00B770EA">
            <w:pPr>
              <w:jc w:val="left"/>
            </w:pPr>
            <w:r w:rsidRPr="00712FE5">
              <w:t>Anotācijas I sadaļa papildināta.</w:t>
            </w:r>
          </w:p>
        </w:tc>
      </w:tr>
      <w:tr w:rsidR="00B770EA" w:rsidRPr="00712FE5" w14:paraId="5E02A756" w14:textId="77777777" w:rsidTr="00F10DF3">
        <w:tc>
          <w:tcPr>
            <w:tcW w:w="708" w:type="dxa"/>
            <w:tcBorders>
              <w:left w:val="single" w:sz="6" w:space="0" w:color="000000"/>
              <w:bottom w:val="single" w:sz="4" w:space="0" w:color="auto"/>
              <w:right w:val="single" w:sz="6" w:space="0" w:color="000000"/>
            </w:tcBorders>
          </w:tcPr>
          <w:p w14:paraId="22F217F0" w14:textId="21A042B6" w:rsidR="00B770EA" w:rsidRPr="00712FE5" w:rsidRDefault="00B770EA" w:rsidP="00B770EA">
            <w:pPr>
              <w:pStyle w:val="naisc"/>
              <w:spacing w:before="0" w:after="0"/>
            </w:pPr>
            <w:r w:rsidRPr="00712FE5">
              <w:t>3</w:t>
            </w:r>
            <w:r>
              <w:t>8</w:t>
            </w:r>
            <w:r w:rsidRPr="00712FE5">
              <w:t>.</w:t>
            </w:r>
          </w:p>
        </w:tc>
        <w:tc>
          <w:tcPr>
            <w:tcW w:w="3086" w:type="dxa"/>
            <w:gridSpan w:val="2"/>
            <w:tcBorders>
              <w:left w:val="single" w:sz="6" w:space="0" w:color="000000"/>
              <w:bottom w:val="single" w:sz="4" w:space="0" w:color="auto"/>
              <w:right w:val="single" w:sz="6" w:space="0" w:color="000000"/>
            </w:tcBorders>
          </w:tcPr>
          <w:p w14:paraId="3C8D04D7" w14:textId="77777777" w:rsidR="00B770EA" w:rsidRPr="00712FE5" w:rsidRDefault="00B770EA" w:rsidP="00B770EA">
            <w:pPr>
              <w:pStyle w:val="naisc"/>
              <w:spacing w:before="0" w:after="0"/>
              <w:jc w:val="both"/>
            </w:pPr>
            <w:r w:rsidRPr="00712FE5">
              <w:t>Anotācijas II sadaļa</w:t>
            </w:r>
          </w:p>
        </w:tc>
        <w:tc>
          <w:tcPr>
            <w:tcW w:w="4394" w:type="dxa"/>
            <w:tcBorders>
              <w:left w:val="single" w:sz="6" w:space="0" w:color="000000"/>
              <w:bottom w:val="single" w:sz="4" w:space="0" w:color="auto"/>
              <w:right w:val="single" w:sz="6" w:space="0" w:color="000000"/>
            </w:tcBorders>
          </w:tcPr>
          <w:p w14:paraId="08FF7DDB" w14:textId="77777777" w:rsidR="00B770EA" w:rsidRPr="00712FE5" w:rsidRDefault="00B770EA" w:rsidP="00B770EA">
            <w:pPr>
              <w:pStyle w:val="naisc"/>
              <w:spacing w:before="0" w:after="0"/>
              <w:jc w:val="both"/>
              <w:rPr>
                <w:b/>
                <w:bCs/>
              </w:rPr>
            </w:pPr>
            <w:proofErr w:type="spellStart"/>
            <w:r w:rsidRPr="00712FE5">
              <w:rPr>
                <w:b/>
                <w:bCs/>
              </w:rPr>
              <w:t>Iekšlietu</w:t>
            </w:r>
            <w:proofErr w:type="spellEnd"/>
            <w:r w:rsidRPr="00712FE5">
              <w:rPr>
                <w:b/>
                <w:bCs/>
              </w:rPr>
              <w:t xml:space="preserve"> ministrija</w:t>
            </w:r>
          </w:p>
          <w:p w14:paraId="4C8BF48D" w14:textId="77777777" w:rsidR="00B770EA" w:rsidRPr="00712FE5" w:rsidRDefault="00B770EA" w:rsidP="00B770EA">
            <w:pPr>
              <w:widowControl w:val="0"/>
              <w:tabs>
                <w:tab w:val="left" w:pos="851"/>
              </w:tabs>
            </w:pPr>
            <w:r w:rsidRPr="00712FE5">
              <w:t xml:space="preserve">Noteikumu projekta 17.punkts nosaka, ka </w:t>
            </w:r>
            <w:r w:rsidRPr="00712FE5">
              <w:rPr>
                <w:i/>
              </w:rPr>
              <w:t xml:space="preserve">individuāliem siltuma maksas sadalītājiem un individuāliem siltumenerģijas patēriņa skaitītājiem, kas uzstādīti pirms 2021.gada </w:t>
            </w:r>
            <w:r w:rsidRPr="00712FE5">
              <w:rPr>
                <w:i/>
              </w:rPr>
              <w:lastRenderedPageBreak/>
              <w:t xml:space="preserve">1.janvāra un nav attālināti nolasāmi, līdz 2027.gada 1.janvārim nodrošina attālinātu </w:t>
            </w:r>
            <w:proofErr w:type="spellStart"/>
            <w:r w:rsidRPr="00712FE5">
              <w:rPr>
                <w:i/>
              </w:rPr>
              <w:t>nolasāmību</w:t>
            </w:r>
            <w:proofErr w:type="spellEnd"/>
            <w:r w:rsidRPr="00712FE5">
              <w:rPr>
                <w:i/>
              </w:rPr>
              <w:t xml:space="preserve"> vai aizstāj tos ar attālināti nolasāmiem individuāliem siltuma maksas sadalītājiem vai individuāliem siltumenerģijas patēriņa skaitītājiem</w:t>
            </w:r>
            <w:r w:rsidRPr="00712FE5">
              <w:t>.</w:t>
            </w:r>
          </w:p>
          <w:p w14:paraId="3031B5B1" w14:textId="77777777" w:rsidR="00B770EA" w:rsidRPr="00712FE5" w:rsidRDefault="00B770EA" w:rsidP="00B770EA">
            <w:pPr>
              <w:pStyle w:val="naisc"/>
              <w:spacing w:before="0" w:after="0"/>
              <w:jc w:val="both"/>
            </w:pPr>
            <w:r w:rsidRPr="00712FE5">
              <w:t>Norādām, ka anotācijā nav vērtēts, kāda būs noteikumu projekta ietekme uz daudzdzīvokļu dzīvojamās mājās dzīvojošo patērētāju vidējās mājsaimniecības izdevumiem. Ņemot vērā minēto, ja minēto prasību ieviešana daudzdzīvokļu dzīvojamās mājās dzīvojošajiem nav brīvprātīga, tad anotācijā noteikti ir vērtējama un atspoguļojama informācija par noteikumu projekta ietekmi uz daudzdzīvokļu dzīvojamās mājās dzīvojošo patērētāju vidējās mājsaimniecības izdevumiem.</w:t>
            </w:r>
          </w:p>
          <w:p w14:paraId="7E14136D" w14:textId="77777777" w:rsidR="00B770EA" w:rsidRPr="00712FE5" w:rsidRDefault="00B770EA" w:rsidP="00B770EA">
            <w:pPr>
              <w:pStyle w:val="naisc"/>
              <w:spacing w:before="0" w:after="0"/>
              <w:jc w:val="both"/>
              <w:rPr>
                <w:b/>
                <w:bCs/>
              </w:rPr>
            </w:pPr>
            <w:r w:rsidRPr="00712FE5">
              <w:rPr>
                <w:b/>
                <w:bCs/>
              </w:rPr>
              <w:t>Vides aizsardzības un reģionālās attīstības ministrija</w:t>
            </w:r>
          </w:p>
          <w:p w14:paraId="633A2B6A" w14:textId="77777777" w:rsidR="00B770EA" w:rsidRPr="00712FE5" w:rsidRDefault="00B770EA" w:rsidP="00B770EA">
            <w:pPr>
              <w:pStyle w:val="naisc"/>
              <w:spacing w:before="0" w:after="0"/>
              <w:jc w:val="both"/>
            </w:pPr>
            <w:r w:rsidRPr="00712FE5">
              <w:t>Papildināt anotāciju ar informāciju par indikatīvo finansējuma apjomu, finanšu resursu avotiem un atbildīgajām personām noteikumu projekta 3., 4., 5., 12., 15. un 17. punktā minēto prasību ieviešanai.</w:t>
            </w:r>
          </w:p>
          <w:p w14:paraId="49A07439" w14:textId="77777777" w:rsidR="00B770EA" w:rsidRPr="00712FE5" w:rsidRDefault="00B770EA" w:rsidP="00B770EA">
            <w:pPr>
              <w:pStyle w:val="naisc"/>
              <w:spacing w:before="0" w:after="0"/>
              <w:jc w:val="both"/>
              <w:rPr>
                <w:b/>
              </w:rPr>
            </w:pPr>
            <w:r w:rsidRPr="00712FE5">
              <w:rPr>
                <w:b/>
              </w:rPr>
              <w:t>Valsts kanceleja (priekšlikums)</w:t>
            </w:r>
          </w:p>
          <w:p w14:paraId="2B978C12" w14:textId="77777777" w:rsidR="00B770EA" w:rsidRPr="00712FE5" w:rsidRDefault="00B770EA" w:rsidP="00B770EA">
            <w:pPr>
              <w:pStyle w:val="naisc"/>
              <w:spacing w:before="0" w:after="0"/>
              <w:jc w:val="both"/>
            </w:pPr>
            <w:r w:rsidRPr="00712FE5">
              <w:rPr>
                <w:bdr w:val="none" w:sz="0" w:space="0" w:color="auto" w:frame="1"/>
              </w:rPr>
              <w:t>Papildināt anotācijas 2.sadaļas 4.punktu ar to atbilstības prasību izmaksu aprēķinu, ko esošajā stadijā ir iespējams novērtēt (uz vienu vienību), piemēram:</w:t>
            </w:r>
            <w:r w:rsidRPr="00712FE5">
              <w:rPr>
                <w:bdr w:val="none" w:sz="0" w:space="0" w:color="auto" w:frame="1"/>
              </w:rPr>
              <w:br/>
              <w:t xml:space="preserve">* viena </w:t>
            </w:r>
            <w:proofErr w:type="spellStart"/>
            <w:r w:rsidRPr="00712FE5">
              <w:rPr>
                <w:bdr w:val="none" w:sz="0" w:space="0" w:color="auto" w:frame="1"/>
              </w:rPr>
              <w:t>elektrotransportlīdzekļu</w:t>
            </w:r>
            <w:proofErr w:type="spellEnd"/>
            <w:r w:rsidRPr="00712FE5">
              <w:rPr>
                <w:bdr w:val="none" w:sz="0" w:space="0" w:color="auto" w:frame="1"/>
              </w:rPr>
              <w:t xml:space="preserve"> uzlādes punkta ierīkošanas (un uzturēšanas) </w:t>
            </w:r>
            <w:r w:rsidRPr="00712FE5">
              <w:rPr>
                <w:bdr w:val="none" w:sz="0" w:space="0" w:color="auto" w:frame="1"/>
              </w:rPr>
              <w:lastRenderedPageBreak/>
              <w:t>izmaksas,</w:t>
            </w:r>
            <w:r w:rsidRPr="00712FE5">
              <w:rPr>
                <w:bdr w:val="none" w:sz="0" w:space="0" w:color="auto" w:frame="1"/>
              </w:rPr>
              <w:br/>
              <w:t>* vienas automašīnas stāvvietas ierīkošanas (un uzturēšanas) izmaksas,</w:t>
            </w:r>
            <w:r w:rsidRPr="00712FE5">
              <w:rPr>
                <w:bdr w:val="none" w:sz="0" w:space="0" w:color="auto" w:frame="1"/>
              </w:rPr>
              <w:br/>
              <w:t>* jaunas inženiertehniskās sistēmas (apkures, ventilācijas un gaisa kondicionēšanas sistēmām) un ēkas automatizācijas un vadības sistēmas ierīkošanas izmaksas visizplatītākajam ēku veidam.</w:t>
            </w:r>
          </w:p>
        </w:tc>
        <w:tc>
          <w:tcPr>
            <w:tcW w:w="3119" w:type="dxa"/>
            <w:gridSpan w:val="2"/>
            <w:tcBorders>
              <w:left w:val="single" w:sz="6" w:space="0" w:color="000000"/>
              <w:bottom w:val="single" w:sz="4" w:space="0" w:color="auto"/>
              <w:right w:val="single" w:sz="6" w:space="0" w:color="000000"/>
            </w:tcBorders>
          </w:tcPr>
          <w:p w14:paraId="6FE54E73" w14:textId="77777777" w:rsidR="00B770EA" w:rsidRPr="00712FE5" w:rsidRDefault="00B770EA" w:rsidP="00B770EA">
            <w:pPr>
              <w:pStyle w:val="naisc"/>
              <w:spacing w:before="0" w:after="0"/>
              <w:rPr>
                <w:b/>
              </w:rPr>
            </w:pPr>
            <w:r w:rsidRPr="00712FE5">
              <w:rPr>
                <w:b/>
              </w:rPr>
              <w:lastRenderedPageBreak/>
              <w:t>Ņemts vērā.</w:t>
            </w:r>
          </w:p>
          <w:p w14:paraId="4AFF8FA8" w14:textId="77777777" w:rsidR="00B770EA" w:rsidRPr="00712FE5" w:rsidRDefault="00B770EA" w:rsidP="00B770EA">
            <w:pPr>
              <w:pStyle w:val="naisc"/>
              <w:spacing w:before="0" w:after="0"/>
              <w:jc w:val="both"/>
            </w:pPr>
          </w:p>
        </w:tc>
        <w:tc>
          <w:tcPr>
            <w:tcW w:w="3118" w:type="dxa"/>
            <w:tcBorders>
              <w:top w:val="single" w:sz="4" w:space="0" w:color="auto"/>
              <w:left w:val="single" w:sz="4" w:space="0" w:color="auto"/>
              <w:bottom w:val="single" w:sz="4" w:space="0" w:color="auto"/>
            </w:tcBorders>
          </w:tcPr>
          <w:p w14:paraId="4936FFDD" w14:textId="77777777" w:rsidR="00B770EA" w:rsidRPr="00712FE5" w:rsidRDefault="00B770EA" w:rsidP="00B770EA">
            <w:pPr>
              <w:pStyle w:val="naisc"/>
              <w:spacing w:before="0" w:after="0"/>
              <w:jc w:val="left"/>
            </w:pPr>
            <w:r w:rsidRPr="00712FE5">
              <w:t>Anotācijas II sadaļa papildināta.</w:t>
            </w:r>
          </w:p>
        </w:tc>
      </w:tr>
      <w:tr w:rsidR="00B770EA" w:rsidRPr="00712FE5" w14:paraId="18D524AB" w14:textId="77777777" w:rsidTr="00F10DF3">
        <w:tc>
          <w:tcPr>
            <w:tcW w:w="708" w:type="dxa"/>
            <w:tcBorders>
              <w:left w:val="single" w:sz="6" w:space="0" w:color="000000"/>
              <w:bottom w:val="single" w:sz="4" w:space="0" w:color="auto"/>
              <w:right w:val="single" w:sz="6" w:space="0" w:color="000000"/>
            </w:tcBorders>
          </w:tcPr>
          <w:p w14:paraId="26DA7738" w14:textId="61EFA90E" w:rsidR="00B770EA" w:rsidRPr="00712FE5" w:rsidRDefault="00B770EA" w:rsidP="00B770EA">
            <w:pPr>
              <w:pStyle w:val="naisc"/>
              <w:spacing w:before="0" w:after="0"/>
            </w:pPr>
            <w:r w:rsidRPr="00712FE5">
              <w:lastRenderedPageBreak/>
              <w:t>3</w:t>
            </w:r>
            <w:r>
              <w:t>9</w:t>
            </w:r>
            <w:r w:rsidRPr="00712FE5">
              <w:t>.</w:t>
            </w:r>
          </w:p>
        </w:tc>
        <w:tc>
          <w:tcPr>
            <w:tcW w:w="3086" w:type="dxa"/>
            <w:gridSpan w:val="2"/>
            <w:tcBorders>
              <w:left w:val="single" w:sz="6" w:space="0" w:color="000000"/>
              <w:bottom w:val="single" w:sz="4" w:space="0" w:color="auto"/>
              <w:right w:val="single" w:sz="6" w:space="0" w:color="000000"/>
            </w:tcBorders>
          </w:tcPr>
          <w:p w14:paraId="261C652E" w14:textId="77777777" w:rsidR="00B770EA" w:rsidRPr="00712FE5" w:rsidRDefault="00B770EA" w:rsidP="00B770EA">
            <w:pPr>
              <w:pStyle w:val="naisc"/>
              <w:spacing w:before="0" w:after="0"/>
              <w:jc w:val="left"/>
            </w:pPr>
            <w:r w:rsidRPr="00712FE5">
              <w:t>Anotācijas II sadaļas 2. punkts</w:t>
            </w:r>
          </w:p>
        </w:tc>
        <w:tc>
          <w:tcPr>
            <w:tcW w:w="4394" w:type="dxa"/>
            <w:tcBorders>
              <w:left w:val="single" w:sz="6" w:space="0" w:color="000000"/>
              <w:bottom w:val="single" w:sz="4" w:space="0" w:color="auto"/>
              <w:right w:val="single" w:sz="6" w:space="0" w:color="000000"/>
            </w:tcBorders>
          </w:tcPr>
          <w:p w14:paraId="2A625447" w14:textId="77777777" w:rsidR="00B770EA" w:rsidRPr="00712FE5" w:rsidRDefault="00B770EA" w:rsidP="00B770EA">
            <w:pPr>
              <w:pStyle w:val="naisc"/>
              <w:spacing w:before="0" w:after="0"/>
              <w:jc w:val="both"/>
              <w:rPr>
                <w:b/>
                <w:bCs/>
              </w:rPr>
            </w:pPr>
            <w:r w:rsidRPr="00712FE5">
              <w:rPr>
                <w:b/>
                <w:bCs/>
              </w:rPr>
              <w:t>Finanšu ministrija</w:t>
            </w:r>
          </w:p>
          <w:p w14:paraId="1947F4F9" w14:textId="77777777" w:rsidR="00B770EA" w:rsidRPr="00712FE5" w:rsidRDefault="00B770EA" w:rsidP="00B770EA">
            <w:pPr>
              <w:pStyle w:val="naisc"/>
              <w:spacing w:before="0" w:after="0"/>
              <w:jc w:val="both"/>
            </w:pPr>
            <w:r w:rsidRPr="00712FE5">
              <w:t xml:space="preserve">Anotācijas </w:t>
            </w:r>
            <w:proofErr w:type="spellStart"/>
            <w:r w:rsidRPr="00712FE5">
              <w:t>II.sadaļas</w:t>
            </w:r>
            <w:proofErr w:type="spellEnd"/>
            <w:r w:rsidRPr="00712FE5">
              <w:t xml:space="preserve"> 2.punktā (8.un 9.lpp.) ir norādīts, ka noteikumu projekts ietekmēs ēkas inženiertehniskajā sistēmā un ēkas automatizācijas un vadības sistēmā ietilpstošo tehnoloģiju ražotājus un izplatītājus, jo saskaņā ar jomas ekspertu sniegto informāciju Eiropas Komisijai pašlaik tirgū pieejamās tehnoloģijas nespēj nodrošināt Direktīvā 2010/31/ES un līdz ar to arī noteikumu projektā ietvertās prasības. Šī iemesla dēļ atsevišķām noteikumu projekta normām paredzēts atlikts spēkā stāšanās laiks no 2021.gada 1.janvāra un pagarināts ieviešanas termiņš līdz 2025.gada 1.janvārim. Lūdzam izvērtēt, vai apgalvojums, ka pašlaik tirgū nav pieejamas tehnoloģijas, lai nodrošinātu minētās prasības, ir patiess un gadījumā, ja tā ir, lūdzam sniegt skaidrojumu, kā attiecīgās noteikumu projekta normas varēs tikt izpildītas, ja līdz 2025.gadam tehnoloģijas, kas spētu nodrošināt minētās prasības, nebūs pieejamas.</w:t>
            </w:r>
          </w:p>
          <w:p w14:paraId="788DAB60" w14:textId="77777777" w:rsidR="00B770EA" w:rsidRPr="00712FE5" w:rsidRDefault="00B770EA" w:rsidP="00B770EA">
            <w:pPr>
              <w:pStyle w:val="naisc"/>
              <w:spacing w:before="0" w:after="0"/>
              <w:jc w:val="both"/>
            </w:pPr>
          </w:p>
        </w:tc>
        <w:tc>
          <w:tcPr>
            <w:tcW w:w="3119" w:type="dxa"/>
            <w:gridSpan w:val="2"/>
            <w:tcBorders>
              <w:left w:val="single" w:sz="6" w:space="0" w:color="000000"/>
              <w:bottom w:val="single" w:sz="4" w:space="0" w:color="auto"/>
              <w:right w:val="single" w:sz="6" w:space="0" w:color="000000"/>
            </w:tcBorders>
          </w:tcPr>
          <w:p w14:paraId="6DF4878B" w14:textId="77777777" w:rsidR="00B770EA" w:rsidRPr="00712FE5" w:rsidRDefault="00B770EA" w:rsidP="00B770EA">
            <w:pPr>
              <w:pStyle w:val="naisc"/>
              <w:spacing w:before="0" w:after="0"/>
              <w:rPr>
                <w:b/>
              </w:rPr>
            </w:pPr>
            <w:r w:rsidRPr="00712FE5">
              <w:rPr>
                <w:b/>
              </w:rPr>
              <w:lastRenderedPageBreak/>
              <w:t>Panākta vienošanās.</w:t>
            </w:r>
          </w:p>
          <w:p w14:paraId="5900E17F" w14:textId="77777777" w:rsidR="00B770EA" w:rsidRPr="00712FE5" w:rsidRDefault="00B770EA" w:rsidP="00B770EA">
            <w:pPr>
              <w:pStyle w:val="naisc"/>
              <w:spacing w:before="0" w:after="0"/>
              <w:jc w:val="both"/>
            </w:pPr>
            <w:r w:rsidRPr="00712FE5">
              <w:t xml:space="preserve">Noteikumu projekta regulējums atbilst Direktīvas 2010/31/ES (ar Direktīvas (ES) 2018/844 grozījumiem) 14. panta 4. punkta un 15. panta 4. punkta prasībām </w:t>
            </w:r>
            <w:r w:rsidRPr="00712FE5">
              <w:rPr>
                <w:rStyle w:val="normaltextrun"/>
              </w:rPr>
              <w:t>(</w:t>
            </w:r>
            <w:r w:rsidRPr="00712FE5">
              <w:t xml:space="preserve">ja tas ir tehniski un ekonomiski iespējams, noteiktajiem kritērijiem atbilstošās nedzīvojamās ēkas līdz 2025. gadam tiek aprīkotas ar ēku automatizācijas un vadības sistēmām). Gan starptautiska, gan nacionāla līmeņa nozares eksperti ir norādījuši uz noteiktajām prasībām atbilstošu ēkas automatizācijas un vadības sistēmu neesamību tirgū. Ja tehnoloģijas nebūs pieejamas, arī tuvojoties 2025. gadam, tiesiskais regulējums tiks </w:t>
            </w:r>
            <w:r w:rsidRPr="00712FE5">
              <w:lastRenderedPageBreak/>
              <w:t xml:space="preserve">grozīts atbilstoši </w:t>
            </w:r>
            <w:proofErr w:type="spellStart"/>
            <w:r w:rsidRPr="00712FE5">
              <w:t>tābrīža</w:t>
            </w:r>
            <w:proofErr w:type="spellEnd"/>
            <w:r w:rsidRPr="00712FE5">
              <w:t xml:space="preserve"> situācijai.</w:t>
            </w:r>
          </w:p>
        </w:tc>
        <w:tc>
          <w:tcPr>
            <w:tcW w:w="3118" w:type="dxa"/>
            <w:tcBorders>
              <w:top w:val="single" w:sz="4" w:space="0" w:color="auto"/>
              <w:left w:val="single" w:sz="4" w:space="0" w:color="auto"/>
              <w:bottom w:val="single" w:sz="4" w:space="0" w:color="auto"/>
            </w:tcBorders>
          </w:tcPr>
          <w:p w14:paraId="11D7A4AC" w14:textId="77777777" w:rsidR="00B770EA" w:rsidRPr="00712FE5" w:rsidRDefault="00B770EA" w:rsidP="00B770EA">
            <w:pPr>
              <w:pStyle w:val="naisc"/>
              <w:spacing w:before="0" w:after="0"/>
              <w:jc w:val="both"/>
            </w:pPr>
            <w:r w:rsidRPr="00712FE5">
              <w:lastRenderedPageBreak/>
              <w:t>Anotācijas II sadaļas 2. punkts un III sadaļas 8. punkts papildināts.</w:t>
            </w:r>
          </w:p>
        </w:tc>
      </w:tr>
      <w:tr w:rsidR="00B770EA" w:rsidRPr="00712FE5" w14:paraId="5B46E849" w14:textId="77777777" w:rsidTr="00F10DF3">
        <w:tc>
          <w:tcPr>
            <w:tcW w:w="708" w:type="dxa"/>
            <w:tcBorders>
              <w:left w:val="single" w:sz="6" w:space="0" w:color="000000"/>
              <w:bottom w:val="single" w:sz="4" w:space="0" w:color="auto"/>
              <w:right w:val="single" w:sz="6" w:space="0" w:color="000000"/>
            </w:tcBorders>
          </w:tcPr>
          <w:p w14:paraId="43EC60DA" w14:textId="4B9EE90E" w:rsidR="00B770EA" w:rsidRPr="00712FE5" w:rsidRDefault="00B770EA" w:rsidP="00B770EA">
            <w:pPr>
              <w:pStyle w:val="naisc"/>
              <w:spacing w:before="0" w:after="0"/>
            </w:pPr>
            <w:r>
              <w:t>40</w:t>
            </w:r>
            <w:r w:rsidRPr="00712FE5">
              <w:t>.</w:t>
            </w:r>
          </w:p>
        </w:tc>
        <w:tc>
          <w:tcPr>
            <w:tcW w:w="3086" w:type="dxa"/>
            <w:gridSpan w:val="2"/>
            <w:tcBorders>
              <w:left w:val="single" w:sz="6" w:space="0" w:color="000000"/>
              <w:bottom w:val="single" w:sz="4" w:space="0" w:color="auto"/>
              <w:right w:val="single" w:sz="6" w:space="0" w:color="000000"/>
            </w:tcBorders>
          </w:tcPr>
          <w:p w14:paraId="5E4C75E4" w14:textId="77777777" w:rsidR="00B770EA" w:rsidRPr="00712FE5" w:rsidRDefault="00B770EA" w:rsidP="00B770EA">
            <w:pPr>
              <w:pStyle w:val="naisc"/>
              <w:spacing w:before="0" w:after="0"/>
              <w:jc w:val="both"/>
            </w:pPr>
            <w:r w:rsidRPr="00712FE5">
              <w:t>Anotācijas III sadaļa</w:t>
            </w:r>
          </w:p>
        </w:tc>
        <w:tc>
          <w:tcPr>
            <w:tcW w:w="4394" w:type="dxa"/>
            <w:tcBorders>
              <w:left w:val="single" w:sz="6" w:space="0" w:color="000000"/>
              <w:bottom w:val="single" w:sz="4" w:space="0" w:color="auto"/>
              <w:right w:val="single" w:sz="6" w:space="0" w:color="000000"/>
            </w:tcBorders>
          </w:tcPr>
          <w:p w14:paraId="36539ED8" w14:textId="77777777" w:rsidR="00B770EA" w:rsidRPr="00712FE5" w:rsidRDefault="00B770EA" w:rsidP="00B770EA">
            <w:pPr>
              <w:pStyle w:val="naisc"/>
              <w:spacing w:before="0" w:after="0"/>
              <w:jc w:val="both"/>
              <w:rPr>
                <w:b/>
                <w:bCs/>
              </w:rPr>
            </w:pPr>
            <w:r w:rsidRPr="00712FE5">
              <w:rPr>
                <w:b/>
                <w:bCs/>
              </w:rPr>
              <w:t>Finanšu ministrija</w:t>
            </w:r>
          </w:p>
          <w:p w14:paraId="41019757" w14:textId="77777777" w:rsidR="00B770EA" w:rsidRPr="00712FE5" w:rsidRDefault="00B770EA" w:rsidP="00B770EA">
            <w:pPr>
              <w:pStyle w:val="naisc"/>
              <w:spacing w:before="0" w:after="0"/>
              <w:jc w:val="both"/>
            </w:pPr>
            <w:r w:rsidRPr="00712FE5">
              <w:t>Ņemot vērā anotācijas III sadaļas 8.punktā sniegto informāciju, ka noteikumu projektā paredzēto ēku energoefektivitātes minimālo prasību izpilde var radīt izmaksu palielinājumu, lūdzam  "Nav precīzi aprēķināms" norādīt tikai ailēs pie izmaiņām.</w:t>
            </w:r>
          </w:p>
        </w:tc>
        <w:tc>
          <w:tcPr>
            <w:tcW w:w="3119" w:type="dxa"/>
            <w:gridSpan w:val="2"/>
            <w:tcBorders>
              <w:left w:val="single" w:sz="6" w:space="0" w:color="000000"/>
              <w:bottom w:val="single" w:sz="4" w:space="0" w:color="auto"/>
              <w:right w:val="single" w:sz="6" w:space="0" w:color="000000"/>
            </w:tcBorders>
          </w:tcPr>
          <w:p w14:paraId="7517BA65" w14:textId="77777777" w:rsidR="00B770EA" w:rsidRPr="00712FE5" w:rsidRDefault="00B770EA" w:rsidP="00B770EA">
            <w:pPr>
              <w:pStyle w:val="naisc"/>
              <w:spacing w:before="0" w:after="0"/>
              <w:rPr>
                <w:b/>
              </w:rPr>
            </w:pPr>
            <w:r w:rsidRPr="00712FE5">
              <w:rPr>
                <w:b/>
              </w:rPr>
              <w:t>Ņemts vērā.</w:t>
            </w:r>
          </w:p>
        </w:tc>
        <w:tc>
          <w:tcPr>
            <w:tcW w:w="3118" w:type="dxa"/>
            <w:tcBorders>
              <w:top w:val="single" w:sz="4" w:space="0" w:color="auto"/>
              <w:left w:val="single" w:sz="4" w:space="0" w:color="auto"/>
              <w:bottom w:val="single" w:sz="4" w:space="0" w:color="auto"/>
            </w:tcBorders>
          </w:tcPr>
          <w:p w14:paraId="2A56B412" w14:textId="77777777" w:rsidR="00B770EA" w:rsidRPr="00712FE5" w:rsidRDefault="00B770EA" w:rsidP="00B770EA">
            <w:pPr>
              <w:pStyle w:val="naisc"/>
              <w:spacing w:before="0" w:after="0"/>
              <w:jc w:val="left"/>
            </w:pPr>
            <w:r w:rsidRPr="00712FE5">
              <w:t>Anotācijas III sadaļa precizēta.</w:t>
            </w:r>
          </w:p>
        </w:tc>
      </w:tr>
      <w:tr w:rsidR="00B770EA" w:rsidRPr="00712FE5" w14:paraId="49D2E0BE" w14:textId="77777777" w:rsidTr="00F10DF3">
        <w:tc>
          <w:tcPr>
            <w:tcW w:w="708" w:type="dxa"/>
            <w:tcBorders>
              <w:left w:val="single" w:sz="6" w:space="0" w:color="000000"/>
              <w:bottom w:val="single" w:sz="4" w:space="0" w:color="auto"/>
              <w:right w:val="single" w:sz="6" w:space="0" w:color="000000"/>
            </w:tcBorders>
          </w:tcPr>
          <w:p w14:paraId="4A4A18E1" w14:textId="6DC92F77" w:rsidR="00B770EA" w:rsidRPr="00712FE5" w:rsidRDefault="00B770EA" w:rsidP="00B770EA">
            <w:pPr>
              <w:pStyle w:val="naisc"/>
              <w:spacing w:before="0" w:after="0"/>
            </w:pPr>
            <w:r>
              <w:t>41</w:t>
            </w:r>
            <w:r w:rsidRPr="00712FE5">
              <w:t>.</w:t>
            </w:r>
          </w:p>
        </w:tc>
        <w:tc>
          <w:tcPr>
            <w:tcW w:w="3086" w:type="dxa"/>
            <w:gridSpan w:val="2"/>
            <w:tcBorders>
              <w:left w:val="single" w:sz="6" w:space="0" w:color="000000"/>
              <w:bottom w:val="single" w:sz="4" w:space="0" w:color="auto"/>
              <w:right w:val="single" w:sz="6" w:space="0" w:color="000000"/>
            </w:tcBorders>
          </w:tcPr>
          <w:p w14:paraId="17A939D8" w14:textId="77777777" w:rsidR="00B770EA" w:rsidRPr="00712FE5" w:rsidRDefault="00B770EA" w:rsidP="00B770EA">
            <w:pPr>
              <w:pStyle w:val="naisc"/>
              <w:spacing w:before="0" w:after="0"/>
              <w:jc w:val="left"/>
            </w:pPr>
            <w:r w:rsidRPr="00712FE5">
              <w:t>Anotācijas III sadaļas 8. punkts</w:t>
            </w:r>
          </w:p>
        </w:tc>
        <w:tc>
          <w:tcPr>
            <w:tcW w:w="4394" w:type="dxa"/>
            <w:tcBorders>
              <w:left w:val="single" w:sz="6" w:space="0" w:color="000000"/>
              <w:bottom w:val="single" w:sz="4" w:space="0" w:color="auto"/>
              <w:right w:val="single" w:sz="6" w:space="0" w:color="000000"/>
            </w:tcBorders>
          </w:tcPr>
          <w:p w14:paraId="521CDF98" w14:textId="77777777" w:rsidR="00B770EA" w:rsidRPr="00712FE5" w:rsidRDefault="00B770EA" w:rsidP="00B770EA">
            <w:pPr>
              <w:pStyle w:val="naisc"/>
              <w:spacing w:before="0" w:after="0"/>
              <w:jc w:val="both"/>
              <w:rPr>
                <w:b/>
                <w:bCs/>
              </w:rPr>
            </w:pPr>
            <w:r w:rsidRPr="00712FE5">
              <w:rPr>
                <w:b/>
                <w:bCs/>
              </w:rPr>
              <w:t>Finanšu ministrija</w:t>
            </w:r>
          </w:p>
          <w:p w14:paraId="38BAB90A" w14:textId="77777777" w:rsidR="00B770EA" w:rsidRPr="00712FE5" w:rsidRDefault="00B770EA" w:rsidP="00B770EA">
            <w:pPr>
              <w:pStyle w:val="naisc"/>
              <w:spacing w:before="0" w:after="0"/>
              <w:jc w:val="both"/>
            </w:pPr>
            <w:r w:rsidRPr="00712FE5">
              <w:t>Lūdzam skaidrot, kādas institūcijas ir anotācijas III sadaļas 8.punktā minētie valsts ēku valdītāji (valsts tiešās pārvaldes iestādes), kuru izmaksu palielinājums radītu ietekmi uz valsts pamatbudžetu.</w:t>
            </w:r>
          </w:p>
        </w:tc>
        <w:tc>
          <w:tcPr>
            <w:tcW w:w="3119" w:type="dxa"/>
            <w:gridSpan w:val="2"/>
            <w:tcBorders>
              <w:left w:val="single" w:sz="6" w:space="0" w:color="000000"/>
              <w:bottom w:val="single" w:sz="4" w:space="0" w:color="auto"/>
              <w:right w:val="single" w:sz="6" w:space="0" w:color="000000"/>
            </w:tcBorders>
          </w:tcPr>
          <w:p w14:paraId="6E5980E8" w14:textId="77777777" w:rsidR="00B770EA" w:rsidRPr="00712FE5" w:rsidRDefault="00B770EA" w:rsidP="00B770EA">
            <w:pPr>
              <w:pStyle w:val="naisc"/>
              <w:spacing w:before="0" w:after="0"/>
              <w:rPr>
                <w:b/>
              </w:rPr>
            </w:pPr>
            <w:r w:rsidRPr="00712FE5">
              <w:rPr>
                <w:b/>
              </w:rPr>
              <w:t>Ņemts vērā.</w:t>
            </w:r>
          </w:p>
        </w:tc>
        <w:tc>
          <w:tcPr>
            <w:tcW w:w="3118" w:type="dxa"/>
            <w:tcBorders>
              <w:top w:val="single" w:sz="4" w:space="0" w:color="auto"/>
              <w:left w:val="single" w:sz="4" w:space="0" w:color="auto"/>
              <w:bottom w:val="single" w:sz="4" w:space="0" w:color="auto"/>
            </w:tcBorders>
          </w:tcPr>
          <w:p w14:paraId="7AB34109" w14:textId="77777777" w:rsidR="00B770EA" w:rsidRPr="00712FE5" w:rsidRDefault="00B770EA" w:rsidP="00B770EA">
            <w:pPr>
              <w:pStyle w:val="naisc"/>
              <w:spacing w:before="0" w:after="0"/>
              <w:jc w:val="left"/>
            </w:pPr>
            <w:r w:rsidRPr="00712FE5">
              <w:t>Anotācijas III sadaļas 8. punkts precizēts.</w:t>
            </w:r>
          </w:p>
        </w:tc>
      </w:tr>
      <w:tr w:rsidR="00B770EA" w:rsidRPr="00712FE5" w14:paraId="09574A9F" w14:textId="77777777" w:rsidTr="00F10DF3">
        <w:tc>
          <w:tcPr>
            <w:tcW w:w="708" w:type="dxa"/>
            <w:tcBorders>
              <w:left w:val="single" w:sz="6" w:space="0" w:color="000000"/>
              <w:bottom w:val="single" w:sz="4" w:space="0" w:color="auto"/>
              <w:right w:val="single" w:sz="6" w:space="0" w:color="000000"/>
            </w:tcBorders>
          </w:tcPr>
          <w:p w14:paraId="3A04B736" w14:textId="54587EEA" w:rsidR="00B770EA" w:rsidRPr="00712FE5" w:rsidRDefault="00B770EA" w:rsidP="00B770EA">
            <w:pPr>
              <w:pStyle w:val="naisc"/>
              <w:spacing w:before="0" w:after="0"/>
            </w:pPr>
            <w:r w:rsidRPr="00712FE5">
              <w:t>4</w:t>
            </w:r>
            <w:r>
              <w:t>2</w:t>
            </w:r>
            <w:r w:rsidRPr="00712FE5">
              <w:t>.</w:t>
            </w:r>
          </w:p>
        </w:tc>
        <w:tc>
          <w:tcPr>
            <w:tcW w:w="3086" w:type="dxa"/>
            <w:gridSpan w:val="2"/>
            <w:tcBorders>
              <w:left w:val="single" w:sz="6" w:space="0" w:color="000000"/>
              <w:bottom w:val="single" w:sz="4" w:space="0" w:color="auto"/>
              <w:right w:val="single" w:sz="6" w:space="0" w:color="000000"/>
            </w:tcBorders>
          </w:tcPr>
          <w:p w14:paraId="61F55274" w14:textId="77777777" w:rsidR="00B770EA" w:rsidRPr="00712FE5" w:rsidRDefault="00B770EA" w:rsidP="00B770EA">
            <w:pPr>
              <w:pStyle w:val="naisc"/>
              <w:spacing w:before="0" w:after="0"/>
              <w:jc w:val="left"/>
            </w:pPr>
            <w:r w:rsidRPr="00712FE5">
              <w:t>Anotācijas III sadaļas 8. punkts</w:t>
            </w:r>
          </w:p>
        </w:tc>
        <w:tc>
          <w:tcPr>
            <w:tcW w:w="4394" w:type="dxa"/>
            <w:tcBorders>
              <w:left w:val="single" w:sz="6" w:space="0" w:color="000000"/>
              <w:bottom w:val="single" w:sz="4" w:space="0" w:color="auto"/>
              <w:right w:val="single" w:sz="6" w:space="0" w:color="000000"/>
            </w:tcBorders>
          </w:tcPr>
          <w:p w14:paraId="1B69230E" w14:textId="77777777" w:rsidR="00B770EA" w:rsidRPr="00712FE5" w:rsidRDefault="00B770EA" w:rsidP="00B770EA">
            <w:pPr>
              <w:pStyle w:val="naisc"/>
              <w:spacing w:before="0" w:after="0"/>
              <w:jc w:val="both"/>
              <w:rPr>
                <w:b/>
                <w:bCs/>
              </w:rPr>
            </w:pPr>
            <w:proofErr w:type="spellStart"/>
            <w:r w:rsidRPr="00712FE5">
              <w:rPr>
                <w:b/>
                <w:bCs/>
              </w:rPr>
              <w:t>Iekšlietu</w:t>
            </w:r>
            <w:proofErr w:type="spellEnd"/>
            <w:r w:rsidRPr="00712FE5">
              <w:rPr>
                <w:b/>
                <w:bCs/>
              </w:rPr>
              <w:t xml:space="preserve"> ministrija</w:t>
            </w:r>
          </w:p>
          <w:p w14:paraId="2B728DAE" w14:textId="77777777" w:rsidR="00B770EA" w:rsidRPr="00712FE5" w:rsidRDefault="00B770EA" w:rsidP="00B770EA">
            <w:pPr>
              <w:widowControl w:val="0"/>
              <w:tabs>
                <w:tab w:val="left" w:pos="851"/>
              </w:tabs>
            </w:pPr>
            <w:r w:rsidRPr="00712FE5">
              <w:t xml:space="preserve">Noteikumu projekta 12.punkts nosaka, ka </w:t>
            </w:r>
            <w:r w:rsidRPr="00712FE5">
              <w:rPr>
                <w:i/>
              </w:rPr>
              <w:t>nedzīvojamo ēku, kuras lietderīgā nominālā jauda apkures sistēmas vai apvienotas apkures un ventilācijas sistēmas vajadzībām, vai arī kuras lietderīgā nominālā jauda gaisa kondicionēšanas sistēmas vai apvienotas gaisa kondicionēšanas un ventilācijas sistēmas vajadzībām pārsniedz 290 kilovatus, līdz 2025.gada 1.janvārim aprīko ar ēkas automatizācijas un vadības sistēmu</w:t>
            </w:r>
            <w:r w:rsidRPr="00712FE5">
              <w:t>.</w:t>
            </w:r>
          </w:p>
          <w:p w14:paraId="64B20B86" w14:textId="77777777" w:rsidR="00B770EA" w:rsidRPr="00712FE5" w:rsidRDefault="00B770EA" w:rsidP="00B770EA">
            <w:pPr>
              <w:tabs>
                <w:tab w:val="left" w:pos="851"/>
              </w:tabs>
            </w:pPr>
            <w:r w:rsidRPr="00712FE5">
              <w:t xml:space="preserve">Savukārt anotācijas II sadaļas ”Tiesību akta projekta ietekme uz sabiedrību, tautsaimniecības attīstību un administratīvo slogu” 2.punktā ir noteikts, ka noteikumu projekts ietekmēs ēkas inženiertehniskajā </w:t>
            </w:r>
            <w:r w:rsidRPr="00712FE5">
              <w:lastRenderedPageBreak/>
              <w:t>sistēmā un ēkas automatizācijas un vadības sistēmā ietilpstošo tehnoloģiju ražotājus un izplatītājus, jo saskaņā ar jomas ekspertu sniegto informāciju Eiropas Komisijai pašlaik tirgū pieejamās tehnoloģijas nespēj nodrošināt Direktīvā 2010/31/ES un līdz ar to arī noteikumu projektā ietvertās prasības. Šī iemesla dēļ atsevišķām noteikumu projekta normām paredzēts atlikts spēkā stāšanās laiks no 2021.gada 1.janvāra un pagarināts ieviešanas termiņš līdz 2025.gada 1.janvārim.</w:t>
            </w:r>
          </w:p>
          <w:p w14:paraId="1D71002E" w14:textId="77777777" w:rsidR="00B770EA" w:rsidRPr="00712FE5" w:rsidRDefault="00B770EA" w:rsidP="00B770EA">
            <w:pPr>
              <w:pStyle w:val="naisc"/>
              <w:spacing w:before="0" w:after="0"/>
              <w:jc w:val="both"/>
            </w:pPr>
            <w:r w:rsidRPr="00712FE5">
              <w:t xml:space="preserve">Ņemot vērā minēto, norādām, ka nav korekti normatīvajā aktā minēt prasību ieviešanas termiņu (2025.gada 1.janvāris), ja šobrīd pašlaik tirgū pieejamās tehnoloģijas nespēj nodrošināt noteikumu projektā ietvertās prasības. Tāpat arī anotācijā nav vērtēts, kāda varētu būt ietekme uz valsts un pašvaldību budžetu, tāpēc nav korekti anotācijas III sadaļas 8.punktā norādīt, ka izdevumus sakarā ar noteikumu projektā paredzēto energoefektivitātes paaugstināšanas pasākumu izpildi valsts ēku valdītāji un pašvaldības nodrošinās savu budžetu ietvaros. Norādām, ka </w:t>
            </w:r>
            <w:proofErr w:type="spellStart"/>
            <w:r w:rsidRPr="00712FE5">
              <w:t>Iekšlietu</w:t>
            </w:r>
            <w:proofErr w:type="spellEnd"/>
            <w:r w:rsidRPr="00712FE5">
              <w:t xml:space="preserve"> ministrijai nodrošinot noteikumu projekta 12. un 14.punktā minētās prasības, būs nepieciešams papildu finansējums.</w:t>
            </w:r>
          </w:p>
          <w:p w14:paraId="132098CA" w14:textId="77777777" w:rsidR="00B770EA" w:rsidRPr="00712FE5" w:rsidRDefault="00B770EA" w:rsidP="00B770EA">
            <w:pPr>
              <w:pStyle w:val="naisc"/>
              <w:spacing w:before="0" w:after="0"/>
              <w:jc w:val="both"/>
              <w:rPr>
                <w:b/>
                <w:bCs/>
              </w:rPr>
            </w:pPr>
            <w:proofErr w:type="spellStart"/>
            <w:r w:rsidRPr="00712FE5">
              <w:rPr>
                <w:b/>
                <w:bCs/>
              </w:rPr>
              <w:t>Iekšlietu</w:t>
            </w:r>
            <w:proofErr w:type="spellEnd"/>
            <w:r w:rsidRPr="00712FE5">
              <w:rPr>
                <w:b/>
                <w:bCs/>
              </w:rPr>
              <w:t xml:space="preserve"> ministrija (papildus)</w:t>
            </w:r>
          </w:p>
          <w:p w14:paraId="64923A13" w14:textId="77777777" w:rsidR="00B770EA" w:rsidRPr="00712FE5" w:rsidRDefault="00B770EA" w:rsidP="00B770EA">
            <w:r w:rsidRPr="00712FE5">
              <w:t xml:space="preserve">Atkārtoti vēršam uzmanību uz to, ka nebūtu korekti normatīvajā aktā minēt prasību </w:t>
            </w:r>
            <w:r w:rsidRPr="00712FE5">
              <w:lastRenderedPageBreak/>
              <w:t xml:space="preserve">ieviešanas termiņu – 2025.gada 1.janvāri, ja pašlaik tirgū pieejamās tehnoloģijas nespēj nodrošināt noteikumu projektā ietvertās prasības. Anotācijā nav vērtēts, kāda varētu būt ietekme uz valsts un pašvaldību budžetu, tāpēc nav pamatojuma anotācijas III sadaļas 8.punktā norādīt, ka izdevumus sakarā ar noteikumu projektā paredzēto energoefektivitātes paaugstināšanas pasākumu izpildi valsts īpašuma valdītāji un pašvaldības nodrošinās savu budžetu ietvaros. Tāpat atkārtoti norādām, ka </w:t>
            </w:r>
            <w:proofErr w:type="spellStart"/>
            <w:r w:rsidRPr="00712FE5">
              <w:t>Iekšlietu</w:t>
            </w:r>
            <w:proofErr w:type="spellEnd"/>
            <w:r w:rsidRPr="00712FE5">
              <w:t xml:space="preserve"> ministrijai, nodrošinot noteikumu projekta 9. un 10.punktā (pirms precizēšanas – noteikumu projekta 10.un 12.punkts) minētās prasības, būs nepieciešams papildu finansējums. </w:t>
            </w:r>
          </w:p>
          <w:p w14:paraId="58CAC9AF" w14:textId="77777777" w:rsidR="00B770EA" w:rsidRPr="00712FE5" w:rsidRDefault="00B770EA" w:rsidP="00B770EA">
            <w:pPr>
              <w:pStyle w:val="naisc"/>
              <w:spacing w:before="0" w:after="0"/>
              <w:jc w:val="both"/>
              <w:rPr>
                <w:b/>
                <w:bCs/>
              </w:rPr>
            </w:pPr>
            <w:r w:rsidRPr="00712FE5">
              <w:t>Ņemot vērā minēto, lūdzam papildināt anotāciju, paredzot, ka nepieciešamības gadījumā jautājumu par papildu valsts budžeta līdzekļu piešķiršanu noteikumu projektā ietverto prasību nodrošināšanai izskatīt Ministru kabinetā kopā ar visu ministriju un citu centrālo valsts iestāžu iesniegtajiem prioritāro pasākumu pieteikumiem gadskārtējā valsts budžeta likumprojekta un vidējā termiņa budžeta ietvara likumprojekta sagatavošanas un izskatīšanas procesā atbilstoši valsts budžeta finansiālajām iespējām. Vienlaikus noteikumu projektam pievienojams attiecīgs Ministru kabineta sēdes protokollēmuma projekts.</w:t>
            </w:r>
          </w:p>
        </w:tc>
        <w:tc>
          <w:tcPr>
            <w:tcW w:w="3119" w:type="dxa"/>
            <w:gridSpan w:val="2"/>
            <w:tcBorders>
              <w:left w:val="single" w:sz="6" w:space="0" w:color="000000"/>
              <w:bottom w:val="single" w:sz="4" w:space="0" w:color="auto"/>
              <w:right w:val="single" w:sz="6" w:space="0" w:color="000000"/>
            </w:tcBorders>
          </w:tcPr>
          <w:p w14:paraId="5CC909A3" w14:textId="77777777" w:rsidR="00F56801" w:rsidRPr="00712FE5" w:rsidRDefault="00F56801" w:rsidP="00F56801">
            <w:pPr>
              <w:pStyle w:val="naisc"/>
              <w:spacing w:before="0" w:after="0"/>
              <w:rPr>
                <w:b/>
                <w:bCs/>
              </w:rPr>
            </w:pPr>
            <w:r w:rsidRPr="00712FE5">
              <w:rPr>
                <w:b/>
                <w:bCs/>
              </w:rPr>
              <w:lastRenderedPageBreak/>
              <w:t>Panākta vienošanās.</w:t>
            </w:r>
          </w:p>
          <w:p w14:paraId="2E3298D7" w14:textId="77777777" w:rsidR="00B770EA" w:rsidRPr="00712FE5" w:rsidRDefault="00B770EA" w:rsidP="00B770EA">
            <w:pPr>
              <w:pStyle w:val="naisc"/>
              <w:spacing w:before="0" w:after="0"/>
              <w:jc w:val="both"/>
            </w:pPr>
            <w:r w:rsidRPr="00712FE5">
              <w:t xml:space="preserve">Noteikumu projekta regulējums atbilst Direktīvas 2010/31/ES (ar Direktīvas (ES) 2018/844 grozījumiem) 14. panta 4. punkta un 15. panta 4. punkta prasībām </w:t>
            </w:r>
            <w:r w:rsidRPr="00712FE5">
              <w:rPr>
                <w:rStyle w:val="normaltextrun"/>
              </w:rPr>
              <w:t>(</w:t>
            </w:r>
            <w:r w:rsidRPr="00712FE5">
              <w:t xml:space="preserve">ja tas ir tehniski un ekonomiski iespējams, noteiktajiem kritērijiem atbilstošās nedzīvojamās ēkas līdz 2025. gadam tiek aprīkotas ar ēku automatizācijas un vadības sistēmām). Tā kā prasības Noteikumu projektā tiek iekļautas savlaicīgi, ēku </w:t>
            </w:r>
            <w:r w:rsidRPr="00712FE5">
              <w:lastRenderedPageBreak/>
              <w:t>īpašniekiem vai valdītājiem (tajā skaitā valsts tiešās pārvaldes iestādēm) būs iespēja budžetā paredzēt nepieciešamos finanšu līdzekļus ēku inženiertehnisko sistēmu pārveidei. Valsts budžeta plānošana veicama normatīvajos aktos noteiktajā kārtībā un termiņos.</w:t>
            </w:r>
          </w:p>
          <w:p w14:paraId="661E30C4" w14:textId="77777777" w:rsidR="00B770EA" w:rsidRPr="00712FE5" w:rsidRDefault="00B770EA" w:rsidP="00B770EA">
            <w:pPr>
              <w:pStyle w:val="naisc"/>
              <w:spacing w:before="0" w:after="0"/>
              <w:jc w:val="both"/>
            </w:pPr>
            <w:r w:rsidRPr="00712FE5">
              <w:t>Finanšu ministrija ir norādījusi, ka apstiprināšanai Ministru kabinetā nav virzāmi tādi tiesību aktu projekti, kuru izpildei nav paredzēts finansējums.</w:t>
            </w:r>
          </w:p>
        </w:tc>
        <w:tc>
          <w:tcPr>
            <w:tcW w:w="3118" w:type="dxa"/>
            <w:tcBorders>
              <w:top w:val="single" w:sz="4" w:space="0" w:color="auto"/>
              <w:left w:val="single" w:sz="4" w:space="0" w:color="auto"/>
              <w:bottom w:val="single" w:sz="4" w:space="0" w:color="auto"/>
            </w:tcBorders>
          </w:tcPr>
          <w:p w14:paraId="2F41C60A" w14:textId="77777777" w:rsidR="00B770EA" w:rsidRPr="00712FE5" w:rsidRDefault="00B770EA" w:rsidP="00B770EA">
            <w:pPr>
              <w:pStyle w:val="naisc"/>
              <w:spacing w:before="0" w:after="0"/>
              <w:jc w:val="left"/>
            </w:pPr>
            <w:r w:rsidRPr="00712FE5">
              <w:lastRenderedPageBreak/>
              <w:t>Anotācijas II sadaļas 2. punkts un III sadaļas 8. punkts precizēts.</w:t>
            </w:r>
          </w:p>
        </w:tc>
      </w:tr>
      <w:tr w:rsidR="00B770EA" w:rsidRPr="00712FE5" w14:paraId="01DD7759" w14:textId="77777777" w:rsidTr="00F10DF3">
        <w:tc>
          <w:tcPr>
            <w:tcW w:w="708" w:type="dxa"/>
            <w:tcBorders>
              <w:left w:val="single" w:sz="6" w:space="0" w:color="000000"/>
              <w:bottom w:val="single" w:sz="4" w:space="0" w:color="auto"/>
              <w:right w:val="single" w:sz="6" w:space="0" w:color="000000"/>
            </w:tcBorders>
          </w:tcPr>
          <w:p w14:paraId="74D67932" w14:textId="2BE30333" w:rsidR="00B770EA" w:rsidRPr="00712FE5" w:rsidRDefault="00B770EA" w:rsidP="00B770EA">
            <w:pPr>
              <w:pStyle w:val="naisc"/>
              <w:spacing w:before="0" w:after="0"/>
            </w:pPr>
            <w:r w:rsidRPr="00712FE5">
              <w:lastRenderedPageBreak/>
              <w:t>4</w:t>
            </w:r>
            <w:r>
              <w:t>3</w:t>
            </w:r>
            <w:r w:rsidRPr="00712FE5">
              <w:t>.</w:t>
            </w:r>
          </w:p>
        </w:tc>
        <w:tc>
          <w:tcPr>
            <w:tcW w:w="3086" w:type="dxa"/>
            <w:gridSpan w:val="2"/>
            <w:tcBorders>
              <w:left w:val="single" w:sz="6" w:space="0" w:color="000000"/>
              <w:bottom w:val="single" w:sz="4" w:space="0" w:color="auto"/>
              <w:right w:val="single" w:sz="6" w:space="0" w:color="000000"/>
            </w:tcBorders>
          </w:tcPr>
          <w:p w14:paraId="62F45F49" w14:textId="77777777" w:rsidR="00B770EA" w:rsidRPr="00712FE5" w:rsidRDefault="00B770EA" w:rsidP="00B770EA">
            <w:pPr>
              <w:pStyle w:val="naisc"/>
              <w:spacing w:before="0" w:after="0"/>
              <w:jc w:val="left"/>
            </w:pPr>
            <w:r w:rsidRPr="00712FE5">
              <w:t>Anotācijas IV sadaļas 1. punkts</w:t>
            </w:r>
          </w:p>
        </w:tc>
        <w:tc>
          <w:tcPr>
            <w:tcW w:w="4394" w:type="dxa"/>
            <w:tcBorders>
              <w:left w:val="single" w:sz="6" w:space="0" w:color="000000"/>
              <w:bottom w:val="single" w:sz="4" w:space="0" w:color="auto"/>
              <w:right w:val="single" w:sz="6" w:space="0" w:color="000000"/>
            </w:tcBorders>
          </w:tcPr>
          <w:p w14:paraId="53F8518E" w14:textId="77777777" w:rsidR="00B770EA" w:rsidRPr="00712FE5" w:rsidRDefault="00B770EA" w:rsidP="00B770EA">
            <w:pPr>
              <w:pStyle w:val="naisc"/>
              <w:spacing w:before="0" w:after="0"/>
              <w:jc w:val="both"/>
              <w:rPr>
                <w:b/>
                <w:bCs/>
              </w:rPr>
            </w:pPr>
            <w:r w:rsidRPr="00712FE5">
              <w:rPr>
                <w:b/>
                <w:bCs/>
              </w:rPr>
              <w:t>Tieslietu ministrija</w:t>
            </w:r>
          </w:p>
          <w:p w14:paraId="785D8CD9" w14:textId="77777777" w:rsidR="00B770EA" w:rsidRPr="00712FE5" w:rsidRDefault="00B770EA" w:rsidP="00B770EA">
            <w:pPr>
              <w:pStyle w:val="naisc"/>
              <w:spacing w:before="0" w:after="0"/>
              <w:jc w:val="both"/>
            </w:pPr>
            <w:r w:rsidRPr="00712FE5">
              <w:t>Saskaņā ar instrukcijas Nr. 19 54.2. apakšpunktu anotācijas IV sadaļas 1. punktā ("Nepieciešamie saistītie tiesību aktu projekti") norāda citus spēkā esošus (vai jau apstiprinātus) tiesību aktus, kuros jāizdara grozījumi vai kuri jāatzīst par spēku zaudējušiem (atceltiem) saistībā ar projektu, kā arī skaidro šādu izmaiņu nepieciešamību. Attiecīgi lūdzam precizēt noteikumu projekta anotācijas IV sadaļas 1. punktu, ietverot tajā skaidrojumu par konkrētu plānoto grozījumu Dzīvojamo māju pārvaldīšanas likumā, uz kuriem norādīts noteikumu projekta anotācijā, būtību un nepieciešamību.</w:t>
            </w:r>
          </w:p>
        </w:tc>
        <w:tc>
          <w:tcPr>
            <w:tcW w:w="3119" w:type="dxa"/>
            <w:gridSpan w:val="2"/>
            <w:tcBorders>
              <w:left w:val="single" w:sz="6" w:space="0" w:color="000000"/>
              <w:bottom w:val="single" w:sz="4" w:space="0" w:color="auto"/>
              <w:right w:val="single" w:sz="6" w:space="0" w:color="000000"/>
            </w:tcBorders>
          </w:tcPr>
          <w:p w14:paraId="37F15FFC" w14:textId="77777777" w:rsidR="00B770EA" w:rsidRPr="00712FE5" w:rsidRDefault="00B770EA" w:rsidP="00B770EA">
            <w:pPr>
              <w:pStyle w:val="naisc"/>
              <w:spacing w:before="0" w:after="0"/>
              <w:rPr>
                <w:b/>
              </w:rPr>
            </w:pPr>
            <w:r w:rsidRPr="00712FE5">
              <w:rPr>
                <w:b/>
              </w:rPr>
              <w:t>Ņemts vērā.</w:t>
            </w:r>
          </w:p>
        </w:tc>
        <w:tc>
          <w:tcPr>
            <w:tcW w:w="3118" w:type="dxa"/>
            <w:tcBorders>
              <w:top w:val="single" w:sz="4" w:space="0" w:color="auto"/>
              <w:left w:val="single" w:sz="4" w:space="0" w:color="auto"/>
              <w:bottom w:val="single" w:sz="4" w:space="0" w:color="auto"/>
            </w:tcBorders>
          </w:tcPr>
          <w:p w14:paraId="41FC29D4" w14:textId="77777777" w:rsidR="00B770EA" w:rsidRPr="00712FE5" w:rsidRDefault="00B770EA" w:rsidP="00B770EA">
            <w:pPr>
              <w:pStyle w:val="naisc"/>
              <w:spacing w:before="0" w:after="0"/>
              <w:jc w:val="left"/>
            </w:pPr>
            <w:r w:rsidRPr="00712FE5">
              <w:t>Anotācijas IV sadaļas 1. punkts papildināts.</w:t>
            </w:r>
          </w:p>
        </w:tc>
      </w:tr>
      <w:tr w:rsidR="00B770EA" w:rsidRPr="00712FE5" w14:paraId="6AEE7777" w14:textId="77777777" w:rsidTr="00F10DF3">
        <w:tc>
          <w:tcPr>
            <w:tcW w:w="708" w:type="dxa"/>
            <w:tcBorders>
              <w:left w:val="single" w:sz="6" w:space="0" w:color="000000"/>
              <w:bottom w:val="single" w:sz="4" w:space="0" w:color="auto"/>
              <w:right w:val="single" w:sz="6" w:space="0" w:color="000000"/>
            </w:tcBorders>
          </w:tcPr>
          <w:p w14:paraId="28382FD4" w14:textId="45C3BF32" w:rsidR="00B770EA" w:rsidRPr="00712FE5" w:rsidRDefault="00B770EA" w:rsidP="00B770EA">
            <w:pPr>
              <w:pStyle w:val="naisc"/>
              <w:spacing w:before="0" w:after="0"/>
            </w:pPr>
            <w:r w:rsidRPr="00712FE5">
              <w:t>4</w:t>
            </w:r>
            <w:r>
              <w:t>4</w:t>
            </w:r>
            <w:r w:rsidRPr="00712FE5">
              <w:t>.</w:t>
            </w:r>
          </w:p>
        </w:tc>
        <w:tc>
          <w:tcPr>
            <w:tcW w:w="3086" w:type="dxa"/>
            <w:gridSpan w:val="2"/>
            <w:tcBorders>
              <w:left w:val="single" w:sz="6" w:space="0" w:color="000000"/>
              <w:bottom w:val="single" w:sz="4" w:space="0" w:color="auto"/>
              <w:right w:val="single" w:sz="6" w:space="0" w:color="000000"/>
            </w:tcBorders>
          </w:tcPr>
          <w:p w14:paraId="0E8FAF17" w14:textId="77777777" w:rsidR="00B770EA" w:rsidRPr="00712FE5" w:rsidRDefault="00B770EA" w:rsidP="00B770EA">
            <w:pPr>
              <w:pStyle w:val="naisc"/>
              <w:spacing w:before="0" w:after="0"/>
              <w:jc w:val="both"/>
            </w:pPr>
            <w:r w:rsidRPr="00712FE5">
              <w:t>Anotācijas V sadaļa</w:t>
            </w:r>
          </w:p>
        </w:tc>
        <w:tc>
          <w:tcPr>
            <w:tcW w:w="4394" w:type="dxa"/>
            <w:tcBorders>
              <w:left w:val="single" w:sz="6" w:space="0" w:color="000000"/>
              <w:bottom w:val="single" w:sz="4" w:space="0" w:color="auto"/>
              <w:right w:val="single" w:sz="6" w:space="0" w:color="000000"/>
            </w:tcBorders>
          </w:tcPr>
          <w:p w14:paraId="393CAC05" w14:textId="77777777" w:rsidR="00B770EA" w:rsidRPr="00712FE5" w:rsidRDefault="00B770EA" w:rsidP="00B770EA">
            <w:pPr>
              <w:pStyle w:val="naisc"/>
              <w:spacing w:before="0" w:after="0"/>
              <w:jc w:val="both"/>
              <w:rPr>
                <w:b/>
                <w:bCs/>
              </w:rPr>
            </w:pPr>
            <w:r w:rsidRPr="00712FE5">
              <w:rPr>
                <w:b/>
                <w:bCs/>
              </w:rPr>
              <w:t>Tieslietu ministrija</w:t>
            </w:r>
          </w:p>
          <w:p w14:paraId="67A00B2A" w14:textId="77777777" w:rsidR="00B770EA" w:rsidRPr="00712FE5" w:rsidRDefault="00B770EA" w:rsidP="00B770EA">
            <w:pPr>
              <w:ind w:right="12"/>
            </w:pPr>
            <w:r w:rsidRPr="00712FE5">
              <w:t xml:space="preserve">Vēršam uzmanību, ka noteikumu projekta anotāciju nepieciešams aizpildīt atbilstoši Ministru kabineta 2009. gada 7. aprīļa noteikumu Nr. 300 ''Ministru kabineta kārtības rullis'' 3. punktam, kas noteic, ka Ministru kabineta tiesību akta projektam pievieno anotāciju, kurā aizpildīta vismaz sadaļa par tiesību akta projekta nepieciešamību, tas ir, anotācijas I sadaļa, bet pārējās anotācijas sadaļas aizpilda, ja tiesību akta projekts skar attiecīgajā anotācijas sadaļā minētos jautājumus. Norādām, ka Tieslietu ministrijai nav iespējams precīzi izvērtēt, vai ir korekti un pilnīgi pārņemtas (tai skaitā kādā pakāpē pārņemtas) </w:t>
            </w:r>
            <w:bookmarkStart w:id="7" w:name="_Hlk33091518"/>
            <w:r w:rsidRPr="00712FE5">
              <w:t xml:space="preserve">Eiropas Parlamenta un Padomes </w:t>
            </w:r>
            <w:r w:rsidRPr="00712FE5">
              <w:lastRenderedPageBreak/>
              <w:t>2018. gada 30. maija Direktīvas (ES) 2018/844, ar ko groza Direktīvu 2010/31/ES par ēku energoefektivitāti un Direktīvu 2012/27/ES par energoefektivitāti</w:t>
            </w:r>
            <w:bookmarkEnd w:id="7"/>
            <w:r w:rsidRPr="00712FE5">
              <w:t>, (turpmāk – direktīva Nr. 2018/844) un direktīvas Nr. 2018/2002 prasības, bez pienācīgā detalizācijas pakāpē veiktas noteikumu projekta anotācijas V sadaļas 1. tabulas aizpildīšanas, ievērojot Ministru kabineta 2009. gada 15. decembra instrukcijas Nr. 19 "Tiesību akta projekta sākotnējās ietekmes izvērtēšanas kārtība" 55. un 56. punktu. Proti, vēršam uzmanību, ka šobrīd noteikumu projekta anotācijas V sadaļas tabulā Nr. 1:</w:t>
            </w:r>
          </w:p>
          <w:p w14:paraId="01D931D0" w14:textId="77777777" w:rsidR="00B770EA" w:rsidRPr="00712FE5" w:rsidRDefault="00B770EA" w:rsidP="00B770EA">
            <w:pPr>
              <w:ind w:right="12"/>
            </w:pPr>
            <w:r w:rsidRPr="00712FE5">
              <w:t>pirmkārt, vienā rindā (B ailē) ietvertas noteikumu projekta vienības, kas paredz atšķirīgu regulējumu – atšķirīgas minimālās prasības attiecībā uz ekspluatējamu ēku energoefektivitāti, un tādējādi par katru no vienībām nav skaidri norādīta detalizēta informācija (A vai C ailē) par minētām vienībām korespondējošām pārņemamajām direktīvas Nr. 2018/2002 un direktīvas Nr. 2018/844 vienību prasībām. Saistībā ar minēto norādām, ka katram direktīvas pantam vai panta daļai un apakšpunktam anotācijas V sadaļas 1. tabulā būtu jākorespondē attiecīgam noteikumu projekta pantam, panta daļai vai punktam, kas konkrētajā gadījumā neizpildās;</w:t>
            </w:r>
          </w:p>
          <w:p w14:paraId="0458AD17" w14:textId="77777777" w:rsidR="00B770EA" w:rsidRPr="00712FE5" w:rsidRDefault="00B770EA" w:rsidP="00B770EA">
            <w:pPr>
              <w:ind w:right="12"/>
            </w:pPr>
            <w:r w:rsidRPr="00712FE5">
              <w:t xml:space="preserve">otrkārt, direktīvas Nr. 2018/2002 un Nr. 2018/844 prasības pārņemtas daļēji, </w:t>
            </w:r>
            <w:r w:rsidRPr="00712FE5">
              <w:lastRenderedPageBreak/>
              <w:t>nesniedzot šajā sakarā pietiekami detalizētu skaidrojumu. Norādām, ja direktīvu prasības ar noteikumu projektu tiek pārņemtas daļēji, anotācijas V sadaļas 1. tabulā (C ailē) būtu jāsniedz attiecīgs skaidrojums, kāda konkrēti prasība netiek pārņemta un precīzi jānorāda, kādā veidā un termiņā attiecīgās direktīvu vienības tiks pārņemtas pilnībā. Termiņam konkrētajā gadījumā pievēršama pastiprināta vērība, ņemot vērā, ka atbilstoši noteikumu projekta anotācijā norādītajam direktīvas Nr. 2018/844 prasības jāpārņem līdz 2020. gada 10. martam (t.i., līdz šim datumam dalībvalstīs stājas spēkā normatīvie un administratīvie akti, kas vajadzīgi, lai izpildītu šīs direktīvas prasības), savukārt 1. tabulā minēts, ka atsevišķas prasības paredzēts pilnībā ieviest līdz 2020. gada 30. jūnijam, tāpat arī līdzīgi direktīvas Nr. 2018/2002 prasības jāpārņem līdz 2020. gada 25. oktobrim (daļa prasību jāpārņem līdz 2020. gada 25. jūnijam), savukārt 1. tabulā vispār nav minēts, kad prasības paredzēts pilnībā pārņemt.</w:t>
            </w:r>
          </w:p>
          <w:p w14:paraId="58F50B7F" w14:textId="77777777" w:rsidR="00B770EA" w:rsidRPr="00712FE5" w:rsidRDefault="00B770EA" w:rsidP="00B770EA">
            <w:pPr>
              <w:pStyle w:val="naisc"/>
              <w:spacing w:before="0" w:after="0"/>
              <w:jc w:val="both"/>
            </w:pPr>
            <w:r w:rsidRPr="00712FE5">
              <w:t>Ievērojot minēto, lūdzam pārstrādāt noteikumu projekta anotācijas V sadaļas 1. tabulu, aizpildot to pienācīgā detalizācijas pakāpē, un tādējādi nodrošināt to, ka kāda no direktīvas prasībām nejaušības pēc nepaliek nepārņemta vai veids vai termiņš, kādā to plāno pārņemt, nav neatbilstošs.</w:t>
            </w:r>
          </w:p>
        </w:tc>
        <w:tc>
          <w:tcPr>
            <w:tcW w:w="3119" w:type="dxa"/>
            <w:gridSpan w:val="2"/>
            <w:tcBorders>
              <w:left w:val="single" w:sz="6" w:space="0" w:color="000000"/>
              <w:bottom w:val="single" w:sz="4" w:space="0" w:color="auto"/>
              <w:right w:val="single" w:sz="6" w:space="0" w:color="000000"/>
            </w:tcBorders>
          </w:tcPr>
          <w:p w14:paraId="4BC6E430" w14:textId="77777777" w:rsidR="00B770EA" w:rsidRPr="00712FE5" w:rsidRDefault="00B770EA" w:rsidP="00B770EA">
            <w:pPr>
              <w:pStyle w:val="naisc"/>
              <w:spacing w:before="0" w:after="0"/>
              <w:rPr>
                <w:b/>
              </w:rPr>
            </w:pPr>
            <w:r w:rsidRPr="00712FE5">
              <w:rPr>
                <w:b/>
              </w:rPr>
              <w:lastRenderedPageBreak/>
              <w:t>Panākta vienošanās.</w:t>
            </w:r>
          </w:p>
          <w:p w14:paraId="282CE6EC" w14:textId="77777777" w:rsidR="00B770EA" w:rsidRPr="00712FE5" w:rsidRDefault="00B770EA" w:rsidP="00B770EA">
            <w:pPr>
              <w:pStyle w:val="naisc"/>
              <w:spacing w:before="0" w:after="0"/>
              <w:jc w:val="both"/>
              <w:rPr>
                <w:highlight w:val="yellow"/>
              </w:rPr>
            </w:pPr>
            <w:r w:rsidRPr="00712FE5">
              <w:t xml:space="preserve">Ekonomikas ministrija ir izstrādājusi vai 2020.gadā izstrādās saistītos tiesību aktu projektus, kas nepieciešami Direktīvas (ES) 2018/844 pārņemšanai (norādīti anotācijas IV sadaļas 1. punktā). Attiecībā uz Direktīvas (ES) 2018/2002 pārņemšanu Noteikumu projekts skar tikai tās normas, kas attiecas uz Eiropas Komisijas pārkāpuma procedūras lietu Nr. 2018/2344. Vienlaikus jāņem vērā, ka ne visas </w:t>
            </w:r>
            <w:r w:rsidRPr="00712FE5">
              <w:lastRenderedPageBreak/>
              <w:t>direktīvu normas prasa to pārņemšanu nacionālajā tiesību sistēmā.</w:t>
            </w:r>
          </w:p>
        </w:tc>
        <w:tc>
          <w:tcPr>
            <w:tcW w:w="3118" w:type="dxa"/>
            <w:tcBorders>
              <w:top w:val="single" w:sz="4" w:space="0" w:color="auto"/>
              <w:left w:val="single" w:sz="4" w:space="0" w:color="auto"/>
              <w:bottom w:val="single" w:sz="4" w:space="0" w:color="auto"/>
            </w:tcBorders>
          </w:tcPr>
          <w:p w14:paraId="5DA3AB46" w14:textId="77777777" w:rsidR="00B770EA" w:rsidRPr="00712FE5" w:rsidRDefault="00B770EA" w:rsidP="00B770EA">
            <w:pPr>
              <w:pStyle w:val="naisc"/>
              <w:spacing w:before="0" w:after="0"/>
              <w:jc w:val="left"/>
            </w:pPr>
            <w:r w:rsidRPr="00712FE5">
              <w:lastRenderedPageBreak/>
              <w:t>Anotācijas V sadaļa precizēta.</w:t>
            </w:r>
          </w:p>
        </w:tc>
      </w:tr>
      <w:tr w:rsidR="00B770EA" w:rsidRPr="00712FE5" w14:paraId="15803FB9" w14:textId="77777777" w:rsidTr="00F10DF3">
        <w:tc>
          <w:tcPr>
            <w:tcW w:w="708" w:type="dxa"/>
            <w:tcBorders>
              <w:left w:val="single" w:sz="6" w:space="0" w:color="000000"/>
              <w:bottom w:val="single" w:sz="4" w:space="0" w:color="auto"/>
              <w:right w:val="single" w:sz="6" w:space="0" w:color="000000"/>
            </w:tcBorders>
          </w:tcPr>
          <w:p w14:paraId="596A04AB" w14:textId="3FBF635C" w:rsidR="00B770EA" w:rsidRPr="00712FE5" w:rsidRDefault="00B770EA" w:rsidP="00B770EA">
            <w:pPr>
              <w:pStyle w:val="naisc"/>
              <w:spacing w:before="0" w:after="0"/>
            </w:pPr>
            <w:r w:rsidRPr="00712FE5">
              <w:lastRenderedPageBreak/>
              <w:t>4</w:t>
            </w:r>
            <w:r>
              <w:t>5</w:t>
            </w:r>
            <w:r w:rsidRPr="00712FE5">
              <w:t>.</w:t>
            </w:r>
          </w:p>
        </w:tc>
        <w:tc>
          <w:tcPr>
            <w:tcW w:w="3086" w:type="dxa"/>
            <w:gridSpan w:val="2"/>
            <w:tcBorders>
              <w:left w:val="single" w:sz="6" w:space="0" w:color="000000"/>
              <w:bottom w:val="single" w:sz="4" w:space="0" w:color="auto"/>
              <w:right w:val="single" w:sz="6" w:space="0" w:color="000000"/>
            </w:tcBorders>
          </w:tcPr>
          <w:p w14:paraId="5341F873" w14:textId="77777777" w:rsidR="00B770EA" w:rsidRPr="00712FE5" w:rsidRDefault="00B770EA" w:rsidP="00B770EA">
            <w:pPr>
              <w:pStyle w:val="naisc"/>
              <w:spacing w:before="0" w:after="0"/>
              <w:jc w:val="both"/>
            </w:pPr>
            <w:r w:rsidRPr="00712FE5">
              <w:t>Anotācijas V sadaļa</w:t>
            </w:r>
          </w:p>
        </w:tc>
        <w:tc>
          <w:tcPr>
            <w:tcW w:w="4394" w:type="dxa"/>
            <w:tcBorders>
              <w:left w:val="single" w:sz="6" w:space="0" w:color="000000"/>
              <w:bottom w:val="single" w:sz="4" w:space="0" w:color="auto"/>
              <w:right w:val="single" w:sz="6" w:space="0" w:color="000000"/>
            </w:tcBorders>
          </w:tcPr>
          <w:p w14:paraId="24E535EF" w14:textId="77777777" w:rsidR="00B770EA" w:rsidRPr="00712FE5" w:rsidRDefault="00B770EA" w:rsidP="00B770EA">
            <w:pPr>
              <w:pStyle w:val="naisc"/>
              <w:spacing w:before="0" w:after="0"/>
              <w:jc w:val="both"/>
              <w:rPr>
                <w:b/>
                <w:bCs/>
              </w:rPr>
            </w:pPr>
            <w:r w:rsidRPr="00712FE5">
              <w:rPr>
                <w:b/>
                <w:bCs/>
              </w:rPr>
              <w:t>Tieslietu ministrija</w:t>
            </w:r>
          </w:p>
          <w:p w14:paraId="0852E9B8" w14:textId="77777777" w:rsidR="00B770EA" w:rsidRPr="00712FE5" w:rsidRDefault="00B770EA" w:rsidP="00B770EA">
            <w:pPr>
              <w:pStyle w:val="naisc"/>
              <w:spacing w:before="0" w:after="0"/>
              <w:jc w:val="both"/>
            </w:pPr>
            <w:r w:rsidRPr="00712FE5">
              <w:t>Vēršam uzmanību, ka nepieciešams, izvērtēt, vai direktīvā Nr. 2018/844 ir paredzēta rīcības brīvība (sk., piem., noteikumu projekta 15. punkta sakarā direktīvas Nr. 2018/844 1. panta 5. punktā izteikto Eiropas Parlamenta un Padomes 2010. gada 19. maija Direktīvas 2010/31/ES par ēku energoefektivitāti (turpmāk – direktīva Nr. 2010/31/ES) 8. panta 4. un 6. punktu, direktīvas Nr. 2018/844 1. panta 7. punktā izteikto direktīvas Nr. 2010/31/ES 14. un 15. panta piekto daļu). Attiecīgā gadījumā lūdzam skaidrot rīcības brīvības izmantošanu atbilstoši instrukcijas Nr. 19 56.5. apakšpunktam, norādot konkrētas direktīvas Nr. 2018/844 normas, kas paredz rīcības brīvību, kādā veidā minētā rīcības brīvība ir izmantota noteikumu projektā, un to, kādēļ ir vai nav izmantota direktīvā Nr. 2018/844 paredzētā rīcības brīvība.</w:t>
            </w:r>
          </w:p>
          <w:p w14:paraId="6FDCEDCA" w14:textId="77777777" w:rsidR="00B770EA" w:rsidRPr="00712FE5" w:rsidRDefault="00B770EA" w:rsidP="00B770EA">
            <w:pPr>
              <w:pStyle w:val="naisc"/>
              <w:spacing w:before="0" w:after="0"/>
              <w:jc w:val="both"/>
              <w:rPr>
                <w:b/>
              </w:rPr>
            </w:pPr>
            <w:r w:rsidRPr="00712FE5">
              <w:rPr>
                <w:b/>
              </w:rPr>
              <w:t>Tieslietu ministrija (papildus)</w:t>
            </w:r>
          </w:p>
          <w:p w14:paraId="099B5632" w14:textId="77777777" w:rsidR="00B770EA" w:rsidRPr="00712FE5" w:rsidRDefault="00B770EA" w:rsidP="00B770EA">
            <w:pPr>
              <w:pStyle w:val="NormalWeb"/>
              <w:shd w:val="clear" w:color="auto" w:fill="FFFFFF"/>
              <w:spacing w:before="0" w:beforeAutospacing="0" w:after="0" w:afterAutospacing="0"/>
            </w:pPr>
            <w:r w:rsidRPr="00712FE5">
              <w:rPr>
                <w:bdr w:val="none" w:sz="0" w:space="0" w:color="auto" w:frame="1"/>
              </w:rPr>
              <w:t>Atkārtoti vēršam uzmanību, ka nepieciešams, izvērtēt, vai</w:t>
            </w:r>
            <w:r w:rsidRPr="00712FE5">
              <w:rPr>
                <w:rStyle w:val="apple-converted-space"/>
                <w:bdr w:val="none" w:sz="0" w:space="0" w:color="auto" w:frame="1"/>
              </w:rPr>
              <w:t> </w:t>
            </w:r>
            <w:r w:rsidRPr="00712FE5">
              <w:rPr>
                <w:bdr w:val="none" w:sz="0" w:space="0" w:color="auto" w:frame="1"/>
              </w:rPr>
              <w:t>Eiropas Parlamenta un Padomes 2018. gada 30. maija Direktīvas (ES) 2018/844, ar ko groza Direktīvu 2010/31/ES par ēku energoefektivitāti un Direktīvu 2012/27/ES par energoefektivitāti</w:t>
            </w:r>
            <w:r w:rsidRPr="00712FE5">
              <w:rPr>
                <w:rStyle w:val="apple-converted-space"/>
                <w:bdr w:val="none" w:sz="0" w:space="0" w:color="auto" w:frame="1"/>
              </w:rPr>
              <w:t> </w:t>
            </w:r>
            <w:r w:rsidRPr="00712FE5">
              <w:rPr>
                <w:bdr w:val="none" w:sz="0" w:space="0" w:color="auto" w:frame="1"/>
              </w:rPr>
              <w:t>ir paredzēta rīcības brīvība (sk.,</w:t>
            </w:r>
            <w:r w:rsidRPr="00712FE5">
              <w:rPr>
                <w:rStyle w:val="apple-converted-space"/>
                <w:bdr w:val="none" w:sz="0" w:space="0" w:color="auto" w:frame="1"/>
              </w:rPr>
              <w:t> </w:t>
            </w:r>
            <w:r w:rsidRPr="00712FE5">
              <w:rPr>
                <w:bdr w:val="none" w:sz="0" w:space="0" w:color="auto" w:frame="1"/>
              </w:rPr>
              <w:t xml:space="preserve">direktīvas Nr. 2018/844 1. panta 7. punktā izteikto direktīvas Nr. 2010/31/ES 14. un 15. panta piekto </w:t>
            </w:r>
            <w:r w:rsidRPr="00712FE5">
              <w:rPr>
                <w:bdr w:val="none" w:sz="0" w:space="0" w:color="auto" w:frame="1"/>
              </w:rPr>
              <w:lastRenderedPageBreak/>
              <w:t>daļu). Attiecīgā gadījumā lūdzam skaidrot rīcības brīvības izmantošanu atbilstoši</w:t>
            </w:r>
            <w:r w:rsidRPr="00712FE5">
              <w:rPr>
                <w:rStyle w:val="apple-converted-space"/>
                <w:bdr w:val="none" w:sz="0" w:space="0" w:color="auto" w:frame="1"/>
              </w:rPr>
              <w:t> </w:t>
            </w:r>
            <w:r w:rsidRPr="00712FE5">
              <w:rPr>
                <w:bdr w:val="none" w:sz="0" w:space="0" w:color="auto" w:frame="1"/>
              </w:rPr>
              <w:t>Ministru kabineta 2009. gada 15. decembra instrukcijas Nr. 19 "Tiesību akta projekta sākotnējās ietekmes izvērtēšanas kārtība"</w:t>
            </w:r>
            <w:r w:rsidRPr="00712FE5">
              <w:rPr>
                <w:rStyle w:val="apple-converted-space"/>
                <w:bdr w:val="none" w:sz="0" w:space="0" w:color="auto" w:frame="1"/>
              </w:rPr>
              <w:t> </w:t>
            </w:r>
            <w:r w:rsidRPr="00712FE5">
              <w:rPr>
                <w:bdr w:val="none" w:sz="0" w:space="0" w:color="auto" w:frame="1"/>
              </w:rPr>
              <w:t>56.5. apakšpunktam, norādot konkrētas direktīvas Nr. 2018/844 normas, kas paredz rīcības brīvību, kādā veidā minētā rīcības brīvība ir izmantota noteikumu projektā, un to, kādēļ ir vai nav izmantota direktīvā Nr. 2018/844 paredzētā rīcības brīvība.</w:t>
            </w:r>
          </w:p>
          <w:p w14:paraId="274680BA" w14:textId="77777777" w:rsidR="00B770EA" w:rsidRPr="00712FE5" w:rsidRDefault="00B770EA" w:rsidP="00B770EA">
            <w:pPr>
              <w:pStyle w:val="naisc"/>
              <w:spacing w:before="0" w:after="0"/>
              <w:jc w:val="both"/>
            </w:pPr>
            <w:r w:rsidRPr="00712FE5">
              <w:rPr>
                <w:bdr w:val="none" w:sz="0" w:space="0" w:color="auto" w:frame="1"/>
              </w:rPr>
              <w:t>Papildus lūdzam skaidrojumus par rīcības brīvību ietvert noteikumu projekta anotācijā atbilstoši minētās instrukcijas pielikumam, bet nevis noteikumu projekta anotācija V sadaļas 1. tabulas D ailē.</w:t>
            </w:r>
          </w:p>
        </w:tc>
        <w:tc>
          <w:tcPr>
            <w:tcW w:w="3119" w:type="dxa"/>
            <w:gridSpan w:val="2"/>
            <w:tcBorders>
              <w:left w:val="single" w:sz="6" w:space="0" w:color="000000"/>
              <w:bottom w:val="single" w:sz="4" w:space="0" w:color="auto"/>
              <w:right w:val="single" w:sz="6" w:space="0" w:color="000000"/>
            </w:tcBorders>
          </w:tcPr>
          <w:p w14:paraId="56C51AC3" w14:textId="77777777" w:rsidR="00B770EA" w:rsidRPr="00712FE5" w:rsidRDefault="00B770EA" w:rsidP="00B770EA">
            <w:pPr>
              <w:pStyle w:val="naisc"/>
              <w:spacing w:before="0" w:after="0"/>
              <w:rPr>
                <w:b/>
              </w:rPr>
            </w:pPr>
            <w:r w:rsidRPr="00712FE5">
              <w:rPr>
                <w:b/>
              </w:rPr>
              <w:lastRenderedPageBreak/>
              <w:t>Ņemts vērā.</w:t>
            </w:r>
          </w:p>
          <w:p w14:paraId="62A097B5" w14:textId="77777777" w:rsidR="00B770EA" w:rsidRPr="00712FE5" w:rsidRDefault="00B770EA" w:rsidP="00B770EA">
            <w:pPr>
              <w:pStyle w:val="naisc"/>
              <w:spacing w:before="0" w:after="0"/>
              <w:jc w:val="both"/>
            </w:pPr>
          </w:p>
        </w:tc>
        <w:tc>
          <w:tcPr>
            <w:tcW w:w="3118" w:type="dxa"/>
            <w:tcBorders>
              <w:top w:val="single" w:sz="4" w:space="0" w:color="auto"/>
              <w:left w:val="single" w:sz="4" w:space="0" w:color="auto"/>
              <w:bottom w:val="single" w:sz="4" w:space="0" w:color="auto"/>
            </w:tcBorders>
          </w:tcPr>
          <w:p w14:paraId="45E8F809" w14:textId="77777777" w:rsidR="00B770EA" w:rsidRPr="00712FE5" w:rsidRDefault="00B770EA" w:rsidP="00B770EA">
            <w:pPr>
              <w:pStyle w:val="naisc"/>
              <w:spacing w:before="0" w:after="0"/>
              <w:jc w:val="left"/>
            </w:pPr>
            <w:r w:rsidRPr="00712FE5">
              <w:t>Anotācijas V sadaļa precizēta.</w:t>
            </w:r>
          </w:p>
        </w:tc>
      </w:tr>
      <w:tr w:rsidR="00B770EA" w:rsidRPr="00712FE5" w14:paraId="1D6158AF" w14:textId="77777777" w:rsidTr="00F10DF3">
        <w:tc>
          <w:tcPr>
            <w:tcW w:w="708" w:type="dxa"/>
            <w:tcBorders>
              <w:left w:val="single" w:sz="6" w:space="0" w:color="000000"/>
              <w:bottom w:val="single" w:sz="4" w:space="0" w:color="auto"/>
              <w:right w:val="single" w:sz="6" w:space="0" w:color="000000"/>
            </w:tcBorders>
          </w:tcPr>
          <w:p w14:paraId="74195680" w14:textId="1B8619AE" w:rsidR="00B770EA" w:rsidRPr="00712FE5" w:rsidRDefault="00B770EA" w:rsidP="00B770EA">
            <w:pPr>
              <w:pStyle w:val="naisc"/>
              <w:spacing w:before="0" w:after="0"/>
            </w:pPr>
            <w:r w:rsidRPr="00712FE5">
              <w:t>4</w:t>
            </w:r>
            <w:r>
              <w:t>6</w:t>
            </w:r>
            <w:r w:rsidRPr="00712FE5">
              <w:t>.</w:t>
            </w:r>
          </w:p>
        </w:tc>
        <w:tc>
          <w:tcPr>
            <w:tcW w:w="3086" w:type="dxa"/>
            <w:gridSpan w:val="2"/>
            <w:tcBorders>
              <w:left w:val="single" w:sz="6" w:space="0" w:color="000000"/>
              <w:bottom w:val="single" w:sz="4" w:space="0" w:color="auto"/>
              <w:right w:val="single" w:sz="6" w:space="0" w:color="000000"/>
            </w:tcBorders>
          </w:tcPr>
          <w:p w14:paraId="0B18527B" w14:textId="77777777" w:rsidR="00B770EA" w:rsidRPr="00712FE5" w:rsidRDefault="00B770EA" w:rsidP="00B770EA">
            <w:pPr>
              <w:pStyle w:val="naisc"/>
              <w:spacing w:before="0" w:after="0"/>
              <w:jc w:val="both"/>
            </w:pPr>
            <w:r w:rsidRPr="00712FE5">
              <w:t>Anotācijas VII sadaļas 1. punkts</w:t>
            </w:r>
          </w:p>
        </w:tc>
        <w:tc>
          <w:tcPr>
            <w:tcW w:w="4394" w:type="dxa"/>
            <w:tcBorders>
              <w:left w:val="single" w:sz="6" w:space="0" w:color="000000"/>
              <w:bottom w:val="single" w:sz="4" w:space="0" w:color="auto"/>
              <w:right w:val="single" w:sz="6" w:space="0" w:color="000000"/>
            </w:tcBorders>
          </w:tcPr>
          <w:p w14:paraId="3F20F467" w14:textId="77777777" w:rsidR="00B770EA" w:rsidRPr="00712FE5" w:rsidRDefault="00B770EA" w:rsidP="00B770EA">
            <w:pPr>
              <w:pStyle w:val="naisc"/>
              <w:spacing w:before="0" w:after="0"/>
              <w:jc w:val="both"/>
              <w:rPr>
                <w:b/>
                <w:bCs/>
              </w:rPr>
            </w:pPr>
            <w:r w:rsidRPr="00712FE5">
              <w:rPr>
                <w:b/>
                <w:bCs/>
              </w:rPr>
              <w:t>Latvijas Lielo pilsētu asociācija</w:t>
            </w:r>
          </w:p>
          <w:p w14:paraId="6E4CE457" w14:textId="77777777" w:rsidR="00B770EA" w:rsidRPr="00712FE5" w:rsidRDefault="00B770EA" w:rsidP="00B770EA">
            <w:pPr>
              <w:pStyle w:val="naisc"/>
              <w:spacing w:before="0" w:after="0"/>
              <w:jc w:val="both"/>
            </w:pPr>
            <w:r w:rsidRPr="00712FE5">
              <w:t>Noteikumu projekta anotācijā ir norādīts, ka projekta izpildē iesaistītās institūcijas ir pašvaldību būvvaldes, taču noteikumu projektā par to nekas nav minēts. Lūdzam skaidrot, vai vispār ir paredzēta būvvalžu iesaiste un ja ir, tad kāda tā būs.</w:t>
            </w:r>
          </w:p>
          <w:p w14:paraId="16E0BE0B" w14:textId="77777777" w:rsidR="00B770EA" w:rsidRPr="00712FE5" w:rsidRDefault="00B770EA" w:rsidP="00B770EA">
            <w:pPr>
              <w:pStyle w:val="naisc"/>
              <w:spacing w:before="0" w:after="0"/>
              <w:jc w:val="left"/>
            </w:pPr>
            <w:r w:rsidRPr="00712FE5">
              <w:rPr>
                <w:b/>
                <w:bCs/>
              </w:rPr>
              <w:t>Latvijas Lielo pilsētu asociācija (papildus)</w:t>
            </w:r>
          </w:p>
          <w:p w14:paraId="46E756C8" w14:textId="77777777" w:rsidR="00B770EA" w:rsidRPr="00712FE5" w:rsidRDefault="00B770EA" w:rsidP="00B770EA">
            <w:pPr>
              <w:pStyle w:val="naisc"/>
              <w:spacing w:before="0" w:after="0"/>
              <w:jc w:val="both"/>
            </w:pPr>
            <w:r w:rsidRPr="00712FE5">
              <w:t>Izziņā paustais viedoklis, secīgi arī anotācijā norādītais, par būvvaldes iesaisti šo noteikumu prasību izpildes nodrošināšanu neatbilst Ekonomikas ministrijas izstrādātājam likumprojektam “</w:t>
            </w:r>
            <w:r w:rsidRPr="00712FE5">
              <w:rPr>
                <w:i/>
                <w:iCs/>
              </w:rPr>
              <w:t>Grozījumu Būvniecības likumā</w:t>
            </w:r>
            <w:r w:rsidRPr="00712FE5">
              <w:t xml:space="preserve">” (VSS-698, Nr. 574/Lp13), ar kuriem precizēta </w:t>
            </w:r>
            <w:r w:rsidRPr="00712FE5">
              <w:lastRenderedPageBreak/>
              <w:t>būvvaldes kompetence. Vienlaikus norādāms, ka jau šobrīd Būvniecības likuma 19. pants nosaka būvniecības dalībnieku pienākumu nodrošināt būvniecības normatīvo tiesību aktu prasību izpildi.</w:t>
            </w:r>
          </w:p>
        </w:tc>
        <w:tc>
          <w:tcPr>
            <w:tcW w:w="3119" w:type="dxa"/>
            <w:gridSpan w:val="2"/>
            <w:tcBorders>
              <w:left w:val="single" w:sz="6" w:space="0" w:color="000000"/>
              <w:bottom w:val="single" w:sz="4" w:space="0" w:color="auto"/>
              <w:right w:val="single" w:sz="6" w:space="0" w:color="000000"/>
            </w:tcBorders>
          </w:tcPr>
          <w:p w14:paraId="33F905A2" w14:textId="77777777" w:rsidR="00B770EA" w:rsidRPr="00712FE5" w:rsidRDefault="00B770EA" w:rsidP="00B770EA">
            <w:pPr>
              <w:pStyle w:val="naisc"/>
              <w:spacing w:before="0" w:after="0"/>
              <w:rPr>
                <w:b/>
              </w:rPr>
            </w:pPr>
            <w:r w:rsidRPr="00712FE5">
              <w:rPr>
                <w:b/>
              </w:rPr>
              <w:lastRenderedPageBreak/>
              <w:t>Ņemts vērā.</w:t>
            </w:r>
          </w:p>
          <w:p w14:paraId="7359DC8F" w14:textId="77777777" w:rsidR="00B770EA" w:rsidRPr="00712FE5" w:rsidRDefault="00B770EA" w:rsidP="00B770EA">
            <w:pPr>
              <w:pStyle w:val="naisc"/>
              <w:spacing w:before="0" w:after="0"/>
              <w:jc w:val="both"/>
            </w:pPr>
            <w:r w:rsidRPr="00712FE5">
              <w:t xml:space="preserve">Būvniecību kontrolējošo institūciju iesaiste tiesību akta izpildē netiek paredzēta. Institūcijas iesaiste notiks būvniecības procesa ietvaros (piemēram, inženiertehnisko sistēmu, </w:t>
            </w:r>
            <w:proofErr w:type="spellStart"/>
            <w:r w:rsidRPr="00712FE5">
              <w:t>elektrotransportlīdzekļu</w:t>
            </w:r>
            <w:proofErr w:type="spellEnd"/>
            <w:r w:rsidRPr="00712FE5">
              <w:t xml:space="preserve"> uzlādes punktu ierīkošana) atbilstoši būvniecību regulējošajiem normatīvajiem aktiem, vienlaikus nepārsniedzot normatīvajos aktos noteikto institūcijas kompetenci.</w:t>
            </w:r>
          </w:p>
        </w:tc>
        <w:tc>
          <w:tcPr>
            <w:tcW w:w="3118" w:type="dxa"/>
            <w:tcBorders>
              <w:top w:val="single" w:sz="4" w:space="0" w:color="auto"/>
              <w:left w:val="single" w:sz="4" w:space="0" w:color="auto"/>
              <w:bottom w:val="single" w:sz="4" w:space="0" w:color="auto"/>
            </w:tcBorders>
          </w:tcPr>
          <w:p w14:paraId="03E972B7" w14:textId="77777777" w:rsidR="00B770EA" w:rsidRDefault="00B770EA" w:rsidP="00B770EA">
            <w:pPr>
              <w:pStyle w:val="naisc"/>
              <w:spacing w:before="0" w:after="0"/>
              <w:jc w:val="both"/>
            </w:pPr>
            <w:r w:rsidRPr="00712FE5">
              <w:t>Anotācijas VII sadaļas 1. punkts precizēts.</w:t>
            </w:r>
          </w:p>
          <w:p w14:paraId="68D8B665" w14:textId="77777777" w:rsidR="00B770EA" w:rsidRDefault="00B770EA" w:rsidP="00B770EA">
            <w:pPr>
              <w:pStyle w:val="naisc"/>
              <w:spacing w:before="0" w:after="0"/>
              <w:jc w:val="both"/>
            </w:pPr>
          </w:p>
          <w:p w14:paraId="596F4971" w14:textId="7A2AF55F" w:rsidR="00B770EA" w:rsidRPr="00712FE5" w:rsidRDefault="00B770EA" w:rsidP="00B770EA">
            <w:pPr>
              <w:pStyle w:val="naisc"/>
              <w:spacing w:before="0" w:after="0"/>
              <w:jc w:val="both"/>
            </w:pPr>
            <w:r>
              <w:t>Papildus iekļauts skaidrojums anotācijas VII sadaļas 3. punktā.</w:t>
            </w:r>
          </w:p>
        </w:tc>
      </w:tr>
      <w:tr w:rsidR="00B770EA" w:rsidRPr="00712FE5" w14:paraId="0C14C6FA" w14:textId="77777777" w:rsidTr="00F10DF3">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14:paraId="3A93E2E1" w14:textId="77777777" w:rsidR="00B770EA" w:rsidRPr="00712FE5" w:rsidRDefault="00B770EA" w:rsidP="00B770EA">
            <w:pPr>
              <w:pStyle w:val="naiskr"/>
              <w:spacing w:before="0" w:after="0"/>
              <w:jc w:val="center"/>
            </w:pPr>
          </w:p>
          <w:p w14:paraId="56739925" w14:textId="77777777" w:rsidR="00B770EA" w:rsidRPr="00712FE5" w:rsidRDefault="00B770EA" w:rsidP="00B770EA">
            <w:pPr>
              <w:pStyle w:val="naiskr"/>
              <w:spacing w:before="0" w:after="0"/>
              <w:jc w:val="center"/>
            </w:pPr>
            <w:r w:rsidRPr="00712FE5">
              <w:t>Atbildīgā amatpersona</w:t>
            </w:r>
          </w:p>
        </w:tc>
        <w:tc>
          <w:tcPr>
            <w:tcW w:w="6179" w:type="dxa"/>
            <w:gridSpan w:val="3"/>
          </w:tcPr>
          <w:p w14:paraId="2BC6FE41" w14:textId="77777777" w:rsidR="00B770EA" w:rsidRPr="00712FE5" w:rsidRDefault="00B770EA" w:rsidP="00B770EA">
            <w:pPr>
              <w:pStyle w:val="naiskr"/>
              <w:spacing w:before="0" w:after="0"/>
              <w:jc w:val="center"/>
            </w:pPr>
          </w:p>
        </w:tc>
      </w:tr>
      <w:tr w:rsidR="00B770EA" w:rsidRPr="00712FE5" w14:paraId="78C63208" w14:textId="77777777" w:rsidTr="00F10DF3">
        <w:tblPrEx>
          <w:tblBorders>
            <w:top w:val="none" w:sz="0" w:space="0" w:color="auto"/>
            <w:left w:val="none" w:sz="0" w:space="0" w:color="auto"/>
            <w:bottom w:val="none" w:sz="0" w:space="0" w:color="auto"/>
            <w:right w:val="none" w:sz="0" w:space="0" w:color="auto"/>
          </w:tblBorders>
        </w:tblPrEx>
        <w:trPr>
          <w:gridAfter w:val="2"/>
          <w:wAfter w:w="5138" w:type="dxa"/>
        </w:trPr>
        <w:tc>
          <w:tcPr>
            <w:tcW w:w="3108" w:type="dxa"/>
            <w:gridSpan w:val="2"/>
          </w:tcPr>
          <w:p w14:paraId="1422239D" w14:textId="77777777" w:rsidR="00B770EA" w:rsidRPr="00712FE5" w:rsidRDefault="00B770EA" w:rsidP="00B770EA">
            <w:pPr>
              <w:pStyle w:val="naiskr"/>
              <w:spacing w:before="0" w:after="0"/>
              <w:jc w:val="center"/>
            </w:pPr>
          </w:p>
        </w:tc>
        <w:tc>
          <w:tcPr>
            <w:tcW w:w="6179" w:type="dxa"/>
            <w:gridSpan w:val="3"/>
            <w:tcBorders>
              <w:top w:val="single" w:sz="6" w:space="0" w:color="000000"/>
            </w:tcBorders>
          </w:tcPr>
          <w:p w14:paraId="7CBCF9C0" w14:textId="77777777" w:rsidR="00B770EA" w:rsidRPr="00712FE5" w:rsidRDefault="00B770EA" w:rsidP="00B770EA">
            <w:pPr>
              <w:pStyle w:val="naisc"/>
              <w:spacing w:before="0" w:after="0"/>
            </w:pPr>
            <w:r w:rsidRPr="00712FE5">
              <w:t>(paraksts*)</w:t>
            </w:r>
          </w:p>
        </w:tc>
      </w:tr>
    </w:tbl>
    <w:p w14:paraId="667A63B3" w14:textId="77777777" w:rsidR="007116C7" w:rsidRPr="00712FE5" w:rsidRDefault="007116C7" w:rsidP="00DB7395">
      <w:pPr>
        <w:pStyle w:val="naisf"/>
        <w:spacing w:before="0" w:after="0"/>
        <w:ind w:firstLine="720"/>
      </w:pPr>
    </w:p>
    <w:p w14:paraId="004FC18B" w14:textId="77777777" w:rsidR="00317DC7" w:rsidRPr="00712FE5" w:rsidRDefault="00184479" w:rsidP="00DB7395">
      <w:pPr>
        <w:pStyle w:val="naisf"/>
        <w:spacing w:before="0" w:after="0"/>
        <w:ind w:firstLine="720"/>
      </w:pPr>
      <w:r w:rsidRPr="00712FE5">
        <w:t>Piezīme.</w:t>
      </w:r>
      <w:r w:rsidR="00767BF3" w:rsidRPr="00712FE5">
        <w:t> </w:t>
      </w:r>
      <w:r w:rsidR="00FB6C91" w:rsidRPr="00712FE5">
        <w:t>*</w:t>
      </w:r>
      <w:r w:rsidR="00767BF3" w:rsidRPr="00712FE5">
        <w:t> </w:t>
      </w:r>
      <w:r w:rsidR="00317DC7" w:rsidRPr="00712FE5">
        <w:t xml:space="preserve">Dokumenta rekvizītu </w:t>
      </w:r>
      <w:r w:rsidR="00364BB6" w:rsidRPr="00712FE5">
        <w:t>"</w:t>
      </w:r>
      <w:r w:rsidR="0018210A" w:rsidRPr="00712FE5">
        <w:t>p</w:t>
      </w:r>
      <w:r w:rsidR="00317DC7" w:rsidRPr="00712FE5">
        <w:t>araksts</w:t>
      </w:r>
      <w:r w:rsidR="00364BB6" w:rsidRPr="00712FE5">
        <w:t>"</w:t>
      </w:r>
      <w:r w:rsidR="00317DC7" w:rsidRPr="00712FE5">
        <w:t xml:space="preserve"> neaizpilda, ja elektroniskais dokuments ir </w:t>
      </w:r>
      <w:r w:rsidRPr="00712FE5">
        <w:t>sagatavots</w:t>
      </w:r>
      <w:r w:rsidR="00317DC7" w:rsidRPr="00712FE5">
        <w:t xml:space="preserve"> atbilstoši </w:t>
      </w:r>
      <w:r w:rsidRPr="00712FE5">
        <w:t xml:space="preserve">normatīvajiem aktiem par </w:t>
      </w:r>
      <w:r w:rsidR="00317DC7" w:rsidRPr="00712FE5">
        <w:t>elektronisko dokumentu noformēšan</w:t>
      </w:r>
      <w:r w:rsidRPr="00712FE5">
        <w:t>u.</w:t>
      </w:r>
    </w:p>
    <w:p w14:paraId="0EC09A1C" w14:textId="77777777" w:rsidR="008B1E63" w:rsidRPr="00712FE5" w:rsidRDefault="008B1E63" w:rsidP="00DB7395">
      <w:pPr>
        <w:pStyle w:val="naisf"/>
        <w:spacing w:before="0" w:after="0"/>
        <w:ind w:firstLine="720"/>
      </w:pPr>
    </w:p>
    <w:tbl>
      <w:tblPr>
        <w:tblW w:w="0" w:type="auto"/>
        <w:tblLook w:val="00A0" w:firstRow="1" w:lastRow="0" w:firstColumn="1" w:lastColumn="0" w:noHBand="0" w:noVBand="0"/>
      </w:tblPr>
      <w:tblGrid>
        <w:gridCol w:w="8268"/>
      </w:tblGrid>
      <w:tr w:rsidR="00712FE5" w:rsidRPr="00712FE5" w14:paraId="21C6FD9A" w14:textId="77777777" w:rsidTr="008B1E63">
        <w:trPr>
          <w:trHeight w:val="284"/>
        </w:trPr>
        <w:tc>
          <w:tcPr>
            <w:tcW w:w="8268" w:type="dxa"/>
            <w:tcBorders>
              <w:bottom w:val="single" w:sz="4" w:space="0" w:color="000000"/>
            </w:tcBorders>
          </w:tcPr>
          <w:p w14:paraId="0DE4E8E3" w14:textId="082833DF" w:rsidR="008B1E63" w:rsidRPr="00712FE5" w:rsidRDefault="002B12B4" w:rsidP="008B1E63">
            <w:pPr>
              <w:jc w:val="center"/>
            </w:pPr>
            <w:r w:rsidRPr="00712FE5">
              <w:t>Ieva Kārkliņa</w:t>
            </w:r>
          </w:p>
        </w:tc>
      </w:tr>
      <w:tr w:rsidR="00712FE5" w:rsidRPr="00712FE5" w14:paraId="79BF0107" w14:textId="77777777" w:rsidTr="008B1E63">
        <w:trPr>
          <w:trHeight w:val="284"/>
        </w:trPr>
        <w:tc>
          <w:tcPr>
            <w:tcW w:w="8268" w:type="dxa"/>
            <w:tcBorders>
              <w:top w:val="single" w:sz="4" w:space="0" w:color="000000"/>
            </w:tcBorders>
          </w:tcPr>
          <w:p w14:paraId="69FBBE43" w14:textId="77777777" w:rsidR="008B1E63" w:rsidRPr="00712FE5" w:rsidRDefault="008B1E63" w:rsidP="008B1E63">
            <w:pPr>
              <w:jc w:val="center"/>
              <w:rPr>
                <w:sz w:val="20"/>
                <w:szCs w:val="20"/>
              </w:rPr>
            </w:pPr>
            <w:r w:rsidRPr="00712FE5">
              <w:rPr>
                <w:sz w:val="20"/>
                <w:szCs w:val="20"/>
              </w:rPr>
              <w:t>(par projektu atbildīgās amatpersonas vārds un uzvārds)</w:t>
            </w:r>
          </w:p>
        </w:tc>
      </w:tr>
      <w:tr w:rsidR="00712FE5" w:rsidRPr="00712FE5" w14:paraId="5FD489B7" w14:textId="77777777" w:rsidTr="008B1E63">
        <w:trPr>
          <w:trHeight w:val="284"/>
        </w:trPr>
        <w:tc>
          <w:tcPr>
            <w:tcW w:w="8268" w:type="dxa"/>
            <w:tcBorders>
              <w:bottom w:val="single" w:sz="4" w:space="0" w:color="000000"/>
            </w:tcBorders>
          </w:tcPr>
          <w:p w14:paraId="2F9770F1" w14:textId="77777777" w:rsidR="008B1E63" w:rsidRPr="00712FE5" w:rsidRDefault="008B1E63" w:rsidP="008B1E63">
            <w:pPr>
              <w:jc w:val="center"/>
            </w:pPr>
            <w:r w:rsidRPr="00712FE5">
              <w:t>Mājokļu politikas departamenta vecākā referente</w:t>
            </w:r>
          </w:p>
        </w:tc>
      </w:tr>
      <w:tr w:rsidR="00712FE5" w:rsidRPr="00712FE5" w14:paraId="561101B0" w14:textId="77777777" w:rsidTr="008B1E63">
        <w:trPr>
          <w:trHeight w:val="284"/>
        </w:trPr>
        <w:tc>
          <w:tcPr>
            <w:tcW w:w="8268" w:type="dxa"/>
            <w:tcBorders>
              <w:top w:val="single" w:sz="4" w:space="0" w:color="000000"/>
            </w:tcBorders>
          </w:tcPr>
          <w:p w14:paraId="77B42C36" w14:textId="77777777" w:rsidR="008B1E63" w:rsidRPr="00712FE5" w:rsidRDefault="008B1E63" w:rsidP="008B1E63">
            <w:pPr>
              <w:jc w:val="center"/>
              <w:rPr>
                <w:sz w:val="20"/>
                <w:szCs w:val="20"/>
              </w:rPr>
            </w:pPr>
            <w:r w:rsidRPr="00712FE5">
              <w:rPr>
                <w:sz w:val="20"/>
                <w:szCs w:val="20"/>
              </w:rPr>
              <w:t>(amats)</w:t>
            </w:r>
          </w:p>
        </w:tc>
      </w:tr>
      <w:tr w:rsidR="00712FE5" w:rsidRPr="00712FE5" w14:paraId="29FFED17" w14:textId="77777777" w:rsidTr="008B1E63">
        <w:trPr>
          <w:trHeight w:val="284"/>
        </w:trPr>
        <w:tc>
          <w:tcPr>
            <w:tcW w:w="8268" w:type="dxa"/>
            <w:tcBorders>
              <w:bottom w:val="single" w:sz="4" w:space="0" w:color="000000"/>
            </w:tcBorders>
          </w:tcPr>
          <w:p w14:paraId="657A9055" w14:textId="0A01AB39" w:rsidR="008B1E63" w:rsidRPr="00712FE5" w:rsidRDefault="008B1E63" w:rsidP="008B1E63">
            <w:pPr>
              <w:jc w:val="center"/>
            </w:pPr>
            <w:r w:rsidRPr="00712FE5">
              <w:t>Tālr. 67013</w:t>
            </w:r>
            <w:r w:rsidR="002B12B4" w:rsidRPr="00712FE5">
              <w:t>214</w:t>
            </w:r>
            <w:r w:rsidRPr="00712FE5">
              <w:t>, Fakss 67280882</w:t>
            </w:r>
          </w:p>
        </w:tc>
      </w:tr>
      <w:tr w:rsidR="00712FE5" w:rsidRPr="00712FE5" w14:paraId="15BFB40D" w14:textId="77777777" w:rsidTr="008B1E63">
        <w:trPr>
          <w:trHeight w:val="284"/>
        </w:trPr>
        <w:tc>
          <w:tcPr>
            <w:tcW w:w="8268" w:type="dxa"/>
            <w:tcBorders>
              <w:top w:val="single" w:sz="4" w:space="0" w:color="000000"/>
            </w:tcBorders>
          </w:tcPr>
          <w:p w14:paraId="5A374786" w14:textId="77777777" w:rsidR="008B1E63" w:rsidRPr="00712FE5" w:rsidRDefault="008B1E63" w:rsidP="008B1E63">
            <w:pPr>
              <w:jc w:val="center"/>
              <w:rPr>
                <w:sz w:val="20"/>
                <w:szCs w:val="20"/>
              </w:rPr>
            </w:pPr>
            <w:r w:rsidRPr="00712FE5">
              <w:rPr>
                <w:sz w:val="20"/>
                <w:szCs w:val="20"/>
              </w:rPr>
              <w:t>(tālruņa un faksa numurs)</w:t>
            </w:r>
          </w:p>
        </w:tc>
      </w:tr>
      <w:tr w:rsidR="00712FE5" w:rsidRPr="00712FE5" w14:paraId="067B3549" w14:textId="77777777" w:rsidTr="008B1E63">
        <w:trPr>
          <w:trHeight w:val="284"/>
        </w:trPr>
        <w:tc>
          <w:tcPr>
            <w:tcW w:w="8268" w:type="dxa"/>
            <w:tcBorders>
              <w:bottom w:val="single" w:sz="4" w:space="0" w:color="000000"/>
            </w:tcBorders>
          </w:tcPr>
          <w:p w14:paraId="766B1E6D" w14:textId="5B412803" w:rsidR="008B1E63" w:rsidRPr="00712FE5" w:rsidRDefault="002B12B4" w:rsidP="008B1E63">
            <w:pPr>
              <w:jc w:val="center"/>
            </w:pPr>
            <w:r w:rsidRPr="00712FE5">
              <w:t>Ieva.karklina</w:t>
            </w:r>
            <w:r w:rsidR="008B1E63" w:rsidRPr="00712FE5">
              <w:t>@em.gov.lv</w:t>
            </w:r>
          </w:p>
        </w:tc>
      </w:tr>
      <w:tr w:rsidR="008B1E63" w:rsidRPr="00712FE5" w14:paraId="0CC1DD59" w14:textId="77777777" w:rsidTr="008B1E63">
        <w:trPr>
          <w:trHeight w:val="284"/>
        </w:trPr>
        <w:tc>
          <w:tcPr>
            <w:tcW w:w="8268" w:type="dxa"/>
            <w:tcBorders>
              <w:top w:val="single" w:sz="4" w:space="0" w:color="000000"/>
            </w:tcBorders>
          </w:tcPr>
          <w:p w14:paraId="3FB7E465" w14:textId="77777777" w:rsidR="008B1E63" w:rsidRPr="00712FE5" w:rsidRDefault="008B1E63" w:rsidP="008B1E63">
            <w:pPr>
              <w:jc w:val="center"/>
              <w:rPr>
                <w:sz w:val="20"/>
                <w:szCs w:val="20"/>
              </w:rPr>
            </w:pPr>
            <w:r w:rsidRPr="00712FE5">
              <w:rPr>
                <w:sz w:val="20"/>
                <w:szCs w:val="20"/>
              </w:rPr>
              <w:t>(e-pasta adrese)</w:t>
            </w:r>
          </w:p>
        </w:tc>
      </w:tr>
    </w:tbl>
    <w:p w14:paraId="04554CF8" w14:textId="77777777" w:rsidR="007116C7" w:rsidRPr="00712FE5" w:rsidRDefault="007116C7" w:rsidP="00507795">
      <w:pPr>
        <w:pStyle w:val="naisf"/>
        <w:spacing w:before="0" w:after="0"/>
        <w:ind w:firstLine="0"/>
      </w:pPr>
    </w:p>
    <w:sectPr w:rsidR="007116C7" w:rsidRPr="00712FE5" w:rsidSect="00364BB6">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AB06D" w14:textId="77777777" w:rsidR="00F56801" w:rsidRDefault="00F56801">
      <w:r>
        <w:separator/>
      </w:r>
    </w:p>
  </w:endnote>
  <w:endnote w:type="continuationSeparator" w:id="0">
    <w:p w14:paraId="5FBF5685" w14:textId="77777777" w:rsidR="00F56801" w:rsidRDefault="00F5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4DB9" w14:textId="77777777" w:rsidR="00F56801" w:rsidRDefault="00F56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AC9C" w14:textId="21C72ADD" w:rsidR="00F56801" w:rsidRPr="005D1A52" w:rsidRDefault="00F56801" w:rsidP="005D1A52">
    <w:pPr>
      <w:pStyle w:val="Footer"/>
      <w:rPr>
        <w:sz w:val="20"/>
        <w:szCs w:val="20"/>
      </w:rPr>
    </w:pPr>
    <w:r>
      <w:rPr>
        <w:sz w:val="20"/>
        <w:szCs w:val="20"/>
      </w:rPr>
      <w:t>EMI</w:t>
    </w:r>
    <w:r w:rsidRPr="00015C84">
      <w:rPr>
        <w:sz w:val="20"/>
        <w:szCs w:val="20"/>
      </w:rPr>
      <w:t>zz_</w:t>
    </w:r>
    <w:r>
      <w:rPr>
        <w:sz w:val="20"/>
        <w:szCs w:val="20"/>
      </w:rPr>
      <w:t>04062</w:t>
    </w:r>
    <w:r w:rsidRPr="00015C84">
      <w:rPr>
        <w:sz w:val="20"/>
        <w:szCs w:val="20"/>
      </w:rPr>
      <w:t>0</w:t>
    </w:r>
    <w:r>
      <w:rPr>
        <w:sz w:val="20"/>
        <w:szCs w:val="20"/>
      </w:rPr>
      <w:t>_min_prasibas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B4372" w14:textId="1392C2AB" w:rsidR="00F56801" w:rsidRPr="00015C84" w:rsidRDefault="00F56801" w:rsidP="00364BB6">
    <w:pPr>
      <w:pStyle w:val="Footer"/>
      <w:rPr>
        <w:sz w:val="20"/>
        <w:szCs w:val="20"/>
      </w:rPr>
    </w:pPr>
    <w:r>
      <w:rPr>
        <w:sz w:val="20"/>
        <w:szCs w:val="20"/>
      </w:rPr>
      <w:t>EMI</w:t>
    </w:r>
    <w:r w:rsidRPr="00015C84">
      <w:rPr>
        <w:sz w:val="20"/>
        <w:szCs w:val="20"/>
      </w:rPr>
      <w:t>zz</w:t>
    </w:r>
    <w:r w:rsidRPr="00F436C8">
      <w:rPr>
        <w:sz w:val="20"/>
        <w:szCs w:val="20"/>
      </w:rPr>
      <w:t>_</w:t>
    </w:r>
    <w:r>
      <w:rPr>
        <w:sz w:val="20"/>
        <w:szCs w:val="20"/>
      </w:rPr>
      <w:t>0406</w:t>
    </w:r>
    <w:r w:rsidRPr="00F436C8">
      <w:rPr>
        <w:sz w:val="20"/>
        <w:szCs w:val="20"/>
      </w:rPr>
      <w:t>20</w:t>
    </w:r>
    <w:r w:rsidRPr="00015C84">
      <w:rPr>
        <w:sz w:val="20"/>
        <w:szCs w:val="20"/>
      </w:rPr>
      <w:t>_</w:t>
    </w:r>
    <w:r>
      <w:rPr>
        <w:sz w:val="20"/>
        <w:szCs w:val="20"/>
      </w:rPr>
      <w:t>min_prasibas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06458" w14:textId="77777777" w:rsidR="00F56801" w:rsidRDefault="00F56801">
      <w:r>
        <w:separator/>
      </w:r>
    </w:p>
  </w:footnote>
  <w:footnote w:type="continuationSeparator" w:id="0">
    <w:p w14:paraId="0BC33218" w14:textId="77777777" w:rsidR="00F56801" w:rsidRDefault="00F56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16D7" w14:textId="77777777" w:rsidR="00F56801" w:rsidRDefault="00F5680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EEA7B" w14:textId="77777777" w:rsidR="00F56801" w:rsidRDefault="00F56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734D7" w14:textId="77777777" w:rsidR="00F56801" w:rsidRDefault="00F56801"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noProof/>
      </w:rPr>
      <w:t>1</w:t>
    </w:r>
    <w:r>
      <w:rPr>
        <w:rStyle w:val="PageNumber"/>
      </w:rPr>
      <w:fldChar w:fldCharType="end"/>
    </w:r>
  </w:p>
  <w:p w14:paraId="666301C8" w14:textId="77777777" w:rsidR="00F56801" w:rsidRDefault="00F56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D246" w14:textId="77777777" w:rsidR="00F56801" w:rsidRDefault="00F56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F28F9"/>
    <w:multiLevelType w:val="hybridMultilevel"/>
    <w:tmpl w:val="7534AC40"/>
    <w:lvl w:ilvl="0" w:tplc="6A0A624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EA27F11"/>
    <w:multiLevelType w:val="hybridMultilevel"/>
    <w:tmpl w:val="53F2CFDE"/>
    <w:lvl w:ilvl="0" w:tplc="3C6EAC0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291E3146"/>
    <w:multiLevelType w:val="hybridMultilevel"/>
    <w:tmpl w:val="EAEE5D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B146950"/>
    <w:multiLevelType w:val="hybridMultilevel"/>
    <w:tmpl w:val="F6466ED2"/>
    <w:lvl w:ilvl="0" w:tplc="04260017">
      <w:start w:val="1"/>
      <w:numFmt w:val="lowerLetter"/>
      <w:lvlText w:val="%1)"/>
      <w:lvlJc w:val="left"/>
      <w:pPr>
        <w:ind w:left="1713" w:hanging="360"/>
      </w:pPr>
    </w:lvl>
    <w:lvl w:ilvl="1" w:tplc="04260019">
      <w:start w:val="1"/>
      <w:numFmt w:val="lowerLetter"/>
      <w:lvlText w:val="%2."/>
      <w:lvlJc w:val="left"/>
      <w:pPr>
        <w:ind w:left="2433" w:hanging="360"/>
      </w:pPr>
    </w:lvl>
    <w:lvl w:ilvl="2" w:tplc="0426001B">
      <w:start w:val="1"/>
      <w:numFmt w:val="lowerRoman"/>
      <w:lvlText w:val="%3."/>
      <w:lvlJc w:val="right"/>
      <w:pPr>
        <w:ind w:left="3153" w:hanging="180"/>
      </w:pPr>
    </w:lvl>
    <w:lvl w:ilvl="3" w:tplc="0426000F">
      <w:start w:val="1"/>
      <w:numFmt w:val="decimal"/>
      <w:lvlText w:val="%4."/>
      <w:lvlJc w:val="left"/>
      <w:pPr>
        <w:ind w:left="3873" w:hanging="360"/>
      </w:pPr>
    </w:lvl>
    <w:lvl w:ilvl="4" w:tplc="04260019">
      <w:start w:val="1"/>
      <w:numFmt w:val="lowerLetter"/>
      <w:lvlText w:val="%5."/>
      <w:lvlJc w:val="left"/>
      <w:pPr>
        <w:ind w:left="4593" w:hanging="360"/>
      </w:pPr>
    </w:lvl>
    <w:lvl w:ilvl="5" w:tplc="0426001B">
      <w:start w:val="1"/>
      <w:numFmt w:val="lowerRoman"/>
      <w:lvlText w:val="%6."/>
      <w:lvlJc w:val="right"/>
      <w:pPr>
        <w:ind w:left="5313" w:hanging="180"/>
      </w:pPr>
    </w:lvl>
    <w:lvl w:ilvl="6" w:tplc="0426000F">
      <w:start w:val="1"/>
      <w:numFmt w:val="decimal"/>
      <w:lvlText w:val="%7."/>
      <w:lvlJc w:val="left"/>
      <w:pPr>
        <w:ind w:left="6033" w:hanging="360"/>
      </w:pPr>
    </w:lvl>
    <w:lvl w:ilvl="7" w:tplc="04260019">
      <w:start w:val="1"/>
      <w:numFmt w:val="lowerLetter"/>
      <w:lvlText w:val="%8."/>
      <w:lvlJc w:val="left"/>
      <w:pPr>
        <w:ind w:left="6753" w:hanging="360"/>
      </w:pPr>
    </w:lvl>
    <w:lvl w:ilvl="8" w:tplc="0426001B">
      <w:start w:val="1"/>
      <w:numFmt w:val="lowerRoman"/>
      <w:lvlText w:val="%9."/>
      <w:lvlJc w:val="right"/>
      <w:pPr>
        <w:ind w:left="7473" w:hanging="180"/>
      </w:pPr>
    </w:lvl>
  </w:abstractNum>
  <w:abstractNum w:abstractNumId="6"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75A0BBC"/>
    <w:multiLevelType w:val="hybridMultilevel"/>
    <w:tmpl w:val="876A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4"/>
  </w:num>
  <w:num w:numId="5">
    <w:abstractNumId w:val="3"/>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3C53"/>
    <w:rsid w:val="0000456E"/>
    <w:rsid w:val="000054CA"/>
    <w:rsid w:val="000055EA"/>
    <w:rsid w:val="00006902"/>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6664"/>
    <w:rsid w:val="00016865"/>
    <w:rsid w:val="000172E2"/>
    <w:rsid w:val="00017449"/>
    <w:rsid w:val="00020249"/>
    <w:rsid w:val="00022338"/>
    <w:rsid w:val="0002296A"/>
    <w:rsid w:val="00022B0F"/>
    <w:rsid w:val="00022B9A"/>
    <w:rsid w:val="00023FD6"/>
    <w:rsid w:val="0002416A"/>
    <w:rsid w:val="00024CCD"/>
    <w:rsid w:val="00024D20"/>
    <w:rsid w:val="000253DB"/>
    <w:rsid w:val="0002775C"/>
    <w:rsid w:val="000278E7"/>
    <w:rsid w:val="00027A63"/>
    <w:rsid w:val="00027F9D"/>
    <w:rsid w:val="000307B5"/>
    <w:rsid w:val="00032457"/>
    <w:rsid w:val="000334D0"/>
    <w:rsid w:val="0003413A"/>
    <w:rsid w:val="000349CA"/>
    <w:rsid w:val="0003557A"/>
    <w:rsid w:val="00035C06"/>
    <w:rsid w:val="000366DF"/>
    <w:rsid w:val="000372EB"/>
    <w:rsid w:val="000376CD"/>
    <w:rsid w:val="00040A5C"/>
    <w:rsid w:val="00040D5A"/>
    <w:rsid w:val="000427F7"/>
    <w:rsid w:val="00043005"/>
    <w:rsid w:val="0004345F"/>
    <w:rsid w:val="00044026"/>
    <w:rsid w:val="00044CDC"/>
    <w:rsid w:val="00046075"/>
    <w:rsid w:val="00046CAD"/>
    <w:rsid w:val="00046F5C"/>
    <w:rsid w:val="00047385"/>
    <w:rsid w:val="000475E4"/>
    <w:rsid w:val="00050554"/>
    <w:rsid w:val="000506F2"/>
    <w:rsid w:val="00052E07"/>
    <w:rsid w:val="00053706"/>
    <w:rsid w:val="00053E04"/>
    <w:rsid w:val="000553D6"/>
    <w:rsid w:val="000579E6"/>
    <w:rsid w:val="00060E03"/>
    <w:rsid w:val="00062E32"/>
    <w:rsid w:val="000641CE"/>
    <w:rsid w:val="00065271"/>
    <w:rsid w:val="00066176"/>
    <w:rsid w:val="0006618D"/>
    <w:rsid w:val="00066885"/>
    <w:rsid w:val="0006694E"/>
    <w:rsid w:val="00066A37"/>
    <w:rsid w:val="00066F05"/>
    <w:rsid w:val="00072628"/>
    <w:rsid w:val="000728ED"/>
    <w:rsid w:val="000733F5"/>
    <w:rsid w:val="000733FF"/>
    <w:rsid w:val="0007577A"/>
    <w:rsid w:val="0007709D"/>
    <w:rsid w:val="000775D0"/>
    <w:rsid w:val="00081B0F"/>
    <w:rsid w:val="0008283D"/>
    <w:rsid w:val="00083090"/>
    <w:rsid w:val="00083214"/>
    <w:rsid w:val="00083B8F"/>
    <w:rsid w:val="00083C33"/>
    <w:rsid w:val="000845DC"/>
    <w:rsid w:val="00084B11"/>
    <w:rsid w:val="00085322"/>
    <w:rsid w:val="0008656F"/>
    <w:rsid w:val="00086AB9"/>
    <w:rsid w:val="00086BCE"/>
    <w:rsid w:val="00086F36"/>
    <w:rsid w:val="00087886"/>
    <w:rsid w:val="00090168"/>
    <w:rsid w:val="00090C76"/>
    <w:rsid w:val="00091033"/>
    <w:rsid w:val="000917E6"/>
    <w:rsid w:val="00091F10"/>
    <w:rsid w:val="0009302B"/>
    <w:rsid w:val="00093EC2"/>
    <w:rsid w:val="000958A2"/>
    <w:rsid w:val="000965E7"/>
    <w:rsid w:val="0009704D"/>
    <w:rsid w:val="00097A10"/>
    <w:rsid w:val="000A0041"/>
    <w:rsid w:val="000A06FC"/>
    <w:rsid w:val="000A1A02"/>
    <w:rsid w:val="000A4035"/>
    <w:rsid w:val="000A483A"/>
    <w:rsid w:val="000A55D2"/>
    <w:rsid w:val="000A64D3"/>
    <w:rsid w:val="000A77B9"/>
    <w:rsid w:val="000A7EA7"/>
    <w:rsid w:val="000B0403"/>
    <w:rsid w:val="000B057B"/>
    <w:rsid w:val="000B06E7"/>
    <w:rsid w:val="000B0C94"/>
    <w:rsid w:val="000B15A4"/>
    <w:rsid w:val="000B15E5"/>
    <w:rsid w:val="000B2382"/>
    <w:rsid w:val="000B3171"/>
    <w:rsid w:val="000B34A5"/>
    <w:rsid w:val="000B4746"/>
    <w:rsid w:val="000B5FE5"/>
    <w:rsid w:val="000B7966"/>
    <w:rsid w:val="000B7CB1"/>
    <w:rsid w:val="000C005A"/>
    <w:rsid w:val="000C0AE6"/>
    <w:rsid w:val="000C0D0D"/>
    <w:rsid w:val="000C2555"/>
    <w:rsid w:val="000C3545"/>
    <w:rsid w:val="000C498A"/>
    <w:rsid w:val="000C4C16"/>
    <w:rsid w:val="000C56FC"/>
    <w:rsid w:val="000C7907"/>
    <w:rsid w:val="000C7A11"/>
    <w:rsid w:val="000C7F5E"/>
    <w:rsid w:val="000D00AC"/>
    <w:rsid w:val="000D0AED"/>
    <w:rsid w:val="000D3602"/>
    <w:rsid w:val="000D3E2F"/>
    <w:rsid w:val="000D4D89"/>
    <w:rsid w:val="000D59FA"/>
    <w:rsid w:val="000D6BBD"/>
    <w:rsid w:val="000D7751"/>
    <w:rsid w:val="000D7C23"/>
    <w:rsid w:val="000E0A16"/>
    <w:rsid w:val="000E1745"/>
    <w:rsid w:val="000E1BFA"/>
    <w:rsid w:val="000E2142"/>
    <w:rsid w:val="000E21D0"/>
    <w:rsid w:val="000E2A38"/>
    <w:rsid w:val="000E2ACC"/>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EF5"/>
    <w:rsid w:val="00106F4F"/>
    <w:rsid w:val="001071D3"/>
    <w:rsid w:val="001075A8"/>
    <w:rsid w:val="00110259"/>
    <w:rsid w:val="00110AA9"/>
    <w:rsid w:val="0011254D"/>
    <w:rsid w:val="001139C2"/>
    <w:rsid w:val="00114559"/>
    <w:rsid w:val="00114EA9"/>
    <w:rsid w:val="00115ED0"/>
    <w:rsid w:val="0011683C"/>
    <w:rsid w:val="001179E8"/>
    <w:rsid w:val="0012021B"/>
    <w:rsid w:val="0012222D"/>
    <w:rsid w:val="00123658"/>
    <w:rsid w:val="001255E6"/>
    <w:rsid w:val="0013053A"/>
    <w:rsid w:val="0013066A"/>
    <w:rsid w:val="001315EF"/>
    <w:rsid w:val="001317E9"/>
    <w:rsid w:val="00131F39"/>
    <w:rsid w:val="00132375"/>
    <w:rsid w:val="00132E73"/>
    <w:rsid w:val="00133505"/>
    <w:rsid w:val="00134188"/>
    <w:rsid w:val="00137403"/>
    <w:rsid w:val="00137ADE"/>
    <w:rsid w:val="00140706"/>
    <w:rsid w:val="0014122A"/>
    <w:rsid w:val="00141E85"/>
    <w:rsid w:val="0014319C"/>
    <w:rsid w:val="001436B3"/>
    <w:rsid w:val="00143976"/>
    <w:rsid w:val="00143DAC"/>
    <w:rsid w:val="00144622"/>
    <w:rsid w:val="00144781"/>
    <w:rsid w:val="00144917"/>
    <w:rsid w:val="0014702D"/>
    <w:rsid w:val="00147596"/>
    <w:rsid w:val="0014790C"/>
    <w:rsid w:val="00152718"/>
    <w:rsid w:val="00152932"/>
    <w:rsid w:val="001530CF"/>
    <w:rsid w:val="00153F12"/>
    <w:rsid w:val="001543DB"/>
    <w:rsid w:val="001547F2"/>
    <w:rsid w:val="00155473"/>
    <w:rsid w:val="00155DC2"/>
    <w:rsid w:val="00156D90"/>
    <w:rsid w:val="00156E9F"/>
    <w:rsid w:val="00157A57"/>
    <w:rsid w:val="00157DB6"/>
    <w:rsid w:val="00157EC2"/>
    <w:rsid w:val="00162A68"/>
    <w:rsid w:val="00162E08"/>
    <w:rsid w:val="00163061"/>
    <w:rsid w:val="001633F1"/>
    <w:rsid w:val="00164DFE"/>
    <w:rsid w:val="0016531E"/>
    <w:rsid w:val="0016565C"/>
    <w:rsid w:val="00166314"/>
    <w:rsid w:val="00166746"/>
    <w:rsid w:val="00167590"/>
    <w:rsid w:val="00167918"/>
    <w:rsid w:val="00167C1E"/>
    <w:rsid w:val="0017043B"/>
    <w:rsid w:val="001706A1"/>
    <w:rsid w:val="00170914"/>
    <w:rsid w:val="00170DF2"/>
    <w:rsid w:val="00172879"/>
    <w:rsid w:val="001743AB"/>
    <w:rsid w:val="00174841"/>
    <w:rsid w:val="001761FD"/>
    <w:rsid w:val="001776B3"/>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1671"/>
    <w:rsid w:val="001926F2"/>
    <w:rsid w:val="001929A6"/>
    <w:rsid w:val="00193BCE"/>
    <w:rsid w:val="00194B87"/>
    <w:rsid w:val="0019569A"/>
    <w:rsid w:val="00195962"/>
    <w:rsid w:val="00197533"/>
    <w:rsid w:val="001977E7"/>
    <w:rsid w:val="00197CCA"/>
    <w:rsid w:val="001A0A40"/>
    <w:rsid w:val="001A0D8A"/>
    <w:rsid w:val="001A192D"/>
    <w:rsid w:val="001A47B3"/>
    <w:rsid w:val="001A7950"/>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A1B"/>
    <w:rsid w:val="001C0B83"/>
    <w:rsid w:val="001C1510"/>
    <w:rsid w:val="001C1989"/>
    <w:rsid w:val="001C256B"/>
    <w:rsid w:val="001C28FD"/>
    <w:rsid w:val="001C3349"/>
    <w:rsid w:val="001C3F6C"/>
    <w:rsid w:val="001C4ABA"/>
    <w:rsid w:val="001C546B"/>
    <w:rsid w:val="001C5EA2"/>
    <w:rsid w:val="001C6608"/>
    <w:rsid w:val="001C6C7D"/>
    <w:rsid w:val="001C7010"/>
    <w:rsid w:val="001D1CB1"/>
    <w:rsid w:val="001D2AC0"/>
    <w:rsid w:val="001D2DBA"/>
    <w:rsid w:val="001D2FD0"/>
    <w:rsid w:val="001D3296"/>
    <w:rsid w:val="001D3830"/>
    <w:rsid w:val="001D3BA6"/>
    <w:rsid w:val="001D5564"/>
    <w:rsid w:val="001D61A7"/>
    <w:rsid w:val="001D6FAA"/>
    <w:rsid w:val="001D70FA"/>
    <w:rsid w:val="001D7BA9"/>
    <w:rsid w:val="001E039D"/>
    <w:rsid w:val="001E22E7"/>
    <w:rsid w:val="001E2714"/>
    <w:rsid w:val="001E398C"/>
    <w:rsid w:val="001E4456"/>
    <w:rsid w:val="001E4DDC"/>
    <w:rsid w:val="001E774F"/>
    <w:rsid w:val="001E7C1D"/>
    <w:rsid w:val="001F073F"/>
    <w:rsid w:val="001F3009"/>
    <w:rsid w:val="001F3358"/>
    <w:rsid w:val="001F35CB"/>
    <w:rsid w:val="001F390F"/>
    <w:rsid w:val="001F56F5"/>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FE"/>
    <w:rsid w:val="00215C44"/>
    <w:rsid w:val="00216E73"/>
    <w:rsid w:val="00216ED2"/>
    <w:rsid w:val="0021774C"/>
    <w:rsid w:val="00217FF6"/>
    <w:rsid w:val="00222386"/>
    <w:rsid w:val="00222F51"/>
    <w:rsid w:val="002230E1"/>
    <w:rsid w:val="00223361"/>
    <w:rsid w:val="002244BA"/>
    <w:rsid w:val="002247AA"/>
    <w:rsid w:val="00224DA7"/>
    <w:rsid w:val="00224F11"/>
    <w:rsid w:val="00225A05"/>
    <w:rsid w:val="002261CB"/>
    <w:rsid w:val="002268BF"/>
    <w:rsid w:val="00227BDE"/>
    <w:rsid w:val="00230045"/>
    <w:rsid w:val="0023014E"/>
    <w:rsid w:val="002308FA"/>
    <w:rsid w:val="00230E51"/>
    <w:rsid w:val="0023132F"/>
    <w:rsid w:val="00231AA5"/>
    <w:rsid w:val="00232F90"/>
    <w:rsid w:val="0023339B"/>
    <w:rsid w:val="0023469C"/>
    <w:rsid w:val="00234C71"/>
    <w:rsid w:val="00235511"/>
    <w:rsid w:val="002366E0"/>
    <w:rsid w:val="002367DF"/>
    <w:rsid w:val="00236DE1"/>
    <w:rsid w:val="002372EE"/>
    <w:rsid w:val="002372FD"/>
    <w:rsid w:val="0023764D"/>
    <w:rsid w:val="002415BC"/>
    <w:rsid w:val="00241B9B"/>
    <w:rsid w:val="002434B2"/>
    <w:rsid w:val="002442F4"/>
    <w:rsid w:val="002445EA"/>
    <w:rsid w:val="00244ECE"/>
    <w:rsid w:val="00244FC5"/>
    <w:rsid w:val="00245D1D"/>
    <w:rsid w:val="00250EDA"/>
    <w:rsid w:val="00251284"/>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22D"/>
    <w:rsid w:val="0027380D"/>
    <w:rsid w:val="0027468E"/>
    <w:rsid w:val="00274826"/>
    <w:rsid w:val="00275005"/>
    <w:rsid w:val="002752AB"/>
    <w:rsid w:val="002756D6"/>
    <w:rsid w:val="0027573C"/>
    <w:rsid w:val="002815D0"/>
    <w:rsid w:val="002820A7"/>
    <w:rsid w:val="00282164"/>
    <w:rsid w:val="00283B82"/>
    <w:rsid w:val="00283E13"/>
    <w:rsid w:val="00286478"/>
    <w:rsid w:val="00287EDD"/>
    <w:rsid w:val="002910B5"/>
    <w:rsid w:val="0029141B"/>
    <w:rsid w:val="002927D3"/>
    <w:rsid w:val="00294BDE"/>
    <w:rsid w:val="002957F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2B4"/>
    <w:rsid w:val="002B13B3"/>
    <w:rsid w:val="002B183D"/>
    <w:rsid w:val="002B1DBF"/>
    <w:rsid w:val="002B207F"/>
    <w:rsid w:val="002B2A48"/>
    <w:rsid w:val="002B2BEE"/>
    <w:rsid w:val="002B31AD"/>
    <w:rsid w:val="002B366E"/>
    <w:rsid w:val="002B3EA7"/>
    <w:rsid w:val="002B4BAE"/>
    <w:rsid w:val="002B538B"/>
    <w:rsid w:val="002B581B"/>
    <w:rsid w:val="002B5FCF"/>
    <w:rsid w:val="002C2892"/>
    <w:rsid w:val="002C388E"/>
    <w:rsid w:val="002C58AB"/>
    <w:rsid w:val="002C6D84"/>
    <w:rsid w:val="002C7D21"/>
    <w:rsid w:val="002D1564"/>
    <w:rsid w:val="002D1C0C"/>
    <w:rsid w:val="002D1CA4"/>
    <w:rsid w:val="002D2C09"/>
    <w:rsid w:val="002D2C45"/>
    <w:rsid w:val="002D4969"/>
    <w:rsid w:val="002D4EE1"/>
    <w:rsid w:val="002D4F49"/>
    <w:rsid w:val="002D73E4"/>
    <w:rsid w:val="002D778E"/>
    <w:rsid w:val="002E04D7"/>
    <w:rsid w:val="002E06DD"/>
    <w:rsid w:val="002E0FD3"/>
    <w:rsid w:val="002E171A"/>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EA1"/>
    <w:rsid w:val="002F52DE"/>
    <w:rsid w:val="002F55C1"/>
    <w:rsid w:val="002F6CC8"/>
    <w:rsid w:val="002F797A"/>
    <w:rsid w:val="00300483"/>
    <w:rsid w:val="00301172"/>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459"/>
    <w:rsid w:val="00325D91"/>
    <w:rsid w:val="003267B4"/>
    <w:rsid w:val="00326CC1"/>
    <w:rsid w:val="00331193"/>
    <w:rsid w:val="003333D4"/>
    <w:rsid w:val="00334951"/>
    <w:rsid w:val="00336411"/>
    <w:rsid w:val="0033678D"/>
    <w:rsid w:val="0033720D"/>
    <w:rsid w:val="00337334"/>
    <w:rsid w:val="003373E8"/>
    <w:rsid w:val="00337A48"/>
    <w:rsid w:val="003443DD"/>
    <w:rsid w:val="00344D5A"/>
    <w:rsid w:val="00346001"/>
    <w:rsid w:val="00346EB6"/>
    <w:rsid w:val="0034786D"/>
    <w:rsid w:val="00347EDB"/>
    <w:rsid w:val="00350797"/>
    <w:rsid w:val="00351A85"/>
    <w:rsid w:val="003522E8"/>
    <w:rsid w:val="00353989"/>
    <w:rsid w:val="00355B7A"/>
    <w:rsid w:val="0035617C"/>
    <w:rsid w:val="00356E7E"/>
    <w:rsid w:val="00356EB8"/>
    <w:rsid w:val="00357B83"/>
    <w:rsid w:val="003614A8"/>
    <w:rsid w:val="0036160E"/>
    <w:rsid w:val="00361B02"/>
    <w:rsid w:val="00362610"/>
    <w:rsid w:val="00363830"/>
    <w:rsid w:val="00363D2D"/>
    <w:rsid w:val="00364BB6"/>
    <w:rsid w:val="00364D6B"/>
    <w:rsid w:val="00365408"/>
    <w:rsid w:val="00365CC0"/>
    <w:rsid w:val="003668DF"/>
    <w:rsid w:val="00367688"/>
    <w:rsid w:val="0037094E"/>
    <w:rsid w:val="00372221"/>
    <w:rsid w:val="00372CF2"/>
    <w:rsid w:val="0037495E"/>
    <w:rsid w:val="00374C7E"/>
    <w:rsid w:val="00375A10"/>
    <w:rsid w:val="0037675F"/>
    <w:rsid w:val="00377353"/>
    <w:rsid w:val="0037736B"/>
    <w:rsid w:val="00381F57"/>
    <w:rsid w:val="0038216E"/>
    <w:rsid w:val="003822E5"/>
    <w:rsid w:val="003830B8"/>
    <w:rsid w:val="00383262"/>
    <w:rsid w:val="00387904"/>
    <w:rsid w:val="003940B2"/>
    <w:rsid w:val="00396FCA"/>
    <w:rsid w:val="003A157A"/>
    <w:rsid w:val="003A191F"/>
    <w:rsid w:val="003A283F"/>
    <w:rsid w:val="003A2A16"/>
    <w:rsid w:val="003A2FDD"/>
    <w:rsid w:val="003A3C43"/>
    <w:rsid w:val="003A5CCC"/>
    <w:rsid w:val="003A5D3B"/>
    <w:rsid w:val="003A639A"/>
    <w:rsid w:val="003A70FF"/>
    <w:rsid w:val="003A74D2"/>
    <w:rsid w:val="003A756B"/>
    <w:rsid w:val="003A7645"/>
    <w:rsid w:val="003A7902"/>
    <w:rsid w:val="003B234A"/>
    <w:rsid w:val="003B23D7"/>
    <w:rsid w:val="003B3414"/>
    <w:rsid w:val="003B34CB"/>
    <w:rsid w:val="003B3AB4"/>
    <w:rsid w:val="003B3CA8"/>
    <w:rsid w:val="003B45D5"/>
    <w:rsid w:val="003B52FE"/>
    <w:rsid w:val="003B572A"/>
    <w:rsid w:val="003B6325"/>
    <w:rsid w:val="003B71E0"/>
    <w:rsid w:val="003B78A4"/>
    <w:rsid w:val="003C144E"/>
    <w:rsid w:val="003C151F"/>
    <w:rsid w:val="003C1A07"/>
    <w:rsid w:val="003C1E74"/>
    <w:rsid w:val="003C20A2"/>
    <w:rsid w:val="003C2673"/>
    <w:rsid w:val="003C27A2"/>
    <w:rsid w:val="003C567C"/>
    <w:rsid w:val="003C56E9"/>
    <w:rsid w:val="003C59B8"/>
    <w:rsid w:val="003C6809"/>
    <w:rsid w:val="003C7897"/>
    <w:rsid w:val="003D0937"/>
    <w:rsid w:val="003D17E6"/>
    <w:rsid w:val="003D1A20"/>
    <w:rsid w:val="003D1AC9"/>
    <w:rsid w:val="003D2AC9"/>
    <w:rsid w:val="003D2CD8"/>
    <w:rsid w:val="003D3724"/>
    <w:rsid w:val="003D46A7"/>
    <w:rsid w:val="003D5F5F"/>
    <w:rsid w:val="003D6376"/>
    <w:rsid w:val="003E0F51"/>
    <w:rsid w:val="003E1235"/>
    <w:rsid w:val="003E16A6"/>
    <w:rsid w:val="003E17C3"/>
    <w:rsid w:val="003E2A35"/>
    <w:rsid w:val="003E2B56"/>
    <w:rsid w:val="003E2CE1"/>
    <w:rsid w:val="003E2DCB"/>
    <w:rsid w:val="003E4C3F"/>
    <w:rsid w:val="003E4D7C"/>
    <w:rsid w:val="003E5A93"/>
    <w:rsid w:val="003E5FA8"/>
    <w:rsid w:val="003E6252"/>
    <w:rsid w:val="003F1200"/>
    <w:rsid w:val="003F1421"/>
    <w:rsid w:val="003F1844"/>
    <w:rsid w:val="003F241E"/>
    <w:rsid w:val="003F28C0"/>
    <w:rsid w:val="003F4033"/>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15BB"/>
    <w:rsid w:val="00413A67"/>
    <w:rsid w:val="00416277"/>
    <w:rsid w:val="00416E24"/>
    <w:rsid w:val="0042063D"/>
    <w:rsid w:val="00422B23"/>
    <w:rsid w:val="00423002"/>
    <w:rsid w:val="00423A60"/>
    <w:rsid w:val="0042651C"/>
    <w:rsid w:val="00426E9B"/>
    <w:rsid w:val="00427D55"/>
    <w:rsid w:val="0043233C"/>
    <w:rsid w:val="004336E9"/>
    <w:rsid w:val="004345A6"/>
    <w:rsid w:val="00435B2F"/>
    <w:rsid w:val="00435E03"/>
    <w:rsid w:val="004373E1"/>
    <w:rsid w:val="004374A3"/>
    <w:rsid w:val="00437A7E"/>
    <w:rsid w:val="00437B6C"/>
    <w:rsid w:val="00440144"/>
    <w:rsid w:val="0044064E"/>
    <w:rsid w:val="00440805"/>
    <w:rsid w:val="004412E1"/>
    <w:rsid w:val="00441554"/>
    <w:rsid w:val="00442E48"/>
    <w:rsid w:val="0044351C"/>
    <w:rsid w:val="00443DCD"/>
    <w:rsid w:val="00443E7E"/>
    <w:rsid w:val="00444C06"/>
    <w:rsid w:val="004454DF"/>
    <w:rsid w:val="0044646E"/>
    <w:rsid w:val="00446804"/>
    <w:rsid w:val="004478D4"/>
    <w:rsid w:val="00450380"/>
    <w:rsid w:val="004505C6"/>
    <w:rsid w:val="004520CD"/>
    <w:rsid w:val="00452198"/>
    <w:rsid w:val="00452DF3"/>
    <w:rsid w:val="004534F5"/>
    <w:rsid w:val="00453765"/>
    <w:rsid w:val="00454EC3"/>
    <w:rsid w:val="0045530A"/>
    <w:rsid w:val="004554AE"/>
    <w:rsid w:val="004554C3"/>
    <w:rsid w:val="00455FB6"/>
    <w:rsid w:val="00457197"/>
    <w:rsid w:val="00457555"/>
    <w:rsid w:val="00457971"/>
    <w:rsid w:val="00457DD8"/>
    <w:rsid w:val="00460288"/>
    <w:rsid w:val="004603D0"/>
    <w:rsid w:val="00460B26"/>
    <w:rsid w:val="004624AE"/>
    <w:rsid w:val="0046250E"/>
    <w:rsid w:val="00462E9C"/>
    <w:rsid w:val="00464B48"/>
    <w:rsid w:val="00465231"/>
    <w:rsid w:val="00465D0D"/>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0B7D"/>
    <w:rsid w:val="00481247"/>
    <w:rsid w:val="004828DC"/>
    <w:rsid w:val="00482FF7"/>
    <w:rsid w:val="00483098"/>
    <w:rsid w:val="00483AFB"/>
    <w:rsid w:val="0048402B"/>
    <w:rsid w:val="0048414A"/>
    <w:rsid w:val="00485C56"/>
    <w:rsid w:val="00486B79"/>
    <w:rsid w:val="00486CA2"/>
    <w:rsid w:val="00490B25"/>
    <w:rsid w:val="00490FD6"/>
    <w:rsid w:val="004911C4"/>
    <w:rsid w:val="0049256E"/>
    <w:rsid w:val="00494CC8"/>
    <w:rsid w:val="004955E7"/>
    <w:rsid w:val="0049589C"/>
    <w:rsid w:val="00495EF1"/>
    <w:rsid w:val="00496ED4"/>
    <w:rsid w:val="00497D4A"/>
    <w:rsid w:val="004A0441"/>
    <w:rsid w:val="004A084C"/>
    <w:rsid w:val="004A15B3"/>
    <w:rsid w:val="004A1D01"/>
    <w:rsid w:val="004A2A54"/>
    <w:rsid w:val="004A2BE9"/>
    <w:rsid w:val="004A2EF3"/>
    <w:rsid w:val="004A309B"/>
    <w:rsid w:val="004A37FC"/>
    <w:rsid w:val="004A3B0D"/>
    <w:rsid w:val="004A52F5"/>
    <w:rsid w:val="004A5843"/>
    <w:rsid w:val="004A5ADF"/>
    <w:rsid w:val="004A5D3A"/>
    <w:rsid w:val="004A6897"/>
    <w:rsid w:val="004A692B"/>
    <w:rsid w:val="004A6EB6"/>
    <w:rsid w:val="004A794C"/>
    <w:rsid w:val="004B3EC7"/>
    <w:rsid w:val="004B5664"/>
    <w:rsid w:val="004B59A8"/>
    <w:rsid w:val="004C1743"/>
    <w:rsid w:val="004C2107"/>
    <w:rsid w:val="004C5FC6"/>
    <w:rsid w:val="004C6435"/>
    <w:rsid w:val="004C649B"/>
    <w:rsid w:val="004C7B9C"/>
    <w:rsid w:val="004C7D55"/>
    <w:rsid w:val="004D089A"/>
    <w:rsid w:val="004D3184"/>
    <w:rsid w:val="004D4AE6"/>
    <w:rsid w:val="004D5030"/>
    <w:rsid w:val="004D6045"/>
    <w:rsid w:val="004D7546"/>
    <w:rsid w:val="004D7EC5"/>
    <w:rsid w:val="004E02B0"/>
    <w:rsid w:val="004E0B29"/>
    <w:rsid w:val="004E0E11"/>
    <w:rsid w:val="004E0F08"/>
    <w:rsid w:val="004E1546"/>
    <w:rsid w:val="004E196C"/>
    <w:rsid w:val="004E19DC"/>
    <w:rsid w:val="004E29C5"/>
    <w:rsid w:val="004E35E8"/>
    <w:rsid w:val="004E50F0"/>
    <w:rsid w:val="004E6A03"/>
    <w:rsid w:val="004F0070"/>
    <w:rsid w:val="004F0468"/>
    <w:rsid w:val="004F0C51"/>
    <w:rsid w:val="004F263C"/>
    <w:rsid w:val="004F2BB1"/>
    <w:rsid w:val="004F2C0E"/>
    <w:rsid w:val="004F2EC7"/>
    <w:rsid w:val="004F3CE8"/>
    <w:rsid w:val="004F6BFB"/>
    <w:rsid w:val="004F7E4A"/>
    <w:rsid w:val="0050147C"/>
    <w:rsid w:val="0050182B"/>
    <w:rsid w:val="00502579"/>
    <w:rsid w:val="005029F7"/>
    <w:rsid w:val="00503AA5"/>
    <w:rsid w:val="00503D4C"/>
    <w:rsid w:val="00504C0C"/>
    <w:rsid w:val="00504E48"/>
    <w:rsid w:val="005070FF"/>
    <w:rsid w:val="00507795"/>
    <w:rsid w:val="00510F3A"/>
    <w:rsid w:val="00512BBC"/>
    <w:rsid w:val="005134FB"/>
    <w:rsid w:val="005135FD"/>
    <w:rsid w:val="0051366C"/>
    <w:rsid w:val="0051684F"/>
    <w:rsid w:val="00516A92"/>
    <w:rsid w:val="00516B9F"/>
    <w:rsid w:val="00517693"/>
    <w:rsid w:val="005205AB"/>
    <w:rsid w:val="00523378"/>
    <w:rsid w:val="00523D26"/>
    <w:rsid w:val="0052550F"/>
    <w:rsid w:val="00526C0F"/>
    <w:rsid w:val="0052702A"/>
    <w:rsid w:val="00530397"/>
    <w:rsid w:val="00530F73"/>
    <w:rsid w:val="00532107"/>
    <w:rsid w:val="00533B8E"/>
    <w:rsid w:val="00535417"/>
    <w:rsid w:val="00535833"/>
    <w:rsid w:val="00536D28"/>
    <w:rsid w:val="0053716F"/>
    <w:rsid w:val="005372C5"/>
    <w:rsid w:val="00537A26"/>
    <w:rsid w:val="00540E47"/>
    <w:rsid w:val="005427C3"/>
    <w:rsid w:val="00542E2C"/>
    <w:rsid w:val="00543283"/>
    <w:rsid w:val="0054364C"/>
    <w:rsid w:val="0054656C"/>
    <w:rsid w:val="00546747"/>
    <w:rsid w:val="00547510"/>
    <w:rsid w:val="00547ECC"/>
    <w:rsid w:val="00551D5A"/>
    <w:rsid w:val="00551EC3"/>
    <w:rsid w:val="00554A44"/>
    <w:rsid w:val="00554C53"/>
    <w:rsid w:val="00554F18"/>
    <w:rsid w:val="00555220"/>
    <w:rsid w:val="005555F0"/>
    <w:rsid w:val="00555739"/>
    <w:rsid w:val="00555ACB"/>
    <w:rsid w:val="00556E75"/>
    <w:rsid w:val="00556F2D"/>
    <w:rsid w:val="0056069A"/>
    <w:rsid w:val="00560C3B"/>
    <w:rsid w:val="00561D3C"/>
    <w:rsid w:val="00561EA1"/>
    <w:rsid w:val="00562799"/>
    <w:rsid w:val="00564804"/>
    <w:rsid w:val="00565598"/>
    <w:rsid w:val="00565B5A"/>
    <w:rsid w:val="00567E8F"/>
    <w:rsid w:val="005702D6"/>
    <w:rsid w:val="00572588"/>
    <w:rsid w:val="00573A50"/>
    <w:rsid w:val="00573F61"/>
    <w:rsid w:val="005746D2"/>
    <w:rsid w:val="00574BAC"/>
    <w:rsid w:val="00574E8A"/>
    <w:rsid w:val="0057729C"/>
    <w:rsid w:val="00577775"/>
    <w:rsid w:val="0058121A"/>
    <w:rsid w:val="00581863"/>
    <w:rsid w:val="00581EA3"/>
    <w:rsid w:val="0058205A"/>
    <w:rsid w:val="0058260B"/>
    <w:rsid w:val="00584D1E"/>
    <w:rsid w:val="00586795"/>
    <w:rsid w:val="00586B82"/>
    <w:rsid w:val="00587E13"/>
    <w:rsid w:val="00591667"/>
    <w:rsid w:val="005933AA"/>
    <w:rsid w:val="005940AA"/>
    <w:rsid w:val="00594614"/>
    <w:rsid w:val="00594E10"/>
    <w:rsid w:val="00596306"/>
    <w:rsid w:val="0059637F"/>
    <w:rsid w:val="00596487"/>
    <w:rsid w:val="005A0809"/>
    <w:rsid w:val="005A0B91"/>
    <w:rsid w:val="005A1494"/>
    <w:rsid w:val="005A3139"/>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53"/>
    <w:rsid w:val="005C04A7"/>
    <w:rsid w:val="005C17A4"/>
    <w:rsid w:val="005C27CC"/>
    <w:rsid w:val="005C370D"/>
    <w:rsid w:val="005C504E"/>
    <w:rsid w:val="005C6153"/>
    <w:rsid w:val="005C78B0"/>
    <w:rsid w:val="005C7B95"/>
    <w:rsid w:val="005D01EB"/>
    <w:rsid w:val="005D0ADB"/>
    <w:rsid w:val="005D0DFB"/>
    <w:rsid w:val="005D1112"/>
    <w:rsid w:val="005D1A52"/>
    <w:rsid w:val="005D237C"/>
    <w:rsid w:val="005D25E2"/>
    <w:rsid w:val="005D25FF"/>
    <w:rsid w:val="005D2632"/>
    <w:rsid w:val="005D38E0"/>
    <w:rsid w:val="005D3F32"/>
    <w:rsid w:val="005D437D"/>
    <w:rsid w:val="005D4E3E"/>
    <w:rsid w:val="005D67F7"/>
    <w:rsid w:val="005D7D7E"/>
    <w:rsid w:val="005E0586"/>
    <w:rsid w:val="005E0B59"/>
    <w:rsid w:val="005E1105"/>
    <w:rsid w:val="005E162F"/>
    <w:rsid w:val="005E2C60"/>
    <w:rsid w:val="005E2C71"/>
    <w:rsid w:val="005E31B4"/>
    <w:rsid w:val="005E31F6"/>
    <w:rsid w:val="005E3622"/>
    <w:rsid w:val="005E60B3"/>
    <w:rsid w:val="005E676C"/>
    <w:rsid w:val="005E6CB9"/>
    <w:rsid w:val="005E7F14"/>
    <w:rsid w:val="005F0154"/>
    <w:rsid w:val="005F0176"/>
    <w:rsid w:val="005F021D"/>
    <w:rsid w:val="005F0B43"/>
    <w:rsid w:val="005F1EAC"/>
    <w:rsid w:val="005F308F"/>
    <w:rsid w:val="005F4572"/>
    <w:rsid w:val="005F4869"/>
    <w:rsid w:val="005F4BFD"/>
    <w:rsid w:val="005F5748"/>
    <w:rsid w:val="005F5834"/>
    <w:rsid w:val="005F5E11"/>
    <w:rsid w:val="005F73D3"/>
    <w:rsid w:val="006003E5"/>
    <w:rsid w:val="00600E63"/>
    <w:rsid w:val="00601561"/>
    <w:rsid w:val="00601E55"/>
    <w:rsid w:val="00602037"/>
    <w:rsid w:val="006029DD"/>
    <w:rsid w:val="00602C6A"/>
    <w:rsid w:val="00603AF5"/>
    <w:rsid w:val="006067A8"/>
    <w:rsid w:val="00606C66"/>
    <w:rsid w:val="00610145"/>
    <w:rsid w:val="00610D1F"/>
    <w:rsid w:val="006123C6"/>
    <w:rsid w:val="00612718"/>
    <w:rsid w:val="00612C02"/>
    <w:rsid w:val="00612CDD"/>
    <w:rsid w:val="00612FC6"/>
    <w:rsid w:val="0061562E"/>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7337"/>
    <w:rsid w:val="00627E60"/>
    <w:rsid w:val="00630069"/>
    <w:rsid w:val="00630583"/>
    <w:rsid w:val="00630D2E"/>
    <w:rsid w:val="00630D39"/>
    <w:rsid w:val="00631E19"/>
    <w:rsid w:val="0063340F"/>
    <w:rsid w:val="00633E76"/>
    <w:rsid w:val="00633EC9"/>
    <w:rsid w:val="006340F5"/>
    <w:rsid w:val="00634542"/>
    <w:rsid w:val="00635E4D"/>
    <w:rsid w:val="00635EA3"/>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E6C"/>
    <w:rsid w:val="00656FEE"/>
    <w:rsid w:val="0065758F"/>
    <w:rsid w:val="00660897"/>
    <w:rsid w:val="00660DBC"/>
    <w:rsid w:val="00661028"/>
    <w:rsid w:val="006617BD"/>
    <w:rsid w:val="0066194D"/>
    <w:rsid w:val="00664695"/>
    <w:rsid w:val="00664840"/>
    <w:rsid w:val="00664B44"/>
    <w:rsid w:val="006652BF"/>
    <w:rsid w:val="006661C8"/>
    <w:rsid w:val="0066630C"/>
    <w:rsid w:val="00667BBD"/>
    <w:rsid w:val="00671149"/>
    <w:rsid w:val="00671615"/>
    <w:rsid w:val="00671741"/>
    <w:rsid w:val="00671766"/>
    <w:rsid w:val="00671E5F"/>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6566"/>
    <w:rsid w:val="006966BA"/>
    <w:rsid w:val="0069722D"/>
    <w:rsid w:val="00697543"/>
    <w:rsid w:val="006A0052"/>
    <w:rsid w:val="006A0A9E"/>
    <w:rsid w:val="006A1F1C"/>
    <w:rsid w:val="006A3836"/>
    <w:rsid w:val="006A3DD3"/>
    <w:rsid w:val="006A4625"/>
    <w:rsid w:val="006A47AE"/>
    <w:rsid w:val="006A5B5E"/>
    <w:rsid w:val="006A66B1"/>
    <w:rsid w:val="006A67CB"/>
    <w:rsid w:val="006B0368"/>
    <w:rsid w:val="006B0F6E"/>
    <w:rsid w:val="006B1D7B"/>
    <w:rsid w:val="006B27D4"/>
    <w:rsid w:val="006B2C9C"/>
    <w:rsid w:val="006B48EB"/>
    <w:rsid w:val="006B4C00"/>
    <w:rsid w:val="006B56FC"/>
    <w:rsid w:val="006B6194"/>
    <w:rsid w:val="006B6DDA"/>
    <w:rsid w:val="006B73D9"/>
    <w:rsid w:val="006B7DF0"/>
    <w:rsid w:val="006B7E74"/>
    <w:rsid w:val="006C0D75"/>
    <w:rsid w:val="006C1C48"/>
    <w:rsid w:val="006C3C1D"/>
    <w:rsid w:val="006C41FF"/>
    <w:rsid w:val="006C5145"/>
    <w:rsid w:val="006C65A8"/>
    <w:rsid w:val="006C7935"/>
    <w:rsid w:val="006D05AD"/>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B01"/>
    <w:rsid w:val="006E3E3D"/>
    <w:rsid w:val="006E4836"/>
    <w:rsid w:val="006E497C"/>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5A1"/>
    <w:rsid w:val="00706824"/>
    <w:rsid w:val="00706B85"/>
    <w:rsid w:val="007071FC"/>
    <w:rsid w:val="00707B66"/>
    <w:rsid w:val="00707C84"/>
    <w:rsid w:val="00710A59"/>
    <w:rsid w:val="00710FDE"/>
    <w:rsid w:val="007116C7"/>
    <w:rsid w:val="00711C5A"/>
    <w:rsid w:val="007125C4"/>
    <w:rsid w:val="00712B66"/>
    <w:rsid w:val="00712FE5"/>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3B8"/>
    <w:rsid w:val="007445E2"/>
    <w:rsid w:val="00745496"/>
    <w:rsid w:val="007460DA"/>
    <w:rsid w:val="0074705B"/>
    <w:rsid w:val="007470EC"/>
    <w:rsid w:val="0075020B"/>
    <w:rsid w:val="00751017"/>
    <w:rsid w:val="00751960"/>
    <w:rsid w:val="00752FE9"/>
    <w:rsid w:val="007530A0"/>
    <w:rsid w:val="007535C7"/>
    <w:rsid w:val="00753889"/>
    <w:rsid w:val="007551ED"/>
    <w:rsid w:val="00756551"/>
    <w:rsid w:val="00757769"/>
    <w:rsid w:val="0076067E"/>
    <w:rsid w:val="00761A81"/>
    <w:rsid w:val="00761BFD"/>
    <w:rsid w:val="00761D5C"/>
    <w:rsid w:val="00761FE5"/>
    <w:rsid w:val="00762476"/>
    <w:rsid w:val="00762A18"/>
    <w:rsid w:val="00763AE2"/>
    <w:rsid w:val="0076467D"/>
    <w:rsid w:val="00766D90"/>
    <w:rsid w:val="00767BF3"/>
    <w:rsid w:val="00767C19"/>
    <w:rsid w:val="00767D4E"/>
    <w:rsid w:val="00771067"/>
    <w:rsid w:val="007722ED"/>
    <w:rsid w:val="0077408B"/>
    <w:rsid w:val="00774AF6"/>
    <w:rsid w:val="00774EC8"/>
    <w:rsid w:val="00776781"/>
    <w:rsid w:val="007776CC"/>
    <w:rsid w:val="0077774A"/>
    <w:rsid w:val="00777CE9"/>
    <w:rsid w:val="00780D05"/>
    <w:rsid w:val="00781DFA"/>
    <w:rsid w:val="00783212"/>
    <w:rsid w:val="00783C7B"/>
    <w:rsid w:val="00784754"/>
    <w:rsid w:val="0078556C"/>
    <w:rsid w:val="007855C5"/>
    <w:rsid w:val="007856D3"/>
    <w:rsid w:val="007859FD"/>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27FB"/>
    <w:rsid w:val="007C2CBB"/>
    <w:rsid w:val="007C309C"/>
    <w:rsid w:val="007C4209"/>
    <w:rsid w:val="007C5EB9"/>
    <w:rsid w:val="007C7449"/>
    <w:rsid w:val="007C7EA5"/>
    <w:rsid w:val="007D1201"/>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2A1"/>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31B5"/>
    <w:rsid w:val="00804B10"/>
    <w:rsid w:val="00804BCF"/>
    <w:rsid w:val="00804FA4"/>
    <w:rsid w:val="00805275"/>
    <w:rsid w:val="00805B08"/>
    <w:rsid w:val="00806A62"/>
    <w:rsid w:val="00806E55"/>
    <w:rsid w:val="008075CE"/>
    <w:rsid w:val="00812179"/>
    <w:rsid w:val="00812380"/>
    <w:rsid w:val="008124E2"/>
    <w:rsid w:val="008125CA"/>
    <w:rsid w:val="00813928"/>
    <w:rsid w:val="00815321"/>
    <w:rsid w:val="008166DB"/>
    <w:rsid w:val="008173E0"/>
    <w:rsid w:val="008175C1"/>
    <w:rsid w:val="008200D4"/>
    <w:rsid w:val="00820370"/>
    <w:rsid w:val="00820CC6"/>
    <w:rsid w:val="00822805"/>
    <w:rsid w:val="00822C41"/>
    <w:rsid w:val="0082387F"/>
    <w:rsid w:val="0082421A"/>
    <w:rsid w:val="00825043"/>
    <w:rsid w:val="00825267"/>
    <w:rsid w:val="00825A58"/>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6CF9"/>
    <w:rsid w:val="00857086"/>
    <w:rsid w:val="00857572"/>
    <w:rsid w:val="00860F4D"/>
    <w:rsid w:val="008611DE"/>
    <w:rsid w:val="00861375"/>
    <w:rsid w:val="00861C56"/>
    <w:rsid w:val="00861F29"/>
    <w:rsid w:val="008620A2"/>
    <w:rsid w:val="00862741"/>
    <w:rsid w:val="00862BBD"/>
    <w:rsid w:val="00863C9F"/>
    <w:rsid w:val="008645D6"/>
    <w:rsid w:val="008653A5"/>
    <w:rsid w:val="0086552B"/>
    <w:rsid w:val="008655A2"/>
    <w:rsid w:val="0086584F"/>
    <w:rsid w:val="00865AC2"/>
    <w:rsid w:val="008660A1"/>
    <w:rsid w:val="008671C7"/>
    <w:rsid w:val="00867EB8"/>
    <w:rsid w:val="00870335"/>
    <w:rsid w:val="00870AA2"/>
    <w:rsid w:val="00873D88"/>
    <w:rsid w:val="0087433B"/>
    <w:rsid w:val="0087621E"/>
    <w:rsid w:val="008767B2"/>
    <w:rsid w:val="00877328"/>
    <w:rsid w:val="0087787A"/>
    <w:rsid w:val="008802F0"/>
    <w:rsid w:val="00880992"/>
    <w:rsid w:val="00880FF1"/>
    <w:rsid w:val="00881692"/>
    <w:rsid w:val="00883143"/>
    <w:rsid w:val="008846B5"/>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49E"/>
    <w:rsid w:val="008A15B6"/>
    <w:rsid w:val="008A1A6E"/>
    <w:rsid w:val="008A202A"/>
    <w:rsid w:val="008A36C9"/>
    <w:rsid w:val="008A5AF9"/>
    <w:rsid w:val="008B16DE"/>
    <w:rsid w:val="008B1E63"/>
    <w:rsid w:val="008B251F"/>
    <w:rsid w:val="008B2602"/>
    <w:rsid w:val="008B2727"/>
    <w:rsid w:val="008B316B"/>
    <w:rsid w:val="008B5059"/>
    <w:rsid w:val="008B5BF2"/>
    <w:rsid w:val="008B5C1D"/>
    <w:rsid w:val="008B6934"/>
    <w:rsid w:val="008B6CF8"/>
    <w:rsid w:val="008B72F6"/>
    <w:rsid w:val="008C119E"/>
    <w:rsid w:val="008C1E24"/>
    <w:rsid w:val="008C296B"/>
    <w:rsid w:val="008C2A46"/>
    <w:rsid w:val="008C4278"/>
    <w:rsid w:val="008C520E"/>
    <w:rsid w:val="008C563B"/>
    <w:rsid w:val="008C567E"/>
    <w:rsid w:val="008C5DEE"/>
    <w:rsid w:val="008C6285"/>
    <w:rsid w:val="008C6B8D"/>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7209"/>
    <w:rsid w:val="008E7448"/>
    <w:rsid w:val="008E7B14"/>
    <w:rsid w:val="008F11BB"/>
    <w:rsid w:val="008F16FF"/>
    <w:rsid w:val="008F182F"/>
    <w:rsid w:val="008F1E95"/>
    <w:rsid w:val="008F2304"/>
    <w:rsid w:val="008F57DD"/>
    <w:rsid w:val="008F5AEE"/>
    <w:rsid w:val="008F6EAA"/>
    <w:rsid w:val="008F7800"/>
    <w:rsid w:val="008F7BCA"/>
    <w:rsid w:val="00900AD9"/>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714"/>
    <w:rsid w:val="00927F4B"/>
    <w:rsid w:val="009302D4"/>
    <w:rsid w:val="009307F2"/>
    <w:rsid w:val="00930CEC"/>
    <w:rsid w:val="00930F4A"/>
    <w:rsid w:val="0093375E"/>
    <w:rsid w:val="00933BEF"/>
    <w:rsid w:val="0093787E"/>
    <w:rsid w:val="009412CC"/>
    <w:rsid w:val="0094388B"/>
    <w:rsid w:val="00943D09"/>
    <w:rsid w:val="00944826"/>
    <w:rsid w:val="009457A1"/>
    <w:rsid w:val="009460F1"/>
    <w:rsid w:val="00947C5D"/>
    <w:rsid w:val="00947CA9"/>
    <w:rsid w:val="00950478"/>
    <w:rsid w:val="00950888"/>
    <w:rsid w:val="00950AF9"/>
    <w:rsid w:val="00950B5F"/>
    <w:rsid w:val="00950D35"/>
    <w:rsid w:val="0095144C"/>
    <w:rsid w:val="0095165B"/>
    <w:rsid w:val="00951B17"/>
    <w:rsid w:val="00951B8D"/>
    <w:rsid w:val="00952AD5"/>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5940"/>
    <w:rsid w:val="00965A4E"/>
    <w:rsid w:val="00965B1E"/>
    <w:rsid w:val="00966BE5"/>
    <w:rsid w:val="00966EB0"/>
    <w:rsid w:val="00971116"/>
    <w:rsid w:val="00971838"/>
    <w:rsid w:val="00972E28"/>
    <w:rsid w:val="00973030"/>
    <w:rsid w:val="0097334D"/>
    <w:rsid w:val="009733F3"/>
    <w:rsid w:val="009748E4"/>
    <w:rsid w:val="00975EC7"/>
    <w:rsid w:val="00976D65"/>
    <w:rsid w:val="00977CE6"/>
    <w:rsid w:val="009807AC"/>
    <w:rsid w:val="00980C18"/>
    <w:rsid w:val="009810E9"/>
    <w:rsid w:val="0098141C"/>
    <w:rsid w:val="009816D5"/>
    <w:rsid w:val="00981AA9"/>
    <w:rsid w:val="00981C91"/>
    <w:rsid w:val="00983066"/>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2C34"/>
    <w:rsid w:val="009936C4"/>
    <w:rsid w:val="009948ED"/>
    <w:rsid w:val="00995ADA"/>
    <w:rsid w:val="0099643A"/>
    <w:rsid w:val="00997959"/>
    <w:rsid w:val="009A0BAF"/>
    <w:rsid w:val="009A1431"/>
    <w:rsid w:val="009A153D"/>
    <w:rsid w:val="009A1634"/>
    <w:rsid w:val="009A3A34"/>
    <w:rsid w:val="009A3FE2"/>
    <w:rsid w:val="009A400C"/>
    <w:rsid w:val="009A4B2C"/>
    <w:rsid w:val="009A5592"/>
    <w:rsid w:val="009A59BA"/>
    <w:rsid w:val="009A6417"/>
    <w:rsid w:val="009A64DB"/>
    <w:rsid w:val="009A6FB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3BB"/>
    <w:rsid w:val="009C4B55"/>
    <w:rsid w:val="009C5FCC"/>
    <w:rsid w:val="009C61A2"/>
    <w:rsid w:val="009C6DF6"/>
    <w:rsid w:val="009C6E92"/>
    <w:rsid w:val="009C7573"/>
    <w:rsid w:val="009D04F7"/>
    <w:rsid w:val="009D1589"/>
    <w:rsid w:val="009D2003"/>
    <w:rsid w:val="009D38C2"/>
    <w:rsid w:val="009D417F"/>
    <w:rsid w:val="009D45E5"/>
    <w:rsid w:val="009D4B85"/>
    <w:rsid w:val="009D535B"/>
    <w:rsid w:val="009D630B"/>
    <w:rsid w:val="009D6CAA"/>
    <w:rsid w:val="009D6CF6"/>
    <w:rsid w:val="009D6E69"/>
    <w:rsid w:val="009D7264"/>
    <w:rsid w:val="009E02DC"/>
    <w:rsid w:val="009E2040"/>
    <w:rsid w:val="009E49AE"/>
    <w:rsid w:val="009E4DC7"/>
    <w:rsid w:val="009E660A"/>
    <w:rsid w:val="009E6B64"/>
    <w:rsid w:val="009E72E5"/>
    <w:rsid w:val="009F08DF"/>
    <w:rsid w:val="009F1521"/>
    <w:rsid w:val="009F3F1E"/>
    <w:rsid w:val="009F46C8"/>
    <w:rsid w:val="009F4F2A"/>
    <w:rsid w:val="009F660B"/>
    <w:rsid w:val="009F671E"/>
    <w:rsid w:val="009F7ED1"/>
    <w:rsid w:val="00A0149B"/>
    <w:rsid w:val="00A01607"/>
    <w:rsid w:val="00A018D4"/>
    <w:rsid w:val="00A02B19"/>
    <w:rsid w:val="00A02F9D"/>
    <w:rsid w:val="00A03767"/>
    <w:rsid w:val="00A04834"/>
    <w:rsid w:val="00A05628"/>
    <w:rsid w:val="00A07DCF"/>
    <w:rsid w:val="00A127C1"/>
    <w:rsid w:val="00A12979"/>
    <w:rsid w:val="00A131A9"/>
    <w:rsid w:val="00A13241"/>
    <w:rsid w:val="00A1496E"/>
    <w:rsid w:val="00A14F84"/>
    <w:rsid w:val="00A16104"/>
    <w:rsid w:val="00A16D6D"/>
    <w:rsid w:val="00A17C75"/>
    <w:rsid w:val="00A211C8"/>
    <w:rsid w:val="00A2121E"/>
    <w:rsid w:val="00A21EAC"/>
    <w:rsid w:val="00A221DE"/>
    <w:rsid w:val="00A22CB2"/>
    <w:rsid w:val="00A22E69"/>
    <w:rsid w:val="00A23138"/>
    <w:rsid w:val="00A23940"/>
    <w:rsid w:val="00A23ECC"/>
    <w:rsid w:val="00A24CD3"/>
    <w:rsid w:val="00A25461"/>
    <w:rsid w:val="00A26367"/>
    <w:rsid w:val="00A2678A"/>
    <w:rsid w:val="00A269E1"/>
    <w:rsid w:val="00A270F9"/>
    <w:rsid w:val="00A27BE0"/>
    <w:rsid w:val="00A27C1C"/>
    <w:rsid w:val="00A30F6A"/>
    <w:rsid w:val="00A32AEA"/>
    <w:rsid w:val="00A32F32"/>
    <w:rsid w:val="00A33E80"/>
    <w:rsid w:val="00A33EFE"/>
    <w:rsid w:val="00A4148D"/>
    <w:rsid w:val="00A44D0E"/>
    <w:rsid w:val="00A4621D"/>
    <w:rsid w:val="00A509FB"/>
    <w:rsid w:val="00A51C19"/>
    <w:rsid w:val="00A51E04"/>
    <w:rsid w:val="00A522B5"/>
    <w:rsid w:val="00A52C31"/>
    <w:rsid w:val="00A52F37"/>
    <w:rsid w:val="00A533C5"/>
    <w:rsid w:val="00A5388C"/>
    <w:rsid w:val="00A5397B"/>
    <w:rsid w:val="00A53BE1"/>
    <w:rsid w:val="00A53D10"/>
    <w:rsid w:val="00A54644"/>
    <w:rsid w:val="00A55921"/>
    <w:rsid w:val="00A560E3"/>
    <w:rsid w:val="00A5628F"/>
    <w:rsid w:val="00A564AF"/>
    <w:rsid w:val="00A565D8"/>
    <w:rsid w:val="00A566A8"/>
    <w:rsid w:val="00A56D0B"/>
    <w:rsid w:val="00A56F60"/>
    <w:rsid w:val="00A5775C"/>
    <w:rsid w:val="00A60A53"/>
    <w:rsid w:val="00A60E72"/>
    <w:rsid w:val="00A61F0C"/>
    <w:rsid w:val="00A61FF0"/>
    <w:rsid w:val="00A62580"/>
    <w:rsid w:val="00A639A2"/>
    <w:rsid w:val="00A63AC9"/>
    <w:rsid w:val="00A64502"/>
    <w:rsid w:val="00A64B5F"/>
    <w:rsid w:val="00A65EA0"/>
    <w:rsid w:val="00A66517"/>
    <w:rsid w:val="00A6704C"/>
    <w:rsid w:val="00A67B0E"/>
    <w:rsid w:val="00A718EF"/>
    <w:rsid w:val="00A72134"/>
    <w:rsid w:val="00A726A8"/>
    <w:rsid w:val="00A72951"/>
    <w:rsid w:val="00A73505"/>
    <w:rsid w:val="00A73AB1"/>
    <w:rsid w:val="00A75E02"/>
    <w:rsid w:val="00A76E79"/>
    <w:rsid w:val="00A7771B"/>
    <w:rsid w:val="00A77B53"/>
    <w:rsid w:val="00A811F1"/>
    <w:rsid w:val="00A81627"/>
    <w:rsid w:val="00A82887"/>
    <w:rsid w:val="00A83010"/>
    <w:rsid w:val="00A83BF5"/>
    <w:rsid w:val="00A84CD1"/>
    <w:rsid w:val="00A85E2E"/>
    <w:rsid w:val="00A861F3"/>
    <w:rsid w:val="00A8728F"/>
    <w:rsid w:val="00A8756A"/>
    <w:rsid w:val="00A876C0"/>
    <w:rsid w:val="00A87F7D"/>
    <w:rsid w:val="00A905C9"/>
    <w:rsid w:val="00A906B7"/>
    <w:rsid w:val="00A9070E"/>
    <w:rsid w:val="00A91158"/>
    <w:rsid w:val="00A92DD4"/>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4AB9"/>
    <w:rsid w:val="00AA59A6"/>
    <w:rsid w:val="00AA624A"/>
    <w:rsid w:val="00AA6299"/>
    <w:rsid w:val="00AA6E05"/>
    <w:rsid w:val="00AA7E6F"/>
    <w:rsid w:val="00AB0262"/>
    <w:rsid w:val="00AB14A1"/>
    <w:rsid w:val="00AB202A"/>
    <w:rsid w:val="00AB4205"/>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FEF"/>
    <w:rsid w:val="00AC6036"/>
    <w:rsid w:val="00AC6B38"/>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B00C24"/>
    <w:rsid w:val="00B00F93"/>
    <w:rsid w:val="00B01BBE"/>
    <w:rsid w:val="00B0333E"/>
    <w:rsid w:val="00B03F92"/>
    <w:rsid w:val="00B055D8"/>
    <w:rsid w:val="00B06CD6"/>
    <w:rsid w:val="00B06EBC"/>
    <w:rsid w:val="00B07737"/>
    <w:rsid w:val="00B102A8"/>
    <w:rsid w:val="00B11520"/>
    <w:rsid w:val="00B11D2D"/>
    <w:rsid w:val="00B123F0"/>
    <w:rsid w:val="00B12891"/>
    <w:rsid w:val="00B137D3"/>
    <w:rsid w:val="00B146C1"/>
    <w:rsid w:val="00B146E7"/>
    <w:rsid w:val="00B156DF"/>
    <w:rsid w:val="00B15AA2"/>
    <w:rsid w:val="00B15ABB"/>
    <w:rsid w:val="00B16973"/>
    <w:rsid w:val="00B2036A"/>
    <w:rsid w:val="00B20404"/>
    <w:rsid w:val="00B21057"/>
    <w:rsid w:val="00B2202B"/>
    <w:rsid w:val="00B23422"/>
    <w:rsid w:val="00B24948"/>
    <w:rsid w:val="00B24CBD"/>
    <w:rsid w:val="00B24E63"/>
    <w:rsid w:val="00B255EB"/>
    <w:rsid w:val="00B25CA3"/>
    <w:rsid w:val="00B30028"/>
    <w:rsid w:val="00B31DC4"/>
    <w:rsid w:val="00B31E8D"/>
    <w:rsid w:val="00B32E87"/>
    <w:rsid w:val="00B3313B"/>
    <w:rsid w:val="00B331E8"/>
    <w:rsid w:val="00B331EA"/>
    <w:rsid w:val="00B34732"/>
    <w:rsid w:val="00B353B8"/>
    <w:rsid w:val="00B35C56"/>
    <w:rsid w:val="00B36A40"/>
    <w:rsid w:val="00B36F17"/>
    <w:rsid w:val="00B372ED"/>
    <w:rsid w:val="00B40603"/>
    <w:rsid w:val="00B40AF6"/>
    <w:rsid w:val="00B41071"/>
    <w:rsid w:val="00B425C0"/>
    <w:rsid w:val="00B42DB6"/>
    <w:rsid w:val="00B46957"/>
    <w:rsid w:val="00B47B54"/>
    <w:rsid w:val="00B50E99"/>
    <w:rsid w:val="00B51926"/>
    <w:rsid w:val="00B51F9A"/>
    <w:rsid w:val="00B54DA7"/>
    <w:rsid w:val="00B600C6"/>
    <w:rsid w:val="00B60167"/>
    <w:rsid w:val="00B60FC0"/>
    <w:rsid w:val="00B61665"/>
    <w:rsid w:val="00B61CA0"/>
    <w:rsid w:val="00B631D0"/>
    <w:rsid w:val="00B63528"/>
    <w:rsid w:val="00B63912"/>
    <w:rsid w:val="00B63DAF"/>
    <w:rsid w:val="00B63E98"/>
    <w:rsid w:val="00B65754"/>
    <w:rsid w:val="00B661AA"/>
    <w:rsid w:val="00B66242"/>
    <w:rsid w:val="00B670D3"/>
    <w:rsid w:val="00B67958"/>
    <w:rsid w:val="00B701D1"/>
    <w:rsid w:val="00B70D65"/>
    <w:rsid w:val="00B716BB"/>
    <w:rsid w:val="00B716FD"/>
    <w:rsid w:val="00B71B56"/>
    <w:rsid w:val="00B734C2"/>
    <w:rsid w:val="00B73BDA"/>
    <w:rsid w:val="00B74053"/>
    <w:rsid w:val="00B765A0"/>
    <w:rsid w:val="00B76C02"/>
    <w:rsid w:val="00B770EA"/>
    <w:rsid w:val="00B77BD2"/>
    <w:rsid w:val="00B814CB"/>
    <w:rsid w:val="00B81B6A"/>
    <w:rsid w:val="00B820F4"/>
    <w:rsid w:val="00B83295"/>
    <w:rsid w:val="00B835E0"/>
    <w:rsid w:val="00B8396D"/>
    <w:rsid w:val="00B850DB"/>
    <w:rsid w:val="00B857A7"/>
    <w:rsid w:val="00B90331"/>
    <w:rsid w:val="00B903ED"/>
    <w:rsid w:val="00B90B2D"/>
    <w:rsid w:val="00B935A1"/>
    <w:rsid w:val="00B95BDD"/>
    <w:rsid w:val="00B95DAD"/>
    <w:rsid w:val="00B96C0C"/>
    <w:rsid w:val="00B9734D"/>
    <w:rsid w:val="00B97732"/>
    <w:rsid w:val="00BA1682"/>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07E1"/>
    <w:rsid w:val="00BC1F79"/>
    <w:rsid w:val="00BC2201"/>
    <w:rsid w:val="00BC3C7A"/>
    <w:rsid w:val="00BC7DC6"/>
    <w:rsid w:val="00BD1039"/>
    <w:rsid w:val="00BD13B5"/>
    <w:rsid w:val="00BD2EFC"/>
    <w:rsid w:val="00BD340E"/>
    <w:rsid w:val="00BD60AD"/>
    <w:rsid w:val="00BD673F"/>
    <w:rsid w:val="00BD6C02"/>
    <w:rsid w:val="00BE1244"/>
    <w:rsid w:val="00BE165D"/>
    <w:rsid w:val="00BE2394"/>
    <w:rsid w:val="00BE2702"/>
    <w:rsid w:val="00BE37FB"/>
    <w:rsid w:val="00BE4326"/>
    <w:rsid w:val="00BE481B"/>
    <w:rsid w:val="00BE5F4F"/>
    <w:rsid w:val="00BE60DB"/>
    <w:rsid w:val="00BE716D"/>
    <w:rsid w:val="00BF0191"/>
    <w:rsid w:val="00BF13EC"/>
    <w:rsid w:val="00BF1C07"/>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2A75"/>
    <w:rsid w:val="00C2325C"/>
    <w:rsid w:val="00C239ED"/>
    <w:rsid w:val="00C23ECE"/>
    <w:rsid w:val="00C24D9D"/>
    <w:rsid w:val="00C25CF3"/>
    <w:rsid w:val="00C263E9"/>
    <w:rsid w:val="00C2775A"/>
    <w:rsid w:val="00C3063A"/>
    <w:rsid w:val="00C30BAD"/>
    <w:rsid w:val="00C31E8F"/>
    <w:rsid w:val="00C335DA"/>
    <w:rsid w:val="00C33D3E"/>
    <w:rsid w:val="00C3501B"/>
    <w:rsid w:val="00C362E0"/>
    <w:rsid w:val="00C36ED4"/>
    <w:rsid w:val="00C376CC"/>
    <w:rsid w:val="00C400F7"/>
    <w:rsid w:val="00C40EC6"/>
    <w:rsid w:val="00C419AD"/>
    <w:rsid w:val="00C41B5F"/>
    <w:rsid w:val="00C437BA"/>
    <w:rsid w:val="00C44395"/>
    <w:rsid w:val="00C443B3"/>
    <w:rsid w:val="00C45CE8"/>
    <w:rsid w:val="00C46F06"/>
    <w:rsid w:val="00C474DD"/>
    <w:rsid w:val="00C47DA6"/>
    <w:rsid w:val="00C5054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0FDF"/>
    <w:rsid w:val="00C61F3A"/>
    <w:rsid w:val="00C629CB"/>
    <w:rsid w:val="00C62B75"/>
    <w:rsid w:val="00C64F62"/>
    <w:rsid w:val="00C657B5"/>
    <w:rsid w:val="00C661E1"/>
    <w:rsid w:val="00C66686"/>
    <w:rsid w:val="00C678C4"/>
    <w:rsid w:val="00C71215"/>
    <w:rsid w:val="00C7216B"/>
    <w:rsid w:val="00C727BE"/>
    <w:rsid w:val="00C732A9"/>
    <w:rsid w:val="00C73448"/>
    <w:rsid w:val="00C73E2E"/>
    <w:rsid w:val="00C74546"/>
    <w:rsid w:val="00C748E2"/>
    <w:rsid w:val="00C7776C"/>
    <w:rsid w:val="00C81AB7"/>
    <w:rsid w:val="00C8398D"/>
    <w:rsid w:val="00C84BC2"/>
    <w:rsid w:val="00C85139"/>
    <w:rsid w:val="00C85657"/>
    <w:rsid w:val="00C87334"/>
    <w:rsid w:val="00C916B2"/>
    <w:rsid w:val="00C91C88"/>
    <w:rsid w:val="00C939C3"/>
    <w:rsid w:val="00C94228"/>
    <w:rsid w:val="00C96D56"/>
    <w:rsid w:val="00C977E6"/>
    <w:rsid w:val="00CA0020"/>
    <w:rsid w:val="00CA0B2E"/>
    <w:rsid w:val="00CA18CA"/>
    <w:rsid w:val="00CA2557"/>
    <w:rsid w:val="00CA4C99"/>
    <w:rsid w:val="00CA5413"/>
    <w:rsid w:val="00CA5674"/>
    <w:rsid w:val="00CA5BDA"/>
    <w:rsid w:val="00CA5C1A"/>
    <w:rsid w:val="00CA633F"/>
    <w:rsid w:val="00CA641E"/>
    <w:rsid w:val="00CA7558"/>
    <w:rsid w:val="00CA785F"/>
    <w:rsid w:val="00CA792A"/>
    <w:rsid w:val="00CA7949"/>
    <w:rsid w:val="00CB0400"/>
    <w:rsid w:val="00CB0C6E"/>
    <w:rsid w:val="00CB0C89"/>
    <w:rsid w:val="00CB1E56"/>
    <w:rsid w:val="00CB226B"/>
    <w:rsid w:val="00CB229B"/>
    <w:rsid w:val="00CB33B4"/>
    <w:rsid w:val="00CB3D93"/>
    <w:rsid w:val="00CB4441"/>
    <w:rsid w:val="00CB4B1A"/>
    <w:rsid w:val="00CB4E1D"/>
    <w:rsid w:val="00CB4E1F"/>
    <w:rsid w:val="00CB5980"/>
    <w:rsid w:val="00CC152E"/>
    <w:rsid w:val="00CC2493"/>
    <w:rsid w:val="00CC3222"/>
    <w:rsid w:val="00CC35F1"/>
    <w:rsid w:val="00CC35FF"/>
    <w:rsid w:val="00CD0E6E"/>
    <w:rsid w:val="00CD23AE"/>
    <w:rsid w:val="00CD27DF"/>
    <w:rsid w:val="00CD2D8A"/>
    <w:rsid w:val="00CD3BAC"/>
    <w:rsid w:val="00CD3FF2"/>
    <w:rsid w:val="00CD455F"/>
    <w:rsid w:val="00CD4A65"/>
    <w:rsid w:val="00CD531F"/>
    <w:rsid w:val="00CD6FA3"/>
    <w:rsid w:val="00CD779A"/>
    <w:rsid w:val="00CD7D66"/>
    <w:rsid w:val="00CE2184"/>
    <w:rsid w:val="00CE2E13"/>
    <w:rsid w:val="00CE3B7F"/>
    <w:rsid w:val="00CE3FA2"/>
    <w:rsid w:val="00CE41A0"/>
    <w:rsid w:val="00CE4958"/>
    <w:rsid w:val="00CE68E2"/>
    <w:rsid w:val="00CE706E"/>
    <w:rsid w:val="00CE70B1"/>
    <w:rsid w:val="00CE70BC"/>
    <w:rsid w:val="00CE7AE4"/>
    <w:rsid w:val="00CF0A4C"/>
    <w:rsid w:val="00CF150A"/>
    <w:rsid w:val="00CF1B2E"/>
    <w:rsid w:val="00CF2225"/>
    <w:rsid w:val="00CF25E7"/>
    <w:rsid w:val="00CF2B36"/>
    <w:rsid w:val="00CF3C77"/>
    <w:rsid w:val="00CF45A2"/>
    <w:rsid w:val="00CF52E7"/>
    <w:rsid w:val="00CF5ED9"/>
    <w:rsid w:val="00CF64B5"/>
    <w:rsid w:val="00CF74DB"/>
    <w:rsid w:val="00CF7853"/>
    <w:rsid w:val="00CF7EE2"/>
    <w:rsid w:val="00D004ED"/>
    <w:rsid w:val="00D0260F"/>
    <w:rsid w:val="00D03708"/>
    <w:rsid w:val="00D06776"/>
    <w:rsid w:val="00D06E46"/>
    <w:rsid w:val="00D06F95"/>
    <w:rsid w:val="00D1158C"/>
    <w:rsid w:val="00D11600"/>
    <w:rsid w:val="00D119A2"/>
    <w:rsid w:val="00D12E31"/>
    <w:rsid w:val="00D137F9"/>
    <w:rsid w:val="00D1458C"/>
    <w:rsid w:val="00D146FA"/>
    <w:rsid w:val="00D1620E"/>
    <w:rsid w:val="00D16867"/>
    <w:rsid w:val="00D16EEC"/>
    <w:rsid w:val="00D17115"/>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4E56"/>
    <w:rsid w:val="00D34EAB"/>
    <w:rsid w:val="00D350E5"/>
    <w:rsid w:val="00D36887"/>
    <w:rsid w:val="00D37563"/>
    <w:rsid w:val="00D3780A"/>
    <w:rsid w:val="00D379EB"/>
    <w:rsid w:val="00D400B8"/>
    <w:rsid w:val="00D4022C"/>
    <w:rsid w:val="00D40CB2"/>
    <w:rsid w:val="00D41023"/>
    <w:rsid w:val="00D41C6C"/>
    <w:rsid w:val="00D42465"/>
    <w:rsid w:val="00D42E5B"/>
    <w:rsid w:val="00D439D1"/>
    <w:rsid w:val="00D43C68"/>
    <w:rsid w:val="00D444B2"/>
    <w:rsid w:val="00D45358"/>
    <w:rsid w:val="00D453E4"/>
    <w:rsid w:val="00D46E7B"/>
    <w:rsid w:val="00D47226"/>
    <w:rsid w:val="00D50B21"/>
    <w:rsid w:val="00D51349"/>
    <w:rsid w:val="00D527AF"/>
    <w:rsid w:val="00D529E1"/>
    <w:rsid w:val="00D534C2"/>
    <w:rsid w:val="00D5410F"/>
    <w:rsid w:val="00D564DF"/>
    <w:rsid w:val="00D576DD"/>
    <w:rsid w:val="00D57CB4"/>
    <w:rsid w:val="00D61477"/>
    <w:rsid w:val="00D619E2"/>
    <w:rsid w:val="00D61A4A"/>
    <w:rsid w:val="00D62036"/>
    <w:rsid w:val="00D620CC"/>
    <w:rsid w:val="00D634B8"/>
    <w:rsid w:val="00D63EF3"/>
    <w:rsid w:val="00D64441"/>
    <w:rsid w:val="00D64FB0"/>
    <w:rsid w:val="00D65497"/>
    <w:rsid w:val="00D654DA"/>
    <w:rsid w:val="00D6609E"/>
    <w:rsid w:val="00D66C6C"/>
    <w:rsid w:val="00D67A9F"/>
    <w:rsid w:val="00D67C20"/>
    <w:rsid w:val="00D70C1B"/>
    <w:rsid w:val="00D70E5C"/>
    <w:rsid w:val="00D7146C"/>
    <w:rsid w:val="00D718CD"/>
    <w:rsid w:val="00D72A91"/>
    <w:rsid w:val="00D730C8"/>
    <w:rsid w:val="00D7416F"/>
    <w:rsid w:val="00D755F2"/>
    <w:rsid w:val="00D75B2D"/>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359F"/>
    <w:rsid w:val="00D94213"/>
    <w:rsid w:val="00D94BEB"/>
    <w:rsid w:val="00D94EA5"/>
    <w:rsid w:val="00D95F32"/>
    <w:rsid w:val="00D96A52"/>
    <w:rsid w:val="00D979FC"/>
    <w:rsid w:val="00DA024A"/>
    <w:rsid w:val="00DA07EE"/>
    <w:rsid w:val="00DA0A58"/>
    <w:rsid w:val="00DA16B6"/>
    <w:rsid w:val="00DA1C85"/>
    <w:rsid w:val="00DA1CC9"/>
    <w:rsid w:val="00DA2563"/>
    <w:rsid w:val="00DA2871"/>
    <w:rsid w:val="00DA2E58"/>
    <w:rsid w:val="00DA328E"/>
    <w:rsid w:val="00DA3AA6"/>
    <w:rsid w:val="00DA46C1"/>
    <w:rsid w:val="00DA70DD"/>
    <w:rsid w:val="00DA74D5"/>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490"/>
    <w:rsid w:val="00DD686C"/>
    <w:rsid w:val="00DD6E86"/>
    <w:rsid w:val="00DD7FB9"/>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2B5C"/>
    <w:rsid w:val="00E0319A"/>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034"/>
    <w:rsid w:val="00E31367"/>
    <w:rsid w:val="00E3181C"/>
    <w:rsid w:val="00E32EF3"/>
    <w:rsid w:val="00E33E21"/>
    <w:rsid w:val="00E34BC4"/>
    <w:rsid w:val="00E3540C"/>
    <w:rsid w:val="00E36187"/>
    <w:rsid w:val="00E36220"/>
    <w:rsid w:val="00E36332"/>
    <w:rsid w:val="00E36C9B"/>
    <w:rsid w:val="00E37638"/>
    <w:rsid w:val="00E37E9D"/>
    <w:rsid w:val="00E41B71"/>
    <w:rsid w:val="00E42569"/>
    <w:rsid w:val="00E434A0"/>
    <w:rsid w:val="00E448E7"/>
    <w:rsid w:val="00E44D30"/>
    <w:rsid w:val="00E4597F"/>
    <w:rsid w:val="00E4698D"/>
    <w:rsid w:val="00E46CB7"/>
    <w:rsid w:val="00E4723D"/>
    <w:rsid w:val="00E5077C"/>
    <w:rsid w:val="00E50EC8"/>
    <w:rsid w:val="00E5159B"/>
    <w:rsid w:val="00E515C6"/>
    <w:rsid w:val="00E52E0D"/>
    <w:rsid w:val="00E52FE2"/>
    <w:rsid w:val="00E54629"/>
    <w:rsid w:val="00E54715"/>
    <w:rsid w:val="00E54AE7"/>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39F"/>
    <w:rsid w:val="00E67556"/>
    <w:rsid w:val="00E7252F"/>
    <w:rsid w:val="00E73FC2"/>
    <w:rsid w:val="00E74481"/>
    <w:rsid w:val="00E74517"/>
    <w:rsid w:val="00E755D7"/>
    <w:rsid w:val="00E7566D"/>
    <w:rsid w:val="00E767FE"/>
    <w:rsid w:val="00E76E91"/>
    <w:rsid w:val="00E774B4"/>
    <w:rsid w:val="00E778F5"/>
    <w:rsid w:val="00E80E7C"/>
    <w:rsid w:val="00E81779"/>
    <w:rsid w:val="00E8205B"/>
    <w:rsid w:val="00E82444"/>
    <w:rsid w:val="00E8341C"/>
    <w:rsid w:val="00E8602B"/>
    <w:rsid w:val="00E868A9"/>
    <w:rsid w:val="00E86B5F"/>
    <w:rsid w:val="00E87D05"/>
    <w:rsid w:val="00E91A52"/>
    <w:rsid w:val="00E91EF3"/>
    <w:rsid w:val="00E91F96"/>
    <w:rsid w:val="00E92E99"/>
    <w:rsid w:val="00E933A3"/>
    <w:rsid w:val="00E9488A"/>
    <w:rsid w:val="00E968FD"/>
    <w:rsid w:val="00E96D55"/>
    <w:rsid w:val="00E97993"/>
    <w:rsid w:val="00EA0D5D"/>
    <w:rsid w:val="00EA1192"/>
    <w:rsid w:val="00EA153F"/>
    <w:rsid w:val="00EA2788"/>
    <w:rsid w:val="00EA2C6E"/>
    <w:rsid w:val="00EA444A"/>
    <w:rsid w:val="00EA4964"/>
    <w:rsid w:val="00EA4F1A"/>
    <w:rsid w:val="00EB02DE"/>
    <w:rsid w:val="00EB0A07"/>
    <w:rsid w:val="00EB11C4"/>
    <w:rsid w:val="00EB1B69"/>
    <w:rsid w:val="00EB1C78"/>
    <w:rsid w:val="00EB3B46"/>
    <w:rsid w:val="00EB4F08"/>
    <w:rsid w:val="00EC2E07"/>
    <w:rsid w:val="00EC43C7"/>
    <w:rsid w:val="00EC465D"/>
    <w:rsid w:val="00EC5C89"/>
    <w:rsid w:val="00EC66D2"/>
    <w:rsid w:val="00EC67E7"/>
    <w:rsid w:val="00ED0A1B"/>
    <w:rsid w:val="00ED1A20"/>
    <w:rsid w:val="00ED21BC"/>
    <w:rsid w:val="00ED25B6"/>
    <w:rsid w:val="00ED2FEC"/>
    <w:rsid w:val="00ED3F11"/>
    <w:rsid w:val="00ED3F67"/>
    <w:rsid w:val="00ED440A"/>
    <w:rsid w:val="00ED5B84"/>
    <w:rsid w:val="00ED7971"/>
    <w:rsid w:val="00EE0748"/>
    <w:rsid w:val="00EE07ED"/>
    <w:rsid w:val="00EE29A0"/>
    <w:rsid w:val="00EE2CEA"/>
    <w:rsid w:val="00EE3365"/>
    <w:rsid w:val="00EE48DF"/>
    <w:rsid w:val="00EE4AB3"/>
    <w:rsid w:val="00EE7405"/>
    <w:rsid w:val="00EF033E"/>
    <w:rsid w:val="00EF06EC"/>
    <w:rsid w:val="00EF14FF"/>
    <w:rsid w:val="00EF2BFE"/>
    <w:rsid w:val="00EF2D85"/>
    <w:rsid w:val="00EF402C"/>
    <w:rsid w:val="00EF45E0"/>
    <w:rsid w:val="00EF4E6F"/>
    <w:rsid w:val="00EF5C82"/>
    <w:rsid w:val="00EF7A15"/>
    <w:rsid w:val="00EF7E61"/>
    <w:rsid w:val="00F01A2D"/>
    <w:rsid w:val="00F01F8C"/>
    <w:rsid w:val="00F035A6"/>
    <w:rsid w:val="00F04AD0"/>
    <w:rsid w:val="00F04B9C"/>
    <w:rsid w:val="00F07141"/>
    <w:rsid w:val="00F10033"/>
    <w:rsid w:val="00F10848"/>
    <w:rsid w:val="00F10B68"/>
    <w:rsid w:val="00F10DF3"/>
    <w:rsid w:val="00F11F55"/>
    <w:rsid w:val="00F12DEC"/>
    <w:rsid w:val="00F13151"/>
    <w:rsid w:val="00F15523"/>
    <w:rsid w:val="00F16391"/>
    <w:rsid w:val="00F2062B"/>
    <w:rsid w:val="00F21A18"/>
    <w:rsid w:val="00F21E61"/>
    <w:rsid w:val="00F220EA"/>
    <w:rsid w:val="00F222CD"/>
    <w:rsid w:val="00F22BD8"/>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248A"/>
    <w:rsid w:val="00F4315F"/>
    <w:rsid w:val="00F436C8"/>
    <w:rsid w:val="00F445F6"/>
    <w:rsid w:val="00F4512F"/>
    <w:rsid w:val="00F45763"/>
    <w:rsid w:val="00F45BCF"/>
    <w:rsid w:val="00F45BEA"/>
    <w:rsid w:val="00F45CFE"/>
    <w:rsid w:val="00F46877"/>
    <w:rsid w:val="00F47F3E"/>
    <w:rsid w:val="00F50FDE"/>
    <w:rsid w:val="00F523D7"/>
    <w:rsid w:val="00F530E6"/>
    <w:rsid w:val="00F532C7"/>
    <w:rsid w:val="00F54EE5"/>
    <w:rsid w:val="00F55358"/>
    <w:rsid w:val="00F55FD8"/>
    <w:rsid w:val="00F5603C"/>
    <w:rsid w:val="00F5605C"/>
    <w:rsid w:val="00F564B9"/>
    <w:rsid w:val="00F56801"/>
    <w:rsid w:val="00F57909"/>
    <w:rsid w:val="00F600A2"/>
    <w:rsid w:val="00F612D6"/>
    <w:rsid w:val="00F63400"/>
    <w:rsid w:val="00F636C6"/>
    <w:rsid w:val="00F6433D"/>
    <w:rsid w:val="00F6573E"/>
    <w:rsid w:val="00F662EB"/>
    <w:rsid w:val="00F67606"/>
    <w:rsid w:val="00F70327"/>
    <w:rsid w:val="00F7084F"/>
    <w:rsid w:val="00F70FEF"/>
    <w:rsid w:val="00F7241F"/>
    <w:rsid w:val="00F72FA8"/>
    <w:rsid w:val="00F75415"/>
    <w:rsid w:val="00F75645"/>
    <w:rsid w:val="00F773F9"/>
    <w:rsid w:val="00F77A49"/>
    <w:rsid w:val="00F8101C"/>
    <w:rsid w:val="00F817B9"/>
    <w:rsid w:val="00F81CB7"/>
    <w:rsid w:val="00F82280"/>
    <w:rsid w:val="00F8235F"/>
    <w:rsid w:val="00F825DA"/>
    <w:rsid w:val="00F83A22"/>
    <w:rsid w:val="00F83A97"/>
    <w:rsid w:val="00F844F0"/>
    <w:rsid w:val="00F84895"/>
    <w:rsid w:val="00F84E9D"/>
    <w:rsid w:val="00F8659E"/>
    <w:rsid w:val="00F86CE4"/>
    <w:rsid w:val="00F86F42"/>
    <w:rsid w:val="00F8782B"/>
    <w:rsid w:val="00F91941"/>
    <w:rsid w:val="00F91A74"/>
    <w:rsid w:val="00F92E3F"/>
    <w:rsid w:val="00F938D2"/>
    <w:rsid w:val="00F96389"/>
    <w:rsid w:val="00F9650E"/>
    <w:rsid w:val="00F96B73"/>
    <w:rsid w:val="00F977C7"/>
    <w:rsid w:val="00FA0890"/>
    <w:rsid w:val="00FA164A"/>
    <w:rsid w:val="00FA3F3E"/>
    <w:rsid w:val="00FA4272"/>
    <w:rsid w:val="00FA449F"/>
    <w:rsid w:val="00FA4855"/>
    <w:rsid w:val="00FA4ACD"/>
    <w:rsid w:val="00FA5841"/>
    <w:rsid w:val="00FA6428"/>
    <w:rsid w:val="00FA7144"/>
    <w:rsid w:val="00FA7184"/>
    <w:rsid w:val="00FB1D9D"/>
    <w:rsid w:val="00FB27A6"/>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4523"/>
    <w:rsid w:val="00FC5252"/>
    <w:rsid w:val="00FC6356"/>
    <w:rsid w:val="00FC7D01"/>
    <w:rsid w:val="00FD0130"/>
    <w:rsid w:val="00FD0373"/>
    <w:rsid w:val="00FD0582"/>
    <w:rsid w:val="00FD0AC5"/>
    <w:rsid w:val="00FD0C93"/>
    <w:rsid w:val="00FD1062"/>
    <w:rsid w:val="00FD2589"/>
    <w:rsid w:val="00FD4876"/>
    <w:rsid w:val="00FD52A3"/>
    <w:rsid w:val="00FD61C4"/>
    <w:rsid w:val="00FD68D4"/>
    <w:rsid w:val="00FE00D9"/>
    <w:rsid w:val="00FE1186"/>
    <w:rsid w:val="00FE177A"/>
    <w:rsid w:val="00FE240A"/>
    <w:rsid w:val="00FE3C7E"/>
    <w:rsid w:val="00FE3E3C"/>
    <w:rsid w:val="00FE43E7"/>
    <w:rsid w:val="00FE4B66"/>
    <w:rsid w:val="00FE4F6E"/>
    <w:rsid w:val="00FE583F"/>
    <w:rsid w:val="00FE5CC4"/>
    <w:rsid w:val="00FE6B13"/>
    <w:rsid w:val="00FE7575"/>
    <w:rsid w:val="00FF1070"/>
    <w:rsid w:val="00FF13E2"/>
    <w:rsid w:val="00FF2237"/>
    <w:rsid w:val="00FF46F0"/>
    <w:rsid w:val="00FF4953"/>
    <w:rsid w:val="00FF4D54"/>
    <w:rsid w:val="00FF56D9"/>
    <w:rsid w:val="00FF5EDF"/>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A9B895"/>
  <w15:docId w15:val="{2C685321-652A-4CFF-8513-4FFC6B54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C4"/>
    <w:pPr>
      <w:jc w:val="both"/>
    </w:pPr>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20"/>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pPr>
    <w:rPr>
      <w:sz w:val="28"/>
      <w:szCs w:val="28"/>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nhideWhenUsed/>
    <w:qFormat/>
    <w:rsid w:val="00FE43E7"/>
    <w:rPr>
      <w:sz w:val="20"/>
      <w:szCs w:val="20"/>
    </w:rPr>
  </w:style>
  <w:style w:type="character" w:customStyle="1" w:styleId="CommentTextChar">
    <w:name w:val="Comment Text Char"/>
    <w:basedOn w:val="DefaultParagraphFont"/>
    <w:link w:val="CommentText"/>
    <w:qFormat/>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ListParagraphChar">
    <w:name w:val="List Paragraph Char"/>
    <w:aliases w:val="2 Char,Strip Char"/>
    <w:link w:val="ListParagraph"/>
    <w:uiPriority w:val="34"/>
    <w:locked/>
    <w:rsid w:val="00555ACB"/>
    <w:rPr>
      <w:rFonts w:ascii="Calibri" w:hAnsi="Calibri"/>
      <w:sz w:val="22"/>
      <w:szCs w:val="22"/>
      <w:lang w:eastAsia="en-US"/>
    </w:r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C"/>
    <w:basedOn w:val="Normal"/>
    <w:link w:val="FootnoteTextChar"/>
    <w:rsid w:val="00097A10"/>
    <w:pPr>
      <w:jc w:val="left"/>
    </w:pPr>
    <w:rPr>
      <w:sz w:val="20"/>
      <w:szCs w:val="20"/>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C Char"/>
    <w:basedOn w:val="DefaultParagraphFont"/>
    <w:link w:val="FootnoteText"/>
    <w:rsid w:val="00097A10"/>
  </w:style>
  <w:style w:type="character" w:styleId="FootnoteReference">
    <w:name w:val="footnote reference"/>
    <w:aliases w:val="Footnote Reference Number,Footnote symbol,SUPERS,ftref,Footnote Reference Superscript,Footnote Refernece,Odwołanie przypisu,BVI fnr,Footnotes refss,Ref,de nota al pie,-E Fußnotenzeichen,Footnote reference number,Times 10 Point,E,E FNZ"/>
    <w:uiPriority w:val="99"/>
    <w:rsid w:val="00097A10"/>
    <w:rPr>
      <w:vertAlign w:val="superscript"/>
    </w:rPr>
  </w:style>
  <w:style w:type="character" w:customStyle="1" w:styleId="normaltextrun">
    <w:name w:val="normaltextrun"/>
    <w:rsid w:val="00346001"/>
  </w:style>
  <w:style w:type="paragraph" w:styleId="NoSpacing">
    <w:name w:val="No Spacing"/>
    <w:uiPriority w:val="1"/>
    <w:qFormat/>
    <w:rsid w:val="006E497C"/>
    <w:rPr>
      <w:rFonts w:ascii="Calibri" w:eastAsia="Calibri" w:hAnsi="Calibri"/>
      <w:sz w:val="22"/>
      <w:szCs w:val="22"/>
      <w:lang w:eastAsia="en-US"/>
    </w:rPr>
  </w:style>
  <w:style w:type="paragraph" w:customStyle="1" w:styleId="paragraph">
    <w:name w:val="paragraph"/>
    <w:basedOn w:val="Normal"/>
    <w:rsid w:val="006067A8"/>
    <w:pPr>
      <w:spacing w:before="100" w:beforeAutospacing="1" w:after="100" w:afterAutospacing="1"/>
      <w:jc w:val="left"/>
    </w:pPr>
  </w:style>
  <w:style w:type="character" w:customStyle="1" w:styleId="eop">
    <w:name w:val="eop"/>
    <w:rsid w:val="006067A8"/>
  </w:style>
  <w:style w:type="character" w:customStyle="1" w:styleId="spellingerror">
    <w:name w:val="spellingerror"/>
    <w:rsid w:val="00EA444A"/>
  </w:style>
  <w:style w:type="paragraph" w:customStyle="1" w:styleId="norm">
    <w:name w:val="norm"/>
    <w:basedOn w:val="Normal"/>
    <w:rsid w:val="00282164"/>
    <w:pPr>
      <w:spacing w:before="100" w:beforeAutospacing="1" w:after="100" w:afterAutospacing="1"/>
      <w:jc w:val="left"/>
    </w:pPr>
  </w:style>
  <w:style w:type="character" w:customStyle="1" w:styleId="apple-converted-space">
    <w:name w:val="apple-converted-space"/>
    <w:basedOn w:val="DefaultParagraphFont"/>
    <w:rsid w:val="001D6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1158593">
      <w:bodyDiv w:val="1"/>
      <w:marLeft w:val="0"/>
      <w:marRight w:val="0"/>
      <w:marTop w:val="0"/>
      <w:marBottom w:val="0"/>
      <w:divBdr>
        <w:top w:val="none" w:sz="0" w:space="0" w:color="auto"/>
        <w:left w:val="none" w:sz="0" w:space="0" w:color="auto"/>
        <w:bottom w:val="none" w:sz="0" w:space="0" w:color="auto"/>
        <w:right w:val="none" w:sz="0" w:space="0" w:color="auto"/>
      </w:divBdr>
      <w:divsChild>
        <w:div w:id="1714579117">
          <w:marLeft w:val="840"/>
          <w:marRight w:val="0"/>
          <w:marTop w:val="0"/>
          <w:marBottom w:val="0"/>
          <w:divBdr>
            <w:top w:val="none" w:sz="0" w:space="0" w:color="auto"/>
            <w:left w:val="none" w:sz="0" w:space="0" w:color="auto"/>
            <w:bottom w:val="none" w:sz="0" w:space="0" w:color="auto"/>
            <w:right w:val="none" w:sz="0" w:space="0" w:color="auto"/>
          </w:divBdr>
        </w:div>
        <w:div w:id="852690653">
          <w:marLeft w:val="480"/>
          <w:marRight w:val="0"/>
          <w:marTop w:val="0"/>
          <w:marBottom w:val="0"/>
          <w:divBdr>
            <w:top w:val="none" w:sz="0" w:space="0" w:color="auto"/>
            <w:left w:val="none" w:sz="0" w:space="0" w:color="auto"/>
            <w:bottom w:val="none" w:sz="0" w:space="0" w:color="auto"/>
            <w:right w:val="none" w:sz="0" w:space="0" w:color="auto"/>
          </w:divBdr>
        </w:div>
        <w:div w:id="1273975462">
          <w:marLeft w:val="480"/>
          <w:marRight w:val="0"/>
          <w:marTop w:val="0"/>
          <w:marBottom w:val="0"/>
          <w:divBdr>
            <w:top w:val="none" w:sz="0" w:space="0" w:color="auto"/>
            <w:left w:val="none" w:sz="0" w:space="0" w:color="auto"/>
            <w:bottom w:val="none" w:sz="0" w:space="0" w:color="auto"/>
            <w:right w:val="none" w:sz="0" w:space="0" w:color="auto"/>
          </w:divBdr>
        </w:div>
        <w:div w:id="958025864">
          <w:marLeft w:val="48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825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ALL/?uri=SWD:2013:448:F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ase.gov.lv/metodika/diskonta-likm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C7596-E263-4C1F-BC00-2497CE25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1381</TotalTime>
  <Pages>49</Pages>
  <Words>11163</Words>
  <Characters>81996</Characters>
  <Application>Microsoft Office Word</Application>
  <DocSecurity>0</DocSecurity>
  <Lines>683</Lines>
  <Paragraphs>185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92974</CharactersWithSpaces>
  <SharedDoc>false</SharedDoc>
  <HLinks>
    <vt:vector size="12" baseType="variant">
      <vt:variant>
        <vt:i4>4522006</vt:i4>
      </vt:variant>
      <vt:variant>
        <vt:i4>3</vt:i4>
      </vt:variant>
      <vt:variant>
        <vt:i4>0</vt:i4>
      </vt:variant>
      <vt:variant>
        <vt:i4>5</vt:i4>
      </vt:variant>
      <vt:variant>
        <vt:lpwstr>https://em.gov.lv/lv/Ministrija/sabiedribas_lidzdaliba/diskusiju_dokumenti/</vt:lpwstr>
      </vt:variant>
      <vt:variant>
        <vt:lpwstr/>
      </vt:variant>
      <vt:variant>
        <vt:i4>3473509</vt:i4>
      </vt:variant>
      <vt:variant>
        <vt:i4>0</vt:i4>
      </vt:variant>
      <vt:variant>
        <vt:i4>0</vt:i4>
      </vt:variant>
      <vt:variant>
        <vt:i4>5</vt:i4>
      </vt:variant>
      <vt:variant>
        <vt:lpwstr>http://tap.mk.gov.lv/doc/2005/EMAnot_080411_parvreg.1016.doc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Ieva Kārkliņa</cp:lastModifiedBy>
  <cp:revision>15</cp:revision>
  <cp:lastPrinted>2009-04-08T08:39:00Z</cp:lastPrinted>
  <dcterms:created xsi:type="dcterms:W3CDTF">2020-05-13T13:20:00Z</dcterms:created>
  <dcterms:modified xsi:type="dcterms:W3CDTF">2020-06-29T08:43:00Z</dcterms:modified>
</cp:coreProperties>
</file>