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112C" w14:textId="77777777" w:rsidR="002768EB" w:rsidRPr="0074581D" w:rsidRDefault="002768EB" w:rsidP="002768EB">
      <w:pPr>
        <w:pStyle w:val="NoSpacing"/>
        <w:contextual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74581D">
        <w:rPr>
          <w:rFonts w:ascii="Times New Roman" w:hAnsi="Times New Roman" w:cs="Times New Roman"/>
          <w:b/>
          <w:bCs/>
          <w:sz w:val="24"/>
          <w:szCs w:val="24"/>
          <w:lang w:eastAsia="lv-LV"/>
        </w:rPr>
        <w:t>Izziņa par atzinumos sniegtajiem iebildumiem</w:t>
      </w:r>
      <w:bookmarkEnd w:id="0"/>
      <w:bookmarkEnd w:id="1"/>
    </w:p>
    <w:p w14:paraId="4105A8B7" w14:textId="77777777" w:rsidR="002768EB" w:rsidRPr="0074581D" w:rsidRDefault="002768EB" w:rsidP="002768EB">
      <w:pPr>
        <w:spacing w:after="0" w:line="240" w:lineRule="auto"/>
        <w:ind w:right="543"/>
        <w:contextualSpacing/>
        <w:jc w:val="right"/>
        <w:rPr>
          <w:rFonts w:ascii="Times New Roman" w:eastAsia="Times New Roman" w:hAnsi="Times New Roman" w:cs="Times New Roman"/>
          <w:sz w:val="24"/>
          <w:szCs w:val="24"/>
          <w:lang w:eastAsia="lv-LV"/>
        </w:rPr>
      </w:pPr>
    </w:p>
    <w:bookmarkEnd w:id="2"/>
    <w:bookmarkEnd w:id="3"/>
    <w:bookmarkEnd w:id="4"/>
    <w:tbl>
      <w:tblPr>
        <w:tblW w:w="0" w:type="auto"/>
        <w:jc w:val="center"/>
        <w:tblLook w:val="00A0" w:firstRow="1" w:lastRow="0" w:firstColumn="1" w:lastColumn="0" w:noHBand="0" w:noVBand="0"/>
      </w:tblPr>
      <w:tblGrid>
        <w:gridCol w:w="13817"/>
      </w:tblGrid>
      <w:tr w:rsidR="002768EB" w:rsidRPr="00727920" w14:paraId="6CE6F260" w14:textId="77777777" w:rsidTr="00463E28">
        <w:trPr>
          <w:trHeight w:val="656"/>
          <w:jc w:val="center"/>
        </w:trPr>
        <w:tc>
          <w:tcPr>
            <w:tcW w:w="13817" w:type="dxa"/>
            <w:tcBorders>
              <w:top w:val="nil"/>
              <w:left w:val="nil"/>
              <w:bottom w:val="single" w:sz="6" w:space="0" w:color="000000"/>
              <w:right w:val="nil"/>
            </w:tcBorders>
            <w:hideMark/>
          </w:tcPr>
          <w:p w14:paraId="11264555" w14:textId="77777777" w:rsidR="002768EB" w:rsidRPr="0074581D" w:rsidRDefault="002768EB" w:rsidP="00463E28">
            <w:pPr>
              <w:spacing w:after="0" w:line="240" w:lineRule="auto"/>
              <w:contextualSpacing/>
              <w:jc w:val="right"/>
              <w:rPr>
                <w:rFonts w:ascii="Times New Roman" w:eastAsia="Times New Roman" w:hAnsi="Times New Roman" w:cs="Times New Roman"/>
                <w:sz w:val="24"/>
                <w:szCs w:val="24"/>
                <w:lang w:eastAsia="lv-LV"/>
              </w:rPr>
            </w:pPr>
          </w:p>
          <w:p w14:paraId="043E80FC" w14:textId="77777777" w:rsidR="002768EB" w:rsidRPr="0074581D"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4581D">
              <w:rPr>
                <w:rFonts w:ascii="Times New Roman" w:eastAsia="Times New Roman" w:hAnsi="Times New Roman" w:cs="Times New Roman"/>
                <w:sz w:val="24"/>
                <w:szCs w:val="24"/>
                <w:lang w:eastAsia="lv-LV"/>
              </w:rPr>
              <w:t>Ministru kabineta noteikumu projekts "Grozījumi Ministru kabineta 2016.gada 15.marta noteikumos Nr.160 "Darbības programmas "Izaugsme un nodarbinātība" 4.2.1.specifiskā atbalsta mērķa "Veicināt energoefektivitātes paaugstināšanu valsts un dzīvojamās ēkās" 4.2.1.1.specifiskā atbalsta mērķa pasākuma "Veicināt energoefektivitātes paaugstināšanu dzīvojamās ēkās" īstenošanas noteikumi""</w:t>
            </w:r>
          </w:p>
        </w:tc>
      </w:tr>
    </w:tbl>
    <w:bookmarkEnd w:id="5"/>
    <w:bookmarkEnd w:id="6"/>
    <w:p w14:paraId="72ED3ADE" w14:textId="77777777" w:rsidR="002768EB" w:rsidRPr="0074581D" w:rsidRDefault="002768EB" w:rsidP="002768EB">
      <w:pPr>
        <w:spacing w:after="0" w:line="240" w:lineRule="auto"/>
        <w:contextualSpacing/>
        <w:jc w:val="center"/>
        <w:rPr>
          <w:rFonts w:ascii="Times New Roman" w:eastAsia="Times New Roman" w:hAnsi="Times New Roman" w:cs="Times New Roman"/>
          <w:sz w:val="24"/>
          <w:szCs w:val="24"/>
          <w:lang w:eastAsia="lv-LV"/>
        </w:rPr>
      </w:pPr>
      <w:r w:rsidRPr="0074581D">
        <w:rPr>
          <w:rFonts w:ascii="Times New Roman" w:eastAsia="Times New Roman" w:hAnsi="Times New Roman" w:cs="Times New Roman"/>
          <w:sz w:val="24"/>
          <w:szCs w:val="24"/>
          <w:lang w:eastAsia="lv-LV"/>
        </w:rPr>
        <w:t>(dokumenta veids un nosaukums)</w:t>
      </w:r>
    </w:p>
    <w:p w14:paraId="11F8495E" w14:textId="77777777" w:rsidR="002768EB" w:rsidRPr="0074581D" w:rsidRDefault="002768EB" w:rsidP="002768EB">
      <w:pPr>
        <w:spacing w:after="0" w:line="240" w:lineRule="auto"/>
        <w:contextualSpacing/>
        <w:jc w:val="both"/>
        <w:rPr>
          <w:rFonts w:ascii="Times New Roman" w:eastAsia="Times New Roman" w:hAnsi="Times New Roman" w:cs="Times New Roman"/>
          <w:sz w:val="24"/>
          <w:szCs w:val="24"/>
          <w:lang w:eastAsia="lv-LV"/>
        </w:rPr>
      </w:pPr>
    </w:p>
    <w:p w14:paraId="7D235238" w14:textId="77777777" w:rsidR="002768EB" w:rsidRPr="0074581D" w:rsidRDefault="002768EB" w:rsidP="002768EB">
      <w:pPr>
        <w:spacing w:after="0" w:line="240" w:lineRule="auto"/>
        <w:contextualSpacing/>
        <w:jc w:val="both"/>
        <w:rPr>
          <w:rFonts w:ascii="Times New Roman" w:eastAsia="Times New Roman" w:hAnsi="Times New Roman" w:cs="Times New Roman"/>
          <w:sz w:val="24"/>
          <w:szCs w:val="24"/>
          <w:lang w:eastAsia="lv-LV"/>
        </w:rPr>
      </w:pPr>
      <w:r w:rsidRPr="0074581D">
        <w:rPr>
          <w:rFonts w:ascii="Times New Roman" w:eastAsia="Times New Roman" w:hAnsi="Times New Roman" w:cs="Times New Roman"/>
          <w:sz w:val="24"/>
          <w:szCs w:val="24"/>
          <w:lang w:eastAsia="lv-LV"/>
        </w:rPr>
        <w:t xml:space="preserve">Informācija par </w:t>
      </w:r>
      <w:proofErr w:type="spellStart"/>
      <w:r w:rsidRPr="0074581D">
        <w:rPr>
          <w:rFonts w:ascii="Times New Roman" w:eastAsia="Times New Roman" w:hAnsi="Times New Roman" w:cs="Times New Roman"/>
          <w:sz w:val="24"/>
          <w:szCs w:val="24"/>
          <w:lang w:eastAsia="lv-LV"/>
        </w:rPr>
        <w:t>starpministriju</w:t>
      </w:r>
      <w:proofErr w:type="spellEnd"/>
      <w:r w:rsidRPr="0074581D">
        <w:rPr>
          <w:rFonts w:ascii="Times New Roman" w:eastAsia="Times New Roman" w:hAnsi="Times New Roman" w:cs="Times New Roman"/>
          <w:sz w:val="24"/>
          <w:szCs w:val="24"/>
          <w:lang w:eastAsia="lv-LV"/>
        </w:rPr>
        <w:t xml:space="preserve"> (starpinstitūciju) sanāksmi vai elektronisko saskaņošanu</w:t>
      </w:r>
    </w:p>
    <w:p w14:paraId="4F161B97" w14:textId="77777777" w:rsidR="002768EB" w:rsidRPr="0074581D" w:rsidRDefault="002768EB" w:rsidP="002768EB">
      <w:pPr>
        <w:spacing w:after="0" w:line="240" w:lineRule="auto"/>
        <w:contextualSpacing/>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505"/>
        <w:gridCol w:w="1087"/>
        <w:gridCol w:w="4314"/>
        <w:gridCol w:w="1425"/>
      </w:tblGrid>
      <w:tr w:rsidR="002768EB" w:rsidRPr="00727920" w14:paraId="3D7F14D1" w14:textId="77777777" w:rsidTr="00463E28">
        <w:trPr>
          <w:gridAfter w:val="1"/>
          <w:wAfter w:w="1425" w:type="dxa"/>
        </w:trPr>
        <w:tc>
          <w:tcPr>
            <w:tcW w:w="8505" w:type="dxa"/>
            <w:hideMark/>
          </w:tcPr>
          <w:p w14:paraId="1E2D4367" w14:textId="77777777" w:rsidR="002768EB" w:rsidRPr="00727920" w:rsidRDefault="002768EB" w:rsidP="00463E28">
            <w:pPr>
              <w:spacing w:after="0" w:line="240" w:lineRule="auto"/>
              <w:contextualSpacing/>
              <w:jc w:val="both"/>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Datums</w:t>
            </w:r>
          </w:p>
        </w:tc>
        <w:tc>
          <w:tcPr>
            <w:tcW w:w="5401" w:type="dxa"/>
            <w:gridSpan w:val="2"/>
            <w:tcBorders>
              <w:top w:val="nil"/>
              <w:left w:val="nil"/>
              <w:bottom w:val="single" w:sz="4" w:space="0" w:color="auto"/>
              <w:right w:val="nil"/>
            </w:tcBorders>
            <w:hideMark/>
          </w:tcPr>
          <w:p w14:paraId="497F8E33"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07.09.2020.</w:t>
            </w:r>
            <w:r>
              <w:t xml:space="preserve"> </w:t>
            </w:r>
            <w:r w:rsidRPr="0076796E">
              <w:rPr>
                <w:rFonts w:ascii="Times New Roman" w:eastAsia="Times New Roman" w:hAnsi="Times New Roman" w:cs="Times New Roman"/>
                <w:sz w:val="24"/>
                <w:szCs w:val="24"/>
                <w:lang w:eastAsia="lv-LV"/>
              </w:rPr>
              <w:t>(elektroniskā saskaņošana)</w:t>
            </w:r>
            <w:r w:rsidRPr="00727920">
              <w:rPr>
                <w:rFonts w:ascii="Times New Roman" w:eastAsia="Times New Roman" w:hAnsi="Times New Roman" w:cs="Times New Roman"/>
                <w:sz w:val="24"/>
                <w:szCs w:val="24"/>
                <w:lang w:eastAsia="lv-LV"/>
              </w:rPr>
              <w:t>, 27.10.2020.</w:t>
            </w:r>
            <w:r>
              <w:rPr>
                <w:rFonts w:ascii="Times New Roman" w:eastAsia="Times New Roman" w:hAnsi="Times New Roman" w:cs="Times New Roman"/>
                <w:sz w:val="24"/>
                <w:szCs w:val="24"/>
                <w:lang w:eastAsia="lv-LV"/>
              </w:rPr>
              <w:t>(elektroniskā saskaņošana)</w:t>
            </w:r>
          </w:p>
        </w:tc>
      </w:tr>
      <w:tr w:rsidR="002768EB" w:rsidRPr="00727920" w14:paraId="16D5F2A8" w14:textId="77777777" w:rsidTr="00463E28">
        <w:trPr>
          <w:gridAfter w:val="1"/>
          <w:wAfter w:w="1425" w:type="dxa"/>
        </w:trPr>
        <w:tc>
          <w:tcPr>
            <w:tcW w:w="8505" w:type="dxa"/>
          </w:tcPr>
          <w:p w14:paraId="4F4E6B0B" w14:textId="77777777" w:rsidR="002768EB" w:rsidRPr="00727920" w:rsidRDefault="002768EB" w:rsidP="00463E28">
            <w:pPr>
              <w:spacing w:after="0" w:line="240" w:lineRule="auto"/>
              <w:contextualSpacing/>
              <w:jc w:val="both"/>
              <w:rPr>
                <w:rFonts w:ascii="Times New Roman" w:eastAsia="Times New Roman" w:hAnsi="Times New Roman" w:cs="Times New Roman"/>
                <w:sz w:val="24"/>
                <w:szCs w:val="24"/>
                <w:lang w:eastAsia="lv-LV"/>
              </w:rPr>
            </w:pPr>
          </w:p>
        </w:tc>
        <w:tc>
          <w:tcPr>
            <w:tcW w:w="5401" w:type="dxa"/>
            <w:gridSpan w:val="2"/>
            <w:tcBorders>
              <w:top w:val="single" w:sz="4" w:space="0" w:color="auto"/>
              <w:left w:val="nil"/>
              <w:bottom w:val="nil"/>
              <w:right w:val="nil"/>
            </w:tcBorders>
          </w:tcPr>
          <w:p w14:paraId="0E6D6C07"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p>
        </w:tc>
      </w:tr>
      <w:tr w:rsidR="002768EB" w:rsidRPr="00727920" w14:paraId="4D1AE65A" w14:textId="77777777" w:rsidTr="00463E28">
        <w:trPr>
          <w:gridAfter w:val="1"/>
          <w:wAfter w:w="1425" w:type="dxa"/>
        </w:trPr>
        <w:tc>
          <w:tcPr>
            <w:tcW w:w="8505" w:type="dxa"/>
            <w:hideMark/>
          </w:tcPr>
          <w:p w14:paraId="28CACDA8"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Saskaņošanas dalībnieki</w:t>
            </w:r>
          </w:p>
        </w:tc>
        <w:tc>
          <w:tcPr>
            <w:tcW w:w="5401" w:type="dxa"/>
            <w:gridSpan w:val="2"/>
            <w:hideMark/>
          </w:tcPr>
          <w:p w14:paraId="07406978" w14:textId="77777777" w:rsidR="002768EB" w:rsidRPr="00727920" w:rsidRDefault="002768EB" w:rsidP="00463E28">
            <w:pPr>
              <w:spacing w:after="0" w:line="240" w:lineRule="auto"/>
              <w:contextualSpacing/>
              <w:jc w:val="both"/>
              <w:rPr>
                <w:rFonts w:ascii="Times New Roman" w:hAnsi="Times New Roman" w:cs="Times New Roman"/>
                <w:sz w:val="24"/>
                <w:szCs w:val="24"/>
              </w:rPr>
            </w:pPr>
            <w:r w:rsidRPr="00727920">
              <w:rPr>
                <w:rFonts w:ascii="Times New Roman" w:eastAsia="Times New Roman" w:hAnsi="Times New Roman" w:cs="Times New Roman"/>
                <w:sz w:val="24"/>
                <w:szCs w:val="24"/>
                <w:lang w:eastAsia="lv-LV"/>
              </w:rPr>
              <w:t xml:space="preserve">Finanšu ministrija, Tieslietu ministrija, Latvijas </w:t>
            </w:r>
            <w:r>
              <w:rPr>
                <w:rFonts w:ascii="Times New Roman" w:eastAsia="Times New Roman" w:hAnsi="Times New Roman" w:cs="Times New Roman"/>
                <w:sz w:val="24"/>
                <w:szCs w:val="24"/>
                <w:lang w:eastAsia="lv-LV"/>
              </w:rPr>
              <w:t>F</w:t>
            </w:r>
            <w:r w:rsidRPr="00727920">
              <w:rPr>
                <w:rFonts w:ascii="Times New Roman" w:eastAsia="Times New Roman" w:hAnsi="Times New Roman" w:cs="Times New Roman"/>
                <w:sz w:val="24"/>
                <w:szCs w:val="24"/>
                <w:lang w:eastAsia="lv-LV"/>
              </w:rPr>
              <w:t>inanšu nozares asociācija</w:t>
            </w:r>
          </w:p>
        </w:tc>
      </w:tr>
      <w:tr w:rsidR="002768EB" w:rsidRPr="00727920" w14:paraId="6B1BF56D" w14:textId="77777777" w:rsidTr="00463E28">
        <w:trPr>
          <w:trHeight w:val="80"/>
        </w:trPr>
        <w:tc>
          <w:tcPr>
            <w:tcW w:w="8505" w:type="dxa"/>
          </w:tcPr>
          <w:p w14:paraId="1C03E8A8"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p>
        </w:tc>
        <w:tc>
          <w:tcPr>
            <w:tcW w:w="1087" w:type="dxa"/>
          </w:tcPr>
          <w:p w14:paraId="5D014654" w14:textId="77777777" w:rsidR="002768EB" w:rsidRPr="00727920" w:rsidRDefault="002768EB" w:rsidP="00463E28">
            <w:pPr>
              <w:spacing w:after="0" w:line="240" w:lineRule="auto"/>
              <w:contextualSpacing/>
              <w:jc w:val="both"/>
              <w:rPr>
                <w:rFonts w:ascii="Times New Roman" w:eastAsia="Times New Roman" w:hAnsi="Times New Roman" w:cs="Times New Roman"/>
                <w:sz w:val="24"/>
                <w:szCs w:val="24"/>
                <w:lang w:eastAsia="lv-LV"/>
              </w:rPr>
            </w:pPr>
          </w:p>
        </w:tc>
        <w:tc>
          <w:tcPr>
            <w:tcW w:w="5739" w:type="dxa"/>
            <w:gridSpan w:val="2"/>
          </w:tcPr>
          <w:p w14:paraId="14F3E16E" w14:textId="77777777" w:rsidR="002768EB" w:rsidRPr="00727920" w:rsidRDefault="002768EB" w:rsidP="00463E28">
            <w:pPr>
              <w:spacing w:after="0" w:line="240" w:lineRule="auto"/>
              <w:contextualSpacing/>
              <w:jc w:val="both"/>
              <w:rPr>
                <w:rFonts w:ascii="Times New Roman" w:eastAsia="Times New Roman" w:hAnsi="Times New Roman" w:cs="Times New Roman"/>
                <w:sz w:val="24"/>
                <w:szCs w:val="24"/>
                <w:lang w:eastAsia="lv-LV"/>
              </w:rPr>
            </w:pPr>
          </w:p>
        </w:tc>
      </w:tr>
      <w:tr w:rsidR="002768EB" w:rsidRPr="00727920" w14:paraId="6A8BB1DC" w14:textId="77777777" w:rsidTr="00463E28">
        <w:trPr>
          <w:trHeight w:val="501"/>
        </w:trPr>
        <w:tc>
          <w:tcPr>
            <w:tcW w:w="8505" w:type="dxa"/>
            <w:hideMark/>
          </w:tcPr>
          <w:p w14:paraId="2AA346D8" w14:textId="77777777" w:rsidR="002768EB" w:rsidRPr="00727920" w:rsidRDefault="002768EB" w:rsidP="00463E28">
            <w:pPr>
              <w:spacing w:after="0" w:line="240" w:lineRule="auto"/>
              <w:contextualSpacing/>
              <w:jc w:val="both"/>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Saskaņošanas dalībnieki izskatīja šādu ministriju (citu institūciju) iebildumus</w:t>
            </w:r>
          </w:p>
        </w:tc>
        <w:tc>
          <w:tcPr>
            <w:tcW w:w="6826" w:type="dxa"/>
            <w:gridSpan w:val="3"/>
          </w:tcPr>
          <w:p w14:paraId="54E183D7" w14:textId="289C8803" w:rsidR="002768EB" w:rsidRPr="00727920" w:rsidRDefault="002768EB" w:rsidP="00463E28">
            <w:pPr>
              <w:spacing w:after="0" w:line="240" w:lineRule="auto"/>
              <w:ind w:left="-87"/>
              <w:contextualSpacing/>
              <w:jc w:val="both"/>
              <w:rPr>
                <w:rFonts w:ascii="Times New Roman" w:eastAsia="Times New Roman" w:hAnsi="Times New Roman" w:cs="Times New Roman"/>
                <w:sz w:val="24"/>
                <w:szCs w:val="24"/>
                <w:lang w:eastAsia="lv-LV"/>
              </w:rPr>
            </w:pPr>
            <w:bookmarkStart w:id="7" w:name="_GoBack"/>
            <w:bookmarkEnd w:id="7"/>
          </w:p>
        </w:tc>
      </w:tr>
      <w:tr w:rsidR="002768EB" w:rsidRPr="00727920" w14:paraId="2956B72E" w14:textId="77777777" w:rsidTr="00463E28">
        <w:trPr>
          <w:gridAfter w:val="1"/>
          <w:wAfter w:w="1425" w:type="dxa"/>
          <w:trHeight w:val="679"/>
        </w:trPr>
        <w:tc>
          <w:tcPr>
            <w:tcW w:w="8505" w:type="dxa"/>
            <w:hideMark/>
          </w:tcPr>
          <w:p w14:paraId="0C332E33" w14:textId="77777777" w:rsidR="002768EB" w:rsidRDefault="002768EB" w:rsidP="00463E28">
            <w:pPr>
              <w:spacing w:after="0" w:line="240" w:lineRule="auto"/>
              <w:contextualSpacing/>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p w14:paraId="228015DF"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p>
        </w:tc>
        <w:tc>
          <w:tcPr>
            <w:tcW w:w="5401" w:type="dxa"/>
            <w:gridSpan w:val="2"/>
            <w:hideMark/>
          </w:tcPr>
          <w:p w14:paraId="26D3E075"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w:t>
            </w:r>
          </w:p>
        </w:tc>
      </w:tr>
    </w:tbl>
    <w:p w14:paraId="7EBE2EE8" w14:textId="77777777" w:rsidR="002768EB" w:rsidRDefault="002768EB" w:rsidP="002768EB">
      <w:pPr>
        <w:pStyle w:val="naisf"/>
        <w:spacing w:before="0" w:after="0"/>
        <w:ind w:left="360" w:firstLine="0"/>
        <w:contextualSpacing/>
        <w:jc w:val="center"/>
        <w:rPr>
          <w:b/>
          <w:bCs/>
        </w:rPr>
      </w:pPr>
    </w:p>
    <w:p w14:paraId="611A7A42" w14:textId="77777777" w:rsidR="002768EB" w:rsidRPr="00727920" w:rsidRDefault="002768EB" w:rsidP="002768EB">
      <w:pPr>
        <w:pStyle w:val="naisf"/>
        <w:spacing w:before="0" w:after="0"/>
        <w:ind w:left="360" w:firstLine="0"/>
        <w:contextualSpacing/>
        <w:jc w:val="center"/>
        <w:rPr>
          <w:b/>
          <w:bCs/>
        </w:rPr>
      </w:pPr>
      <w:bookmarkStart w:id="8" w:name="_Hlk56176299"/>
      <w:r w:rsidRPr="00727920">
        <w:rPr>
          <w:b/>
          <w:bCs/>
        </w:rPr>
        <w:t>II Jautājumi, par kuriem saskaņošanā vienošanās ir panākta</w:t>
      </w:r>
    </w:p>
    <w:bookmarkEnd w:id="8"/>
    <w:p w14:paraId="4FD1191B" w14:textId="77777777" w:rsidR="002768EB" w:rsidRPr="00727920" w:rsidRDefault="002768EB" w:rsidP="002768EB">
      <w:pPr>
        <w:pStyle w:val="naisf"/>
        <w:spacing w:before="0" w:after="0"/>
        <w:contextualSpacing/>
        <w:rPr>
          <w:b/>
          <w:bCs/>
        </w:rPr>
      </w:pPr>
    </w:p>
    <w:tbl>
      <w:tblPr>
        <w:tblW w:w="6536"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5"/>
        <w:gridCol w:w="1980"/>
        <w:gridCol w:w="5244"/>
        <w:gridCol w:w="1180"/>
        <w:gridCol w:w="2499"/>
        <w:gridCol w:w="12"/>
        <w:gridCol w:w="3260"/>
        <w:gridCol w:w="1000"/>
        <w:gridCol w:w="3202"/>
      </w:tblGrid>
      <w:tr w:rsidR="002768EB" w:rsidRPr="00727920" w14:paraId="35B976CF" w14:textId="77777777" w:rsidTr="00463E28">
        <w:trPr>
          <w:gridAfter w:val="2"/>
          <w:wAfter w:w="1093" w:type="pct"/>
          <w:trHeight w:val="140"/>
        </w:trPr>
        <w:tc>
          <w:tcPr>
            <w:tcW w:w="220" w:type="pct"/>
            <w:tcBorders>
              <w:top w:val="single" w:sz="6" w:space="0" w:color="000000"/>
              <w:left w:val="single" w:sz="6" w:space="0" w:color="000000"/>
              <w:bottom w:val="single" w:sz="6" w:space="0" w:color="000000"/>
              <w:right w:val="single" w:sz="6" w:space="0" w:color="000000"/>
            </w:tcBorders>
            <w:vAlign w:val="center"/>
            <w:hideMark/>
          </w:tcPr>
          <w:p w14:paraId="23BD0690"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Nr. p.k.</w:t>
            </w:r>
          </w:p>
        </w:tc>
        <w:tc>
          <w:tcPr>
            <w:tcW w:w="515" w:type="pct"/>
            <w:tcBorders>
              <w:top w:val="single" w:sz="6" w:space="0" w:color="000000"/>
              <w:left w:val="single" w:sz="6" w:space="0" w:color="000000"/>
              <w:bottom w:val="single" w:sz="6" w:space="0" w:color="000000"/>
              <w:right w:val="single" w:sz="6" w:space="0" w:color="000000"/>
            </w:tcBorders>
            <w:vAlign w:val="center"/>
            <w:hideMark/>
          </w:tcPr>
          <w:p w14:paraId="25B18F6A"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Saskaņošanai nosūtītā projekta redakcija (konkrēta punkta (panta) redakcija)</w:t>
            </w:r>
          </w:p>
        </w:tc>
        <w:tc>
          <w:tcPr>
            <w:tcW w:w="1364" w:type="pct"/>
            <w:tcBorders>
              <w:top w:val="single" w:sz="6" w:space="0" w:color="000000"/>
              <w:left w:val="single" w:sz="6" w:space="0" w:color="000000"/>
              <w:bottom w:val="single" w:sz="6" w:space="0" w:color="000000"/>
              <w:right w:val="single" w:sz="6" w:space="0" w:color="000000"/>
            </w:tcBorders>
            <w:vAlign w:val="center"/>
            <w:hideMark/>
          </w:tcPr>
          <w:p w14:paraId="27D7ABD4" w14:textId="77777777" w:rsidR="002768EB" w:rsidRPr="00727920" w:rsidRDefault="002768EB" w:rsidP="00463E28">
            <w:pPr>
              <w:spacing w:after="0" w:line="240" w:lineRule="auto"/>
              <w:ind w:right="3"/>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957" w:type="pct"/>
            <w:gridSpan w:val="2"/>
            <w:tcBorders>
              <w:top w:val="single" w:sz="6" w:space="0" w:color="000000"/>
              <w:left w:val="single" w:sz="6" w:space="0" w:color="000000"/>
              <w:bottom w:val="single" w:sz="6" w:space="0" w:color="000000"/>
              <w:right w:val="single" w:sz="6" w:space="0" w:color="000000"/>
            </w:tcBorders>
            <w:vAlign w:val="center"/>
            <w:hideMark/>
          </w:tcPr>
          <w:p w14:paraId="17E7A116"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14:paraId="2C1B7DE5"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Projekta attiecīgā punkta (panta) galīgā redakcija</w:t>
            </w:r>
          </w:p>
        </w:tc>
      </w:tr>
      <w:tr w:rsidR="002768EB" w:rsidRPr="00727920" w14:paraId="79C440C9" w14:textId="77777777" w:rsidTr="00463E28">
        <w:trPr>
          <w:gridAfter w:val="2"/>
          <w:wAfter w:w="1093" w:type="pct"/>
          <w:trHeight w:val="140"/>
        </w:trPr>
        <w:tc>
          <w:tcPr>
            <w:tcW w:w="220" w:type="pct"/>
            <w:tcBorders>
              <w:top w:val="single" w:sz="6" w:space="0" w:color="000000"/>
              <w:left w:val="single" w:sz="6" w:space="0" w:color="000000"/>
              <w:bottom w:val="single" w:sz="6" w:space="0" w:color="000000"/>
              <w:right w:val="single" w:sz="6" w:space="0" w:color="000000"/>
            </w:tcBorders>
            <w:hideMark/>
          </w:tcPr>
          <w:p w14:paraId="270FBB04"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1</w:t>
            </w:r>
          </w:p>
        </w:tc>
        <w:tc>
          <w:tcPr>
            <w:tcW w:w="515" w:type="pct"/>
            <w:tcBorders>
              <w:top w:val="single" w:sz="6" w:space="0" w:color="000000"/>
              <w:left w:val="single" w:sz="6" w:space="0" w:color="000000"/>
              <w:bottom w:val="single" w:sz="6" w:space="0" w:color="000000"/>
              <w:right w:val="single" w:sz="6" w:space="0" w:color="000000"/>
            </w:tcBorders>
            <w:hideMark/>
          </w:tcPr>
          <w:p w14:paraId="21865DCC"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2</w:t>
            </w:r>
          </w:p>
        </w:tc>
        <w:tc>
          <w:tcPr>
            <w:tcW w:w="1364" w:type="pct"/>
            <w:tcBorders>
              <w:top w:val="single" w:sz="6" w:space="0" w:color="000000"/>
              <w:left w:val="single" w:sz="6" w:space="0" w:color="000000"/>
              <w:bottom w:val="single" w:sz="6" w:space="0" w:color="000000"/>
              <w:right w:val="single" w:sz="6" w:space="0" w:color="000000"/>
            </w:tcBorders>
            <w:hideMark/>
          </w:tcPr>
          <w:p w14:paraId="3AC930AE"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3</w:t>
            </w:r>
          </w:p>
        </w:tc>
        <w:tc>
          <w:tcPr>
            <w:tcW w:w="957" w:type="pct"/>
            <w:gridSpan w:val="2"/>
            <w:tcBorders>
              <w:top w:val="single" w:sz="6" w:space="0" w:color="000000"/>
              <w:left w:val="single" w:sz="6" w:space="0" w:color="000000"/>
              <w:bottom w:val="single" w:sz="6" w:space="0" w:color="000000"/>
              <w:right w:val="single" w:sz="6" w:space="0" w:color="000000"/>
            </w:tcBorders>
            <w:hideMark/>
          </w:tcPr>
          <w:p w14:paraId="535D4752"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4</w:t>
            </w:r>
          </w:p>
        </w:tc>
        <w:tc>
          <w:tcPr>
            <w:tcW w:w="851" w:type="pct"/>
            <w:gridSpan w:val="2"/>
            <w:tcBorders>
              <w:top w:val="single" w:sz="4" w:space="0" w:color="auto"/>
              <w:left w:val="single" w:sz="4" w:space="0" w:color="auto"/>
              <w:bottom w:val="single" w:sz="4" w:space="0" w:color="auto"/>
              <w:right w:val="single" w:sz="4" w:space="0" w:color="auto"/>
            </w:tcBorders>
            <w:hideMark/>
          </w:tcPr>
          <w:p w14:paraId="3C85F2E6"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5</w:t>
            </w:r>
          </w:p>
        </w:tc>
      </w:tr>
      <w:tr w:rsidR="002768EB" w:rsidRPr="00727920" w14:paraId="0589C3CA" w14:textId="77777777" w:rsidTr="00463E28">
        <w:trPr>
          <w:gridAfter w:val="2"/>
          <w:wAfter w:w="1093" w:type="pct"/>
          <w:trHeight w:val="140"/>
        </w:trPr>
        <w:tc>
          <w:tcPr>
            <w:tcW w:w="220" w:type="pct"/>
            <w:tcBorders>
              <w:top w:val="single" w:sz="6" w:space="0" w:color="000000"/>
              <w:left w:val="single" w:sz="6" w:space="0" w:color="000000"/>
              <w:bottom w:val="single" w:sz="6" w:space="0" w:color="000000"/>
              <w:right w:val="single" w:sz="6" w:space="0" w:color="000000"/>
            </w:tcBorders>
          </w:tcPr>
          <w:p w14:paraId="78F65A0C" w14:textId="77777777" w:rsidR="002768EB" w:rsidRPr="00727920" w:rsidRDefault="002768EB" w:rsidP="00463E28">
            <w:pPr>
              <w:pStyle w:val="ListParagraph"/>
              <w:numPr>
                <w:ilvl w:val="0"/>
                <w:numId w:val="5"/>
              </w:numPr>
              <w:spacing w:after="0" w:line="240" w:lineRule="auto"/>
              <w:ind w:firstLine="0"/>
              <w:rPr>
                <w:rFonts w:ascii="Times New Roman" w:eastAsia="Times New Roman" w:hAnsi="Times New Roman" w:cs="Times New Roman"/>
                <w:sz w:val="24"/>
                <w:szCs w:val="24"/>
                <w:lang w:eastAsia="lv-LV"/>
              </w:rPr>
            </w:pPr>
          </w:p>
          <w:p w14:paraId="1DE98874" w14:textId="77777777" w:rsidR="002768EB" w:rsidRPr="00727920" w:rsidRDefault="002768EB" w:rsidP="00463E28">
            <w:pPr>
              <w:spacing w:after="0" w:line="240" w:lineRule="auto"/>
              <w:contextualSpacing/>
              <w:jc w:val="center"/>
              <w:rPr>
                <w:rFonts w:ascii="Times New Roman" w:hAnsi="Times New Roman" w:cs="Times New Roman"/>
                <w:sz w:val="24"/>
                <w:szCs w:val="24"/>
                <w:lang w:eastAsia="lv-LV"/>
              </w:rPr>
            </w:pPr>
            <w:r w:rsidRPr="00727920">
              <w:rPr>
                <w:rFonts w:ascii="Times New Roman" w:hAnsi="Times New Roman" w:cs="Times New Roman"/>
                <w:sz w:val="24"/>
                <w:szCs w:val="24"/>
                <w:lang w:eastAsia="lv-LV"/>
              </w:rPr>
              <w:t>1.</w:t>
            </w:r>
          </w:p>
        </w:tc>
        <w:tc>
          <w:tcPr>
            <w:tcW w:w="515" w:type="pct"/>
            <w:tcBorders>
              <w:top w:val="single" w:sz="6" w:space="0" w:color="000000"/>
              <w:left w:val="single" w:sz="6" w:space="0" w:color="000000"/>
              <w:bottom w:val="single" w:sz="6" w:space="0" w:color="000000"/>
              <w:right w:val="single" w:sz="6" w:space="0" w:color="000000"/>
            </w:tcBorders>
          </w:tcPr>
          <w:p w14:paraId="23249AFE" w14:textId="77777777" w:rsidR="002768EB" w:rsidRDefault="002768EB" w:rsidP="00463E28">
            <w:pPr>
              <w:spacing w:after="0" w:line="240" w:lineRule="auto"/>
              <w:contextualSpacing/>
              <w:rPr>
                <w:rFonts w:ascii="Times New Roman" w:eastAsia="Times New Roman" w:hAnsi="Times New Roman" w:cs="Times New Roman"/>
                <w:bCs/>
                <w:sz w:val="24"/>
                <w:szCs w:val="24"/>
                <w:lang w:eastAsia="lv-LV"/>
              </w:rPr>
            </w:pPr>
          </w:p>
          <w:p w14:paraId="4E5AB560"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r w:rsidRPr="00727920">
              <w:rPr>
                <w:rFonts w:ascii="Times New Roman" w:eastAsia="Times New Roman" w:hAnsi="Times New Roman" w:cs="Times New Roman"/>
                <w:bCs/>
                <w:sz w:val="24"/>
                <w:szCs w:val="24"/>
                <w:lang w:eastAsia="lv-LV"/>
              </w:rPr>
              <w:t>Vispārīgi</w:t>
            </w:r>
          </w:p>
        </w:tc>
        <w:tc>
          <w:tcPr>
            <w:tcW w:w="1364" w:type="pct"/>
            <w:tcBorders>
              <w:top w:val="single" w:sz="6" w:space="0" w:color="000000"/>
              <w:left w:val="single" w:sz="6" w:space="0" w:color="000000"/>
              <w:bottom w:val="single" w:sz="6" w:space="0" w:color="000000"/>
              <w:right w:val="single" w:sz="6" w:space="0" w:color="000000"/>
            </w:tcBorders>
          </w:tcPr>
          <w:p w14:paraId="08ECF912" w14:textId="77777777" w:rsidR="002768EB" w:rsidRPr="00727920" w:rsidRDefault="002768EB" w:rsidP="00463E28">
            <w:pPr>
              <w:spacing w:after="0" w:line="240" w:lineRule="auto"/>
              <w:contextualSpacing/>
              <w:jc w:val="both"/>
              <w:rPr>
                <w:rFonts w:ascii="Times New Roman" w:eastAsia="Times New Roman" w:hAnsi="Times New Roman" w:cs="Times New Roman"/>
                <w:sz w:val="24"/>
                <w:szCs w:val="24"/>
                <w:lang w:eastAsia="lv-LV"/>
              </w:rPr>
            </w:pPr>
            <w:r w:rsidRPr="00727920">
              <w:rPr>
                <w:rFonts w:ascii="Times New Roman" w:eastAsia="Times New Roman" w:hAnsi="Times New Roman" w:cs="Times New Roman"/>
                <w:b/>
                <w:bCs/>
                <w:sz w:val="24"/>
                <w:szCs w:val="24"/>
                <w:lang w:eastAsia="lv-LV"/>
              </w:rPr>
              <w:t>Finanšu ministrija 09.09.2020 atzinumā Nr.</w:t>
            </w:r>
            <w:bookmarkStart w:id="9" w:name="lietas_nr"/>
            <w:r w:rsidRPr="00727920">
              <w:rPr>
                <w:rFonts w:ascii="Times New Roman" w:hAnsi="Times New Roman" w:cs="Times New Roman"/>
                <w:b/>
                <w:bCs/>
                <w:sz w:val="24"/>
                <w:szCs w:val="24"/>
              </w:rPr>
              <w:t xml:space="preserve"> </w:t>
            </w:r>
            <w:r w:rsidRPr="0074581D">
              <w:rPr>
                <w:rFonts w:ascii="Times New Roman" w:hAnsi="Times New Roman" w:cs="Times New Roman"/>
                <w:b/>
                <w:bCs/>
                <w:sz w:val="24"/>
                <w:szCs w:val="24"/>
              </w:rPr>
              <w:fldChar w:fldCharType="begin">
                <w:ffData>
                  <w:name w:val="lietas_nr"/>
                  <w:enabled/>
                  <w:calcOnExit w:val="0"/>
                  <w:textInput>
                    <w:default w:val="                "/>
                  </w:textInput>
                </w:ffData>
              </w:fldChar>
            </w:r>
            <w:r w:rsidRPr="00727920">
              <w:rPr>
                <w:rFonts w:ascii="Times New Roman" w:hAnsi="Times New Roman" w:cs="Times New Roman"/>
                <w:b/>
                <w:bCs/>
                <w:sz w:val="24"/>
                <w:szCs w:val="24"/>
              </w:rPr>
              <w:instrText xml:space="preserve"> FORMTEXT </w:instrText>
            </w:r>
            <w:r w:rsidRPr="0074581D">
              <w:rPr>
                <w:rFonts w:ascii="Times New Roman" w:hAnsi="Times New Roman" w:cs="Times New Roman"/>
                <w:b/>
                <w:bCs/>
                <w:sz w:val="24"/>
                <w:szCs w:val="24"/>
              </w:rPr>
            </w:r>
            <w:r w:rsidRPr="0074581D">
              <w:rPr>
                <w:rFonts w:ascii="Times New Roman" w:hAnsi="Times New Roman" w:cs="Times New Roman"/>
                <w:b/>
                <w:bCs/>
                <w:sz w:val="24"/>
                <w:szCs w:val="24"/>
              </w:rPr>
              <w:fldChar w:fldCharType="separate"/>
            </w:r>
            <w:r w:rsidRPr="00727920">
              <w:rPr>
                <w:rFonts w:ascii="Times New Roman" w:hAnsi="Times New Roman" w:cs="Times New Roman"/>
                <w:b/>
                <w:bCs/>
                <w:sz w:val="24"/>
                <w:szCs w:val="24"/>
              </w:rPr>
              <w:t>12/A-21</w:t>
            </w:r>
            <w:r w:rsidRPr="0074581D">
              <w:rPr>
                <w:rFonts w:ascii="Times New Roman" w:hAnsi="Times New Roman" w:cs="Times New Roman"/>
                <w:b/>
                <w:bCs/>
                <w:sz w:val="24"/>
                <w:szCs w:val="24"/>
              </w:rPr>
              <w:fldChar w:fldCharType="end"/>
            </w:r>
            <w:bookmarkEnd w:id="9"/>
            <w:r w:rsidRPr="00727920">
              <w:rPr>
                <w:rFonts w:ascii="Times New Roman" w:hAnsi="Times New Roman" w:cs="Times New Roman"/>
                <w:b/>
                <w:bCs/>
                <w:sz w:val="24"/>
                <w:szCs w:val="24"/>
              </w:rPr>
              <w:t>/</w:t>
            </w:r>
            <w:bookmarkStart w:id="10" w:name="reg_num"/>
            <w:r w:rsidRPr="00727920">
              <w:rPr>
                <w:rFonts w:ascii="Times New Roman" w:hAnsi="Times New Roman" w:cs="Times New Roman"/>
                <w:b/>
                <w:bCs/>
                <w:sz w:val="24"/>
                <w:szCs w:val="24"/>
              </w:rPr>
              <w:fldChar w:fldCharType="begin">
                <w:ffData>
                  <w:name w:val="reg_num"/>
                  <w:enabled/>
                  <w:calcOnExit w:val="0"/>
                  <w:textInput>
                    <w:default w:val="            "/>
                  </w:textInput>
                </w:ffData>
              </w:fldChar>
            </w:r>
            <w:r w:rsidRPr="00727920">
              <w:rPr>
                <w:rFonts w:ascii="Times New Roman" w:hAnsi="Times New Roman" w:cs="Times New Roman"/>
                <w:b/>
                <w:bCs/>
                <w:sz w:val="24"/>
                <w:szCs w:val="24"/>
              </w:rPr>
              <w:instrText xml:space="preserve"> FORMTEXT </w:instrText>
            </w:r>
            <w:r w:rsidRPr="00727920">
              <w:rPr>
                <w:rFonts w:ascii="Times New Roman" w:hAnsi="Times New Roman" w:cs="Times New Roman"/>
                <w:b/>
                <w:bCs/>
                <w:sz w:val="24"/>
                <w:szCs w:val="24"/>
              </w:rPr>
            </w:r>
            <w:r w:rsidRPr="00727920">
              <w:rPr>
                <w:rFonts w:ascii="Times New Roman" w:hAnsi="Times New Roman" w:cs="Times New Roman"/>
                <w:b/>
                <w:bCs/>
                <w:sz w:val="24"/>
                <w:szCs w:val="24"/>
              </w:rPr>
              <w:fldChar w:fldCharType="separate"/>
            </w:r>
            <w:r w:rsidRPr="00727920">
              <w:rPr>
                <w:rFonts w:ascii="Times New Roman" w:hAnsi="Times New Roman" w:cs="Times New Roman"/>
                <w:b/>
                <w:bCs/>
                <w:sz w:val="24"/>
                <w:szCs w:val="24"/>
              </w:rPr>
              <w:t>4779</w:t>
            </w:r>
            <w:r w:rsidRPr="00727920">
              <w:rPr>
                <w:rFonts w:ascii="Times New Roman" w:hAnsi="Times New Roman" w:cs="Times New Roman"/>
                <w:b/>
                <w:bCs/>
                <w:sz w:val="24"/>
                <w:szCs w:val="24"/>
              </w:rPr>
              <w:fldChar w:fldCharType="end"/>
            </w:r>
            <w:bookmarkEnd w:id="10"/>
            <w:r w:rsidRPr="00727920">
              <w:rPr>
                <w:rFonts w:ascii="Times New Roman" w:hAnsi="Times New Roman" w:cs="Times New Roman"/>
                <w:sz w:val="24"/>
                <w:szCs w:val="24"/>
              </w:rPr>
              <w:t xml:space="preserve"> ir izteikusi </w:t>
            </w:r>
            <w:r w:rsidRPr="00727920">
              <w:rPr>
                <w:rFonts w:ascii="Times New Roman" w:eastAsia="Times New Roman" w:hAnsi="Times New Roman" w:cs="Times New Roman"/>
                <w:sz w:val="24"/>
                <w:szCs w:val="24"/>
                <w:lang w:eastAsia="lv-LV"/>
              </w:rPr>
              <w:t>iebildumu, norādot, ka Finanšu ministrija iebilst pret turpmāko noteikumu projekta virzību. Kā pamatojumu norādot tālāk minēto:</w:t>
            </w:r>
          </w:p>
          <w:p w14:paraId="061BEF2D" w14:textId="77777777" w:rsidR="002768EB" w:rsidRPr="00727920" w:rsidRDefault="002768EB" w:rsidP="00463E28">
            <w:pPr>
              <w:spacing w:after="0" w:line="240" w:lineRule="auto"/>
              <w:contextualSpacing/>
              <w:jc w:val="both"/>
              <w:rPr>
                <w:rFonts w:ascii="Times New Roman" w:hAnsi="Times New Roman" w:cs="Times New Roman"/>
                <w:sz w:val="24"/>
                <w:szCs w:val="24"/>
              </w:rPr>
            </w:pPr>
            <w:r w:rsidRPr="00727920">
              <w:rPr>
                <w:rFonts w:ascii="Times New Roman" w:hAnsi="Times New Roman" w:cs="Times New Roman"/>
                <w:sz w:val="24"/>
                <w:szCs w:val="24"/>
              </w:rPr>
              <w:t xml:space="preserve">Plānojot atbalsta pasākumu (2014. un 2015.gadā) atbalstam energoefektivitātes paaugstināšanas </w:t>
            </w:r>
            <w:r w:rsidRPr="00727920">
              <w:rPr>
                <w:rFonts w:ascii="Times New Roman" w:hAnsi="Times New Roman" w:cs="Times New Roman"/>
                <w:sz w:val="24"/>
                <w:szCs w:val="24"/>
              </w:rPr>
              <w:lastRenderedPageBreak/>
              <w:t xml:space="preserve">īstenošanai daudzdzīvokļu dzīvojamo māju dzīvokļu īpašniekiem, Ekonomikas ministrija komunicēja ar Eiropas </w:t>
            </w:r>
            <w:r>
              <w:rPr>
                <w:rFonts w:ascii="Times New Roman" w:hAnsi="Times New Roman" w:cs="Times New Roman"/>
                <w:sz w:val="24"/>
                <w:szCs w:val="24"/>
              </w:rPr>
              <w:t>K</w:t>
            </w:r>
            <w:r w:rsidRPr="00727920">
              <w:rPr>
                <w:rFonts w:ascii="Times New Roman" w:hAnsi="Times New Roman" w:cs="Times New Roman"/>
                <w:sz w:val="24"/>
                <w:szCs w:val="24"/>
              </w:rPr>
              <w:t xml:space="preserve">omisiju par valsts atbalsta aspektiem plānotā pasākuma ievaros, t.sk. par </w:t>
            </w:r>
            <w:proofErr w:type="spellStart"/>
            <w:r w:rsidRPr="00727920">
              <w:rPr>
                <w:rFonts w:ascii="Times New Roman" w:hAnsi="Times New Roman" w:cs="Times New Roman"/>
                <w:sz w:val="24"/>
                <w:szCs w:val="24"/>
              </w:rPr>
              <w:t>Altum</w:t>
            </w:r>
            <w:proofErr w:type="spellEnd"/>
            <w:r w:rsidRPr="00727920">
              <w:rPr>
                <w:rFonts w:ascii="Times New Roman" w:hAnsi="Times New Roman" w:cs="Times New Roman"/>
                <w:sz w:val="24"/>
                <w:szCs w:val="24"/>
              </w:rPr>
              <w:t xml:space="preserve"> aizdevumu izsniegšanu gadījumos, kad tirgus tos nevar nodrošināt. Vēršam uzmanību, ka valsts atbalsta lietā </w:t>
            </w:r>
            <w:r w:rsidRPr="00727920">
              <w:rPr>
                <w:rFonts w:ascii="Times New Roman" w:hAnsi="Times New Roman" w:cs="Times New Roman"/>
                <w:iCs/>
                <w:sz w:val="24"/>
                <w:szCs w:val="24"/>
              </w:rPr>
              <w:t>SA.36904 (2014/N) “Latvija, Hipotēku un zemes bankas attīstības daļu un Latvijas Attīstības finanšu institūcijas izveidi”</w:t>
            </w:r>
            <w:r w:rsidRPr="00727920">
              <w:rPr>
                <w:rFonts w:ascii="Times New Roman" w:hAnsi="Times New Roman" w:cs="Times New Roman"/>
                <w:sz w:val="24"/>
                <w:szCs w:val="24"/>
              </w:rPr>
              <w:t xml:space="preserve"> tika pamatots, ka </w:t>
            </w:r>
            <w:proofErr w:type="spellStart"/>
            <w:r w:rsidRPr="00727920">
              <w:rPr>
                <w:rFonts w:ascii="Times New Roman" w:hAnsi="Times New Roman" w:cs="Times New Roman"/>
                <w:sz w:val="24"/>
                <w:szCs w:val="24"/>
              </w:rPr>
              <w:t>Altum</w:t>
            </w:r>
            <w:proofErr w:type="spellEnd"/>
            <w:r w:rsidRPr="00727920">
              <w:rPr>
                <w:rFonts w:ascii="Times New Roman" w:hAnsi="Times New Roman" w:cs="Times New Roman"/>
                <w:sz w:val="24"/>
                <w:szCs w:val="24"/>
              </w:rPr>
              <w:t xml:space="preserve"> aizdevumu sniegšana, novēršot tirgus nepilnību, nekropļo konkurenci. Līdz ar to, ja </w:t>
            </w:r>
            <w:proofErr w:type="spellStart"/>
            <w:r w:rsidRPr="00727920">
              <w:rPr>
                <w:rFonts w:ascii="Times New Roman" w:hAnsi="Times New Roman" w:cs="Times New Roman"/>
                <w:sz w:val="24"/>
                <w:szCs w:val="24"/>
              </w:rPr>
              <w:t>Altum</w:t>
            </w:r>
            <w:proofErr w:type="spellEnd"/>
            <w:r w:rsidRPr="00727920">
              <w:rPr>
                <w:rFonts w:ascii="Times New Roman" w:hAnsi="Times New Roman" w:cs="Times New Roman"/>
                <w:sz w:val="24"/>
                <w:szCs w:val="24"/>
              </w:rPr>
              <w:t xml:space="preserve"> var darboties tikai, lai risinātu konstatēto tirgus nepilnību, nav skaidrs, kādā veidā tiks nodrošināts, ka </w:t>
            </w:r>
            <w:proofErr w:type="spellStart"/>
            <w:r w:rsidRPr="00727920">
              <w:rPr>
                <w:rFonts w:ascii="Times New Roman" w:hAnsi="Times New Roman" w:cs="Times New Roman"/>
                <w:sz w:val="24"/>
                <w:szCs w:val="24"/>
              </w:rPr>
              <w:t>Altum</w:t>
            </w:r>
            <w:proofErr w:type="spellEnd"/>
            <w:r w:rsidRPr="00727920">
              <w:rPr>
                <w:rFonts w:ascii="Times New Roman" w:hAnsi="Times New Roman" w:cs="Times New Roman"/>
                <w:sz w:val="24"/>
                <w:szCs w:val="24"/>
              </w:rPr>
              <w:t xml:space="preserve"> aizdevums neradīs tirgus kropļojumus un nekonkurēs ar komercbanku sektoru. </w:t>
            </w:r>
            <w:proofErr w:type="spellStart"/>
            <w:r w:rsidRPr="00727920">
              <w:rPr>
                <w:rFonts w:ascii="Times New Roman" w:hAnsi="Times New Roman" w:cs="Times New Roman"/>
                <w:sz w:val="24"/>
                <w:szCs w:val="24"/>
              </w:rPr>
              <w:t>Altum</w:t>
            </w:r>
            <w:proofErr w:type="spellEnd"/>
            <w:r w:rsidRPr="00727920">
              <w:rPr>
                <w:rFonts w:ascii="Times New Roman" w:hAnsi="Times New Roman" w:cs="Times New Roman"/>
                <w:sz w:val="24"/>
                <w:szCs w:val="24"/>
              </w:rPr>
              <w:t xml:space="preserve"> atbalstu var sniegt tikai tad, ja tirgus šādu pakalpojumu nepiedāvā (ja pastāv tirgus nepilnība), vai piedāvā pakalpojumu pārāk dārgi un ir jābūt analīzei, ko un uz kādiem nosacījumiem pašlaik piedāvā tirgus, jānorāda robeža, pie kuras banku kredīti ir ekonomiski neefektīvi. </w:t>
            </w:r>
          </w:p>
          <w:p w14:paraId="78B33755" w14:textId="77777777" w:rsidR="002768EB" w:rsidRPr="00727920" w:rsidRDefault="002768EB" w:rsidP="00463E28">
            <w:pPr>
              <w:spacing w:after="0" w:line="240" w:lineRule="auto"/>
              <w:contextualSpacing/>
              <w:jc w:val="both"/>
              <w:rPr>
                <w:rFonts w:ascii="Times New Roman" w:hAnsi="Times New Roman" w:cs="Times New Roman"/>
                <w:iCs/>
                <w:sz w:val="24"/>
                <w:szCs w:val="24"/>
              </w:rPr>
            </w:pPr>
            <w:r w:rsidRPr="00727920">
              <w:rPr>
                <w:rFonts w:ascii="Times New Roman" w:hAnsi="Times New Roman" w:cs="Times New Roman"/>
                <w:sz w:val="24"/>
                <w:szCs w:val="24"/>
              </w:rPr>
              <w:t>Ņemot vērā augstāk minēto</w:t>
            </w:r>
            <w:r>
              <w:rPr>
                <w:rFonts w:ascii="Times New Roman" w:hAnsi="Times New Roman" w:cs="Times New Roman"/>
                <w:sz w:val="24"/>
                <w:szCs w:val="24"/>
              </w:rPr>
              <w:t>,</w:t>
            </w:r>
            <w:r w:rsidRPr="00727920">
              <w:rPr>
                <w:rFonts w:ascii="Times New Roman" w:hAnsi="Times New Roman" w:cs="Times New Roman"/>
                <w:sz w:val="24"/>
                <w:szCs w:val="24"/>
              </w:rPr>
              <w:t xml:space="preserve"> Ministru kabineta 2016.gada 15.marta noteikumos Nr.160 “Darbības programmas “Izaugsme un nodarbinātība” 4.2.1.specifiskā atbalsta mērķa “Veicināt energoefektivitātes paaugstināšanu valsts un dzīvojamās ēkās” 4.2.1.1.specifiskā atbalsta mērķa pasākuma “Veicināt energoefektivitātes paaugstināšanu dzīvojamās ēkās” īstenošanas noteikumi” </w:t>
            </w:r>
            <w:r>
              <w:rPr>
                <w:rFonts w:ascii="Times New Roman" w:hAnsi="Times New Roman" w:cs="Times New Roman"/>
                <w:sz w:val="24"/>
                <w:szCs w:val="24"/>
              </w:rPr>
              <w:t xml:space="preserve">(turpmāk – MK noteikumi Nr.160) </w:t>
            </w:r>
            <w:r w:rsidRPr="00727920">
              <w:rPr>
                <w:rFonts w:ascii="Times New Roman" w:hAnsi="Times New Roman" w:cs="Times New Roman"/>
                <w:sz w:val="24"/>
                <w:szCs w:val="24"/>
              </w:rPr>
              <w:t>izstrādes procesā noteikumos tiks iekļauta norma, ka “</w:t>
            </w:r>
            <w:r w:rsidRPr="00727920">
              <w:rPr>
                <w:rFonts w:ascii="Times New Roman" w:hAnsi="Times New Roman" w:cs="Times New Roman"/>
                <w:iCs/>
                <w:sz w:val="24"/>
                <w:szCs w:val="24"/>
                <w:shd w:val="clear" w:color="auto" w:fill="FFFFFF"/>
              </w:rPr>
              <w:t>cits finansētājs izsniedz apliecinājumu dzīvokļu īpašnieku pilnvarotai personai, ka dzīvokļu īpašnieki var pieteikties aizdevuma saņemšanai sabiedrībā "</w:t>
            </w:r>
            <w:proofErr w:type="spellStart"/>
            <w:r w:rsidRPr="00727920">
              <w:rPr>
                <w:rFonts w:ascii="Times New Roman" w:hAnsi="Times New Roman" w:cs="Times New Roman"/>
                <w:iCs/>
                <w:sz w:val="24"/>
                <w:szCs w:val="24"/>
                <w:shd w:val="clear" w:color="auto" w:fill="FFFFFF"/>
              </w:rPr>
              <w:t>Altum</w:t>
            </w:r>
            <w:proofErr w:type="spellEnd"/>
            <w:r w:rsidRPr="00727920">
              <w:rPr>
                <w:rFonts w:ascii="Times New Roman" w:hAnsi="Times New Roman" w:cs="Times New Roman"/>
                <w:iCs/>
                <w:sz w:val="24"/>
                <w:szCs w:val="24"/>
                <w:shd w:val="clear" w:color="auto" w:fill="FFFFFF"/>
              </w:rPr>
              <w:t>"”</w:t>
            </w:r>
            <w:r w:rsidRPr="00727920">
              <w:rPr>
                <w:rFonts w:ascii="Times New Roman" w:hAnsi="Times New Roman" w:cs="Times New Roman"/>
                <w:sz w:val="24"/>
                <w:szCs w:val="24"/>
                <w:shd w:val="clear" w:color="auto" w:fill="FFFFFF"/>
              </w:rPr>
              <w:t>, savukārt,</w:t>
            </w:r>
            <w:r w:rsidRPr="00727920">
              <w:rPr>
                <w:rFonts w:ascii="Times New Roman" w:hAnsi="Times New Roman" w:cs="Times New Roman"/>
                <w:sz w:val="24"/>
                <w:szCs w:val="24"/>
              </w:rPr>
              <w:t xml:space="preserve"> anotācijā tika iekļauta </w:t>
            </w:r>
            <w:r w:rsidRPr="00727920">
              <w:rPr>
                <w:rFonts w:ascii="Times New Roman" w:hAnsi="Times New Roman" w:cs="Times New Roman"/>
                <w:sz w:val="24"/>
                <w:szCs w:val="24"/>
              </w:rPr>
              <w:lastRenderedPageBreak/>
              <w:t>informācija, ka “</w:t>
            </w:r>
            <w:proofErr w:type="spellStart"/>
            <w:r w:rsidRPr="00727920">
              <w:rPr>
                <w:rFonts w:ascii="Times New Roman" w:hAnsi="Times New Roman" w:cs="Times New Roman"/>
                <w:iCs/>
                <w:sz w:val="24"/>
                <w:szCs w:val="24"/>
              </w:rPr>
              <w:t>Altum</w:t>
            </w:r>
            <w:proofErr w:type="spellEnd"/>
            <w:r w:rsidRPr="00727920">
              <w:rPr>
                <w:rFonts w:ascii="Times New Roman" w:hAnsi="Times New Roman" w:cs="Times New Roman"/>
                <w:iCs/>
                <w:sz w:val="24"/>
                <w:szCs w:val="24"/>
              </w:rPr>
              <w:t xml:space="preserve"> aizdevumi, kuriem piemēro procentu likmi orientējoši 2%+ EURIBOR gadā. Likme ir noteikta atbilstoši finanšu resursu cenai, atbilstoši kādai noteikumu izstrādes laikā </w:t>
            </w:r>
            <w:proofErr w:type="spellStart"/>
            <w:r w:rsidRPr="00727920">
              <w:rPr>
                <w:rFonts w:ascii="Times New Roman" w:hAnsi="Times New Roman" w:cs="Times New Roman"/>
                <w:iCs/>
                <w:sz w:val="24"/>
                <w:szCs w:val="24"/>
              </w:rPr>
              <w:t>Altum</w:t>
            </w:r>
            <w:proofErr w:type="spellEnd"/>
            <w:r w:rsidRPr="00727920">
              <w:rPr>
                <w:rFonts w:ascii="Times New Roman" w:hAnsi="Times New Roman" w:cs="Times New Roman"/>
                <w:iCs/>
                <w:sz w:val="24"/>
                <w:szCs w:val="24"/>
              </w:rPr>
              <w:t xml:space="preserve"> var piesaistīt finanšu līdzekļus. Mainoties finanšu resursu cenām tirgos, var pieaugt arī </w:t>
            </w:r>
            <w:proofErr w:type="spellStart"/>
            <w:r w:rsidRPr="00727920">
              <w:rPr>
                <w:rFonts w:ascii="Times New Roman" w:hAnsi="Times New Roman" w:cs="Times New Roman"/>
                <w:iCs/>
                <w:sz w:val="24"/>
                <w:szCs w:val="24"/>
              </w:rPr>
              <w:t>Altum</w:t>
            </w:r>
            <w:proofErr w:type="spellEnd"/>
            <w:r w:rsidRPr="00727920">
              <w:rPr>
                <w:rFonts w:ascii="Times New Roman" w:hAnsi="Times New Roman" w:cs="Times New Roman"/>
                <w:iCs/>
                <w:sz w:val="24"/>
                <w:szCs w:val="24"/>
              </w:rPr>
              <w:t xml:space="preserve"> izsniegto aizdevumu izmaksas. Sākotnēji dzīvokļu īpašnieki ar pilnvarotās personas starpniecību vēršas pie cita finansētāja ar lūgumu izsniegt finansējumu energoefektivitātes paaugstināšanas pasākumu īstenošanai. Ja vismaz viena komercbanka ir izsniegusi apliecinājumu, ka tai nav iebildumu, ka aizdevumu izsniedz </w:t>
            </w:r>
            <w:proofErr w:type="spellStart"/>
            <w:r w:rsidRPr="00727920">
              <w:rPr>
                <w:rFonts w:ascii="Times New Roman" w:hAnsi="Times New Roman" w:cs="Times New Roman"/>
                <w:iCs/>
                <w:sz w:val="24"/>
                <w:szCs w:val="24"/>
              </w:rPr>
              <w:t>Altum</w:t>
            </w:r>
            <w:proofErr w:type="spellEnd"/>
            <w:r w:rsidRPr="00727920">
              <w:rPr>
                <w:rFonts w:ascii="Times New Roman" w:hAnsi="Times New Roman" w:cs="Times New Roman"/>
                <w:iCs/>
                <w:sz w:val="24"/>
                <w:szCs w:val="24"/>
              </w:rPr>
              <w:t xml:space="preserve">, pilnvarotā persona ar atbalsta pieteikumu vēršas </w:t>
            </w:r>
            <w:proofErr w:type="spellStart"/>
            <w:r w:rsidRPr="00727920">
              <w:rPr>
                <w:rFonts w:ascii="Times New Roman" w:hAnsi="Times New Roman" w:cs="Times New Roman"/>
                <w:iCs/>
                <w:sz w:val="24"/>
                <w:szCs w:val="24"/>
              </w:rPr>
              <w:t>Altum</w:t>
            </w:r>
            <w:proofErr w:type="spellEnd"/>
            <w:r w:rsidRPr="00727920">
              <w:rPr>
                <w:rFonts w:ascii="Times New Roman" w:hAnsi="Times New Roman" w:cs="Times New Roman"/>
                <w:iCs/>
                <w:sz w:val="24"/>
                <w:szCs w:val="24"/>
              </w:rPr>
              <w:t xml:space="preserve">. Tas ir, komercbanka ir sniegusi apliecinājumu pilnvarotai personai (dzīvokļu īpašniekiem), ka dzīvokļu īpašnieki var pieteikties aizdevuma saņemšanai </w:t>
            </w:r>
            <w:proofErr w:type="spellStart"/>
            <w:r w:rsidRPr="00727920">
              <w:rPr>
                <w:rFonts w:ascii="Times New Roman" w:hAnsi="Times New Roman" w:cs="Times New Roman"/>
                <w:iCs/>
                <w:sz w:val="24"/>
                <w:szCs w:val="24"/>
              </w:rPr>
              <w:t>Altum</w:t>
            </w:r>
            <w:proofErr w:type="spellEnd"/>
            <w:r w:rsidRPr="00727920">
              <w:rPr>
                <w:rFonts w:ascii="Times New Roman" w:hAnsi="Times New Roman" w:cs="Times New Roman"/>
                <w:iCs/>
                <w:sz w:val="24"/>
                <w:szCs w:val="24"/>
              </w:rPr>
              <w:t xml:space="preserve">. Šāda situācija var veidoties gadījumos, kad māja ir ar augstu aizdevuma risku (piemēram, reģions, iedzīvotāju maksātspēja, maksāšanas disciplīna utt.) vai arī citi finansētāji ir gatavi sniegt finansējumu, kas vairs nav ekonomiski efektīvs, jo tiek pārsniegta finansējuma procentu likmju robeža, pie kuras cita finansētāja finansējums ir izdevīgs, t.i., pie kuras energoefektivitātes pasākumu rezultātā sasniegtais siltumenerģijas ietaupījums sedz finansējuma un tā nodrošināšanas izmaksas. Gala aizņēmēju riska dalīšana: - ES fondu finansējums sedz pirmos zaudējumus līdz 15% apmērā no izsniegto </w:t>
            </w:r>
            <w:proofErr w:type="spellStart"/>
            <w:r w:rsidRPr="00727920">
              <w:rPr>
                <w:rFonts w:ascii="Times New Roman" w:hAnsi="Times New Roman" w:cs="Times New Roman"/>
                <w:iCs/>
                <w:sz w:val="24"/>
                <w:szCs w:val="24"/>
              </w:rPr>
              <w:t>Altum</w:t>
            </w:r>
            <w:proofErr w:type="spellEnd"/>
            <w:r w:rsidRPr="00727920">
              <w:rPr>
                <w:rFonts w:ascii="Times New Roman" w:hAnsi="Times New Roman" w:cs="Times New Roman"/>
                <w:iCs/>
                <w:sz w:val="24"/>
                <w:szCs w:val="24"/>
              </w:rPr>
              <w:t xml:space="preserve"> finansējuma kopsummas; - visus nākamos zaudējumus sedz </w:t>
            </w:r>
            <w:proofErr w:type="spellStart"/>
            <w:r w:rsidRPr="00727920">
              <w:rPr>
                <w:rFonts w:ascii="Times New Roman" w:hAnsi="Times New Roman" w:cs="Times New Roman"/>
                <w:iCs/>
                <w:sz w:val="24"/>
                <w:szCs w:val="24"/>
              </w:rPr>
              <w:t>Altum</w:t>
            </w:r>
            <w:proofErr w:type="spellEnd"/>
            <w:r w:rsidRPr="00727920">
              <w:rPr>
                <w:rFonts w:ascii="Times New Roman" w:hAnsi="Times New Roman" w:cs="Times New Roman"/>
                <w:iCs/>
                <w:sz w:val="24"/>
                <w:szCs w:val="24"/>
              </w:rPr>
              <w:t xml:space="preserve">. </w:t>
            </w:r>
            <w:proofErr w:type="spellStart"/>
            <w:r w:rsidRPr="00727920">
              <w:rPr>
                <w:rFonts w:ascii="Times New Roman" w:hAnsi="Times New Roman" w:cs="Times New Roman"/>
                <w:iCs/>
                <w:sz w:val="24"/>
                <w:szCs w:val="24"/>
              </w:rPr>
              <w:t>Altum</w:t>
            </w:r>
            <w:proofErr w:type="spellEnd"/>
            <w:r w:rsidRPr="00727920">
              <w:rPr>
                <w:rFonts w:ascii="Times New Roman" w:hAnsi="Times New Roman" w:cs="Times New Roman"/>
                <w:iCs/>
                <w:sz w:val="24"/>
                <w:szCs w:val="24"/>
              </w:rPr>
              <w:t xml:space="preserve"> kreditēs klientus, ievērojot energoefektivitātes paaugstināšanas pasākumu atbilstības un vērtēšanas kritērijus. </w:t>
            </w:r>
            <w:proofErr w:type="spellStart"/>
            <w:r w:rsidRPr="00727920">
              <w:rPr>
                <w:rFonts w:ascii="Times New Roman" w:hAnsi="Times New Roman" w:cs="Times New Roman"/>
                <w:iCs/>
                <w:sz w:val="24"/>
                <w:szCs w:val="24"/>
              </w:rPr>
              <w:t>Altum</w:t>
            </w:r>
            <w:proofErr w:type="spellEnd"/>
            <w:r w:rsidRPr="00727920">
              <w:rPr>
                <w:rFonts w:ascii="Times New Roman" w:hAnsi="Times New Roman" w:cs="Times New Roman"/>
                <w:iCs/>
                <w:sz w:val="24"/>
                <w:szCs w:val="24"/>
              </w:rPr>
              <w:t xml:space="preserve"> apsaimniekos savā portfelī esošos „sliktos” kredītus</w:t>
            </w:r>
            <w:r w:rsidRPr="00727920">
              <w:rPr>
                <w:rFonts w:ascii="Times New Roman" w:hAnsi="Times New Roman" w:cs="Times New Roman"/>
                <w:sz w:val="24"/>
                <w:szCs w:val="24"/>
              </w:rPr>
              <w:t>.”</w:t>
            </w:r>
          </w:p>
          <w:p w14:paraId="0E5EBB9B" w14:textId="77777777" w:rsidR="002768EB" w:rsidRPr="00727920" w:rsidRDefault="002768EB" w:rsidP="00463E28">
            <w:pPr>
              <w:spacing w:after="0" w:line="240" w:lineRule="auto"/>
              <w:contextualSpacing/>
              <w:jc w:val="both"/>
              <w:rPr>
                <w:rFonts w:ascii="Times New Roman" w:hAnsi="Times New Roman" w:cs="Times New Roman"/>
                <w:sz w:val="24"/>
                <w:szCs w:val="24"/>
              </w:rPr>
            </w:pPr>
            <w:r w:rsidRPr="00727920">
              <w:rPr>
                <w:rFonts w:ascii="Times New Roman" w:hAnsi="Times New Roman" w:cs="Times New Roman"/>
                <w:sz w:val="24"/>
                <w:szCs w:val="24"/>
              </w:rPr>
              <w:lastRenderedPageBreak/>
              <w:t xml:space="preserve">Proti, augstāk minētā komercbankas apliecinājuma būtība ir tā, ka tas pierāda, ka privātais finansētājs (banka) </w:t>
            </w:r>
            <w:r w:rsidRPr="00727920">
              <w:rPr>
                <w:rFonts w:ascii="Times New Roman" w:hAnsi="Times New Roman" w:cs="Times New Roman"/>
                <w:sz w:val="24"/>
                <w:szCs w:val="24"/>
                <w:u w:val="single"/>
              </w:rPr>
              <w:t xml:space="preserve">nesniedz </w:t>
            </w:r>
            <w:r w:rsidRPr="00727920">
              <w:rPr>
                <w:rFonts w:ascii="Times New Roman" w:hAnsi="Times New Roman" w:cs="Times New Roman"/>
                <w:sz w:val="24"/>
                <w:szCs w:val="24"/>
              </w:rPr>
              <w:t xml:space="preserve">aizdevumu, tāpēc dzīvokļu īpašniekiem ir jāvēršas pie </w:t>
            </w:r>
            <w:proofErr w:type="spellStart"/>
            <w:r w:rsidRPr="00727920">
              <w:rPr>
                <w:rFonts w:ascii="Times New Roman" w:hAnsi="Times New Roman" w:cs="Times New Roman"/>
                <w:sz w:val="24"/>
                <w:szCs w:val="24"/>
              </w:rPr>
              <w:t>Altum</w:t>
            </w:r>
            <w:proofErr w:type="spellEnd"/>
            <w:r w:rsidRPr="00727920">
              <w:rPr>
                <w:rFonts w:ascii="Times New Roman" w:hAnsi="Times New Roman" w:cs="Times New Roman"/>
                <w:sz w:val="24"/>
                <w:szCs w:val="24"/>
              </w:rPr>
              <w:t xml:space="preserve">, un attiecīgi, tas nepieciešams, lai pierādītu, ka </w:t>
            </w:r>
            <w:proofErr w:type="spellStart"/>
            <w:r w:rsidRPr="00727920">
              <w:rPr>
                <w:rFonts w:ascii="Times New Roman" w:hAnsi="Times New Roman" w:cs="Times New Roman"/>
                <w:sz w:val="24"/>
                <w:szCs w:val="24"/>
              </w:rPr>
              <w:t>Altum</w:t>
            </w:r>
            <w:proofErr w:type="spellEnd"/>
            <w:r w:rsidRPr="00727920">
              <w:rPr>
                <w:rFonts w:ascii="Times New Roman" w:hAnsi="Times New Roman" w:cs="Times New Roman"/>
                <w:sz w:val="24"/>
                <w:szCs w:val="24"/>
              </w:rPr>
              <w:t xml:space="preserve"> darbojas tikai tirgus nepilnības apstākļos un tādējādi tas nav pretrunā ar Eiropas Komisijas lēmumu par valsts atbalstu SA.36904 (2014/N).</w:t>
            </w:r>
          </w:p>
        </w:tc>
        <w:tc>
          <w:tcPr>
            <w:tcW w:w="957" w:type="pct"/>
            <w:gridSpan w:val="2"/>
            <w:tcBorders>
              <w:top w:val="single" w:sz="6" w:space="0" w:color="000000"/>
              <w:left w:val="single" w:sz="6" w:space="0" w:color="000000"/>
              <w:bottom w:val="single" w:sz="6" w:space="0" w:color="000000"/>
              <w:right w:val="single" w:sz="6" w:space="0" w:color="000000"/>
            </w:tcBorders>
          </w:tcPr>
          <w:p w14:paraId="634FE95F" w14:textId="77777777" w:rsidR="002768EB" w:rsidRPr="00727920" w:rsidRDefault="002768EB" w:rsidP="00463E28">
            <w:pPr>
              <w:spacing w:after="0" w:line="240" w:lineRule="auto"/>
              <w:contextualSpacing/>
              <w:jc w:val="center"/>
              <w:rPr>
                <w:rFonts w:ascii="Times New Roman" w:eastAsia="Times New Roman" w:hAnsi="Times New Roman" w:cs="Times New Roman"/>
                <w:b/>
                <w:bCs/>
                <w:sz w:val="24"/>
                <w:szCs w:val="24"/>
                <w:lang w:eastAsia="lv-LV"/>
              </w:rPr>
            </w:pPr>
            <w:r w:rsidRPr="00727920">
              <w:rPr>
                <w:rFonts w:ascii="Times New Roman" w:eastAsia="Times New Roman" w:hAnsi="Times New Roman" w:cs="Times New Roman"/>
                <w:b/>
                <w:bCs/>
                <w:sz w:val="24"/>
                <w:szCs w:val="24"/>
                <w:lang w:eastAsia="lv-LV"/>
              </w:rPr>
              <w:lastRenderedPageBreak/>
              <w:t>Ņemts vērā</w:t>
            </w:r>
          </w:p>
          <w:p w14:paraId="0BB8C6F8" w14:textId="77777777" w:rsidR="002768EB" w:rsidRPr="00727920" w:rsidRDefault="002768EB" w:rsidP="00463E28">
            <w:pPr>
              <w:spacing w:after="0" w:line="240" w:lineRule="auto"/>
              <w:contextualSpacing/>
              <w:jc w:val="both"/>
              <w:rPr>
                <w:rFonts w:ascii="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 xml:space="preserve">Ekonomikas ministrija, lai veicinātu programmas apguvi un nodrošinātu iesniegto projektu finansēšanu, piedāvā skaidrot MK noteikumus Nr.160 papildināt ar jēdzienu “cita </w:t>
            </w:r>
            <w:proofErr w:type="spellStart"/>
            <w:r w:rsidRPr="00727920">
              <w:rPr>
                <w:rFonts w:ascii="Times New Roman" w:eastAsia="Times New Roman" w:hAnsi="Times New Roman" w:cs="Times New Roman"/>
                <w:sz w:val="24"/>
                <w:szCs w:val="24"/>
                <w:lang w:eastAsia="lv-LV"/>
              </w:rPr>
              <w:lastRenderedPageBreak/>
              <w:t>finsnētāja</w:t>
            </w:r>
            <w:proofErr w:type="spellEnd"/>
            <w:r w:rsidRPr="00727920">
              <w:rPr>
                <w:rFonts w:ascii="Times New Roman" w:eastAsia="Times New Roman" w:hAnsi="Times New Roman" w:cs="Times New Roman"/>
                <w:sz w:val="24"/>
                <w:szCs w:val="24"/>
                <w:lang w:eastAsia="lv-LV"/>
              </w:rPr>
              <w:t xml:space="preserve"> apliecinājums”, nosakot, ka tas ir “</w:t>
            </w:r>
            <w:r w:rsidRPr="00727920">
              <w:rPr>
                <w:rFonts w:ascii="Times New Roman" w:hAnsi="Times New Roman" w:cs="Times New Roman"/>
                <w:i/>
                <w:iCs/>
                <w:sz w:val="24"/>
                <w:szCs w:val="24"/>
                <w:lang w:eastAsia="lv-LV"/>
              </w:rPr>
              <w:t>kredītiestādes apliecinājums, ka dzīvokļu īpašnieki var pieteikties aizdevuma saņemšanai sabiedrībā "</w:t>
            </w:r>
            <w:proofErr w:type="spellStart"/>
            <w:r w:rsidRPr="00727920">
              <w:rPr>
                <w:rFonts w:ascii="Times New Roman" w:hAnsi="Times New Roman" w:cs="Times New Roman"/>
                <w:i/>
                <w:iCs/>
                <w:sz w:val="24"/>
                <w:szCs w:val="24"/>
                <w:lang w:eastAsia="lv-LV"/>
              </w:rPr>
              <w:t>Altum</w:t>
            </w:r>
            <w:proofErr w:type="spellEnd"/>
            <w:r w:rsidRPr="00727920">
              <w:rPr>
                <w:rFonts w:ascii="Times New Roman" w:hAnsi="Times New Roman" w:cs="Times New Roman"/>
                <w:i/>
                <w:iCs/>
                <w:sz w:val="24"/>
                <w:szCs w:val="24"/>
                <w:lang w:eastAsia="lv-LV"/>
              </w:rPr>
              <w:t>", kas tiek izsniegts ne vēlāk kā 20 darba dienu laikā no dzīvokļu īpašnieku pilnvarotas personas iesniegtā pieteikuma cita finansētāja finansējuma saņemšanai. Ja kredītiestāde nesniedz apliecinājumu 20 darba dienu laikā, tad uzskatāms, ka kredītiestāde pēc noklusējuma ir apliecinājusi, ka dzīvokļa īpašnieki var pieteikties aizdevumam sabiedrībā "</w:t>
            </w:r>
            <w:proofErr w:type="spellStart"/>
            <w:r w:rsidRPr="00727920">
              <w:rPr>
                <w:rFonts w:ascii="Times New Roman" w:hAnsi="Times New Roman" w:cs="Times New Roman"/>
                <w:i/>
                <w:iCs/>
                <w:sz w:val="24"/>
                <w:szCs w:val="24"/>
                <w:lang w:eastAsia="lv-LV"/>
              </w:rPr>
              <w:t>Altum</w:t>
            </w:r>
            <w:proofErr w:type="spellEnd"/>
            <w:r w:rsidRPr="00727920">
              <w:rPr>
                <w:rFonts w:ascii="Times New Roman" w:hAnsi="Times New Roman" w:cs="Times New Roman"/>
                <w:i/>
                <w:iCs/>
                <w:sz w:val="24"/>
                <w:szCs w:val="24"/>
                <w:lang w:eastAsia="lv-LV"/>
              </w:rPr>
              <w:t>.</w:t>
            </w:r>
            <w:r w:rsidRPr="00727920">
              <w:rPr>
                <w:rFonts w:ascii="Times New Roman" w:hAnsi="Times New Roman" w:cs="Times New Roman"/>
                <w:sz w:val="24"/>
                <w:szCs w:val="24"/>
                <w:lang w:eastAsia="lv-LV"/>
              </w:rPr>
              <w:t>”</w:t>
            </w:r>
          </w:p>
        </w:tc>
        <w:tc>
          <w:tcPr>
            <w:tcW w:w="851" w:type="pct"/>
            <w:gridSpan w:val="2"/>
            <w:tcBorders>
              <w:top w:val="single" w:sz="4" w:space="0" w:color="auto"/>
              <w:left w:val="single" w:sz="4" w:space="0" w:color="auto"/>
              <w:bottom w:val="single" w:sz="4" w:space="0" w:color="auto"/>
              <w:right w:val="single" w:sz="4" w:space="0" w:color="auto"/>
            </w:tcBorders>
          </w:tcPr>
          <w:p w14:paraId="4AB5C952" w14:textId="77777777" w:rsidR="002768EB" w:rsidRPr="0074581D" w:rsidRDefault="002768EB" w:rsidP="00463E28">
            <w:pPr>
              <w:spacing w:after="0" w:line="240" w:lineRule="auto"/>
              <w:contextualSpacing/>
              <w:jc w:val="both"/>
              <w:rPr>
                <w:rFonts w:ascii="Times New Roman" w:eastAsia="Times New Roman" w:hAnsi="Times New Roman" w:cs="Times New Roman"/>
                <w:bCs/>
                <w:sz w:val="24"/>
                <w:szCs w:val="24"/>
                <w:lang w:eastAsia="lv-LV"/>
              </w:rPr>
            </w:pPr>
            <w:r w:rsidRPr="0074581D">
              <w:rPr>
                <w:rFonts w:ascii="Times New Roman" w:eastAsia="Times New Roman" w:hAnsi="Times New Roman" w:cs="Times New Roman"/>
                <w:bCs/>
                <w:sz w:val="24"/>
                <w:szCs w:val="24"/>
                <w:lang w:eastAsia="lv-LV"/>
              </w:rPr>
              <w:lastRenderedPageBreak/>
              <w:t>Papildināt noteikumus ar 2.15.apakšpunktu šādā redakcijā:</w:t>
            </w:r>
          </w:p>
          <w:p w14:paraId="3AF93597" w14:textId="77777777" w:rsidR="002768EB" w:rsidRPr="00727920" w:rsidRDefault="002768EB" w:rsidP="00463E28">
            <w:pPr>
              <w:spacing w:after="0" w:line="240" w:lineRule="auto"/>
              <w:contextualSpacing/>
              <w:jc w:val="both"/>
              <w:rPr>
                <w:rFonts w:ascii="Times New Roman" w:eastAsia="Times New Roman" w:hAnsi="Times New Roman" w:cs="Times New Roman"/>
                <w:bCs/>
                <w:sz w:val="24"/>
                <w:szCs w:val="24"/>
                <w:lang w:eastAsia="lv-LV"/>
              </w:rPr>
            </w:pPr>
            <w:r w:rsidRPr="00727920">
              <w:rPr>
                <w:rFonts w:ascii="Times New Roman" w:eastAsia="Times New Roman" w:hAnsi="Times New Roman" w:cs="Times New Roman"/>
                <w:bCs/>
                <w:sz w:val="24"/>
                <w:szCs w:val="24"/>
                <w:lang w:eastAsia="lv-LV"/>
              </w:rPr>
              <w:t>“</w:t>
            </w:r>
            <w:r w:rsidRPr="00727920">
              <w:rPr>
                <w:rFonts w:ascii="Times New Roman" w:hAnsi="Times New Roman" w:cs="Times New Roman"/>
                <w:sz w:val="24"/>
                <w:szCs w:val="24"/>
                <w:lang w:eastAsia="lv-LV"/>
              </w:rPr>
              <w:t xml:space="preserve">2.15. cita finansētāja apliecinājums – kredītiestādes apliecinājums, ka dzīvokļu </w:t>
            </w:r>
            <w:r w:rsidRPr="00727920">
              <w:rPr>
                <w:rFonts w:ascii="Times New Roman" w:hAnsi="Times New Roman" w:cs="Times New Roman"/>
                <w:sz w:val="24"/>
                <w:szCs w:val="24"/>
                <w:lang w:eastAsia="lv-LV"/>
              </w:rPr>
              <w:lastRenderedPageBreak/>
              <w:t>īpašnieki var pieteikties aizdevuma saņemšanai sabiedrībā "</w:t>
            </w:r>
            <w:proofErr w:type="spellStart"/>
            <w:r w:rsidRPr="00727920">
              <w:rPr>
                <w:rFonts w:ascii="Times New Roman" w:hAnsi="Times New Roman" w:cs="Times New Roman"/>
                <w:sz w:val="24"/>
                <w:szCs w:val="24"/>
                <w:lang w:eastAsia="lv-LV"/>
              </w:rPr>
              <w:t>Altum</w:t>
            </w:r>
            <w:proofErr w:type="spellEnd"/>
            <w:r w:rsidRPr="00727920">
              <w:rPr>
                <w:rFonts w:ascii="Times New Roman" w:hAnsi="Times New Roman" w:cs="Times New Roman"/>
                <w:sz w:val="24"/>
                <w:szCs w:val="24"/>
                <w:lang w:eastAsia="lv-LV"/>
              </w:rPr>
              <w:t>", kas tiek izsniegts ne vēlāk kā 20 darba dienu laikā no dzīvokļu īpašnieku pilnvarotas personas iesniegtā pieteikuma cita finansētāja finansējuma saņemšanai. Ja kredītiestāde nesniedz apliecinājumu 20 darba dienu laikā, tad uzskatāms, ka kredītiestāde pēc noklusējuma ir apliecinājusi, ka dzīvokļa īpašnieki var pieteikties aizdevumam sabiedrībā "</w:t>
            </w:r>
            <w:proofErr w:type="spellStart"/>
            <w:r w:rsidRPr="00727920">
              <w:rPr>
                <w:rFonts w:ascii="Times New Roman" w:hAnsi="Times New Roman" w:cs="Times New Roman"/>
                <w:sz w:val="24"/>
                <w:szCs w:val="24"/>
                <w:lang w:eastAsia="lv-LV"/>
              </w:rPr>
              <w:t>Altum</w:t>
            </w:r>
            <w:proofErr w:type="spellEnd"/>
            <w:r w:rsidRPr="00727920">
              <w:rPr>
                <w:rFonts w:ascii="Times New Roman" w:hAnsi="Times New Roman" w:cs="Times New Roman"/>
                <w:sz w:val="24"/>
                <w:szCs w:val="24"/>
                <w:lang w:eastAsia="lv-LV"/>
              </w:rPr>
              <w:t>.”</w:t>
            </w:r>
          </w:p>
        </w:tc>
      </w:tr>
      <w:tr w:rsidR="002768EB" w:rsidRPr="00727920" w14:paraId="25DE9916" w14:textId="77777777" w:rsidTr="00463E28">
        <w:trPr>
          <w:gridAfter w:val="2"/>
          <w:wAfter w:w="1093" w:type="pct"/>
          <w:trHeight w:val="140"/>
        </w:trPr>
        <w:tc>
          <w:tcPr>
            <w:tcW w:w="220" w:type="pct"/>
            <w:tcBorders>
              <w:top w:val="single" w:sz="6" w:space="0" w:color="000000"/>
              <w:left w:val="single" w:sz="6" w:space="0" w:color="000000"/>
              <w:bottom w:val="single" w:sz="6" w:space="0" w:color="000000"/>
              <w:right w:val="single" w:sz="6" w:space="0" w:color="000000"/>
            </w:tcBorders>
          </w:tcPr>
          <w:p w14:paraId="1128DF5F" w14:textId="77777777" w:rsidR="002768EB" w:rsidRPr="00727920" w:rsidRDefault="002768EB" w:rsidP="00463E28">
            <w:pPr>
              <w:pStyle w:val="ListParagraph"/>
              <w:numPr>
                <w:ilvl w:val="0"/>
                <w:numId w:val="5"/>
              </w:numPr>
              <w:spacing w:after="0" w:line="240" w:lineRule="auto"/>
              <w:ind w:firstLine="0"/>
              <w:rPr>
                <w:rFonts w:ascii="Times New Roman" w:eastAsia="Times New Roman" w:hAnsi="Times New Roman" w:cs="Times New Roman"/>
                <w:sz w:val="24"/>
                <w:szCs w:val="24"/>
                <w:lang w:eastAsia="lv-LV"/>
              </w:rPr>
            </w:pPr>
          </w:p>
          <w:p w14:paraId="680E01D2" w14:textId="77777777" w:rsidR="002768EB" w:rsidRPr="00727920" w:rsidRDefault="002768EB" w:rsidP="00463E28">
            <w:pPr>
              <w:spacing w:after="0" w:line="240" w:lineRule="auto"/>
              <w:contextualSpacing/>
              <w:rPr>
                <w:rFonts w:ascii="Times New Roman" w:hAnsi="Times New Roman" w:cs="Times New Roman"/>
                <w:sz w:val="24"/>
                <w:szCs w:val="24"/>
                <w:lang w:eastAsia="lv-LV"/>
              </w:rPr>
            </w:pPr>
            <w:r w:rsidRPr="00727920">
              <w:rPr>
                <w:rFonts w:ascii="Times New Roman" w:hAnsi="Times New Roman" w:cs="Times New Roman"/>
                <w:sz w:val="24"/>
                <w:szCs w:val="24"/>
                <w:lang w:eastAsia="lv-LV"/>
              </w:rPr>
              <w:t>2.</w:t>
            </w:r>
          </w:p>
        </w:tc>
        <w:tc>
          <w:tcPr>
            <w:tcW w:w="515" w:type="pct"/>
            <w:tcBorders>
              <w:top w:val="single" w:sz="6" w:space="0" w:color="000000"/>
              <w:left w:val="single" w:sz="6" w:space="0" w:color="000000"/>
              <w:bottom w:val="single" w:sz="6" w:space="0" w:color="000000"/>
              <w:right w:val="single" w:sz="6" w:space="0" w:color="000000"/>
            </w:tcBorders>
          </w:tcPr>
          <w:p w14:paraId="7C68CBF9" w14:textId="77777777" w:rsidR="002768EB" w:rsidRDefault="002768EB" w:rsidP="00463E28">
            <w:pPr>
              <w:spacing w:after="0" w:line="240" w:lineRule="auto"/>
              <w:contextualSpacing/>
              <w:rPr>
                <w:rFonts w:ascii="Times New Roman" w:eastAsia="Times New Roman" w:hAnsi="Times New Roman" w:cs="Times New Roman"/>
                <w:sz w:val="24"/>
                <w:szCs w:val="24"/>
                <w:lang w:eastAsia="lv-LV"/>
              </w:rPr>
            </w:pPr>
          </w:p>
          <w:p w14:paraId="5B6604DE"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727920">
              <w:rPr>
                <w:rFonts w:ascii="Times New Roman" w:eastAsia="Times New Roman" w:hAnsi="Times New Roman" w:cs="Times New Roman"/>
                <w:sz w:val="24"/>
                <w:szCs w:val="24"/>
                <w:lang w:eastAsia="lv-LV"/>
              </w:rPr>
              <w:t>notācija</w:t>
            </w:r>
          </w:p>
        </w:tc>
        <w:tc>
          <w:tcPr>
            <w:tcW w:w="1364" w:type="pct"/>
            <w:tcBorders>
              <w:top w:val="single" w:sz="6" w:space="0" w:color="000000"/>
              <w:left w:val="single" w:sz="6" w:space="0" w:color="000000"/>
              <w:bottom w:val="single" w:sz="6" w:space="0" w:color="000000"/>
              <w:right w:val="single" w:sz="6" w:space="0" w:color="000000"/>
            </w:tcBorders>
          </w:tcPr>
          <w:p w14:paraId="73D5AAC3" w14:textId="77777777" w:rsidR="002768EB" w:rsidRPr="00727920" w:rsidRDefault="002768EB" w:rsidP="00463E28">
            <w:pPr>
              <w:pStyle w:val="ListParagraph"/>
              <w:spacing w:after="0" w:line="240" w:lineRule="auto"/>
              <w:ind w:left="0"/>
              <w:jc w:val="both"/>
              <w:rPr>
                <w:rFonts w:ascii="Times New Roman" w:eastAsia="Times New Roman" w:hAnsi="Times New Roman" w:cs="Times New Roman"/>
                <w:b/>
                <w:bCs/>
                <w:sz w:val="24"/>
                <w:szCs w:val="24"/>
              </w:rPr>
            </w:pPr>
            <w:r w:rsidRPr="00727920">
              <w:rPr>
                <w:rFonts w:ascii="Times New Roman" w:eastAsia="Times New Roman" w:hAnsi="Times New Roman" w:cs="Times New Roman"/>
                <w:b/>
                <w:bCs/>
                <w:sz w:val="24"/>
                <w:szCs w:val="24"/>
              </w:rPr>
              <w:t xml:space="preserve">Latvijas </w:t>
            </w:r>
            <w:r>
              <w:rPr>
                <w:rFonts w:ascii="Times New Roman" w:eastAsia="Times New Roman" w:hAnsi="Times New Roman" w:cs="Times New Roman"/>
                <w:b/>
                <w:bCs/>
                <w:sz w:val="24"/>
                <w:szCs w:val="24"/>
              </w:rPr>
              <w:t>F</w:t>
            </w:r>
            <w:r w:rsidRPr="00727920">
              <w:rPr>
                <w:rFonts w:ascii="Times New Roman" w:eastAsia="Times New Roman" w:hAnsi="Times New Roman" w:cs="Times New Roman"/>
                <w:b/>
                <w:bCs/>
                <w:sz w:val="24"/>
                <w:szCs w:val="24"/>
              </w:rPr>
              <w:t xml:space="preserve">inanšu nozares asociācijas </w:t>
            </w:r>
            <w:r>
              <w:rPr>
                <w:rFonts w:ascii="Times New Roman" w:eastAsia="Times New Roman" w:hAnsi="Times New Roman" w:cs="Times New Roman"/>
                <w:b/>
                <w:bCs/>
                <w:sz w:val="24"/>
                <w:szCs w:val="24"/>
              </w:rPr>
              <w:t xml:space="preserve">(Asociācija) </w:t>
            </w:r>
            <w:r w:rsidRPr="00727920">
              <w:rPr>
                <w:rFonts w:ascii="Times New Roman" w:eastAsia="Times New Roman" w:hAnsi="Times New Roman" w:cs="Times New Roman"/>
                <w:b/>
                <w:bCs/>
                <w:sz w:val="24"/>
                <w:szCs w:val="24"/>
              </w:rPr>
              <w:t>08.10.2020. atzinumā Nr.</w:t>
            </w:r>
            <w:r>
              <w:rPr>
                <w:rFonts w:ascii="Times New Roman" w:eastAsia="Times New Roman" w:hAnsi="Times New Roman" w:cs="Times New Roman"/>
                <w:b/>
                <w:bCs/>
                <w:sz w:val="24"/>
                <w:szCs w:val="24"/>
              </w:rPr>
              <w:t> </w:t>
            </w:r>
            <w:r w:rsidRPr="00727920">
              <w:rPr>
                <w:rFonts w:ascii="Times New Roman" w:eastAsia="Times New Roman" w:hAnsi="Times New Roman" w:cs="Times New Roman"/>
                <w:b/>
                <w:bCs/>
                <w:sz w:val="24"/>
                <w:szCs w:val="24"/>
              </w:rPr>
              <w:t>1-23/177_e iebildumā Nr.1</w:t>
            </w:r>
            <w:r w:rsidRPr="00727920">
              <w:rPr>
                <w:rFonts w:ascii="Times New Roman" w:eastAsia="Times New Roman" w:hAnsi="Times New Roman" w:cs="Times New Roman"/>
                <w:sz w:val="24"/>
                <w:szCs w:val="24"/>
              </w:rPr>
              <w:t xml:space="preserve"> ir norādījusi, ka 4.2.1.1.</w:t>
            </w:r>
            <w:r>
              <w:rPr>
                <w:rFonts w:ascii="Times New Roman" w:eastAsia="Times New Roman" w:hAnsi="Times New Roman" w:cs="Times New Roman"/>
                <w:sz w:val="24"/>
                <w:szCs w:val="24"/>
              </w:rPr>
              <w:t xml:space="preserve"> pasākuma </w:t>
            </w:r>
            <w:r w:rsidRPr="00727920">
              <w:rPr>
                <w:rFonts w:ascii="Times New Roman" w:eastAsia="Times New Roman" w:hAnsi="Times New Roman" w:cs="Times New Roman"/>
                <w:sz w:val="24"/>
                <w:szCs w:val="24"/>
              </w:rPr>
              <w:t>ietvaros programmas ieviešanā šobrīd aktīvi iesaistās trīs bankas – AS Swedbank, AS SEB banka un AS “Citadele banka”, un visas ir izteikušas vēlmi arī turpmāk finansēt gan daudzdzīvokļu māju energoefektivitātes, gan māju atjaunošanas projektus. Vienlaikus programmas veiksmīgu ieviešanu apdraud vairāki riski (piemēram, pandēmija COVID-19, finanšu korekcijas, kas piemērotas programm</w:t>
            </w:r>
            <w:r w:rsidRPr="00727920">
              <w:rPr>
                <w:rFonts w:ascii="Times New Roman" w:eastAsia="Times New Roman" w:hAnsi="Times New Roman" w:cs="Times New Roman"/>
                <w:b/>
                <w:bCs/>
                <w:sz w:val="24"/>
                <w:szCs w:val="24"/>
              </w:rPr>
              <w:t>ā,</w:t>
            </w:r>
            <w:r w:rsidRPr="00727920">
              <w:rPr>
                <w:rFonts w:ascii="Times New Roman" w:eastAsia="Times New Roman" w:hAnsi="Times New Roman" w:cs="Times New Roman"/>
                <w:sz w:val="24"/>
                <w:szCs w:val="24"/>
              </w:rPr>
              <w:t xml:space="preserve"> darbaspēka trūkums būvniecības nozarē, kvoruma trūkums dzīvokļu īpašnieku lēmumu pieņemšanas procesā u.c.), taču Asociācija nepiekrīt anotācijā norādītajam, ka finansējuma piesaistes ilgums ir galvenais iemesls,  kādēļ ir vērojams lēns programmas ieviešanas progress. Projektu izstrāde un ieviešana šīs programmas ietvaros ir gana laikietilpīgs process, sākot ar lēmuma pieņemšanu par projekta īstenošanu, projektēšanas uzsākšanu, beidzot ar iepirkumu organizēšanu, būvnieku piesaisti un būvdarbu uzraudzību. 2020.gada maijā </w:t>
            </w:r>
            <w:proofErr w:type="spellStart"/>
            <w:r w:rsidRPr="00727920">
              <w:rPr>
                <w:rFonts w:ascii="Times New Roman" w:eastAsia="Times New Roman" w:hAnsi="Times New Roman" w:cs="Times New Roman"/>
                <w:sz w:val="24"/>
                <w:szCs w:val="24"/>
              </w:rPr>
              <w:t>Altum</w:t>
            </w:r>
            <w:proofErr w:type="spellEnd"/>
            <w:r w:rsidRPr="00727920">
              <w:rPr>
                <w:rFonts w:ascii="Times New Roman" w:eastAsia="Times New Roman" w:hAnsi="Times New Roman" w:cs="Times New Roman"/>
                <w:sz w:val="24"/>
                <w:szCs w:val="24"/>
              </w:rPr>
              <w:t xml:space="preserve"> uzsāka komunikāciju par finanšu korekciju piemērošanu, kas radīja neviennozīmīgu izpratni par programmas īstenošanas nosacījumiem. Nepieciešamība panākt skaidrību šajā būtiskajā </w:t>
            </w:r>
            <w:r w:rsidRPr="00727920">
              <w:rPr>
                <w:rFonts w:ascii="Times New Roman" w:eastAsia="Times New Roman" w:hAnsi="Times New Roman" w:cs="Times New Roman"/>
                <w:sz w:val="24"/>
                <w:szCs w:val="24"/>
              </w:rPr>
              <w:lastRenderedPageBreak/>
              <w:t xml:space="preserve">jautājumā ir aizkavējusi jaunu projektu apstiprināšanu. Ņemot vērā iepriekš minēto, </w:t>
            </w:r>
            <w:r w:rsidRPr="00727920">
              <w:rPr>
                <w:rFonts w:ascii="Times New Roman" w:eastAsia="Times New Roman" w:hAnsi="Times New Roman" w:cs="Times New Roman"/>
                <w:b/>
                <w:bCs/>
                <w:sz w:val="24"/>
                <w:szCs w:val="24"/>
              </w:rPr>
              <w:t>aicinām papildināt Anotāciju ar informāciju, kādā stadijā atrodas visi šīs programmas ietvaros iesniegtie projekti un</w:t>
            </w:r>
            <w:r w:rsidRPr="00727920">
              <w:rPr>
                <w:rFonts w:ascii="Times New Roman" w:eastAsia="Times New Roman" w:hAnsi="Times New Roman" w:cs="Times New Roman"/>
                <w:sz w:val="24"/>
                <w:szCs w:val="24"/>
              </w:rPr>
              <w:t xml:space="preserve"> </w:t>
            </w:r>
            <w:r w:rsidRPr="00727920">
              <w:rPr>
                <w:rFonts w:ascii="Times New Roman" w:eastAsia="Times New Roman" w:hAnsi="Times New Roman" w:cs="Times New Roman"/>
                <w:b/>
                <w:bCs/>
                <w:sz w:val="24"/>
                <w:szCs w:val="24"/>
              </w:rPr>
              <w:t>norādīt visus programmas īstenošanas ietvaros identificētos riskus.</w:t>
            </w:r>
          </w:p>
        </w:tc>
        <w:tc>
          <w:tcPr>
            <w:tcW w:w="957" w:type="pct"/>
            <w:gridSpan w:val="2"/>
            <w:tcBorders>
              <w:top w:val="single" w:sz="6" w:space="0" w:color="000000"/>
              <w:left w:val="single" w:sz="6" w:space="0" w:color="000000"/>
              <w:bottom w:val="single" w:sz="6" w:space="0" w:color="000000"/>
              <w:right w:val="single" w:sz="6" w:space="0" w:color="000000"/>
            </w:tcBorders>
          </w:tcPr>
          <w:p w14:paraId="6704ED2E" w14:textId="77777777" w:rsidR="002768EB" w:rsidRPr="00727920" w:rsidRDefault="002768EB" w:rsidP="00463E28">
            <w:pPr>
              <w:spacing w:after="0" w:line="240" w:lineRule="auto"/>
              <w:contextualSpacing/>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Ņ</w:t>
            </w:r>
            <w:r w:rsidRPr="00727920">
              <w:rPr>
                <w:rFonts w:ascii="Times New Roman" w:eastAsia="Times New Roman" w:hAnsi="Times New Roman" w:cs="Times New Roman"/>
                <w:b/>
                <w:bCs/>
                <w:sz w:val="24"/>
                <w:szCs w:val="24"/>
                <w:lang w:eastAsia="lv-LV"/>
              </w:rPr>
              <w:t>emts vērā.</w:t>
            </w:r>
          </w:p>
          <w:p w14:paraId="430BDEBE" w14:textId="77777777" w:rsidR="002768EB" w:rsidRPr="00727920" w:rsidRDefault="002768EB" w:rsidP="00463E28">
            <w:pPr>
              <w:spacing w:after="0" w:line="240" w:lineRule="auto"/>
              <w:contextualSpacing/>
              <w:jc w:val="both"/>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Veikti precizējumi anotācijā.</w:t>
            </w:r>
          </w:p>
        </w:tc>
        <w:tc>
          <w:tcPr>
            <w:tcW w:w="851" w:type="pct"/>
            <w:gridSpan w:val="2"/>
            <w:tcBorders>
              <w:top w:val="single" w:sz="4" w:space="0" w:color="auto"/>
              <w:left w:val="single" w:sz="4" w:space="0" w:color="auto"/>
              <w:bottom w:val="single" w:sz="4" w:space="0" w:color="auto"/>
              <w:right w:val="single" w:sz="4" w:space="0" w:color="auto"/>
            </w:tcBorders>
          </w:tcPr>
          <w:p w14:paraId="396D017B" w14:textId="77777777" w:rsidR="002768EB" w:rsidRPr="00727920" w:rsidRDefault="002768EB" w:rsidP="00463E28">
            <w:pPr>
              <w:spacing w:after="0" w:line="240" w:lineRule="auto"/>
              <w:contextualSpacing/>
              <w:jc w:val="both"/>
              <w:rPr>
                <w:rFonts w:ascii="Times New Roman" w:eastAsia="Times New Roman" w:hAnsi="Times New Roman" w:cs="Times New Roman"/>
                <w:bCs/>
                <w:sz w:val="24"/>
                <w:szCs w:val="24"/>
                <w:lang w:eastAsia="lv-LV"/>
              </w:rPr>
            </w:pPr>
            <w:r w:rsidRPr="00727920">
              <w:rPr>
                <w:rFonts w:ascii="Times New Roman" w:eastAsia="Times New Roman" w:hAnsi="Times New Roman" w:cs="Times New Roman"/>
                <w:bCs/>
                <w:sz w:val="24"/>
                <w:szCs w:val="24"/>
                <w:lang w:eastAsia="lv-LV"/>
              </w:rPr>
              <w:t>Precizēta anotācijas I sadaļas 2.punkts.</w:t>
            </w:r>
          </w:p>
        </w:tc>
      </w:tr>
      <w:tr w:rsidR="002768EB" w:rsidRPr="00727920" w14:paraId="14130244" w14:textId="77777777" w:rsidTr="00463E28">
        <w:trPr>
          <w:gridAfter w:val="2"/>
          <w:wAfter w:w="1093" w:type="pct"/>
          <w:trHeight w:val="140"/>
        </w:trPr>
        <w:tc>
          <w:tcPr>
            <w:tcW w:w="220" w:type="pct"/>
            <w:tcBorders>
              <w:top w:val="single" w:sz="6" w:space="0" w:color="000000"/>
              <w:left w:val="single" w:sz="6" w:space="0" w:color="000000"/>
              <w:bottom w:val="single" w:sz="6" w:space="0" w:color="000000"/>
              <w:right w:val="single" w:sz="6" w:space="0" w:color="000000"/>
            </w:tcBorders>
          </w:tcPr>
          <w:p w14:paraId="67A3ACD1" w14:textId="77777777" w:rsidR="002768EB" w:rsidRPr="00727920" w:rsidRDefault="002768EB" w:rsidP="00463E28">
            <w:pPr>
              <w:pStyle w:val="ListParagraph"/>
              <w:numPr>
                <w:ilvl w:val="0"/>
                <w:numId w:val="5"/>
              </w:numPr>
              <w:spacing w:after="0" w:line="240" w:lineRule="auto"/>
              <w:ind w:firstLine="0"/>
              <w:rPr>
                <w:rFonts w:ascii="Times New Roman" w:eastAsia="Times New Roman" w:hAnsi="Times New Roman" w:cs="Times New Roman"/>
                <w:sz w:val="24"/>
                <w:szCs w:val="24"/>
                <w:lang w:eastAsia="lv-LV"/>
              </w:rPr>
            </w:pPr>
          </w:p>
          <w:p w14:paraId="0D29C73D"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 xml:space="preserve">3. </w:t>
            </w:r>
          </w:p>
        </w:tc>
        <w:tc>
          <w:tcPr>
            <w:tcW w:w="515" w:type="pct"/>
            <w:vMerge w:val="restart"/>
            <w:tcBorders>
              <w:top w:val="single" w:sz="6" w:space="0" w:color="000000"/>
              <w:left w:val="single" w:sz="6" w:space="0" w:color="000000"/>
              <w:right w:val="single" w:sz="6" w:space="0" w:color="000000"/>
            </w:tcBorders>
          </w:tcPr>
          <w:p w14:paraId="16CD2590"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Noteikumu projekts</w:t>
            </w:r>
          </w:p>
        </w:tc>
        <w:tc>
          <w:tcPr>
            <w:tcW w:w="1364" w:type="pct"/>
            <w:tcBorders>
              <w:top w:val="single" w:sz="6" w:space="0" w:color="000000"/>
              <w:left w:val="single" w:sz="6" w:space="0" w:color="000000"/>
              <w:bottom w:val="single" w:sz="6" w:space="0" w:color="000000"/>
              <w:right w:val="single" w:sz="6" w:space="0" w:color="000000"/>
            </w:tcBorders>
          </w:tcPr>
          <w:p w14:paraId="5726B3D8" w14:textId="77777777" w:rsidR="002768EB" w:rsidRPr="00727920" w:rsidRDefault="002768EB" w:rsidP="00463E28">
            <w:pPr>
              <w:pStyle w:val="ListParagraph"/>
              <w:spacing w:after="0" w:line="240" w:lineRule="auto"/>
              <w:ind w:left="0"/>
              <w:jc w:val="both"/>
              <w:rPr>
                <w:rFonts w:ascii="Times New Roman" w:eastAsia="Times New Roman" w:hAnsi="Times New Roman" w:cs="Times New Roman"/>
                <w:sz w:val="24"/>
                <w:szCs w:val="24"/>
              </w:rPr>
            </w:pPr>
            <w:r w:rsidRPr="00727920">
              <w:rPr>
                <w:rFonts w:ascii="Times New Roman" w:eastAsia="Times New Roman" w:hAnsi="Times New Roman" w:cs="Times New Roman"/>
                <w:b/>
                <w:bCs/>
                <w:sz w:val="24"/>
                <w:szCs w:val="24"/>
              </w:rPr>
              <w:t xml:space="preserve">Latvijas </w:t>
            </w:r>
            <w:r>
              <w:rPr>
                <w:rFonts w:ascii="Times New Roman" w:eastAsia="Times New Roman" w:hAnsi="Times New Roman" w:cs="Times New Roman"/>
                <w:b/>
                <w:bCs/>
                <w:sz w:val="24"/>
                <w:szCs w:val="24"/>
              </w:rPr>
              <w:t>F</w:t>
            </w:r>
            <w:r w:rsidRPr="00727920">
              <w:rPr>
                <w:rFonts w:ascii="Times New Roman" w:eastAsia="Times New Roman" w:hAnsi="Times New Roman" w:cs="Times New Roman"/>
                <w:b/>
                <w:bCs/>
                <w:sz w:val="24"/>
                <w:szCs w:val="24"/>
              </w:rPr>
              <w:t>inanšu nozares asociācijas 08.10.2020. atzinumā Nr. 1-23/177_e iebildumā Nr.2</w:t>
            </w:r>
            <w:r w:rsidRPr="00727920">
              <w:rPr>
                <w:rFonts w:ascii="Times New Roman" w:eastAsia="Times New Roman" w:hAnsi="Times New Roman" w:cs="Times New Roman"/>
                <w:sz w:val="24"/>
                <w:szCs w:val="24"/>
              </w:rPr>
              <w:t xml:space="preserve"> Neapšaubāmi ierosinātie grozījumi veicinās to, ka klientu interese par finansējuma saņemšanu bankās samazināsies, jo valsts (</w:t>
            </w:r>
            <w:proofErr w:type="spellStart"/>
            <w:r w:rsidRPr="00727920">
              <w:rPr>
                <w:rFonts w:ascii="Times New Roman" w:eastAsia="Times New Roman" w:hAnsi="Times New Roman" w:cs="Times New Roman"/>
                <w:sz w:val="24"/>
                <w:szCs w:val="24"/>
              </w:rPr>
              <w:t>Altum</w:t>
            </w:r>
            <w:proofErr w:type="spellEnd"/>
            <w:r w:rsidRPr="00727920">
              <w:rPr>
                <w:rFonts w:ascii="Times New Roman" w:eastAsia="Times New Roman" w:hAnsi="Times New Roman" w:cs="Times New Roman"/>
                <w:sz w:val="24"/>
                <w:szCs w:val="24"/>
              </w:rPr>
              <w:t>) piedāvātais finansējums būs izdevīgāks par tirgū pieejamo. Piemēram, šobrīd MK noteikumu</w:t>
            </w:r>
            <w:r>
              <w:rPr>
                <w:rFonts w:ascii="Times New Roman" w:eastAsia="Times New Roman" w:hAnsi="Times New Roman" w:cs="Times New Roman"/>
                <w:sz w:val="24"/>
                <w:szCs w:val="24"/>
              </w:rPr>
              <w:t xml:space="preserve"> Nr.160</w:t>
            </w:r>
            <w:r w:rsidRPr="00727920">
              <w:rPr>
                <w:rFonts w:ascii="Times New Roman" w:eastAsia="Times New Roman" w:hAnsi="Times New Roman" w:cs="Times New Roman"/>
                <w:sz w:val="24"/>
                <w:szCs w:val="24"/>
              </w:rPr>
              <w:t xml:space="preserve"> 65.punkts paredz, ka “[g]</w:t>
            </w:r>
            <w:proofErr w:type="spellStart"/>
            <w:r w:rsidRPr="00727920">
              <w:rPr>
                <w:rFonts w:ascii="Times New Roman" w:eastAsia="Times New Roman" w:hAnsi="Times New Roman" w:cs="Times New Roman"/>
                <w:sz w:val="24"/>
                <w:szCs w:val="24"/>
              </w:rPr>
              <w:t>arantijas</w:t>
            </w:r>
            <w:proofErr w:type="spellEnd"/>
            <w:r w:rsidRPr="00727920">
              <w:rPr>
                <w:rFonts w:ascii="Times New Roman" w:eastAsia="Times New Roman" w:hAnsi="Times New Roman" w:cs="Times New Roman"/>
                <w:sz w:val="24"/>
                <w:szCs w:val="24"/>
              </w:rPr>
              <w:t xml:space="preserve"> gada prēmijas likme ir 0,65 % no garantijas saistību atlikuma”, savukārt </w:t>
            </w:r>
            <w:proofErr w:type="spellStart"/>
            <w:r w:rsidRPr="00727920">
              <w:rPr>
                <w:rFonts w:ascii="Times New Roman" w:eastAsia="Times New Roman" w:hAnsi="Times New Roman" w:cs="Times New Roman"/>
                <w:sz w:val="24"/>
                <w:szCs w:val="24"/>
              </w:rPr>
              <w:t>Altum</w:t>
            </w:r>
            <w:proofErr w:type="spellEnd"/>
            <w:r w:rsidRPr="00727920">
              <w:rPr>
                <w:rFonts w:ascii="Times New Roman" w:eastAsia="Times New Roman" w:hAnsi="Times New Roman" w:cs="Times New Roman"/>
                <w:sz w:val="24"/>
                <w:szCs w:val="24"/>
              </w:rPr>
              <w:t xml:space="preserve"> finansētajiem projektiem tāda nebūs nepieciešama, līdz ar to vairumā gadījumu tirgus (bankas) nevarēs piedāvāt konkurētspējīgu finansējumu. Papildus jāņem vērā, ka saskaņā ar </w:t>
            </w:r>
            <w:proofErr w:type="spellStart"/>
            <w:r w:rsidRPr="00727920">
              <w:rPr>
                <w:rFonts w:ascii="Times New Roman" w:eastAsia="Times New Roman" w:hAnsi="Times New Roman" w:cs="Times New Roman"/>
                <w:sz w:val="24"/>
                <w:szCs w:val="24"/>
              </w:rPr>
              <w:t>Altum</w:t>
            </w:r>
            <w:proofErr w:type="spellEnd"/>
            <w:r w:rsidRPr="00727920">
              <w:rPr>
                <w:rFonts w:ascii="Times New Roman" w:eastAsia="Times New Roman" w:hAnsi="Times New Roman" w:cs="Times New Roman"/>
                <w:sz w:val="24"/>
                <w:szCs w:val="24"/>
              </w:rPr>
              <w:t xml:space="preserve"> sniegto informāciju bankām no 2020.gada 1.janvāra šīs programmas ietvaros izsniegtajiem aizdevumiem nav valsts </w:t>
            </w:r>
            <w:proofErr w:type="spellStart"/>
            <w:r w:rsidRPr="00727920">
              <w:rPr>
                <w:rFonts w:ascii="Times New Roman" w:eastAsia="Times New Roman" w:hAnsi="Times New Roman" w:cs="Times New Roman"/>
                <w:sz w:val="24"/>
                <w:szCs w:val="24"/>
              </w:rPr>
              <w:t>pārgalvojuma</w:t>
            </w:r>
            <w:proofErr w:type="spellEnd"/>
            <w:r w:rsidRPr="00727920">
              <w:rPr>
                <w:rFonts w:ascii="Times New Roman" w:eastAsia="Times New Roman" w:hAnsi="Times New Roman" w:cs="Times New Roman"/>
                <w:sz w:val="24"/>
                <w:szCs w:val="24"/>
              </w:rPr>
              <w:t xml:space="preserve">, kā arī tajos pastāv finanšu korekcijas risks. Šie papildu apstākļi objektīvi paaugstina projektu finansēšanas riska prēmiju bankās, proti, maksu par finansējumu. Jautājumā par valsts </w:t>
            </w:r>
            <w:proofErr w:type="spellStart"/>
            <w:r w:rsidRPr="00727920">
              <w:rPr>
                <w:rFonts w:ascii="Times New Roman" w:eastAsia="Times New Roman" w:hAnsi="Times New Roman" w:cs="Times New Roman"/>
                <w:sz w:val="24"/>
                <w:szCs w:val="24"/>
              </w:rPr>
              <w:t>pārgalvojumu</w:t>
            </w:r>
            <w:proofErr w:type="spellEnd"/>
            <w:r w:rsidRPr="00727920">
              <w:rPr>
                <w:rFonts w:ascii="Times New Roman" w:eastAsia="Times New Roman" w:hAnsi="Times New Roman" w:cs="Times New Roman"/>
                <w:sz w:val="24"/>
                <w:szCs w:val="24"/>
              </w:rPr>
              <w:t xml:space="preserve"> šobrīd norisinās komunikācija starp </w:t>
            </w:r>
            <w:proofErr w:type="spellStart"/>
            <w:r w:rsidRPr="00727920">
              <w:rPr>
                <w:rFonts w:ascii="Times New Roman" w:eastAsia="Times New Roman" w:hAnsi="Times New Roman" w:cs="Times New Roman"/>
                <w:sz w:val="24"/>
                <w:szCs w:val="24"/>
              </w:rPr>
              <w:t>Altum</w:t>
            </w:r>
            <w:proofErr w:type="spellEnd"/>
            <w:r w:rsidRPr="00727920">
              <w:rPr>
                <w:rFonts w:ascii="Times New Roman" w:eastAsia="Times New Roman" w:hAnsi="Times New Roman" w:cs="Times New Roman"/>
                <w:sz w:val="24"/>
                <w:szCs w:val="24"/>
              </w:rPr>
              <w:t xml:space="preserve"> un Finanšu ministriju.  Informāciju par valsts </w:t>
            </w:r>
            <w:proofErr w:type="spellStart"/>
            <w:r w:rsidRPr="00727920">
              <w:rPr>
                <w:rFonts w:ascii="Times New Roman" w:eastAsia="Times New Roman" w:hAnsi="Times New Roman" w:cs="Times New Roman"/>
                <w:sz w:val="24"/>
                <w:szCs w:val="24"/>
              </w:rPr>
              <w:t>pārgalvojumiem</w:t>
            </w:r>
            <w:proofErr w:type="spellEnd"/>
            <w:r w:rsidRPr="00727920">
              <w:rPr>
                <w:rFonts w:ascii="Times New Roman" w:eastAsia="Times New Roman" w:hAnsi="Times New Roman" w:cs="Times New Roman"/>
                <w:sz w:val="24"/>
                <w:szCs w:val="24"/>
              </w:rPr>
              <w:t xml:space="preserve"> konkrētām programmām bankas saņēma no </w:t>
            </w:r>
            <w:proofErr w:type="spellStart"/>
            <w:r w:rsidRPr="00727920">
              <w:rPr>
                <w:rFonts w:ascii="Times New Roman" w:eastAsia="Times New Roman" w:hAnsi="Times New Roman" w:cs="Times New Roman"/>
                <w:sz w:val="24"/>
                <w:szCs w:val="24"/>
              </w:rPr>
              <w:t>Altum</w:t>
            </w:r>
            <w:proofErr w:type="spellEnd"/>
            <w:r w:rsidRPr="00727920">
              <w:rPr>
                <w:rFonts w:ascii="Times New Roman" w:eastAsia="Times New Roman" w:hAnsi="Times New Roman" w:cs="Times New Roman"/>
                <w:sz w:val="24"/>
                <w:szCs w:val="24"/>
              </w:rPr>
              <w:t xml:space="preserve"> tikai 2020.gada 11.septembrī. Valsts </w:t>
            </w:r>
            <w:proofErr w:type="spellStart"/>
            <w:r w:rsidRPr="00727920">
              <w:rPr>
                <w:rFonts w:ascii="Times New Roman" w:eastAsia="Times New Roman" w:hAnsi="Times New Roman" w:cs="Times New Roman"/>
                <w:sz w:val="24"/>
                <w:szCs w:val="24"/>
              </w:rPr>
              <w:t>pārgalvojuma</w:t>
            </w:r>
            <w:proofErr w:type="spellEnd"/>
            <w:r w:rsidRPr="00727920">
              <w:rPr>
                <w:rFonts w:ascii="Times New Roman" w:eastAsia="Times New Roman" w:hAnsi="Times New Roman" w:cs="Times New Roman"/>
                <w:sz w:val="24"/>
                <w:szCs w:val="24"/>
              </w:rPr>
              <w:t xml:space="preserve"> neesamība programmas ietvaros atstāj iespaidu uz riska vērtējumu, ievērojot aizdevumu termiņus šiem kredītiem (15 – 20 gadi),  finansējuma pieejamība varētu sašaurināties. </w:t>
            </w:r>
            <w:r w:rsidRPr="00727920">
              <w:rPr>
                <w:rFonts w:ascii="Times New Roman" w:eastAsia="Times New Roman" w:hAnsi="Times New Roman" w:cs="Times New Roman"/>
                <w:b/>
                <w:bCs/>
                <w:sz w:val="24"/>
                <w:szCs w:val="24"/>
              </w:rPr>
              <w:t xml:space="preserve">Tieši valsts </w:t>
            </w:r>
            <w:proofErr w:type="spellStart"/>
            <w:r w:rsidRPr="00727920">
              <w:rPr>
                <w:rFonts w:ascii="Times New Roman" w:eastAsia="Times New Roman" w:hAnsi="Times New Roman" w:cs="Times New Roman"/>
                <w:b/>
                <w:bCs/>
                <w:sz w:val="24"/>
                <w:szCs w:val="24"/>
              </w:rPr>
              <w:t>pārgalvojums</w:t>
            </w:r>
            <w:proofErr w:type="spellEnd"/>
            <w:r w:rsidRPr="00727920">
              <w:rPr>
                <w:rFonts w:ascii="Times New Roman" w:eastAsia="Times New Roman" w:hAnsi="Times New Roman" w:cs="Times New Roman"/>
                <w:b/>
                <w:bCs/>
                <w:sz w:val="24"/>
                <w:szCs w:val="24"/>
              </w:rPr>
              <w:t xml:space="preserve"> šai programmai palīdz valsts noteikto mērķu sasniegšanā, kā arī nodrošina </w:t>
            </w:r>
            <w:r w:rsidRPr="00727920">
              <w:rPr>
                <w:rFonts w:ascii="Times New Roman" w:eastAsia="Times New Roman" w:hAnsi="Times New Roman" w:cs="Times New Roman"/>
                <w:b/>
                <w:bCs/>
                <w:sz w:val="24"/>
                <w:szCs w:val="24"/>
              </w:rPr>
              <w:lastRenderedPageBreak/>
              <w:t xml:space="preserve">finansējuma plašāku pieejamību, t.sk. arī ietekmē resursu cenu un aizdevumu likmes. Ja šāds instruments turpmāk nav pieejams programmai, attiecīgi jāizvērtē, kā mainīsies arī </w:t>
            </w:r>
            <w:proofErr w:type="spellStart"/>
            <w:r w:rsidRPr="00727920">
              <w:rPr>
                <w:rFonts w:ascii="Times New Roman" w:eastAsia="Times New Roman" w:hAnsi="Times New Roman" w:cs="Times New Roman"/>
                <w:b/>
                <w:bCs/>
                <w:sz w:val="24"/>
                <w:szCs w:val="24"/>
              </w:rPr>
              <w:t>Altum</w:t>
            </w:r>
            <w:proofErr w:type="spellEnd"/>
            <w:r w:rsidRPr="00727920">
              <w:rPr>
                <w:rFonts w:ascii="Times New Roman" w:eastAsia="Times New Roman" w:hAnsi="Times New Roman" w:cs="Times New Roman"/>
                <w:b/>
                <w:bCs/>
                <w:sz w:val="24"/>
                <w:szCs w:val="24"/>
              </w:rPr>
              <w:t xml:space="preserve"> piedāvātā finansējuma cena, jo to ietekmē vidējā tirgus likme.</w:t>
            </w:r>
          </w:p>
        </w:tc>
        <w:tc>
          <w:tcPr>
            <w:tcW w:w="957" w:type="pct"/>
            <w:gridSpan w:val="2"/>
            <w:tcBorders>
              <w:top w:val="single" w:sz="6" w:space="0" w:color="000000"/>
              <w:left w:val="single" w:sz="6" w:space="0" w:color="000000"/>
              <w:bottom w:val="single" w:sz="6" w:space="0" w:color="000000"/>
              <w:right w:val="single" w:sz="6" w:space="0" w:color="000000"/>
            </w:tcBorders>
          </w:tcPr>
          <w:p w14:paraId="02CE3798" w14:textId="77777777" w:rsidR="002768EB" w:rsidRPr="00727920" w:rsidRDefault="002768EB" w:rsidP="00463E28">
            <w:pPr>
              <w:spacing w:after="0" w:line="240" w:lineRule="auto"/>
              <w:contextualSpacing/>
              <w:jc w:val="center"/>
              <w:rPr>
                <w:rFonts w:ascii="Times New Roman" w:eastAsia="Times New Roman" w:hAnsi="Times New Roman" w:cs="Times New Roman"/>
                <w:b/>
                <w:bCs/>
                <w:sz w:val="24"/>
                <w:szCs w:val="24"/>
                <w:lang w:eastAsia="lv-LV"/>
              </w:rPr>
            </w:pPr>
            <w:r w:rsidRPr="00727920">
              <w:rPr>
                <w:rFonts w:ascii="Times New Roman" w:eastAsia="Times New Roman" w:hAnsi="Times New Roman" w:cs="Times New Roman"/>
                <w:b/>
                <w:bCs/>
                <w:sz w:val="24"/>
                <w:szCs w:val="24"/>
                <w:lang w:eastAsia="lv-LV"/>
              </w:rPr>
              <w:lastRenderedPageBreak/>
              <w:t>Ņemts vērā</w:t>
            </w:r>
          </w:p>
          <w:p w14:paraId="3C3778B1" w14:textId="77777777" w:rsidR="002768EB" w:rsidRPr="00727920" w:rsidRDefault="002768EB" w:rsidP="00463E28">
            <w:pPr>
              <w:spacing w:after="0" w:line="240" w:lineRule="auto"/>
              <w:contextualSpacing/>
              <w:jc w:val="both"/>
              <w:rPr>
                <w:rFonts w:ascii="Times New Roman" w:eastAsia="Times New Roman" w:hAnsi="Times New Roman" w:cs="Times New Roman"/>
                <w:sz w:val="24"/>
                <w:szCs w:val="24"/>
                <w:lang w:eastAsia="lv-LV"/>
              </w:rPr>
            </w:pPr>
            <w:proofErr w:type="spellStart"/>
            <w:r w:rsidRPr="00727920">
              <w:rPr>
                <w:rFonts w:ascii="Times New Roman" w:eastAsia="Times New Roman" w:hAnsi="Times New Roman" w:cs="Times New Roman"/>
                <w:sz w:val="24"/>
                <w:szCs w:val="24"/>
                <w:lang w:eastAsia="lv-LV"/>
              </w:rPr>
              <w:t>Altum</w:t>
            </w:r>
            <w:proofErr w:type="spellEnd"/>
            <w:r w:rsidRPr="00727920">
              <w:rPr>
                <w:rFonts w:ascii="Times New Roman" w:eastAsia="Times New Roman" w:hAnsi="Times New Roman" w:cs="Times New Roman"/>
                <w:sz w:val="24"/>
                <w:szCs w:val="24"/>
                <w:lang w:eastAsia="lv-LV"/>
              </w:rPr>
              <w:t xml:space="preserve"> 09.10.2020. ir nosūtījusi vēstuli </w:t>
            </w:r>
            <w:r>
              <w:rPr>
                <w:rFonts w:ascii="Times New Roman" w:eastAsia="Times New Roman" w:hAnsi="Times New Roman" w:cs="Times New Roman"/>
                <w:sz w:val="24"/>
                <w:szCs w:val="24"/>
                <w:lang w:eastAsia="lv-LV"/>
              </w:rPr>
              <w:t>Finanšu ministrijai</w:t>
            </w:r>
            <w:r w:rsidRPr="00727920">
              <w:rPr>
                <w:rFonts w:ascii="Times New Roman" w:eastAsia="Times New Roman" w:hAnsi="Times New Roman" w:cs="Times New Roman"/>
                <w:sz w:val="24"/>
                <w:szCs w:val="24"/>
                <w:lang w:eastAsia="lv-LV"/>
              </w:rPr>
              <w:t xml:space="preserve"> par </w:t>
            </w:r>
            <w:proofErr w:type="spellStart"/>
            <w:r w:rsidRPr="00727920">
              <w:rPr>
                <w:rFonts w:ascii="Times New Roman" w:eastAsia="Times New Roman" w:hAnsi="Times New Roman" w:cs="Times New Roman"/>
                <w:sz w:val="24"/>
                <w:szCs w:val="24"/>
                <w:lang w:eastAsia="lv-LV"/>
              </w:rPr>
              <w:t>pārgalvojuma</w:t>
            </w:r>
            <w:proofErr w:type="spellEnd"/>
            <w:r w:rsidRPr="00727920">
              <w:rPr>
                <w:rFonts w:ascii="Times New Roman" w:eastAsia="Times New Roman" w:hAnsi="Times New Roman" w:cs="Times New Roman"/>
                <w:sz w:val="24"/>
                <w:szCs w:val="24"/>
                <w:lang w:eastAsia="lv-LV"/>
              </w:rPr>
              <w:t xml:space="preserve"> sadalījumu </w:t>
            </w:r>
            <w:proofErr w:type="spellStart"/>
            <w:r w:rsidRPr="00727920">
              <w:rPr>
                <w:rFonts w:ascii="Times New Roman" w:eastAsia="Times New Roman" w:hAnsi="Times New Roman" w:cs="Times New Roman"/>
                <w:sz w:val="24"/>
                <w:szCs w:val="24"/>
                <w:lang w:eastAsia="lv-LV"/>
              </w:rPr>
              <w:t>Altum</w:t>
            </w:r>
            <w:proofErr w:type="spellEnd"/>
            <w:r w:rsidRPr="00727920">
              <w:rPr>
                <w:rFonts w:ascii="Times New Roman" w:eastAsia="Times New Roman" w:hAnsi="Times New Roman" w:cs="Times New Roman"/>
                <w:sz w:val="24"/>
                <w:szCs w:val="24"/>
                <w:lang w:eastAsia="lv-LV"/>
              </w:rPr>
              <w:t xml:space="preserve"> īstenotajām valsts atbalsta programmām 2020. un  2021.gadam, kurā ir norādīts, ka Daudzdzīvokļu māju siltināšanas garantijām (MK</w:t>
            </w:r>
            <w:r>
              <w:rPr>
                <w:rFonts w:ascii="Times New Roman" w:eastAsia="Times New Roman" w:hAnsi="Times New Roman" w:cs="Times New Roman"/>
                <w:sz w:val="24"/>
                <w:szCs w:val="24"/>
                <w:lang w:eastAsia="lv-LV"/>
              </w:rPr>
              <w:t xml:space="preserve"> noteikumu </w:t>
            </w:r>
            <w:r w:rsidRPr="00727920">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r.</w:t>
            </w:r>
            <w:r w:rsidRPr="00727920">
              <w:rPr>
                <w:rFonts w:ascii="Times New Roman" w:eastAsia="Times New Roman" w:hAnsi="Times New Roman" w:cs="Times New Roman"/>
                <w:sz w:val="24"/>
                <w:szCs w:val="24"/>
                <w:lang w:eastAsia="lv-LV"/>
              </w:rPr>
              <w:t>160, iepriekš MK</w:t>
            </w:r>
            <w:r>
              <w:rPr>
                <w:rFonts w:ascii="Times New Roman" w:eastAsia="Times New Roman" w:hAnsi="Times New Roman" w:cs="Times New Roman"/>
                <w:sz w:val="24"/>
                <w:szCs w:val="24"/>
                <w:lang w:eastAsia="lv-LV"/>
              </w:rPr>
              <w:t xml:space="preserve"> noteikumi </w:t>
            </w:r>
            <w:r w:rsidRPr="00727920">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r.</w:t>
            </w:r>
            <w:r w:rsidRPr="00727920">
              <w:rPr>
                <w:rFonts w:ascii="Times New Roman" w:eastAsia="Times New Roman" w:hAnsi="Times New Roman" w:cs="Times New Roman"/>
                <w:sz w:val="24"/>
                <w:szCs w:val="24"/>
                <w:lang w:eastAsia="lv-LV"/>
              </w:rPr>
              <w:t xml:space="preserve">997) ir nodrošināms </w:t>
            </w:r>
            <w:proofErr w:type="spellStart"/>
            <w:r w:rsidRPr="00727920">
              <w:rPr>
                <w:rFonts w:ascii="Times New Roman" w:eastAsia="Times New Roman" w:hAnsi="Times New Roman" w:cs="Times New Roman"/>
                <w:sz w:val="24"/>
                <w:szCs w:val="24"/>
                <w:lang w:eastAsia="lv-LV"/>
              </w:rPr>
              <w:t>pārgalvojums</w:t>
            </w:r>
            <w:proofErr w:type="spellEnd"/>
            <w:r w:rsidRPr="00727920">
              <w:rPr>
                <w:rFonts w:ascii="Times New Roman" w:eastAsia="Times New Roman" w:hAnsi="Times New Roman" w:cs="Times New Roman"/>
                <w:sz w:val="24"/>
                <w:szCs w:val="24"/>
                <w:lang w:eastAsia="lv-LV"/>
              </w:rPr>
              <w:t xml:space="preserve"> </w:t>
            </w:r>
            <w:proofErr w:type="spellStart"/>
            <w:r w:rsidRPr="00727920">
              <w:rPr>
                <w:rFonts w:ascii="Times New Roman" w:eastAsia="Times New Roman" w:hAnsi="Times New Roman" w:cs="Times New Roman"/>
                <w:sz w:val="24"/>
                <w:szCs w:val="24"/>
                <w:lang w:eastAsia="lv-LV"/>
              </w:rPr>
              <w:t>jaunizsniegtām</w:t>
            </w:r>
            <w:proofErr w:type="spellEnd"/>
            <w:r w:rsidRPr="00727920">
              <w:rPr>
                <w:rFonts w:ascii="Times New Roman" w:eastAsia="Times New Roman" w:hAnsi="Times New Roman" w:cs="Times New Roman"/>
                <w:sz w:val="24"/>
                <w:szCs w:val="24"/>
                <w:lang w:eastAsia="lv-LV"/>
              </w:rPr>
              <w:t xml:space="preserve"> garantijām  no 2016</w:t>
            </w:r>
            <w:r>
              <w:rPr>
                <w:rFonts w:ascii="Times New Roman" w:eastAsia="Times New Roman" w:hAnsi="Times New Roman" w:cs="Times New Roman"/>
                <w:sz w:val="24"/>
                <w:szCs w:val="24"/>
                <w:lang w:eastAsia="lv-LV"/>
              </w:rPr>
              <w:t>.gada 1.janvāra</w:t>
            </w:r>
            <w:r w:rsidRPr="0072792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727920">
              <w:rPr>
                <w:rFonts w:ascii="Times New Roman" w:eastAsia="Times New Roman" w:hAnsi="Times New Roman" w:cs="Times New Roman"/>
                <w:sz w:val="24"/>
                <w:szCs w:val="24"/>
                <w:lang w:eastAsia="lv-LV"/>
              </w:rPr>
              <w:t xml:space="preserve"> turpinās 2021.gadā (iekļautas arī 2020.gadā izsniegtās garantijas). Šī informācija arī ir iekļauta likumprojektā par valsts budžetu nākamajam gadam anotācijā.</w:t>
            </w:r>
          </w:p>
        </w:tc>
        <w:tc>
          <w:tcPr>
            <w:tcW w:w="851" w:type="pct"/>
            <w:gridSpan w:val="2"/>
            <w:tcBorders>
              <w:top w:val="single" w:sz="4" w:space="0" w:color="auto"/>
              <w:left w:val="single" w:sz="4" w:space="0" w:color="auto"/>
              <w:bottom w:val="single" w:sz="4" w:space="0" w:color="auto"/>
              <w:right w:val="single" w:sz="4" w:space="0" w:color="auto"/>
            </w:tcBorders>
          </w:tcPr>
          <w:p w14:paraId="371DFA2B" w14:textId="77777777" w:rsidR="002768EB" w:rsidRPr="00727920" w:rsidRDefault="002768EB" w:rsidP="00463E28">
            <w:pPr>
              <w:spacing w:after="0" w:line="240" w:lineRule="auto"/>
              <w:contextualSpacing/>
              <w:jc w:val="both"/>
              <w:rPr>
                <w:rFonts w:ascii="Times New Roman" w:eastAsia="Times New Roman" w:hAnsi="Times New Roman" w:cs="Times New Roman"/>
                <w:bCs/>
                <w:sz w:val="24"/>
                <w:szCs w:val="24"/>
                <w:lang w:eastAsia="lv-LV"/>
              </w:rPr>
            </w:pPr>
          </w:p>
        </w:tc>
      </w:tr>
      <w:tr w:rsidR="002768EB" w:rsidRPr="00727920" w14:paraId="1EDBB698" w14:textId="77777777" w:rsidTr="00463E28">
        <w:trPr>
          <w:gridAfter w:val="2"/>
          <w:wAfter w:w="1093" w:type="pct"/>
          <w:trHeight w:val="140"/>
        </w:trPr>
        <w:tc>
          <w:tcPr>
            <w:tcW w:w="220" w:type="pct"/>
            <w:tcBorders>
              <w:top w:val="single" w:sz="6" w:space="0" w:color="000000"/>
              <w:left w:val="single" w:sz="6" w:space="0" w:color="000000"/>
              <w:bottom w:val="single" w:sz="6" w:space="0" w:color="000000"/>
              <w:right w:val="single" w:sz="6" w:space="0" w:color="000000"/>
            </w:tcBorders>
          </w:tcPr>
          <w:p w14:paraId="384A987C" w14:textId="77777777" w:rsidR="002768EB" w:rsidRDefault="002768EB" w:rsidP="00463E28">
            <w:pPr>
              <w:pStyle w:val="ListParagraph"/>
              <w:numPr>
                <w:ilvl w:val="0"/>
                <w:numId w:val="5"/>
              </w:numPr>
              <w:spacing w:after="0" w:line="240" w:lineRule="auto"/>
              <w:ind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p w14:paraId="20C8A637" w14:textId="77777777" w:rsidR="002768EB" w:rsidRPr="00BB69B5" w:rsidRDefault="002768EB" w:rsidP="00BB69B5">
            <w:pPr>
              <w:spacing w:after="0" w:line="240" w:lineRule="auto"/>
              <w:contextualSpacing/>
              <w:rPr>
                <w:rFonts w:ascii="Times New Roman" w:hAnsi="Times New Roman" w:cs="Times New Roman"/>
                <w:sz w:val="24"/>
                <w:szCs w:val="24"/>
                <w:lang w:eastAsia="lv-LV"/>
              </w:rPr>
            </w:pPr>
            <w:r w:rsidRPr="00BB69B5">
              <w:rPr>
                <w:rFonts w:ascii="Times New Roman" w:hAnsi="Times New Roman" w:cs="Times New Roman"/>
                <w:sz w:val="24"/>
                <w:szCs w:val="24"/>
                <w:lang w:eastAsia="lv-LV"/>
              </w:rPr>
              <w:t>4.</w:t>
            </w:r>
          </w:p>
        </w:tc>
        <w:tc>
          <w:tcPr>
            <w:tcW w:w="515" w:type="pct"/>
            <w:vMerge/>
            <w:tcBorders>
              <w:left w:val="single" w:sz="6" w:space="0" w:color="000000"/>
              <w:right w:val="single" w:sz="6" w:space="0" w:color="000000"/>
            </w:tcBorders>
          </w:tcPr>
          <w:p w14:paraId="4C9D454D" w14:textId="77777777" w:rsidR="002768EB" w:rsidRPr="00727920" w:rsidRDefault="002768EB" w:rsidP="00463E28">
            <w:pPr>
              <w:spacing w:after="0" w:line="240" w:lineRule="auto"/>
              <w:contextualSpacing/>
              <w:rPr>
                <w:rFonts w:ascii="Times New Roman" w:eastAsia="Times New Roman" w:hAnsi="Times New Roman" w:cs="Times New Roman"/>
                <w:bCs/>
                <w:sz w:val="24"/>
                <w:szCs w:val="24"/>
                <w:lang w:eastAsia="lv-LV"/>
              </w:rPr>
            </w:pPr>
          </w:p>
        </w:tc>
        <w:tc>
          <w:tcPr>
            <w:tcW w:w="1364" w:type="pct"/>
            <w:tcBorders>
              <w:top w:val="single" w:sz="6" w:space="0" w:color="000000"/>
              <w:left w:val="single" w:sz="6" w:space="0" w:color="000000"/>
              <w:bottom w:val="single" w:sz="6" w:space="0" w:color="000000"/>
              <w:right w:val="single" w:sz="6" w:space="0" w:color="000000"/>
            </w:tcBorders>
          </w:tcPr>
          <w:p w14:paraId="48787317" w14:textId="77777777" w:rsidR="002768EB" w:rsidRPr="00727920" w:rsidRDefault="002768EB" w:rsidP="00463E28">
            <w:pPr>
              <w:pStyle w:val="ListParagraph"/>
              <w:spacing w:after="0" w:line="240" w:lineRule="auto"/>
              <w:ind w:left="0"/>
              <w:jc w:val="both"/>
              <w:rPr>
                <w:rFonts w:ascii="Times New Roman" w:eastAsia="Times New Roman" w:hAnsi="Times New Roman" w:cs="Times New Roman"/>
                <w:b/>
                <w:bCs/>
                <w:sz w:val="24"/>
                <w:szCs w:val="24"/>
              </w:rPr>
            </w:pPr>
            <w:r w:rsidRPr="00727920">
              <w:rPr>
                <w:rFonts w:ascii="Times New Roman" w:eastAsia="Times New Roman" w:hAnsi="Times New Roman" w:cs="Times New Roman"/>
                <w:b/>
                <w:bCs/>
                <w:sz w:val="24"/>
                <w:szCs w:val="24"/>
              </w:rPr>
              <w:t xml:space="preserve">Latvijas </w:t>
            </w:r>
            <w:r>
              <w:rPr>
                <w:rFonts w:ascii="Times New Roman" w:eastAsia="Times New Roman" w:hAnsi="Times New Roman" w:cs="Times New Roman"/>
                <w:b/>
                <w:bCs/>
                <w:sz w:val="24"/>
                <w:szCs w:val="24"/>
              </w:rPr>
              <w:t>F</w:t>
            </w:r>
            <w:r w:rsidRPr="00727920">
              <w:rPr>
                <w:rFonts w:ascii="Times New Roman" w:eastAsia="Times New Roman" w:hAnsi="Times New Roman" w:cs="Times New Roman"/>
                <w:b/>
                <w:bCs/>
                <w:sz w:val="24"/>
                <w:szCs w:val="24"/>
              </w:rPr>
              <w:t>inanšu nozares asociācijas 08.10.2020. atzinums Nr. 1-23/177_e iebildums Nr.3:</w:t>
            </w:r>
          </w:p>
          <w:p w14:paraId="4FE40435" w14:textId="77777777" w:rsidR="002768EB" w:rsidRPr="00727920" w:rsidRDefault="002768EB" w:rsidP="00463E28">
            <w:pPr>
              <w:pStyle w:val="ListParagraph"/>
              <w:spacing w:after="0" w:line="240" w:lineRule="auto"/>
              <w:ind w:left="0"/>
              <w:jc w:val="both"/>
              <w:rPr>
                <w:rFonts w:ascii="Times New Roman" w:eastAsia="Times New Roman" w:hAnsi="Times New Roman" w:cs="Times New Roman"/>
                <w:b/>
                <w:bCs/>
                <w:sz w:val="24"/>
                <w:szCs w:val="24"/>
              </w:rPr>
            </w:pPr>
            <w:r w:rsidRPr="00727920">
              <w:rPr>
                <w:rFonts w:ascii="Times New Roman" w:eastAsia="Times New Roman" w:hAnsi="Times New Roman" w:cs="Times New Roman"/>
                <w:sz w:val="24"/>
                <w:szCs w:val="24"/>
              </w:rPr>
              <w:t>“3. Ja tiek pieņemts lēmums, ka MK noteikumu</w:t>
            </w:r>
            <w:r>
              <w:rPr>
                <w:rFonts w:ascii="Times New Roman" w:eastAsia="Times New Roman" w:hAnsi="Times New Roman" w:cs="Times New Roman"/>
                <w:sz w:val="24"/>
                <w:szCs w:val="24"/>
              </w:rPr>
              <w:t xml:space="preserve"> Nr.160</w:t>
            </w:r>
            <w:r w:rsidRPr="00727920">
              <w:rPr>
                <w:rFonts w:ascii="Times New Roman" w:eastAsia="Times New Roman" w:hAnsi="Times New Roman" w:cs="Times New Roman"/>
                <w:sz w:val="24"/>
                <w:szCs w:val="24"/>
              </w:rPr>
              <w:t xml:space="preserve"> 44.punktā noteiktais “komercbankas apliecinājums dzīvokļu īpašnieku pilnvarotai personai, ka dzīvokļu īpašnieki var pieteikties aizdevuma saņemšanai sabiedrībā </w:t>
            </w:r>
            <w:r>
              <w:rPr>
                <w:rFonts w:ascii="Times New Roman" w:eastAsia="Times New Roman" w:hAnsi="Times New Roman" w:cs="Times New Roman"/>
                <w:sz w:val="24"/>
                <w:szCs w:val="24"/>
              </w:rPr>
              <w:t>“</w:t>
            </w:r>
            <w:proofErr w:type="spellStart"/>
            <w:r w:rsidRPr="00727920">
              <w:rPr>
                <w:rFonts w:ascii="Times New Roman" w:eastAsia="Times New Roman" w:hAnsi="Times New Roman" w:cs="Times New Roman"/>
                <w:sz w:val="24"/>
                <w:szCs w:val="24"/>
              </w:rPr>
              <w:t>Altum</w:t>
            </w:r>
            <w:proofErr w:type="spellEnd"/>
            <w:r w:rsidRPr="00727920">
              <w:rPr>
                <w:rFonts w:ascii="Times New Roman" w:eastAsia="Times New Roman" w:hAnsi="Times New Roman" w:cs="Times New Roman"/>
                <w:sz w:val="24"/>
                <w:szCs w:val="24"/>
              </w:rPr>
              <w:t xml:space="preserve">” turpmāk vairs netiek prasīts, uzskatām, ka </w:t>
            </w:r>
            <w:r w:rsidRPr="00727920">
              <w:rPr>
                <w:rFonts w:ascii="Times New Roman" w:eastAsia="Times New Roman" w:hAnsi="Times New Roman" w:cs="Times New Roman"/>
                <w:b/>
                <w:bCs/>
                <w:sz w:val="24"/>
                <w:szCs w:val="24"/>
              </w:rPr>
              <w:t>ir nepieciešama diskusija</w:t>
            </w:r>
            <w:r w:rsidRPr="00727920">
              <w:rPr>
                <w:rFonts w:ascii="Times New Roman" w:eastAsia="Times New Roman" w:hAnsi="Times New Roman" w:cs="Times New Roman"/>
                <w:sz w:val="24"/>
                <w:szCs w:val="24"/>
              </w:rPr>
              <w:t xml:space="preserve"> ar </w:t>
            </w:r>
            <w:proofErr w:type="spellStart"/>
            <w:r w:rsidRPr="00727920">
              <w:rPr>
                <w:rFonts w:ascii="Times New Roman" w:eastAsia="Times New Roman" w:hAnsi="Times New Roman" w:cs="Times New Roman"/>
                <w:sz w:val="24"/>
                <w:szCs w:val="24"/>
              </w:rPr>
              <w:t>Altum</w:t>
            </w:r>
            <w:proofErr w:type="spellEnd"/>
            <w:r w:rsidRPr="00727920">
              <w:rPr>
                <w:rFonts w:ascii="Times New Roman" w:eastAsia="Times New Roman" w:hAnsi="Times New Roman" w:cs="Times New Roman"/>
                <w:sz w:val="24"/>
                <w:szCs w:val="24"/>
              </w:rPr>
              <w:t xml:space="preserve"> par būtiskākajiem finansēšanas nosacījumiem, ko bankas ņem vērā, analizējot projekta ilgtspēju programmas ietvaros, un salīdzinātu tos ar finansēšanas nosacījumiem, ko piemēro vai papildus varētu piemērot </w:t>
            </w:r>
            <w:proofErr w:type="spellStart"/>
            <w:r w:rsidRPr="00727920">
              <w:rPr>
                <w:rFonts w:ascii="Times New Roman" w:eastAsia="Times New Roman" w:hAnsi="Times New Roman" w:cs="Times New Roman"/>
                <w:sz w:val="24"/>
                <w:szCs w:val="24"/>
              </w:rPr>
              <w:t>Altum</w:t>
            </w:r>
            <w:proofErr w:type="spellEnd"/>
            <w:r w:rsidRPr="00727920">
              <w:rPr>
                <w:rFonts w:ascii="Times New Roman" w:eastAsia="Times New Roman" w:hAnsi="Times New Roman" w:cs="Times New Roman"/>
                <w:sz w:val="24"/>
                <w:szCs w:val="24"/>
              </w:rPr>
              <w:t xml:space="preserve">. Tādējādi tiktu </w:t>
            </w:r>
            <w:r w:rsidRPr="00727920">
              <w:rPr>
                <w:rFonts w:ascii="Times New Roman" w:eastAsia="Times New Roman" w:hAnsi="Times New Roman" w:cs="Times New Roman"/>
                <w:b/>
                <w:bCs/>
                <w:sz w:val="24"/>
                <w:szCs w:val="24"/>
              </w:rPr>
              <w:t xml:space="preserve">novērsta situācija, kad projektu iesniedzēji piesakās finansējuma saņemšanai </w:t>
            </w:r>
            <w:proofErr w:type="spellStart"/>
            <w:r w:rsidRPr="00727920">
              <w:rPr>
                <w:rFonts w:ascii="Times New Roman" w:eastAsia="Times New Roman" w:hAnsi="Times New Roman" w:cs="Times New Roman"/>
                <w:b/>
                <w:bCs/>
                <w:sz w:val="24"/>
                <w:szCs w:val="24"/>
              </w:rPr>
              <w:t>Altum</w:t>
            </w:r>
            <w:proofErr w:type="spellEnd"/>
            <w:r w:rsidRPr="00727920">
              <w:rPr>
                <w:rFonts w:ascii="Times New Roman" w:eastAsia="Times New Roman" w:hAnsi="Times New Roman" w:cs="Times New Roman"/>
                <w:b/>
                <w:bCs/>
                <w:sz w:val="24"/>
                <w:szCs w:val="24"/>
              </w:rPr>
              <w:t xml:space="preserve"> atviegloto – no tirgus atšķirīgo nosacījumu dēļ</w:t>
            </w:r>
            <w:r w:rsidRPr="00727920">
              <w:rPr>
                <w:rFonts w:ascii="Times New Roman" w:eastAsia="Times New Roman" w:hAnsi="Times New Roman" w:cs="Times New Roman"/>
                <w:sz w:val="24"/>
                <w:szCs w:val="24"/>
              </w:rPr>
              <w:t>, ar valsts intervenci padarot tirgus (banku) piedāvājumu nekonkurētspējīgu. Viens no šādiem būtiskiem finansēšanas nosacījumiem ir, piemēram, mājas komunālo maksājumu maksāšanas disciplīna (komercbankās tiek izvērtēta 12 mēnešu laikā izrakstītie un apmaksātie rēķini; kavējumi nav lielāki kā 5-10%).””</w:t>
            </w:r>
          </w:p>
        </w:tc>
        <w:tc>
          <w:tcPr>
            <w:tcW w:w="957" w:type="pct"/>
            <w:gridSpan w:val="2"/>
            <w:tcBorders>
              <w:top w:val="single" w:sz="6" w:space="0" w:color="000000"/>
              <w:left w:val="single" w:sz="6" w:space="0" w:color="000000"/>
              <w:bottom w:val="single" w:sz="6" w:space="0" w:color="000000"/>
              <w:right w:val="single" w:sz="6" w:space="0" w:color="000000"/>
            </w:tcBorders>
          </w:tcPr>
          <w:p w14:paraId="798250B3" w14:textId="77777777" w:rsidR="002768EB" w:rsidRPr="00727920" w:rsidRDefault="002768EB" w:rsidP="00463E28">
            <w:pPr>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Nav</w:t>
            </w:r>
            <w:r w:rsidRPr="00727920">
              <w:rPr>
                <w:rFonts w:ascii="Times New Roman" w:eastAsia="Times New Roman" w:hAnsi="Times New Roman" w:cs="Times New Roman"/>
                <w:b/>
                <w:sz w:val="24"/>
                <w:szCs w:val="24"/>
                <w:lang w:eastAsia="lv-LV"/>
              </w:rPr>
              <w:t xml:space="preserve"> ņemts vērā</w:t>
            </w:r>
          </w:p>
          <w:p w14:paraId="175ECF00" w14:textId="77777777" w:rsidR="002768EB" w:rsidRDefault="002768EB" w:rsidP="00463E28">
            <w:pPr>
              <w:spacing w:after="0" w:line="240" w:lineRule="auto"/>
              <w:contextualSpacing/>
              <w:jc w:val="center"/>
              <w:rPr>
                <w:rFonts w:ascii="Times New Roman" w:eastAsia="Times New Roman" w:hAnsi="Times New Roman" w:cs="Times New Roman"/>
                <w:b/>
                <w:bCs/>
                <w:sz w:val="24"/>
                <w:szCs w:val="24"/>
                <w:lang w:eastAsia="lv-LV"/>
              </w:rPr>
            </w:pPr>
            <w:r w:rsidRPr="00727920">
              <w:rPr>
                <w:rFonts w:ascii="Times New Roman" w:eastAsia="Times New Roman" w:hAnsi="Times New Roman" w:cs="Times New Roman"/>
                <w:bCs/>
                <w:sz w:val="24"/>
                <w:szCs w:val="24"/>
                <w:lang w:eastAsia="lv-LV"/>
              </w:rPr>
              <w:t xml:space="preserve">Lūdzam pašas komercbankas sniegt informāciju par to </w:t>
            </w:r>
            <w:proofErr w:type="spellStart"/>
            <w:r w:rsidRPr="00727920">
              <w:rPr>
                <w:rFonts w:ascii="Times New Roman" w:eastAsia="Times New Roman" w:hAnsi="Times New Roman" w:cs="Times New Roman"/>
                <w:bCs/>
                <w:sz w:val="24"/>
                <w:szCs w:val="24"/>
                <w:lang w:eastAsia="lv-LV"/>
              </w:rPr>
              <w:t>nekreditiem</w:t>
            </w:r>
            <w:proofErr w:type="spellEnd"/>
            <w:r w:rsidRPr="00727920">
              <w:rPr>
                <w:rFonts w:ascii="Times New Roman" w:eastAsia="Times New Roman" w:hAnsi="Times New Roman" w:cs="Times New Roman"/>
                <w:bCs/>
                <w:sz w:val="24"/>
                <w:szCs w:val="24"/>
                <w:lang w:eastAsia="lv-LV"/>
              </w:rPr>
              <w:t xml:space="preserve"> projektiem, jo no </w:t>
            </w:r>
            <w:proofErr w:type="spellStart"/>
            <w:r w:rsidRPr="00727920">
              <w:rPr>
                <w:rFonts w:ascii="Times New Roman" w:eastAsia="Times New Roman" w:hAnsi="Times New Roman" w:cs="Times New Roman"/>
                <w:bCs/>
                <w:sz w:val="24"/>
                <w:szCs w:val="24"/>
                <w:lang w:eastAsia="lv-LV"/>
              </w:rPr>
              <w:t>Altum</w:t>
            </w:r>
            <w:proofErr w:type="spellEnd"/>
            <w:r w:rsidRPr="00727920">
              <w:rPr>
                <w:rFonts w:ascii="Times New Roman" w:eastAsia="Times New Roman" w:hAnsi="Times New Roman" w:cs="Times New Roman"/>
                <w:bCs/>
                <w:sz w:val="24"/>
                <w:szCs w:val="24"/>
                <w:lang w:eastAsia="lv-LV"/>
              </w:rPr>
              <w:t xml:space="preserve"> pieejamās statistikas šādus secinājumus nav iespējams izdarīt.</w:t>
            </w:r>
          </w:p>
        </w:tc>
        <w:tc>
          <w:tcPr>
            <w:tcW w:w="851" w:type="pct"/>
            <w:gridSpan w:val="2"/>
            <w:tcBorders>
              <w:top w:val="single" w:sz="4" w:space="0" w:color="auto"/>
              <w:left w:val="single" w:sz="4" w:space="0" w:color="auto"/>
              <w:bottom w:val="single" w:sz="4" w:space="0" w:color="auto"/>
              <w:right w:val="single" w:sz="4" w:space="0" w:color="auto"/>
            </w:tcBorders>
          </w:tcPr>
          <w:p w14:paraId="2B38031A" w14:textId="77777777" w:rsidR="002768EB" w:rsidRPr="00727920" w:rsidRDefault="002768EB" w:rsidP="00463E28">
            <w:pPr>
              <w:spacing w:after="0" w:line="240" w:lineRule="auto"/>
              <w:contextualSpacing/>
              <w:jc w:val="both"/>
              <w:rPr>
                <w:rFonts w:ascii="Times New Roman" w:eastAsia="Times New Roman" w:hAnsi="Times New Roman" w:cs="Times New Roman"/>
                <w:bCs/>
                <w:sz w:val="24"/>
                <w:szCs w:val="24"/>
                <w:lang w:eastAsia="lv-LV"/>
              </w:rPr>
            </w:pPr>
          </w:p>
        </w:tc>
      </w:tr>
      <w:tr w:rsidR="002768EB" w:rsidRPr="00727920" w14:paraId="71F5346F" w14:textId="77777777" w:rsidTr="00463E28">
        <w:trPr>
          <w:gridAfter w:val="2"/>
          <w:wAfter w:w="1093" w:type="pct"/>
          <w:trHeight w:val="140"/>
        </w:trPr>
        <w:tc>
          <w:tcPr>
            <w:tcW w:w="220" w:type="pct"/>
            <w:tcBorders>
              <w:top w:val="single" w:sz="6" w:space="0" w:color="000000"/>
              <w:left w:val="single" w:sz="6" w:space="0" w:color="000000"/>
              <w:bottom w:val="single" w:sz="6" w:space="0" w:color="000000"/>
              <w:right w:val="single" w:sz="6" w:space="0" w:color="000000"/>
            </w:tcBorders>
          </w:tcPr>
          <w:p w14:paraId="6DF896E5" w14:textId="77777777" w:rsidR="002768EB" w:rsidRPr="00727920" w:rsidRDefault="002768EB" w:rsidP="00463E28">
            <w:pPr>
              <w:pStyle w:val="ListParagraph"/>
              <w:numPr>
                <w:ilvl w:val="0"/>
                <w:numId w:val="5"/>
              </w:numPr>
              <w:spacing w:after="0" w:line="240" w:lineRule="auto"/>
              <w:ind w:firstLine="0"/>
              <w:rPr>
                <w:rFonts w:ascii="Times New Roman" w:eastAsia="Times New Roman" w:hAnsi="Times New Roman" w:cs="Times New Roman"/>
                <w:sz w:val="24"/>
                <w:szCs w:val="24"/>
                <w:lang w:eastAsia="lv-LV"/>
              </w:rPr>
            </w:pPr>
          </w:p>
          <w:p w14:paraId="74C1B970" w14:textId="77777777" w:rsidR="002768EB" w:rsidRPr="00727920" w:rsidRDefault="002768EB" w:rsidP="00463E28">
            <w:pPr>
              <w:spacing w:after="0" w:line="240" w:lineRule="auto"/>
              <w:contextualSpacing/>
              <w:rPr>
                <w:rFonts w:ascii="Times New Roman" w:hAnsi="Times New Roman" w:cs="Times New Roman"/>
                <w:sz w:val="24"/>
                <w:szCs w:val="24"/>
                <w:lang w:eastAsia="lv-LV"/>
              </w:rPr>
            </w:pPr>
            <w:r w:rsidRPr="00727920">
              <w:rPr>
                <w:rFonts w:ascii="Times New Roman" w:hAnsi="Times New Roman" w:cs="Times New Roman"/>
                <w:sz w:val="24"/>
                <w:szCs w:val="24"/>
                <w:lang w:eastAsia="lv-LV"/>
              </w:rPr>
              <w:t>5.</w:t>
            </w:r>
          </w:p>
        </w:tc>
        <w:tc>
          <w:tcPr>
            <w:tcW w:w="515" w:type="pct"/>
            <w:vMerge/>
            <w:tcBorders>
              <w:left w:val="single" w:sz="6" w:space="0" w:color="000000"/>
              <w:right w:val="single" w:sz="6" w:space="0" w:color="000000"/>
            </w:tcBorders>
          </w:tcPr>
          <w:p w14:paraId="46F3ED68" w14:textId="77777777" w:rsidR="002768EB" w:rsidRPr="00727920" w:rsidRDefault="002768EB" w:rsidP="00463E28">
            <w:pPr>
              <w:spacing w:after="0" w:line="240" w:lineRule="auto"/>
              <w:contextualSpacing/>
              <w:rPr>
                <w:rFonts w:ascii="Times New Roman" w:eastAsia="Times New Roman" w:hAnsi="Times New Roman" w:cs="Times New Roman"/>
                <w:bCs/>
                <w:sz w:val="24"/>
                <w:szCs w:val="24"/>
                <w:lang w:eastAsia="lv-LV"/>
              </w:rPr>
            </w:pPr>
          </w:p>
        </w:tc>
        <w:tc>
          <w:tcPr>
            <w:tcW w:w="1364" w:type="pct"/>
            <w:tcBorders>
              <w:top w:val="single" w:sz="6" w:space="0" w:color="000000"/>
              <w:left w:val="single" w:sz="6" w:space="0" w:color="000000"/>
              <w:bottom w:val="single" w:sz="6" w:space="0" w:color="000000"/>
              <w:right w:val="single" w:sz="6" w:space="0" w:color="000000"/>
            </w:tcBorders>
          </w:tcPr>
          <w:p w14:paraId="16E78208" w14:textId="77777777" w:rsidR="002768EB" w:rsidRPr="00727920" w:rsidRDefault="002768EB" w:rsidP="00463E28">
            <w:pPr>
              <w:pStyle w:val="ListParagraph"/>
              <w:spacing w:after="0" w:line="240" w:lineRule="auto"/>
              <w:ind w:left="0"/>
              <w:jc w:val="both"/>
              <w:rPr>
                <w:rFonts w:ascii="Times New Roman" w:eastAsia="Times New Roman" w:hAnsi="Times New Roman" w:cs="Times New Roman"/>
                <w:b/>
                <w:bCs/>
                <w:sz w:val="24"/>
                <w:szCs w:val="24"/>
              </w:rPr>
            </w:pPr>
            <w:r w:rsidRPr="00727920">
              <w:rPr>
                <w:rFonts w:ascii="Times New Roman" w:eastAsia="Times New Roman" w:hAnsi="Times New Roman" w:cs="Times New Roman"/>
                <w:b/>
                <w:bCs/>
                <w:sz w:val="24"/>
                <w:szCs w:val="24"/>
              </w:rPr>
              <w:t xml:space="preserve">Latvijas </w:t>
            </w:r>
            <w:r>
              <w:rPr>
                <w:rFonts w:ascii="Times New Roman" w:eastAsia="Times New Roman" w:hAnsi="Times New Roman" w:cs="Times New Roman"/>
                <w:b/>
                <w:bCs/>
                <w:sz w:val="24"/>
                <w:szCs w:val="24"/>
              </w:rPr>
              <w:t>F</w:t>
            </w:r>
            <w:r w:rsidRPr="00727920">
              <w:rPr>
                <w:rFonts w:ascii="Times New Roman" w:eastAsia="Times New Roman" w:hAnsi="Times New Roman" w:cs="Times New Roman"/>
                <w:b/>
                <w:bCs/>
                <w:sz w:val="24"/>
                <w:szCs w:val="24"/>
              </w:rPr>
              <w:t>inanšu nozares asociācijas 08.10.2020. atzinums Nr. 1-23/177_e iebildums Nr.4:</w:t>
            </w:r>
          </w:p>
          <w:p w14:paraId="4A7418D0" w14:textId="77777777" w:rsidR="002768EB" w:rsidRPr="00727920" w:rsidRDefault="002768EB" w:rsidP="00463E28">
            <w:pPr>
              <w:pStyle w:val="ListParagraph"/>
              <w:spacing w:after="0" w:line="240" w:lineRule="auto"/>
              <w:ind w:left="0"/>
              <w:jc w:val="both"/>
              <w:rPr>
                <w:rFonts w:ascii="Times New Roman" w:eastAsia="Times New Roman" w:hAnsi="Times New Roman" w:cs="Times New Roman"/>
                <w:sz w:val="24"/>
                <w:szCs w:val="24"/>
              </w:rPr>
            </w:pPr>
            <w:r w:rsidRPr="00727920">
              <w:rPr>
                <w:rFonts w:ascii="Times New Roman" w:eastAsia="Times New Roman" w:hAnsi="Times New Roman" w:cs="Times New Roman"/>
                <w:sz w:val="24"/>
                <w:szCs w:val="24"/>
              </w:rPr>
              <w:t xml:space="preserve">Šobrīd MK noteikumu </w:t>
            </w:r>
            <w:r>
              <w:rPr>
                <w:rFonts w:ascii="Times New Roman" w:eastAsia="Times New Roman" w:hAnsi="Times New Roman" w:cs="Times New Roman"/>
                <w:sz w:val="24"/>
                <w:szCs w:val="24"/>
              </w:rPr>
              <w:t xml:space="preserve">Nr.160 </w:t>
            </w:r>
            <w:r w:rsidRPr="00727920">
              <w:rPr>
                <w:rFonts w:ascii="Times New Roman" w:eastAsia="Times New Roman" w:hAnsi="Times New Roman" w:cs="Times New Roman"/>
                <w:sz w:val="24"/>
                <w:szCs w:val="24"/>
              </w:rPr>
              <w:t>57.punkts nosaka, ka “[g]</w:t>
            </w:r>
            <w:proofErr w:type="spellStart"/>
            <w:r w:rsidRPr="00727920">
              <w:rPr>
                <w:rFonts w:ascii="Times New Roman" w:eastAsia="Times New Roman" w:hAnsi="Times New Roman" w:cs="Times New Roman"/>
                <w:sz w:val="24"/>
                <w:szCs w:val="24"/>
              </w:rPr>
              <w:t>ranta</w:t>
            </w:r>
            <w:proofErr w:type="spellEnd"/>
            <w:r w:rsidRPr="00727920">
              <w:rPr>
                <w:rFonts w:ascii="Times New Roman" w:eastAsia="Times New Roman" w:hAnsi="Times New Roman" w:cs="Times New Roman"/>
                <w:sz w:val="24"/>
                <w:szCs w:val="24"/>
              </w:rPr>
              <w:t xml:space="preserve"> attiecināmās izmaksas ir 50 % no šo noteikumu 33.punktā minēto darbu attiecināmajām </w:t>
            </w:r>
            <w:r w:rsidRPr="00727920">
              <w:rPr>
                <w:rFonts w:ascii="Times New Roman" w:eastAsia="Times New Roman" w:hAnsi="Times New Roman" w:cs="Times New Roman"/>
                <w:sz w:val="24"/>
                <w:szCs w:val="24"/>
              </w:rPr>
              <w:lastRenderedPageBreak/>
              <w:t xml:space="preserve">izmaksām”. Proti, projekti, kuros ir neattiecināmās izmaksas, šobrīd tiek finansēti bankās. </w:t>
            </w:r>
            <w:r w:rsidRPr="00727920">
              <w:rPr>
                <w:rFonts w:ascii="Times New Roman" w:eastAsia="Times New Roman" w:hAnsi="Times New Roman" w:cs="Times New Roman"/>
                <w:b/>
                <w:bCs/>
                <w:sz w:val="24"/>
                <w:szCs w:val="24"/>
              </w:rPr>
              <w:t xml:space="preserve">Nav skaidrs, vai turpmāk šādiem projektiem būs pieejams </w:t>
            </w:r>
            <w:proofErr w:type="spellStart"/>
            <w:r w:rsidRPr="00727920">
              <w:rPr>
                <w:rFonts w:ascii="Times New Roman" w:eastAsia="Times New Roman" w:hAnsi="Times New Roman" w:cs="Times New Roman"/>
                <w:b/>
                <w:bCs/>
                <w:sz w:val="24"/>
                <w:szCs w:val="24"/>
              </w:rPr>
              <w:t>Altum</w:t>
            </w:r>
            <w:proofErr w:type="spellEnd"/>
            <w:r w:rsidRPr="00727920">
              <w:rPr>
                <w:rFonts w:ascii="Times New Roman" w:eastAsia="Times New Roman" w:hAnsi="Times New Roman" w:cs="Times New Roman"/>
                <w:b/>
                <w:bCs/>
                <w:sz w:val="24"/>
                <w:szCs w:val="24"/>
              </w:rPr>
              <w:t xml:space="preserve"> atbalsts. </w:t>
            </w:r>
            <w:bookmarkStart w:id="11" w:name="_Hlk54271075"/>
            <w:r w:rsidRPr="00727920">
              <w:rPr>
                <w:rFonts w:ascii="Times New Roman" w:eastAsia="Times New Roman" w:hAnsi="Times New Roman" w:cs="Times New Roman"/>
                <w:sz w:val="24"/>
                <w:szCs w:val="24"/>
              </w:rPr>
              <w:t xml:space="preserve">Projektu skaits, kuros ir neattiecināmās izmaksas, pieaugs, jo vairākās pašvaldībās ir samazināti siltumenerģijas tarifi (t.sk. Rīgā), kas attiecīgi ietekmē aprēķinus </w:t>
            </w:r>
            <w:proofErr w:type="spellStart"/>
            <w:r w:rsidRPr="00727920">
              <w:rPr>
                <w:rFonts w:ascii="Times New Roman" w:eastAsia="Times New Roman" w:hAnsi="Times New Roman" w:cs="Times New Roman"/>
                <w:sz w:val="24"/>
                <w:szCs w:val="24"/>
              </w:rPr>
              <w:t>granta</w:t>
            </w:r>
            <w:proofErr w:type="spellEnd"/>
            <w:r w:rsidRPr="00727920">
              <w:rPr>
                <w:rFonts w:ascii="Times New Roman" w:eastAsia="Times New Roman" w:hAnsi="Times New Roman" w:cs="Times New Roman"/>
                <w:sz w:val="24"/>
                <w:szCs w:val="24"/>
              </w:rPr>
              <w:t xml:space="preserve"> apmēra noteikšanai.</w:t>
            </w:r>
            <w:bookmarkEnd w:id="11"/>
          </w:p>
        </w:tc>
        <w:tc>
          <w:tcPr>
            <w:tcW w:w="957" w:type="pct"/>
            <w:gridSpan w:val="2"/>
            <w:tcBorders>
              <w:top w:val="single" w:sz="6" w:space="0" w:color="000000"/>
              <w:left w:val="single" w:sz="6" w:space="0" w:color="000000"/>
              <w:bottom w:val="single" w:sz="6" w:space="0" w:color="000000"/>
              <w:right w:val="single" w:sz="6" w:space="0" w:color="000000"/>
            </w:tcBorders>
          </w:tcPr>
          <w:p w14:paraId="62E8CE55" w14:textId="77777777" w:rsidR="002768EB" w:rsidRPr="00727920" w:rsidRDefault="002768EB" w:rsidP="00463E28">
            <w:pPr>
              <w:spacing w:after="0" w:line="240" w:lineRule="auto"/>
              <w:contextualSpacing/>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Ņ</w:t>
            </w:r>
            <w:r w:rsidRPr="00727920">
              <w:rPr>
                <w:rFonts w:ascii="Times New Roman" w:eastAsia="Times New Roman" w:hAnsi="Times New Roman" w:cs="Times New Roman"/>
                <w:b/>
                <w:bCs/>
                <w:sz w:val="24"/>
                <w:szCs w:val="24"/>
                <w:lang w:eastAsia="lv-LV"/>
              </w:rPr>
              <w:t>emts vērā</w:t>
            </w:r>
          </w:p>
          <w:p w14:paraId="18408CDD" w14:textId="77777777" w:rsidR="002768EB" w:rsidRPr="00727920" w:rsidRDefault="002768EB" w:rsidP="00463E28">
            <w:pPr>
              <w:spacing w:after="0" w:line="240" w:lineRule="auto"/>
              <w:contextualSpacing/>
              <w:jc w:val="both"/>
              <w:rPr>
                <w:rFonts w:ascii="Times New Roman" w:eastAsia="Times New Roman" w:hAnsi="Times New Roman" w:cs="Times New Roman"/>
                <w:sz w:val="24"/>
                <w:szCs w:val="24"/>
                <w:lang w:eastAsia="lv-LV"/>
              </w:rPr>
            </w:pPr>
            <w:bookmarkStart w:id="12" w:name="_Hlk54271091"/>
            <w:r w:rsidRPr="00727920">
              <w:rPr>
                <w:rFonts w:ascii="Times New Roman" w:eastAsia="Times New Roman" w:hAnsi="Times New Roman" w:cs="Times New Roman"/>
                <w:sz w:val="24"/>
                <w:szCs w:val="24"/>
                <w:lang w:eastAsia="lv-LV"/>
              </w:rPr>
              <w:t>Informējam, ka, apzinot faktisko situāciju projektos un konstatējot, ka neattiecināmās izmaksas strauji pieaug</w:t>
            </w:r>
            <w:r>
              <w:rPr>
                <w:rFonts w:ascii="Times New Roman" w:eastAsia="Times New Roman" w:hAnsi="Times New Roman" w:cs="Times New Roman"/>
                <w:sz w:val="24"/>
                <w:szCs w:val="24"/>
                <w:lang w:eastAsia="lv-LV"/>
              </w:rPr>
              <w:t>,</w:t>
            </w:r>
            <w:r w:rsidRPr="00727920">
              <w:rPr>
                <w:rFonts w:ascii="Times New Roman" w:eastAsia="Times New Roman" w:hAnsi="Times New Roman" w:cs="Times New Roman"/>
                <w:sz w:val="24"/>
                <w:szCs w:val="24"/>
                <w:lang w:eastAsia="lv-LV"/>
              </w:rPr>
              <w:t xml:space="preserve"> un ņemo</w:t>
            </w:r>
            <w:r>
              <w:rPr>
                <w:rFonts w:ascii="Times New Roman" w:eastAsia="Times New Roman" w:hAnsi="Times New Roman" w:cs="Times New Roman"/>
                <w:sz w:val="24"/>
                <w:szCs w:val="24"/>
                <w:lang w:eastAsia="lv-LV"/>
              </w:rPr>
              <w:t>t</w:t>
            </w:r>
            <w:r w:rsidRPr="00727920">
              <w:rPr>
                <w:rFonts w:ascii="Times New Roman" w:eastAsia="Times New Roman" w:hAnsi="Times New Roman" w:cs="Times New Roman"/>
                <w:sz w:val="24"/>
                <w:szCs w:val="24"/>
                <w:lang w:eastAsia="lv-LV"/>
              </w:rPr>
              <w:t xml:space="preserve"> vērā, ka </w:t>
            </w:r>
            <w:r w:rsidRPr="00727920">
              <w:rPr>
                <w:rFonts w:ascii="Times New Roman" w:eastAsia="Times New Roman" w:hAnsi="Times New Roman" w:cs="Times New Roman"/>
                <w:sz w:val="24"/>
                <w:szCs w:val="24"/>
                <w:lang w:eastAsia="lv-LV"/>
              </w:rPr>
              <w:lastRenderedPageBreak/>
              <w:t xml:space="preserve">neattiecināmo izmaksu segšanai arī ir ierobežoti pieejamie avoti </w:t>
            </w:r>
            <w:proofErr w:type="spellStart"/>
            <w:r w:rsidRPr="00727920">
              <w:rPr>
                <w:rFonts w:ascii="Times New Roman" w:eastAsia="Times New Roman" w:hAnsi="Times New Roman" w:cs="Times New Roman"/>
                <w:sz w:val="24"/>
                <w:szCs w:val="24"/>
                <w:lang w:eastAsia="lv-LV"/>
              </w:rPr>
              <w:t>neattieicnāmo</w:t>
            </w:r>
            <w:proofErr w:type="spellEnd"/>
            <w:r w:rsidRPr="00727920">
              <w:rPr>
                <w:rFonts w:ascii="Times New Roman" w:eastAsia="Times New Roman" w:hAnsi="Times New Roman" w:cs="Times New Roman"/>
                <w:sz w:val="24"/>
                <w:szCs w:val="24"/>
                <w:lang w:eastAsia="lv-LV"/>
              </w:rPr>
              <w:t xml:space="preserve"> izmaksu finansēšanai, tad tiek paredzēts izstrādāt atbalsta programmu, kas paredz finansēt neattiecināmās izmaksas 4.2.1.1.</w:t>
            </w:r>
            <w:r>
              <w:rPr>
                <w:rFonts w:ascii="Times New Roman" w:eastAsia="Times New Roman" w:hAnsi="Times New Roman" w:cs="Times New Roman"/>
                <w:sz w:val="24"/>
                <w:szCs w:val="24"/>
                <w:lang w:eastAsia="lv-LV"/>
              </w:rPr>
              <w:t>pasākumā</w:t>
            </w:r>
            <w:r w:rsidRPr="00727920">
              <w:rPr>
                <w:rFonts w:ascii="Times New Roman" w:eastAsia="Times New Roman" w:hAnsi="Times New Roman" w:cs="Times New Roman"/>
                <w:sz w:val="24"/>
                <w:szCs w:val="24"/>
                <w:lang w:eastAsia="lv-LV"/>
              </w:rPr>
              <w:t xml:space="preserve"> programmas ietvaros atbalstītajiem projektiem gadījumos, ja tiem nav iespēja saņemt aizdevumus kādā no komercbankām.</w:t>
            </w:r>
            <w:r>
              <w:rPr>
                <w:rFonts w:ascii="Times New Roman" w:eastAsia="Times New Roman" w:hAnsi="Times New Roman" w:cs="Times New Roman"/>
                <w:sz w:val="24"/>
                <w:szCs w:val="24"/>
                <w:lang w:eastAsia="lv-LV"/>
              </w:rPr>
              <w:t xml:space="preserve"> </w:t>
            </w:r>
            <w:r w:rsidRPr="00727920">
              <w:rPr>
                <w:rFonts w:ascii="Times New Roman" w:eastAsia="Times New Roman" w:hAnsi="Times New Roman" w:cs="Times New Roman"/>
                <w:sz w:val="24"/>
                <w:szCs w:val="24"/>
                <w:lang w:eastAsia="lv-LV"/>
              </w:rPr>
              <w:t>Atbalsta programmu plānots finansēt ne no ES fondu līdzekļiem.</w:t>
            </w:r>
            <w:bookmarkEnd w:id="12"/>
          </w:p>
        </w:tc>
        <w:tc>
          <w:tcPr>
            <w:tcW w:w="851" w:type="pct"/>
            <w:gridSpan w:val="2"/>
            <w:tcBorders>
              <w:top w:val="single" w:sz="4" w:space="0" w:color="auto"/>
              <w:left w:val="single" w:sz="4" w:space="0" w:color="auto"/>
              <w:bottom w:val="single" w:sz="4" w:space="0" w:color="auto"/>
              <w:right w:val="single" w:sz="4" w:space="0" w:color="auto"/>
            </w:tcBorders>
          </w:tcPr>
          <w:p w14:paraId="7F68C908" w14:textId="77777777" w:rsidR="002768EB" w:rsidRPr="00727920" w:rsidRDefault="002768EB" w:rsidP="00463E28">
            <w:pPr>
              <w:spacing w:after="0" w:line="240" w:lineRule="auto"/>
              <w:contextualSpacing/>
              <w:jc w:val="both"/>
              <w:rPr>
                <w:rFonts w:ascii="Times New Roman" w:eastAsia="Times New Roman" w:hAnsi="Times New Roman" w:cs="Times New Roman"/>
                <w:bCs/>
                <w:sz w:val="24"/>
                <w:szCs w:val="24"/>
                <w:lang w:eastAsia="lv-LV"/>
              </w:rPr>
            </w:pPr>
          </w:p>
        </w:tc>
      </w:tr>
      <w:tr w:rsidR="002768EB" w:rsidRPr="00727920" w14:paraId="4BB786F1" w14:textId="77777777" w:rsidTr="00463E28">
        <w:trPr>
          <w:gridAfter w:val="2"/>
          <w:wAfter w:w="1093" w:type="pct"/>
          <w:trHeight w:val="140"/>
        </w:trPr>
        <w:tc>
          <w:tcPr>
            <w:tcW w:w="220" w:type="pct"/>
            <w:tcBorders>
              <w:top w:val="single" w:sz="6" w:space="0" w:color="000000"/>
              <w:left w:val="single" w:sz="6" w:space="0" w:color="000000"/>
              <w:bottom w:val="single" w:sz="6" w:space="0" w:color="000000"/>
              <w:right w:val="single" w:sz="6" w:space="0" w:color="000000"/>
            </w:tcBorders>
          </w:tcPr>
          <w:p w14:paraId="66E98254" w14:textId="77777777" w:rsidR="002768EB" w:rsidRPr="00727920" w:rsidRDefault="002768EB" w:rsidP="00463E28">
            <w:pPr>
              <w:pStyle w:val="ListParagraph"/>
              <w:numPr>
                <w:ilvl w:val="0"/>
                <w:numId w:val="5"/>
              </w:numPr>
              <w:spacing w:after="0" w:line="240" w:lineRule="auto"/>
              <w:ind w:firstLine="0"/>
              <w:rPr>
                <w:rFonts w:ascii="Times New Roman" w:eastAsia="Times New Roman" w:hAnsi="Times New Roman" w:cs="Times New Roman"/>
                <w:sz w:val="24"/>
                <w:szCs w:val="24"/>
                <w:lang w:eastAsia="lv-LV"/>
              </w:rPr>
            </w:pPr>
          </w:p>
          <w:p w14:paraId="2739C209" w14:textId="77777777" w:rsidR="002768EB" w:rsidRPr="00727920" w:rsidRDefault="002768EB" w:rsidP="00463E28">
            <w:pPr>
              <w:spacing w:after="0" w:line="240" w:lineRule="auto"/>
              <w:contextualSpacing/>
              <w:rPr>
                <w:rFonts w:ascii="Times New Roman" w:hAnsi="Times New Roman" w:cs="Times New Roman"/>
                <w:sz w:val="24"/>
                <w:szCs w:val="24"/>
                <w:lang w:eastAsia="lv-LV"/>
              </w:rPr>
            </w:pPr>
            <w:r w:rsidRPr="00727920">
              <w:rPr>
                <w:rFonts w:ascii="Times New Roman" w:hAnsi="Times New Roman" w:cs="Times New Roman"/>
                <w:sz w:val="24"/>
                <w:szCs w:val="24"/>
                <w:lang w:eastAsia="lv-LV"/>
              </w:rPr>
              <w:t>6.</w:t>
            </w:r>
          </w:p>
        </w:tc>
        <w:tc>
          <w:tcPr>
            <w:tcW w:w="515" w:type="pct"/>
            <w:vMerge/>
            <w:tcBorders>
              <w:left w:val="single" w:sz="6" w:space="0" w:color="000000"/>
              <w:right w:val="single" w:sz="6" w:space="0" w:color="000000"/>
            </w:tcBorders>
          </w:tcPr>
          <w:p w14:paraId="6DD58DDC" w14:textId="77777777" w:rsidR="002768EB" w:rsidRPr="00727920" w:rsidRDefault="002768EB" w:rsidP="00463E28">
            <w:pPr>
              <w:spacing w:after="0" w:line="240" w:lineRule="auto"/>
              <w:contextualSpacing/>
              <w:rPr>
                <w:rFonts w:ascii="Times New Roman" w:eastAsia="Times New Roman" w:hAnsi="Times New Roman" w:cs="Times New Roman"/>
                <w:bCs/>
                <w:sz w:val="24"/>
                <w:szCs w:val="24"/>
                <w:lang w:eastAsia="lv-LV"/>
              </w:rPr>
            </w:pPr>
          </w:p>
        </w:tc>
        <w:tc>
          <w:tcPr>
            <w:tcW w:w="1364" w:type="pct"/>
            <w:tcBorders>
              <w:top w:val="single" w:sz="6" w:space="0" w:color="000000"/>
              <w:left w:val="single" w:sz="6" w:space="0" w:color="000000"/>
              <w:bottom w:val="single" w:sz="6" w:space="0" w:color="000000"/>
              <w:right w:val="single" w:sz="6" w:space="0" w:color="000000"/>
            </w:tcBorders>
          </w:tcPr>
          <w:p w14:paraId="34B032C6" w14:textId="77777777" w:rsidR="002768EB" w:rsidRPr="00727920" w:rsidRDefault="002768EB" w:rsidP="00463E28">
            <w:pPr>
              <w:pStyle w:val="ListParagraph"/>
              <w:spacing w:after="0" w:line="240" w:lineRule="auto"/>
              <w:ind w:left="0"/>
              <w:jc w:val="both"/>
              <w:rPr>
                <w:rFonts w:ascii="Times New Roman" w:eastAsia="Times New Roman" w:hAnsi="Times New Roman" w:cs="Times New Roman"/>
                <w:b/>
                <w:bCs/>
                <w:sz w:val="24"/>
                <w:szCs w:val="24"/>
              </w:rPr>
            </w:pPr>
            <w:r w:rsidRPr="00727920">
              <w:rPr>
                <w:rFonts w:ascii="Times New Roman" w:eastAsia="Times New Roman" w:hAnsi="Times New Roman" w:cs="Times New Roman"/>
                <w:b/>
                <w:bCs/>
                <w:sz w:val="24"/>
                <w:szCs w:val="24"/>
              </w:rPr>
              <w:t xml:space="preserve">Latvijas </w:t>
            </w:r>
            <w:r>
              <w:rPr>
                <w:rFonts w:ascii="Times New Roman" w:eastAsia="Times New Roman" w:hAnsi="Times New Roman" w:cs="Times New Roman"/>
                <w:b/>
                <w:bCs/>
                <w:sz w:val="24"/>
                <w:szCs w:val="24"/>
              </w:rPr>
              <w:t>F</w:t>
            </w:r>
            <w:r w:rsidRPr="00727920">
              <w:rPr>
                <w:rFonts w:ascii="Times New Roman" w:eastAsia="Times New Roman" w:hAnsi="Times New Roman" w:cs="Times New Roman"/>
                <w:b/>
                <w:bCs/>
                <w:sz w:val="24"/>
                <w:szCs w:val="24"/>
              </w:rPr>
              <w:t>inanšu nozares asociācijas 08.10.2020. atzinuma Nr. 1-23/177_e iebildums Nr.5:</w:t>
            </w:r>
          </w:p>
          <w:p w14:paraId="6698A786" w14:textId="77777777" w:rsidR="002768EB" w:rsidRPr="00727920" w:rsidRDefault="002768EB" w:rsidP="00463E28">
            <w:pPr>
              <w:pStyle w:val="ListParagraph"/>
              <w:spacing w:after="0" w:line="240" w:lineRule="auto"/>
              <w:ind w:left="0"/>
              <w:jc w:val="both"/>
              <w:rPr>
                <w:rFonts w:ascii="Times New Roman" w:eastAsia="Times New Roman" w:hAnsi="Times New Roman" w:cs="Times New Roman"/>
                <w:sz w:val="24"/>
                <w:szCs w:val="24"/>
              </w:rPr>
            </w:pPr>
            <w:r w:rsidRPr="00727920">
              <w:rPr>
                <w:rFonts w:ascii="Times New Roman" w:eastAsia="Times New Roman" w:hAnsi="Times New Roman" w:cs="Times New Roman"/>
                <w:sz w:val="24"/>
                <w:szCs w:val="24"/>
              </w:rPr>
              <w:t xml:space="preserve">Koncentrācijas princips – ES fondu 2014.-2020.gada plānošanas perioda ietvaros lielākā daļā programmu ir noteikts koncentrācijas princips 21+9 (reģionālie novadi un lielās pilsētas), savukārt, šīs programmas ietvaros kā atbalsta teritorija ir noteikta visa valsts. Ņemot vērā, ka šobrīd tiek īstenota administratīvi teritoriālā reforma, </w:t>
            </w:r>
            <w:r w:rsidRPr="00727920">
              <w:rPr>
                <w:rFonts w:ascii="Times New Roman" w:eastAsia="Times New Roman" w:hAnsi="Times New Roman" w:cs="Times New Roman"/>
                <w:b/>
                <w:bCs/>
                <w:sz w:val="24"/>
                <w:szCs w:val="24"/>
              </w:rPr>
              <w:t xml:space="preserve">aicinām </w:t>
            </w:r>
            <w:proofErr w:type="spellStart"/>
            <w:r w:rsidRPr="00727920">
              <w:rPr>
                <w:rFonts w:ascii="Times New Roman" w:eastAsia="Times New Roman" w:hAnsi="Times New Roman" w:cs="Times New Roman"/>
                <w:b/>
                <w:bCs/>
                <w:sz w:val="24"/>
                <w:szCs w:val="24"/>
              </w:rPr>
              <w:t>Altum</w:t>
            </w:r>
            <w:proofErr w:type="spellEnd"/>
            <w:r w:rsidRPr="00727920">
              <w:rPr>
                <w:rFonts w:ascii="Times New Roman" w:eastAsia="Times New Roman" w:hAnsi="Times New Roman" w:cs="Times New Roman"/>
                <w:sz w:val="24"/>
                <w:szCs w:val="24"/>
              </w:rPr>
              <w:t xml:space="preserve"> finansējuma pieejamības paplašināšanas kontekstā izvērtēt intervences iespējas arī sadalījumā pa valsts teritoriju, </w:t>
            </w:r>
            <w:r w:rsidRPr="00727920">
              <w:rPr>
                <w:rFonts w:ascii="Times New Roman" w:eastAsia="Times New Roman" w:hAnsi="Times New Roman" w:cs="Times New Roman"/>
                <w:b/>
                <w:bCs/>
                <w:sz w:val="24"/>
                <w:szCs w:val="24"/>
              </w:rPr>
              <w:t xml:space="preserve">precīzāk izprotot, kādi ir banku atteikuma iemesli noteiktās teritorijās un kādas ir iespējas tajās paplašināt </w:t>
            </w:r>
            <w:proofErr w:type="spellStart"/>
            <w:r w:rsidRPr="00727920">
              <w:rPr>
                <w:rFonts w:ascii="Times New Roman" w:eastAsia="Times New Roman" w:hAnsi="Times New Roman" w:cs="Times New Roman"/>
                <w:b/>
                <w:bCs/>
                <w:sz w:val="24"/>
                <w:szCs w:val="24"/>
              </w:rPr>
              <w:t>Altum</w:t>
            </w:r>
            <w:proofErr w:type="spellEnd"/>
            <w:r w:rsidRPr="00727920">
              <w:rPr>
                <w:rFonts w:ascii="Times New Roman" w:eastAsia="Times New Roman" w:hAnsi="Times New Roman" w:cs="Times New Roman"/>
                <w:b/>
                <w:bCs/>
                <w:sz w:val="24"/>
                <w:szCs w:val="24"/>
              </w:rPr>
              <w:t xml:space="preserve"> finansējuma pieejamību.</w:t>
            </w:r>
          </w:p>
        </w:tc>
        <w:tc>
          <w:tcPr>
            <w:tcW w:w="957" w:type="pct"/>
            <w:gridSpan w:val="2"/>
            <w:tcBorders>
              <w:top w:val="single" w:sz="6" w:space="0" w:color="000000"/>
              <w:left w:val="single" w:sz="6" w:space="0" w:color="000000"/>
              <w:bottom w:val="single" w:sz="6" w:space="0" w:color="000000"/>
              <w:right w:val="single" w:sz="6" w:space="0" w:color="000000"/>
            </w:tcBorders>
          </w:tcPr>
          <w:p w14:paraId="095FB878" w14:textId="77777777" w:rsidR="002768EB" w:rsidRPr="00727920" w:rsidRDefault="002768EB" w:rsidP="00463E28">
            <w:pPr>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Nav</w:t>
            </w:r>
            <w:r w:rsidRPr="00727920">
              <w:rPr>
                <w:rFonts w:ascii="Times New Roman" w:eastAsia="Times New Roman" w:hAnsi="Times New Roman" w:cs="Times New Roman"/>
                <w:b/>
                <w:sz w:val="24"/>
                <w:szCs w:val="24"/>
                <w:lang w:eastAsia="lv-LV"/>
              </w:rPr>
              <w:t xml:space="preserve"> ņemts vērā</w:t>
            </w:r>
          </w:p>
          <w:p w14:paraId="38347F94" w14:textId="77777777" w:rsidR="002768EB" w:rsidRPr="00727920" w:rsidRDefault="002768EB" w:rsidP="00463E28">
            <w:pPr>
              <w:spacing w:after="0" w:line="240" w:lineRule="auto"/>
              <w:contextualSpacing/>
              <w:jc w:val="both"/>
              <w:rPr>
                <w:rFonts w:ascii="Times New Roman" w:eastAsia="Times New Roman" w:hAnsi="Times New Roman" w:cs="Times New Roman"/>
                <w:sz w:val="24"/>
                <w:szCs w:val="24"/>
                <w:lang w:eastAsia="lv-LV"/>
              </w:rPr>
            </w:pPr>
            <w:r w:rsidRPr="00727920">
              <w:rPr>
                <w:rFonts w:ascii="Times New Roman" w:eastAsia="Times New Roman" w:hAnsi="Times New Roman" w:cs="Times New Roman"/>
                <w:bCs/>
                <w:sz w:val="24"/>
                <w:szCs w:val="24"/>
                <w:lang w:eastAsia="lv-LV"/>
              </w:rPr>
              <w:t xml:space="preserve">Saskaņā ar </w:t>
            </w:r>
            <w:proofErr w:type="spellStart"/>
            <w:r w:rsidRPr="00727920">
              <w:rPr>
                <w:rFonts w:ascii="Times New Roman" w:eastAsia="Times New Roman" w:hAnsi="Times New Roman" w:cs="Times New Roman"/>
                <w:bCs/>
                <w:sz w:val="24"/>
                <w:szCs w:val="24"/>
                <w:lang w:eastAsia="lv-LV"/>
              </w:rPr>
              <w:t>Altum</w:t>
            </w:r>
            <w:proofErr w:type="spellEnd"/>
            <w:r w:rsidRPr="00727920">
              <w:rPr>
                <w:rFonts w:ascii="Times New Roman" w:eastAsia="Times New Roman" w:hAnsi="Times New Roman" w:cs="Times New Roman"/>
                <w:bCs/>
                <w:sz w:val="24"/>
                <w:szCs w:val="24"/>
                <w:lang w:eastAsia="lv-LV"/>
              </w:rPr>
              <w:t xml:space="preserve"> pieejamo statistiku</w:t>
            </w:r>
            <w:r>
              <w:rPr>
                <w:rFonts w:ascii="Times New Roman" w:eastAsia="Times New Roman" w:hAnsi="Times New Roman" w:cs="Times New Roman"/>
                <w:bCs/>
                <w:sz w:val="24"/>
                <w:szCs w:val="24"/>
                <w:lang w:eastAsia="lv-LV"/>
              </w:rPr>
              <w:t>,</w:t>
            </w:r>
            <w:r w:rsidRPr="00727920">
              <w:rPr>
                <w:rFonts w:ascii="Times New Roman" w:eastAsia="Times New Roman" w:hAnsi="Times New Roman" w:cs="Times New Roman"/>
                <w:bCs/>
                <w:sz w:val="24"/>
                <w:szCs w:val="24"/>
                <w:lang w:eastAsia="lv-LV"/>
              </w:rPr>
              <w:t xml:space="preserve"> nav iespējams izdarīt secinājumus par komercbanku kreditēšanas politiku. Proti, komercbankas ir sniegušas aizdevumus gan attālos reģionos, gan mazām mājām (6 un 8 dzīvokļi). Ņemot vērā, ka izstrādātais </w:t>
            </w:r>
            <w:r>
              <w:rPr>
                <w:rFonts w:ascii="Times New Roman" w:eastAsia="Times New Roman" w:hAnsi="Times New Roman" w:cs="Times New Roman"/>
                <w:bCs/>
                <w:sz w:val="24"/>
                <w:szCs w:val="24"/>
                <w:lang w:eastAsia="lv-LV"/>
              </w:rPr>
              <w:t>N</w:t>
            </w:r>
            <w:r w:rsidRPr="00727920">
              <w:rPr>
                <w:rFonts w:ascii="Times New Roman" w:eastAsia="Times New Roman" w:hAnsi="Times New Roman" w:cs="Times New Roman"/>
                <w:bCs/>
                <w:sz w:val="24"/>
                <w:szCs w:val="24"/>
                <w:lang w:eastAsia="lv-LV"/>
              </w:rPr>
              <w:t xml:space="preserve">oteikumu projekts ir steidzams, </w:t>
            </w:r>
            <w:r>
              <w:rPr>
                <w:rFonts w:ascii="Times New Roman" w:eastAsia="Times New Roman" w:hAnsi="Times New Roman" w:cs="Times New Roman"/>
                <w:bCs/>
                <w:sz w:val="24"/>
                <w:szCs w:val="24"/>
                <w:lang w:eastAsia="lv-LV"/>
              </w:rPr>
              <w:t>Ekonomikas ministrijas</w:t>
            </w:r>
            <w:r w:rsidRPr="00727920">
              <w:rPr>
                <w:rFonts w:ascii="Times New Roman" w:eastAsia="Times New Roman" w:hAnsi="Times New Roman" w:cs="Times New Roman"/>
                <w:bCs/>
                <w:sz w:val="24"/>
                <w:szCs w:val="24"/>
                <w:lang w:eastAsia="lv-LV"/>
              </w:rPr>
              <w:t xml:space="preserve"> ieskatā</w:t>
            </w:r>
            <w:r>
              <w:rPr>
                <w:rFonts w:ascii="Times New Roman" w:eastAsia="Times New Roman" w:hAnsi="Times New Roman" w:cs="Times New Roman"/>
                <w:bCs/>
                <w:sz w:val="24"/>
                <w:szCs w:val="24"/>
                <w:lang w:eastAsia="lv-LV"/>
              </w:rPr>
              <w:t>,</w:t>
            </w:r>
            <w:r w:rsidRPr="00727920">
              <w:rPr>
                <w:rFonts w:ascii="Times New Roman" w:eastAsia="Times New Roman" w:hAnsi="Times New Roman" w:cs="Times New Roman"/>
                <w:bCs/>
                <w:sz w:val="24"/>
                <w:szCs w:val="24"/>
                <w:lang w:eastAsia="lv-LV"/>
              </w:rPr>
              <w:t xml:space="preserve"> šobrīd šādas izpētes veikšanai būs nepieciešams pārāk ilgs laiks, kas nerisinās 4.2.1.1.pasākuma īstenošanas kavējošos faktorus.</w:t>
            </w:r>
          </w:p>
        </w:tc>
        <w:tc>
          <w:tcPr>
            <w:tcW w:w="851" w:type="pct"/>
            <w:gridSpan w:val="2"/>
            <w:tcBorders>
              <w:top w:val="single" w:sz="4" w:space="0" w:color="auto"/>
              <w:left w:val="single" w:sz="4" w:space="0" w:color="auto"/>
              <w:bottom w:val="single" w:sz="4" w:space="0" w:color="auto"/>
              <w:right w:val="single" w:sz="4" w:space="0" w:color="auto"/>
            </w:tcBorders>
          </w:tcPr>
          <w:p w14:paraId="510F1C25" w14:textId="77777777" w:rsidR="002768EB" w:rsidRPr="00727920" w:rsidRDefault="002768EB" w:rsidP="00463E28">
            <w:pPr>
              <w:spacing w:after="0" w:line="240" w:lineRule="auto"/>
              <w:contextualSpacing/>
              <w:jc w:val="both"/>
              <w:rPr>
                <w:rFonts w:ascii="Times New Roman" w:eastAsia="Times New Roman" w:hAnsi="Times New Roman" w:cs="Times New Roman"/>
                <w:bCs/>
                <w:sz w:val="24"/>
                <w:szCs w:val="24"/>
                <w:lang w:eastAsia="lv-LV"/>
              </w:rPr>
            </w:pPr>
          </w:p>
        </w:tc>
      </w:tr>
      <w:tr w:rsidR="002768EB" w:rsidRPr="00727920" w14:paraId="0C9ECB4E" w14:textId="77777777" w:rsidTr="00463E28">
        <w:trPr>
          <w:gridAfter w:val="2"/>
          <w:wAfter w:w="1093" w:type="pct"/>
          <w:trHeight w:val="140"/>
        </w:trPr>
        <w:tc>
          <w:tcPr>
            <w:tcW w:w="220" w:type="pct"/>
            <w:tcBorders>
              <w:top w:val="single" w:sz="6" w:space="0" w:color="000000"/>
              <w:left w:val="single" w:sz="6" w:space="0" w:color="000000"/>
              <w:bottom w:val="single" w:sz="6" w:space="0" w:color="000000"/>
              <w:right w:val="single" w:sz="6" w:space="0" w:color="000000"/>
            </w:tcBorders>
          </w:tcPr>
          <w:p w14:paraId="5AC09AAC" w14:textId="77777777" w:rsidR="002768EB" w:rsidRPr="00727920" w:rsidRDefault="002768EB" w:rsidP="00463E28">
            <w:pPr>
              <w:pStyle w:val="ListParagraph"/>
              <w:numPr>
                <w:ilvl w:val="0"/>
                <w:numId w:val="5"/>
              </w:numPr>
              <w:spacing w:after="0" w:line="240" w:lineRule="auto"/>
              <w:ind w:firstLine="0"/>
              <w:rPr>
                <w:rFonts w:ascii="Times New Roman" w:eastAsia="Times New Roman" w:hAnsi="Times New Roman" w:cs="Times New Roman"/>
                <w:sz w:val="24"/>
                <w:szCs w:val="24"/>
                <w:lang w:eastAsia="lv-LV"/>
              </w:rPr>
            </w:pPr>
          </w:p>
          <w:p w14:paraId="29FAB17F" w14:textId="77777777" w:rsidR="002768EB" w:rsidRPr="00727920" w:rsidRDefault="002768EB" w:rsidP="00463E28">
            <w:pPr>
              <w:spacing w:after="0" w:line="240" w:lineRule="auto"/>
              <w:contextualSpacing/>
              <w:rPr>
                <w:sz w:val="24"/>
                <w:szCs w:val="24"/>
                <w:lang w:eastAsia="lv-LV"/>
              </w:rPr>
            </w:pPr>
            <w:r w:rsidRPr="00727920">
              <w:rPr>
                <w:rFonts w:ascii="Times New Roman" w:hAnsi="Times New Roman" w:cs="Times New Roman"/>
                <w:sz w:val="24"/>
                <w:szCs w:val="24"/>
                <w:lang w:eastAsia="lv-LV"/>
              </w:rPr>
              <w:t>7.</w:t>
            </w:r>
          </w:p>
        </w:tc>
        <w:tc>
          <w:tcPr>
            <w:tcW w:w="515" w:type="pct"/>
            <w:vMerge/>
            <w:tcBorders>
              <w:left w:val="single" w:sz="6" w:space="0" w:color="000000"/>
              <w:right w:val="single" w:sz="6" w:space="0" w:color="000000"/>
            </w:tcBorders>
          </w:tcPr>
          <w:p w14:paraId="11781607" w14:textId="77777777" w:rsidR="002768EB" w:rsidRPr="00727920" w:rsidRDefault="002768EB" w:rsidP="00463E28">
            <w:pPr>
              <w:spacing w:after="0" w:line="240" w:lineRule="auto"/>
              <w:contextualSpacing/>
              <w:rPr>
                <w:rFonts w:ascii="Times New Roman" w:eastAsia="Times New Roman" w:hAnsi="Times New Roman" w:cs="Times New Roman"/>
                <w:bCs/>
                <w:sz w:val="24"/>
                <w:szCs w:val="24"/>
                <w:lang w:eastAsia="lv-LV"/>
              </w:rPr>
            </w:pPr>
          </w:p>
        </w:tc>
        <w:tc>
          <w:tcPr>
            <w:tcW w:w="1364" w:type="pct"/>
            <w:tcBorders>
              <w:top w:val="single" w:sz="6" w:space="0" w:color="000000"/>
              <w:left w:val="single" w:sz="6" w:space="0" w:color="000000"/>
              <w:bottom w:val="single" w:sz="6" w:space="0" w:color="000000"/>
              <w:right w:val="single" w:sz="6" w:space="0" w:color="000000"/>
            </w:tcBorders>
          </w:tcPr>
          <w:p w14:paraId="46F1C98F" w14:textId="77777777" w:rsidR="002768EB" w:rsidRPr="00727920" w:rsidRDefault="002768EB" w:rsidP="00463E28">
            <w:pPr>
              <w:pStyle w:val="ListParagraph"/>
              <w:spacing w:after="0" w:line="240" w:lineRule="auto"/>
              <w:ind w:left="0"/>
              <w:jc w:val="both"/>
              <w:rPr>
                <w:rFonts w:ascii="Times New Roman" w:eastAsia="Times New Roman" w:hAnsi="Times New Roman" w:cs="Times New Roman"/>
                <w:b/>
                <w:bCs/>
                <w:sz w:val="24"/>
                <w:szCs w:val="24"/>
              </w:rPr>
            </w:pPr>
            <w:r w:rsidRPr="00727920">
              <w:rPr>
                <w:rFonts w:ascii="Times New Roman" w:eastAsia="Times New Roman" w:hAnsi="Times New Roman" w:cs="Times New Roman"/>
                <w:b/>
                <w:bCs/>
                <w:sz w:val="24"/>
                <w:szCs w:val="24"/>
              </w:rPr>
              <w:t xml:space="preserve">Latvijas </w:t>
            </w:r>
            <w:r>
              <w:rPr>
                <w:rFonts w:ascii="Times New Roman" w:eastAsia="Times New Roman" w:hAnsi="Times New Roman" w:cs="Times New Roman"/>
                <w:b/>
                <w:bCs/>
                <w:sz w:val="24"/>
                <w:szCs w:val="24"/>
              </w:rPr>
              <w:t>F</w:t>
            </w:r>
            <w:r w:rsidRPr="00727920">
              <w:rPr>
                <w:rFonts w:ascii="Times New Roman" w:eastAsia="Times New Roman" w:hAnsi="Times New Roman" w:cs="Times New Roman"/>
                <w:b/>
                <w:bCs/>
                <w:sz w:val="24"/>
                <w:szCs w:val="24"/>
              </w:rPr>
              <w:t>inanšu nozares asociācijas 08.10.2020. atzinuma Nr. 1-23/177_e iebildums Nr.6:</w:t>
            </w:r>
          </w:p>
          <w:p w14:paraId="44CE4392" w14:textId="77777777" w:rsidR="002768EB" w:rsidRPr="00727920" w:rsidRDefault="002768EB" w:rsidP="00463E28">
            <w:pPr>
              <w:pStyle w:val="ListParagraph"/>
              <w:spacing w:after="0" w:line="240" w:lineRule="auto"/>
              <w:ind w:left="0"/>
              <w:jc w:val="both"/>
              <w:rPr>
                <w:rFonts w:ascii="Times New Roman" w:eastAsia="Times New Roman" w:hAnsi="Times New Roman" w:cs="Times New Roman"/>
                <w:sz w:val="24"/>
                <w:szCs w:val="24"/>
              </w:rPr>
            </w:pPr>
            <w:r w:rsidRPr="00727920">
              <w:rPr>
                <w:rFonts w:ascii="Times New Roman" w:eastAsia="Times New Roman" w:hAnsi="Times New Roman" w:cs="Times New Roman"/>
                <w:sz w:val="24"/>
                <w:szCs w:val="24"/>
              </w:rPr>
              <w:t xml:space="preserve">Ierosinām </w:t>
            </w:r>
            <w:r>
              <w:rPr>
                <w:rFonts w:ascii="Times New Roman" w:eastAsia="Times New Roman" w:hAnsi="Times New Roman" w:cs="Times New Roman"/>
                <w:sz w:val="24"/>
                <w:szCs w:val="24"/>
              </w:rPr>
              <w:t>MK n</w:t>
            </w:r>
            <w:r w:rsidRPr="00727920">
              <w:rPr>
                <w:rFonts w:ascii="Times New Roman" w:eastAsia="Times New Roman" w:hAnsi="Times New Roman" w:cs="Times New Roman"/>
                <w:sz w:val="24"/>
                <w:szCs w:val="24"/>
              </w:rPr>
              <w:t xml:space="preserve">oteikumus </w:t>
            </w:r>
            <w:r>
              <w:rPr>
                <w:rFonts w:ascii="Times New Roman" w:eastAsia="Times New Roman" w:hAnsi="Times New Roman" w:cs="Times New Roman"/>
                <w:sz w:val="24"/>
                <w:szCs w:val="24"/>
              </w:rPr>
              <w:t xml:space="preserve">Nr.160 </w:t>
            </w:r>
            <w:r w:rsidRPr="00727920">
              <w:rPr>
                <w:rFonts w:ascii="Times New Roman" w:eastAsia="Times New Roman" w:hAnsi="Times New Roman" w:cs="Times New Roman"/>
                <w:sz w:val="24"/>
                <w:szCs w:val="24"/>
              </w:rPr>
              <w:t xml:space="preserve">papildināt ar konkrētiem kritērijiem, kas nosaka, kādos gadījumos klienti var uzreiz vērsties </w:t>
            </w:r>
            <w:proofErr w:type="spellStart"/>
            <w:r w:rsidRPr="00727920">
              <w:rPr>
                <w:rFonts w:ascii="Times New Roman" w:eastAsia="Times New Roman" w:hAnsi="Times New Roman" w:cs="Times New Roman"/>
                <w:sz w:val="24"/>
                <w:szCs w:val="24"/>
              </w:rPr>
              <w:t>Altum</w:t>
            </w:r>
            <w:proofErr w:type="spellEnd"/>
            <w:r w:rsidRPr="00727920">
              <w:rPr>
                <w:rFonts w:ascii="Times New Roman" w:eastAsia="Times New Roman" w:hAnsi="Times New Roman" w:cs="Times New Roman"/>
                <w:sz w:val="24"/>
                <w:szCs w:val="24"/>
              </w:rPr>
              <w:t xml:space="preserve"> bez MK noteikumu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xml:space="preserve">/160 </w:t>
            </w:r>
            <w:r w:rsidRPr="00727920">
              <w:rPr>
                <w:rFonts w:ascii="Times New Roman" w:eastAsia="Times New Roman" w:hAnsi="Times New Roman" w:cs="Times New Roman"/>
                <w:sz w:val="24"/>
                <w:szCs w:val="24"/>
              </w:rPr>
              <w:t xml:space="preserve">44.punktā minētā banku apliecinājuma </w:t>
            </w:r>
            <w:r w:rsidRPr="00727920">
              <w:rPr>
                <w:rFonts w:ascii="Times New Roman" w:eastAsia="Times New Roman" w:hAnsi="Times New Roman" w:cs="Times New Roman"/>
                <w:sz w:val="24"/>
                <w:szCs w:val="24"/>
              </w:rPr>
              <w:lastRenderedPageBreak/>
              <w:t>(piemēram, attāli reģioni, kurus bankas nefinansē nepietiekamās objektu likviditātes dēļ, projekta lielums, daudzdzīvokļu mājas ar nelielu dzīvokļu skaitu utt.).</w:t>
            </w:r>
          </w:p>
        </w:tc>
        <w:tc>
          <w:tcPr>
            <w:tcW w:w="957" w:type="pct"/>
            <w:gridSpan w:val="2"/>
            <w:tcBorders>
              <w:top w:val="single" w:sz="6" w:space="0" w:color="000000"/>
              <w:left w:val="single" w:sz="6" w:space="0" w:color="000000"/>
              <w:bottom w:val="single" w:sz="6" w:space="0" w:color="000000"/>
              <w:right w:val="single" w:sz="6" w:space="0" w:color="000000"/>
            </w:tcBorders>
          </w:tcPr>
          <w:p w14:paraId="380322F6" w14:textId="77777777" w:rsidR="002768EB" w:rsidRPr="00727920" w:rsidRDefault="002768EB" w:rsidP="00463E28">
            <w:pPr>
              <w:spacing w:after="0" w:line="240" w:lineRule="auto"/>
              <w:contextualSpacing/>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 xml:space="preserve">Nav </w:t>
            </w:r>
            <w:r w:rsidRPr="00727920">
              <w:rPr>
                <w:rFonts w:ascii="Times New Roman" w:eastAsia="Times New Roman" w:hAnsi="Times New Roman" w:cs="Times New Roman"/>
                <w:b/>
                <w:bCs/>
                <w:sz w:val="24"/>
                <w:szCs w:val="24"/>
                <w:lang w:eastAsia="lv-LV"/>
              </w:rPr>
              <w:t>ņemts vērā</w:t>
            </w:r>
          </w:p>
          <w:p w14:paraId="6B6118EC" w14:textId="77777777" w:rsidR="002768EB" w:rsidRPr="00727920" w:rsidRDefault="002768EB" w:rsidP="00463E28">
            <w:pPr>
              <w:spacing w:after="0" w:line="240" w:lineRule="auto"/>
              <w:contextualSpacing/>
              <w:jc w:val="both"/>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 xml:space="preserve">Lūdzam skatīt skaidrojumu pie izziņas iebilduma Nr.4. Lai šādus kritērijus definētu, nepieciešama vienota komercbanku pieeja un skaidri definēti no to puses, lai </w:t>
            </w:r>
            <w:r w:rsidRPr="00727920">
              <w:rPr>
                <w:rFonts w:ascii="Times New Roman" w:eastAsia="Times New Roman" w:hAnsi="Times New Roman" w:cs="Times New Roman"/>
                <w:sz w:val="24"/>
                <w:szCs w:val="24"/>
                <w:lang w:eastAsia="lv-LV"/>
              </w:rPr>
              <w:lastRenderedPageBreak/>
              <w:t xml:space="preserve">programmas ieviešanas laikā visiem iesaistītajiem ir skaidri nosacījumi. </w:t>
            </w:r>
          </w:p>
        </w:tc>
        <w:tc>
          <w:tcPr>
            <w:tcW w:w="851" w:type="pct"/>
            <w:gridSpan w:val="2"/>
            <w:tcBorders>
              <w:top w:val="single" w:sz="4" w:space="0" w:color="auto"/>
              <w:left w:val="single" w:sz="4" w:space="0" w:color="auto"/>
              <w:bottom w:val="single" w:sz="4" w:space="0" w:color="auto"/>
              <w:right w:val="single" w:sz="4" w:space="0" w:color="auto"/>
            </w:tcBorders>
          </w:tcPr>
          <w:p w14:paraId="0706029C" w14:textId="77777777" w:rsidR="002768EB" w:rsidRPr="00727920" w:rsidRDefault="002768EB" w:rsidP="00463E28">
            <w:pPr>
              <w:spacing w:after="0" w:line="240" w:lineRule="auto"/>
              <w:contextualSpacing/>
              <w:jc w:val="both"/>
              <w:rPr>
                <w:rFonts w:ascii="Times New Roman" w:eastAsia="Times New Roman" w:hAnsi="Times New Roman" w:cs="Times New Roman"/>
                <w:bCs/>
                <w:sz w:val="24"/>
                <w:szCs w:val="24"/>
                <w:lang w:eastAsia="lv-LV"/>
              </w:rPr>
            </w:pPr>
          </w:p>
        </w:tc>
      </w:tr>
      <w:tr w:rsidR="002768EB" w:rsidRPr="00727920" w14:paraId="3D91332A" w14:textId="77777777" w:rsidTr="00463E28">
        <w:trPr>
          <w:gridAfter w:val="2"/>
          <w:wAfter w:w="1093" w:type="pct"/>
          <w:trHeight w:val="140"/>
        </w:trPr>
        <w:tc>
          <w:tcPr>
            <w:tcW w:w="220" w:type="pct"/>
            <w:tcBorders>
              <w:top w:val="single" w:sz="6" w:space="0" w:color="000000"/>
              <w:left w:val="single" w:sz="6" w:space="0" w:color="000000"/>
              <w:bottom w:val="single" w:sz="6" w:space="0" w:color="000000"/>
              <w:right w:val="single" w:sz="6" w:space="0" w:color="000000"/>
            </w:tcBorders>
          </w:tcPr>
          <w:p w14:paraId="42EA1E64" w14:textId="77777777" w:rsidR="002768EB" w:rsidRPr="00727920" w:rsidRDefault="002768EB" w:rsidP="00463E28">
            <w:pPr>
              <w:pStyle w:val="ListParagraph"/>
              <w:numPr>
                <w:ilvl w:val="0"/>
                <w:numId w:val="5"/>
              </w:numPr>
              <w:spacing w:after="0" w:line="240" w:lineRule="auto"/>
              <w:ind w:firstLine="0"/>
              <w:rPr>
                <w:rFonts w:ascii="Times New Roman" w:eastAsia="Times New Roman" w:hAnsi="Times New Roman" w:cs="Times New Roman"/>
                <w:sz w:val="24"/>
                <w:szCs w:val="24"/>
                <w:lang w:eastAsia="lv-LV"/>
              </w:rPr>
            </w:pPr>
          </w:p>
          <w:p w14:paraId="2A9CBEDE" w14:textId="77777777" w:rsidR="002768EB" w:rsidRPr="00727920" w:rsidRDefault="002768EB" w:rsidP="00463E28">
            <w:pPr>
              <w:spacing w:after="0" w:line="240" w:lineRule="auto"/>
              <w:contextualSpacing/>
              <w:rPr>
                <w:rFonts w:ascii="Times New Roman" w:hAnsi="Times New Roman" w:cs="Times New Roman"/>
                <w:sz w:val="24"/>
                <w:szCs w:val="24"/>
                <w:lang w:eastAsia="lv-LV"/>
              </w:rPr>
            </w:pPr>
            <w:r w:rsidRPr="00727920">
              <w:rPr>
                <w:rFonts w:ascii="Times New Roman" w:hAnsi="Times New Roman" w:cs="Times New Roman"/>
                <w:sz w:val="24"/>
                <w:szCs w:val="24"/>
                <w:lang w:eastAsia="lv-LV"/>
              </w:rPr>
              <w:t>8.</w:t>
            </w:r>
          </w:p>
        </w:tc>
        <w:tc>
          <w:tcPr>
            <w:tcW w:w="515" w:type="pct"/>
            <w:vMerge/>
            <w:tcBorders>
              <w:left w:val="single" w:sz="6" w:space="0" w:color="000000"/>
              <w:bottom w:val="single" w:sz="6" w:space="0" w:color="000000"/>
              <w:right w:val="single" w:sz="6" w:space="0" w:color="000000"/>
            </w:tcBorders>
          </w:tcPr>
          <w:p w14:paraId="5A530AA3" w14:textId="77777777" w:rsidR="002768EB" w:rsidRPr="00727920" w:rsidRDefault="002768EB" w:rsidP="00463E28">
            <w:pPr>
              <w:spacing w:after="0" w:line="240" w:lineRule="auto"/>
              <w:contextualSpacing/>
              <w:rPr>
                <w:rFonts w:ascii="Times New Roman" w:eastAsia="Times New Roman" w:hAnsi="Times New Roman" w:cs="Times New Roman"/>
                <w:bCs/>
                <w:sz w:val="24"/>
                <w:szCs w:val="24"/>
                <w:lang w:eastAsia="lv-LV"/>
              </w:rPr>
            </w:pPr>
          </w:p>
        </w:tc>
        <w:tc>
          <w:tcPr>
            <w:tcW w:w="1364" w:type="pct"/>
            <w:tcBorders>
              <w:top w:val="single" w:sz="6" w:space="0" w:color="000000"/>
              <w:left w:val="single" w:sz="6" w:space="0" w:color="000000"/>
              <w:bottom w:val="single" w:sz="6" w:space="0" w:color="000000"/>
              <w:right w:val="single" w:sz="6" w:space="0" w:color="000000"/>
            </w:tcBorders>
          </w:tcPr>
          <w:p w14:paraId="3ECBEDB3" w14:textId="77777777" w:rsidR="002768EB" w:rsidRPr="00727920" w:rsidRDefault="002768EB" w:rsidP="00463E28">
            <w:pPr>
              <w:pStyle w:val="ListParagraph"/>
              <w:spacing w:after="0" w:line="240" w:lineRule="auto"/>
              <w:ind w:left="0"/>
              <w:jc w:val="both"/>
              <w:rPr>
                <w:rFonts w:ascii="Times New Roman" w:eastAsia="Times New Roman" w:hAnsi="Times New Roman" w:cs="Times New Roman"/>
                <w:b/>
                <w:bCs/>
                <w:sz w:val="24"/>
                <w:szCs w:val="24"/>
              </w:rPr>
            </w:pPr>
            <w:r w:rsidRPr="00727920">
              <w:rPr>
                <w:rFonts w:ascii="Times New Roman" w:eastAsia="Times New Roman" w:hAnsi="Times New Roman" w:cs="Times New Roman"/>
                <w:b/>
                <w:bCs/>
                <w:sz w:val="24"/>
                <w:szCs w:val="24"/>
              </w:rPr>
              <w:t xml:space="preserve">Latvijas </w:t>
            </w:r>
            <w:r>
              <w:rPr>
                <w:rFonts w:ascii="Times New Roman" w:eastAsia="Times New Roman" w:hAnsi="Times New Roman" w:cs="Times New Roman"/>
                <w:b/>
                <w:bCs/>
                <w:sz w:val="24"/>
                <w:szCs w:val="24"/>
              </w:rPr>
              <w:t>F</w:t>
            </w:r>
            <w:r w:rsidRPr="00727920">
              <w:rPr>
                <w:rFonts w:ascii="Times New Roman" w:eastAsia="Times New Roman" w:hAnsi="Times New Roman" w:cs="Times New Roman"/>
                <w:b/>
                <w:bCs/>
                <w:sz w:val="24"/>
                <w:szCs w:val="24"/>
              </w:rPr>
              <w:t>inanšu nozares asociācijas 08.10.2020. atzinuma Nr. 1-23/177_e iebildums Nr.7:</w:t>
            </w:r>
          </w:p>
          <w:p w14:paraId="306AC7BE" w14:textId="77777777" w:rsidR="002768EB" w:rsidRPr="00727920" w:rsidRDefault="002768EB" w:rsidP="00463E28">
            <w:pPr>
              <w:pStyle w:val="ListParagraph"/>
              <w:spacing w:after="0" w:line="240" w:lineRule="auto"/>
              <w:ind w:left="0"/>
              <w:jc w:val="both"/>
              <w:rPr>
                <w:rFonts w:ascii="Times New Roman" w:eastAsia="Times New Roman" w:hAnsi="Times New Roman" w:cs="Times New Roman"/>
                <w:sz w:val="24"/>
                <w:szCs w:val="24"/>
              </w:rPr>
            </w:pPr>
            <w:r w:rsidRPr="00727920">
              <w:rPr>
                <w:rFonts w:ascii="Times New Roman" w:eastAsia="Times New Roman" w:hAnsi="Times New Roman" w:cs="Times New Roman"/>
                <w:sz w:val="24"/>
                <w:szCs w:val="24"/>
              </w:rPr>
              <w:t>Uzskatām, ka programmas ieviešanas modelis šobrīd ir nepamatoti sarežģīts, neļaujot, cita starpā, arī iespējami vairāk minimizēt finanšu korekciju riskus, un būtu tālāk pilnveidojams. Līdz ar to aicinām nekavējoties uzsākt diskusiju par programmas iespējamo ieviešanas modeli ES fondu 2021.-2027.gada plānošanas perioda ietvaros.</w:t>
            </w:r>
          </w:p>
        </w:tc>
        <w:tc>
          <w:tcPr>
            <w:tcW w:w="957" w:type="pct"/>
            <w:gridSpan w:val="2"/>
            <w:tcBorders>
              <w:top w:val="single" w:sz="6" w:space="0" w:color="000000"/>
              <w:left w:val="single" w:sz="6" w:space="0" w:color="000000"/>
              <w:bottom w:val="single" w:sz="6" w:space="0" w:color="000000"/>
              <w:right w:val="single" w:sz="6" w:space="0" w:color="000000"/>
            </w:tcBorders>
          </w:tcPr>
          <w:p w14:paraId="0B7D8417" w14:textId="77777777" w:rsidR="002768EB" w:rsidRPr="00727920" w:rsidRDefault="002768EB" w:rsidP="00463E28">
            <w:pPr>
              <w:spacing w:after="0" w:line="240" w:lineRule="auto"/>
              <w:contextualSpacing/>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w:t>
            </w:r>
            <w:r w:rsidRPr="00727920">
              <w:rPr>
                <w:rFonts w:ascii="Times New Roman" w:eastAsia="Times New Roman" w:hAnsi="Times New Roman" w:cs="Times New Roman"/>
                <w:b/>
                <w:bCs/>
                <w:sz w:val="24"/>
                <w:szCs w:val="24"/>
                <w:lang w:eastAsia="lv-LV"/>
              </w:rPr>
              <w:t>emts vērā</w:t>
            </w:r>
          </w:p>
          <w:p w14:paraId="69412571" w14:textId="77777777" w:rsidR="002768EB" w:rsidRPr="00727920" w:rsidRDefault="002768EB" w:rsidP="00463E28">
            <w:pPr>
              <w:spacing w:after="0" w:line="240" w:lineRule="auto"/>
              <w:contextualSpacing/>
              <w:jc w:val="both"/>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 xml:space="preserve">Ekonomikas ministrija ir uzsākusi diskusijas ar nozari saistītajiem pārstāvjiem, tostarp, ir plānotas sarunas ar Latvijas </w:t>
            </w:r>
            <w:r>
              <w:rPr>
                <w:rFonts w:ascii="Times New Roman" w:eastAsia="Times New Roman" w:hAnsi="Times New Roman" w:cs="Times New Roman"/>
                <w:sz w:val="24"/>
                <w:szCs w:val="24"/>
                <w:lang w:eastAsia="lv-LV"/>
              </w:rPr>
              <w:t>F</w:t>
            </w:r>
            <w:r w:rsidRPr="00727920">
              <w:rPr>
                <w:rFonts w:ascii="Times New Roman" w:eastAsia="Times New Roman" w:hAnsi="Times New Roman" w:cs="Times New Roman"/>
                <w:sz w:val="24"/>
                <w:szCs w:val="24"/>
                <w:lang w:eastAsia="lv-LV"/>
              </w:rPr>
              <w:t>inanšu nozares asociāciju, lai izstrādātu efektīvu programmas ieviešanas modeli, kura īstenošana būtu mazāk komplicēta.</w:t>
            </w:r>
          </w:p>
        </w:tc>
        <w:tc>
          <w:tcPr>
            <w:tcW w:w="851" w:type="pct"/>
            <w:gridSpan w:val="2"/>
            <w:tcBorders>
              <w:top w:val="single" w:sz="4" w:space="0" w:color="auto"/>
              <w:left w:val="single" w:sz="4" w:space="0" w:color="auto"/>
              <w:bottom w:val="single" w:sz="4" w:space="0" w:color="auto"/>
              <w:right w:val="single" w:sz="4" w:space="0" w:color="auto"/>
            </w:tcBorders>
          </w:tcPr>
          <w:p w14:paraId="03465E02" w14:textId="77777777" w:rsidR="002768EB" w:rsidRPr="00727920" w:rsidRDefault="002768EB" w:rsidP="00463E28">
            <w:pPr>
              <w:spacing w:after="0" w:line="240" w:lineRule="auto"/>
              <w:contextualSpacing/>
              <w:jc w:val="both"/>
              <w:rPr>
                <w:rFonts w:ascii="Times New Roman" w:eastAsia="Times New Roman" w:hAnsi="Times New Roman" w:cs="Times New Roman"/>
                <w:bCs/>
                <w:sz w:val="24"/>
                <w:szCs w:val="24"/>
                <w:lang w:eastAsia="lv-LV"/>
              </w:rPr>
            </w:pPr>
          </w:p>
        </w:tc>
      </w:tr>
      <w:tr w:rsidR="002768EB" w:rsidRPr="00727920" w14:paraId="18B77D3C" w14:textId="77777777" w:rsidTr="00463E28">
        <w:trPr>
          <w:trHeight w:val="140"/>
        </w:trPr>
        <w:tc>
          <w:tcPr>
            <w:tcW w:w="2406" w:type="pct"/>
            <w:gridSpan w:val="4"/>
            <w:tcBorders>
              <w:top w:val="nil"/>
              <w:left w:val="nil"/>
              <w:bottom w:val="nil"/>
              <w:right w:val="nil"/>
            </w:tcBorders>
          </w:tcPr>
          <w:p w14:paraId="0664B432"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p>
          <w:p w14:paraId="606195CA"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p>
          <w:p w14:paraId="1ABC45FE" w14:textId="77777777" w:rsidR="002768EB" w:rsidRDefault="002768EB" w:rsidP="00463E28">
            <w:pPr>
              <w:spacing w:after="0" w:line="240" w:lineRule="auto"/>
              <w:contextualSpacing/>
              <w:jc w:val="center"/>
              <w:rPr>
                <w:rFonts w:ascii="Times New Roman" w:eastAsia="Times New Roman" w:hAnsi="Times New Roman" w:cs="Times New Roman"/>
                <w:sz w:val="24"/>
                <w:szCs w:val="24"/>
                <w:lang w:eastAsia="lv-LV"/>
              </w:rPr>
            </w:pPr>
          </w:p>
          <w:p w14:paraId="43D5F26C"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p>
          <w:p w14:paraId="01C1E837" w14:textId="77777777" w:rsidR="002768EB" w:rsidRPr="00727920" w:rsidRDefault="002768EB" w:rsidP="00463E28">
            <w:pPr>
              <w:tabs>
                <w:tab w:val="left" w:pos="870"/>
                <w:tab w:val="center" w:pos="4655"/>
              </w:tabs>
              <w:spacing w:after="0" w:line="240" w:lineRule="auto"/>
              <w:contextualSpacing/>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ab/>
            </w:r>
            <w:r w:rsidRPr="00727920">
              <w:rPr>
                <w:rFonts w:ascii="Times New Roman" w:eastAsia="Times New Roman" w:hAnsi="Times New Roman" w:cs="Times New Roman"/>
                <w:sz w:val="24"/>
                <w:szCs w:val="24"/>
                <w:lang w:eastAsia="lv-LV"/>
              </w:rPr>
              <w:tab/>
              <w:t>Atbildīgā amatpersona</w:t>
            </w:r>
          </w:p>
        </w:tc>
        <w:tc>
          <w:tcPr>
            <w:tcW w:w="653" w:type="pct"/>
            <w:gridSpan w:val="2"/>
            <w:tcBorders>
              <w:top w:val="nil"/>
              <w:left w:val="nil"/>
              <w:bottom w:val="nil"/>
              <w:right w:val="nil"/>
            </w:tcBorders>
          </w:tcPr>
          <w:p w14:paraId="06F62455"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p>
          <w:p w14:paraId="2BDC73A6"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p>
          <w:p w14:paraId="434D7C90" w14:textId="77777777" w:rsidR="002768EB" w:rsidRPr="00727920" w:rsidRDefault="002768EB" w:rsidP="00463E28">
            <w:pPr>
              <w:spacing w:after="0" w:line="240" w:lineRule="auto"/>
              <w:contextualSpacing/>
              <w:rPr>
                <w:rFonts w:ascii="Times New Roman" w:eastAsia="Times New Roman" w:hAnsi="Times New Roman" w:cs="Times New Roman"/>
                <w:sz w:val="24"/>
                <w:szCs w:val="24"/>
                <w:lang w:eastAsia="lv-LV"/>
              </w:rPr>
            </w:pPr>
          </w:p>
        </w:tc>
        <w:tc>
          <w:tcPr>
            <w:tcW w:w="1108" w:type="pct"/>
            <w:gridSpan w:val="2"/>
            <w:tcBorders>
              <w:top w:val="nil"/>
              <w:bottom w:val="nil"/>
            </w:tcBorders>
          </w:tcPr>
          <w:p w14:paraId="0EB08608" w14:textId="77777777" w:rsidR="002768EB" w:rsidRPr="00727920" w:rsidRDefault="002768EB" w:rsidP="00463E28">
            <w:pPr>
              <w:spacing w:after="0" w:line="240" w:lineRule="auto"/>
              <w:contextualSpacing/>
              <w:rPr>
                <w:rFonts w:ascii="Times New Roman" w:eastAsia="Calibri" w:hAnsi="Times New Roman" w:cs="Times New Roman"/>
                <w:sz w:val="24"/>
                <w:szCs w:val="24"/>
                <w:lang w:eastAsia="lv-LV"/>
              </w:rPr>
            </w:pPr>
          </w:p>
          <w:p w14:paraId="2512974E" w14:textId="77777777" w:rsidR="002768EB" w:rsidRPr="00727920" w:rsidRDefault="002768EB" w:rsidP="00463E28">
            <w:pPr>
              <w:spacing w:after="0" w:line="240" w:lineRule="auto"/>
              <w:contextualSpacing/>
              <w:rPr>
                <w:rFonts w:ascii="Times New Roman" w:eastAsia="Calibri" w:hAnsi="Times New Roman" w:cs="Times New Roman"/>
                <w:sz w:val="24"/>
                <w:szCs w:val="24"/>
                <w:lang w:eastAsia="lv-LV"/>
              </w:rPr>
            </w:pPr>
          </w:p>
          <w:p w14:paraId="5543603B" w14:textId="77777777" w:rsidR="002768EB" w:rsidRPr="00727920" w:rsidRDefault="002768EB" w:rsidP="00463E28">
            <w:pPr>
              <w:spacing w:after="0" w:line="240" w:lineRule="auto"/>
              <w:contextualSpacing/>
              <w:rPr>
                <w:rFonts w:ascii="Times New Roman" w:eastAsia="Calibri" w:hAnsi="Times New Roman" w:cs="Times New Roman"/>
                <w:sz w:val="24"/>
                <w:szCs w:val="24"/>
                <w:lang w:eastAsia="lv-LV"/>
              </w:rPr>
            </w:pPr>
          </w:p>
          <w:p w14:paraId="14CF898F" w14:textId="77777777" w:rsidR="002768EB" w:rsidRPr="00727920" w:rsidRDefault="002768EB" w:rsidP="00463E28">
            <w:pPr>
              <w:spacing w:after="0" w:line="240" w:lineRule="auto"/>
              <w:contextualSpacing/>
              <w:rPr>
                <w:rFonts w:ascii="Times New Roman" w:eastAsia="Calibri" w:hAnsi="Times New Roman" w:cs="Times New Roman"/>
                <w:sz w:val="24"/>
                <w:szCs w:val="24"/>
                <w:lang w:eastAsia="lv-LV"/>
              </w:rPr>
            </w:pPr>
          </w:p>
          <w:p w14:paraId="78DCE96B" w14:textId="77777777" w:rsidR="002768EB" w:rsidRPr="00727920" w:rsidRDefault="002768EB" w:rsidP="00463E28">
            <w:pPr>
              <w:spacing w:after="0" w:line="240" w:lineRule="auto"/>
              <w:contextualSpacing/>
              <w:rPr>
                <w:rFonts w:ascii="Times New Roman" w:eastAsia="Calibri" w:hAnsi="Times New Roman" w:cs="Times New Roman"/>
                <w:sz w:val="24"/>
                <w:szCs w:val="24"/>
                <w:lang w:eastAsia="lv-LV"/>
              </w:rPr>
            </w:pPr>
          </w:p>
        </w:tc>
        <w:tc>
          <w:tcPr>
            <w:tcW w:w="833" w:type="pct"/>
          </w:tcPr>
          <w:p w14:paraId="4DF3B019"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highlight w:val="yellow"/>
                <w:lang w:eastAsia="lv-LV"/>
              </w:rPr>
            </w:pPr>
          </w:p>
        </w:tc>
      </w:tr>
      <w:tr w:rsidR="002768EB" w:rsidRPr="00727920" w14:paraId="1CBE6895" w14:textId="77777777" w:rsidTr="00463E28">
        <w:trPr>
          <w:gridAfter w:val="3"/>
          <w:wAfter w:w="1941" w:type="pct"/>
          <w:trHeight w:val="140"/>
        </w:trPr>
        <w:tc>
          <w:tcPr>
            <w:tcW w:w="2406" w:type="pct"/>
            <w:gridSpan w:val="4"/>
            <w:tcBorders>
              <w:top w:val="nil"/>
              <w:left w:val="nil"/>
              <w:bottom w:val="nil"/>
              <w:right w:val="nil"/>
            </w:tcBorders>
          </w:tcPr>
          <w:p w14:paraId="524C2B95"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p>
        </w:tc>
        <w:tc>
          <w:tcPr>
            <w:tcW w:w="653" w:type="pct"/>
            <w:gridSpan w:val="2"/>
            <w:tcBorders>
              <w:top w:val="single" w:sz="6" w:space="0" w:color="000000"/>
              <w:left w:val="nil"/>
              <w:bottom w:val="single" w:sz="6" w:space="0" w:color="000000"/>
              <w:right w:val="nil"/>
            </w:tcBorders>
            <w:hideMark/>
          </w:tcPr>
          <w:p w14:paraId="4F30C33A"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(paraksts)*</w:t>
            </w:r>
          </w:p>
        </w:tc>
      </w:tr>
    </w:tbl>
    <w:p w14:paraId="4FBECDCE" w14:textId="77777777" w:rsidR="002768EB" w:rsidRPr="00727920" w:rsidRDefault="002768EB" w:rsidP="002768EB">
      <w:pPr>
        <w:spacing w:after="0" w:line="240" w:lineRule="auto"/>
        <w:contextualSpacing/>
        <w:jc w:val="both"/>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65EA4215" w14:textId="77777777" w:rsidR="002768EB" w:rsidRPr="00727920" w:rsidRDefault="002768EB" w:rsidP="002768EB">
      <w:pPr>
        <w:spacing w:after="0" w:line="240" w:lineRule="auto"/>
        <w:ind w:left="1440" w:firstLine="720"/>
        <w:contextualSpacing/>
        <w:rPr>
          <w:rFonts w:ascii="Times New Roman" w:eastAsia="Times New Roman" w:hAnsi="Times New Roman" w:cs="Times New Roman"/>
          <w:sz w:val="24"/>
          <w:szCs w:val="24"/>
          <w:lang w:eastAsia="lv-LV"/>
        </w:rPr>
      </w:pPr>
      <w:r w:rsidRPr="006D0709">
        <w:rPr>
          <w:rFonts w:ascii="Times New Roman" w:eastAsia="Times New Roman" w:hAnsi="Times New Roman" w:cs="Times New Roman"/>
          <w:sz w:val="24"/>
          <w:szCs w:val="24"/>
          <w:lang w:eastAsia="lv-LV"/>
        </w:rPr>
        <w:t>Enerģētikas finanšu instrumentu nodaļa</w:t>
      </w:r>
      <w:r>
        <w:rPr>
          <w:rFonts w:ascii="Times New Roman" w:eastAsia="Times New Roman" w:hAnsi="Times New Roman" w:cs="Times New Roman"/>
          <w:sz w:val="24"/>
          <w:szCs w:val="24"/>
          <w:lang w:eastAsia="lv-LV"/>
        </w:rPr>
        <w:t>s vadītāja</w:t>
      </w:r>
    </w:p>
    <w:tbl>
      <w:tblPr>
        <w:tblpPr w:leftFromText="180" w:rightFromText="180" w:vertAnchor="text" w:tblpY="1"/>
        <w:tblOverlap w:val="never"/>
        <w:tblW w:w="0" w:type="auto"/>
        <w:tblLook w:val="00A0" w:firstRow="1" w:lastRow="0" w:firstColumn="1" w:lastColumn="0" w:noHBand="0" w:noVBand="0"/>
      </w:tblPr>
      <w:tblGrid>
        <w:gridCol w:w="9214"/>
      </w:tblGrid>
      <w:tr w:rsidR="002768EB" w:rsidRPr="00727920" w14:paraId="08B1DCC4" w14:textId="77777777" w:rsidTr="00463E28">
        <w:trPr>
          <w:trHeight w:val="229"/>
        </w:trPr>
        <w:tc>
          <w:tcPr>
            <w:tcW w:w="9214" w:type="dxa"/>
            <w:tcBorders>
              <w:top w:val="single" w:sz="4" w:space="0" w:color="000000"/>
              <w:left w:val="nil"/>
              <w:bottom w:val="nil"/>
              <w:right w:val="nil"/>
            </w:tcBorders>
            <w:hideMark/>
          </w:tcPr>
          <w:p w14:paraId="66F60F32"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 xml:space="preserve"> (amats)</w:t>
            </w:r>
          </w:p>
        </w:tc>
      </w:tr>
      <w:tr w:rsidR="002768EB" w:rsidRPr="00727920" w14:paraId="7E3BB5BE" w14:textId="77777777" w:rsidTr="00463E28">
        <w:trPr>
          <w:trHeight w:val="243"/>
        </w:trPr>
        <w:tc>
          <w:tcPr>
            <w:tcW w:w="9214" w:type="dxa"/>
            <w:tcBorders>
              <w:top w:val="nil"/>
              <w:left w:val="nil"/>
              <w:bottom w:val="single" w:sz="4" w:space="0" w:color="000000"/>
              <w:right w:val="nil"/>
            </w:tcBorders>
          </w:tcPr>
          <w:p w14:paraId="2A6EF863"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 </w:t>
            </w:r>
            <w:r w:rsidRPr="006D0709">
              <w:rPr>
                <w:rFonts w:ascii="Times New Roman" w:eastAsia="Times New Roman" w:hAnsi="Times New Roman" w:cs="Times New Roman"/>
                <w:sz w:val="24"/>
                <w:szCs w:val="24"/>
                <w:lang w:eastAsia="lv-LV"/>
              </w:rPr>
              <w:t>67013298</w:t>
            </w:r>
          </w:p>
        </w:tc>
      </w:tr>
      <w:tr w:rsidR="002768EB" w:rsidRPr="00727920" w14:paraId="5DAFD40A" w14:textId="77777777" w:rsidTr="00463E28">
        <w:trPr>
          <w:trHeight w:val="243"/>
        </w:trPr>
        <w:tc>
          <w:tcPr>
            <w:tcW w:w="9214" w:type="dxa"/>
            <w:tcBorders>
              <w:top w:val="single" w:sz="4" w:space="0" w:color="000000"/>
              <w:left w:val="nil"/>
              <w:bottom w:val="nil"/>
              <w:right w:val="nil"/>
            </w:tcBorders>
            <w:hideMark/>
          </w:tcPr>
          <w:p w14:paraId="53B83AAD"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(tālruņa un faksa numurs)</w:t>
            </w:r>
          </w:p>
        </w:tc>
      </w:tr>
      <w:tr w:rsidR="002768EB" w:rsidRPr="00727920" w14:paraId="1E21F9D8" w14:textId="77777777" w:rsidTr="00463E28">
        <w:trPr>
          <w:trHeight w:val="229"/>
        </w:trPr>
        <w:tc>
          <w:tcPr>
            <w:tcW w:w="9214" w:type="dxa"/>
            <w:tcBorders>
              <w:top w:val="nil"/>
              <w:left w:val="nil"/>
              <w:bottom w:val="single" w:sz="4" w:space="0" w:color="000000"/>
              <w:right w:val="nil"/>
            </w:tcBorders>
            <w:hideMark/>
          </w:tcPr>
          <w:p w14:paraId="3D6671A1"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6D0709">
              <w:rPr>
                <w:rFonts w:ascii="Times New Roman" w:eastAsia="Times New Roman" w:hAnsi="Times New Roman" w:cs="Times New Roman"/>
                <w:sz w:val="24"/>
                <w:szCs w:val="24"/>
                <w:lang w:eastAsia="lv-LV"/>
              </w:rPr>
              <w:t xml:space="preserve">Evita.Valgaca@em.gov.lv  </w:t>
            </w:r>
          </w:p>
        </w:tc>
      </w:tr>
      <w:tr w:rsidR="002768EB" w:rsidRPr="00727920" w14:paraId="301EDD82" w14:textId="77777777" w:rsidTr="00463E28">
        <w:trPr>
          <w:trHeight w:val="243"/>
        </w:trPr>
        <w:tc>
          <w:tcPr>
            <w:tcW w:w="9214" w:type="dxa"/>
            <w:tcBorders>
              <w:top w:val="single" w:sz="4" w:space="0" w:color="000000"/>
              <w:left w:val="nil"/>
              <w:bottom w:val="nil"/>
              <w:right w:val="nil"/>
            </w:tcBorders>
            <w:hideMark/>
          </w:tcPr>
          <w:p w14:paraId="187A8A78" w14:textId="77777777" w:rsidR="002768EB" w:rsidRPr="00727920" w:rsidRDefault="002768EB" w:rsidP="00463E28">
            <w:pPr>
              <w:spacing w:after="0" w:line="240" w:lineRule="auto"/>
              <w:contextualSpacing/>
              <w:jc w:val="center"/>
              <w:rPr>
                <w:rFonts w:ascii="Times New Roman" w:eastAsia="Times New Roman" w:hAnsi="Times New Roman" w:cs="Times New Roman"/>
                <w:sz w:val="24"/>
                <w:szCs w:val="24"/>
                <w:lang w:eastAsia="lv-LV"/>
              </w:rPr>
            </w:pPr>
            <w:r w:rsidRPr="00727920">
              <w:rPr>
                <w:rFonts w:ascii="Times New Roman" w:eastAsia="Times New Roman" w:hAnsi="Times New Roman" w:cs="Times New Roman"/>
                <w:sz w:val="24"/>
                <w:szCs w:val="24"/>
                <w:lang w:eastAsia="lv-LV"/>
              </w:rPr>
              <w:t>(e-pasta adrese)</w:t>
            </w:r>
          </w:p>
        </w:tc>
      </w:tr>
    </w:tbl>
    <w:p w14:paraId="2B249BBF" w14:textId="77777777" w:rsidR="002768EB" w:rsidRPr="00727920" w:rsidRDefault="002768EB" w:rsidP="002768EB">
      <w:pPr>
        <w:spacing w:after="0" w:line="240" w:lineRule="auto"/>
        <w:contextualSpacing/>
        <w:jc w:val="both"/>
        <w:rPr>
          <w:rFonts w:ascii="Times New Roman" w:hAnsi="Times New Roman" w:cs="Times New Roman"/>
          <w:sz w:val="24"/>
          <w:szCs w:val="24"/>
        </w:rPr>
      </w:pPr>
    </w:p>
    <w:p w14:paraId="3677A7DC" w14:textId="77777777" w:rsidR="002768EB" w:rsidRPr="00727920" w:rsidRDefault="002768EB" w:rsidP="002768EB">
      <w:pPr>
        <w:spacing w:after="0" w:line="240" w:lineRule="auto"/>
        <w:contextualSpacing/>
        <w:rPr>
          <w:rFonts w:ascii="Times New Roman" w:hAnsi="Times New Roman" w:cs="Times New Roman"/>
          <w:sz w:val="24"/>
          <w:szCs w:val="24"/>
        </w:rPr>
      </w:pPr>
    </w:p>
    <w:p w14:paraId="276F629D" w14:textId="77777777" w:rsidR="002768EB" w:rsidRPr="00727920" w:rsidRDefault="002768EB" w:rsidP="002768EB">
      <w:pPr>
        <w:tabs>
          <w:tab w:val="left" w:pos="1170"/>
        </w:tabs>
        <w:spacing w:after="0" w:line="240" w:lineRule="auto"/>
        <w:contextualSpacing/>
        <w:rPr>
          <w:rFonts w:ascii="Times New Roman" w:hAnsi="Times New Roman" w:cs="Times New Roman"/>
          <w:sz w:val="24"/>
          <w:szCs w:val="24"/>
        </w:rPr>
      </w:pPr>
    </w:p>
    <w:p w14:paraId="7726E3A5" w14:textId="77777777" w:rsidR="002768EB" w:rsidRPr="00727920" w:rsidRDefault="002768EB" w:rsidP="002768EB">
      <w:pPr>
        <w:tabs>
          <w:tab w:val="left" w:pos="1170"/>
        </w:tabs>
        <w:spacing w:after="0" w:line="240" w:lineRule="auto"/>
        <w:contextualSpacing/>
        <w:rPr>
          <w:rFonts w:ascii="Times New Roman" w:hAnsi="Times New Roman" w:cs="Times New Roman"/>
          <w:sz w:val="24"/>
          <w:szCs w:val="24"/>
        </w:rPr>
      </w:pPr>
    </w:p>
    <w:p w14:paraId="29F81D24" w14:textId="77777777" w:rsidR="002768EB" w:rsidRPr="00727920" w:rsidRDefault="002768EB" w:rsidP="002768EB">
      <w:pPr>
        <w:tabs>
          <w:tab w:val="left" w:pos="1170"/>
        </w:tabs>
        <w:spacing w:after="0" w:line="240" w:lineRule="auto"/>
        <w:contextualSpacing/>
        <w:rPr>
          <w:rFonts w:ascii="Times New Roman" w:hAnsi="Times New Roman" w:cs="Times New Roman"/>
          <w:sz w:val="24"/>
          <w:szCs w:val="24"/>
        </w:rPr>
      </w:pPr>
    </w:p>
    <w:p w14:paraId="2E82ACA5" w14:textId="77777777" w:rsidR="002768EB" w:rsidRPr="00727920" w:rsidRDefault="002768EB" w:rsidP="002768EB">
      <w:pPr>
        <w:tabs>
          <w:tab w:val="left" w:pos="1170"/>
        </w:tabs>
        <w:spacing w:after="0" w:line="240" w:lineRule="auto"/>
        <w:contextualSpacing/>
        <w:rPr>
          <w:rFonts w:ascii="Times New Roman" w:hAnsi="Times New Roman" w:cs="Times New Roman"/>
          <w:sz w:val="24"/>
          <w:szCs w:val="24"/>
        </w:rPr>
      </w:pPr>
    </w:p>
    <w:p w14:paraId="6626031E" w14:textId="77777777" w:rsidR="002768EB" w:rsidRPr="00727920" w:rsidRDefault="002768EB" w:rsidP="002768EB">
      <w:pPr>
        <w:tabs>
          <w:tab w:val="left" w:pos="1170"/>
        </w:tabs>
        <w:spacing w:after="0" w:line="240" w:lineRule="auto"/>
        <w:contextualSpacing/>
        <w:rPr>
          <w:rFonts w:ascii="Times New Roman" w:hAnsi="Times New Roman" w:cs="Times New Roman"/>
          <w:sz w:val="24"/>
          <w:szCs w:val="24"/>
        </w:rPr>
      </w:pPr>
    </w:p>
    <w:p w14:paraId="5B52732F" w14:textId="77777777" w:rsidR="002768EB" w:rsidRPr="00727920" w:rsidRDefault="002768EB" w:rsidP="002768EB">
      <w:pPr>
        <w:tabs>
          <w:tab w:val="left" w:pos="1170"/>
        </w:tabs>
        <w:spacing w:after="0" w:line="240" w:lineRule="auto"/>
        <w:contextualSpacing/>
        <w:rPr>
          <w:rFonts w:ascii="Times New Roman" w:hAnsi="Times New Roman" w:cs="Times New Roman"/>
          <w:sz w:val="24"/>
          <w:szCs w:val="24"/>
        </w:rPr>
      </w:pPr>
    </w:p>
    <w:p w14:paraId="27F4BEC8" w14:textId="08379955" w:rsidR="00BB69B5" w:rsidRPr="00BB69B5" w:rsidRDefault="002768EB" w:rsidP="00BB69B5">
      <w:pPr>
        <w:tabs>
          <w:tab w:val="left" w:pos="1170"/>
        </w:tabs>
        <w:spacing w:after="0" w:line="240" w:lineRule="auto"/>
        <w:contextualSpacing/>
        <w:rPr>
          <w:rFonts w:ascii="Times New Roman" w:hAnsi="Times New Roman" w:cs="Times New Roman"/>
          <w:sz w:val="24"/>
          <w:szCs w:val="24"/>
        </w:rPr>
      </w:pPr>
      <w:r w:rsidRPr="00727920">
        <w:rPr>
          <w:rFonts w:ascii="Times New Roman" w:hAnsi="Times New Roman" w:cs="Times New Roman"/>
          <w:sz w:val="24"/>
          <w:szCs w:val="24"/>
        </w:rPr>
        <w:t>Valgača 67013298</w:t>
      </w:r>
    </w:p>
    <w:sectPr w:rsidR="00BB69B5" w:rsidRPr="00BB69B5" w:rsidSect="00BB69B5">
      <w:headerReference w:type="default" r:id="rId8"/>
      <w:footerReference w:type="default" r:id="rId9"/>
      <w:pgSz w:w="16838" w:h="11906" w:orient="landscape" w:code="9"/>
      <w:pgMar w:top="992" w:right="822" w:bottom="851" w:left="12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BC8B4" w14:textId="77777777" w:rsidR="00884E2E" w:rsidRDefault="00884E2E" w:rsidP="003A0F64">
      <w:pPr>
        <w:spacing w:after="0" w:line="240" w:lineRule="auto"/>
      </w:pPr>
      <w:r>
        <w:separator/>
      </w:r>
    </w:p>
  </w:endnote>
  <w:endnote w:type="continuationSeparator" w:id="0">
    <w:p w14:paraId="4D5C2357" w14:textId="77777777" w:rsidR="00884E2E" w:rsidRDefault="00884E2E"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41AFF33F" w:rsidR="008C0DA9" w:rsidRPr="00F66122" w:rsidRDefault="008C0DA9"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sidR="002634F2">
      <w:rPr>
        <w:noProof/>
        <w:sz w:val="20"/>
      </w:rPr>
      <w:t>EMIzz_</w:t>
    </w:r>
    <w:r w:rsidR="00D408A2">
      <w:rPr>
        <w:noProof/>
        <w:sz w:val="20"/>
        <w:lang w:val="lv-LV"/>
      </w:rPr>
      <w:t>1111</w:t>
    </w:r>
    <w:r w:rsidR="002634F2" w:rsidRPr="002634F2">
      <w:rPr>
        <w:noProof/>
        <w:sz w:val="20"/>
        <w:lang w:val="lv-LV"/>
      </w:rPr>
      <w:t>2020</w:t>
    </w:r>
    <w:r w:rsidR="002634F2">
      <w:rPr>
        <w:noProof/>
        <w:sz w:val="20"/>
      </w:rPr>
      <w:t>_</w:t>
    </w:r>
    <w:r w:rsidR="006546C1">
      <w:rPr>
        <w:noProof/>
        <w:sz w:val="20"/>
        <w:lang w:val="lv-LV"/>
      </w:rPr>
      <w:t>Groz_160</w:t>
    </w:r>
    <w:r w:rsidR="002634F2">
      <w:rPr>
        <w:noProof/>
        <w:sz w:val="20"/>
      </w:rPr>
      <w:t>.docx</w:t>
    </w:r>
    <w:r w:rsidRPr="00F6612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802BB" w14:textId="77777777" w:rsidR="00884E2E" w:rsidRDefault="00884E2E" w:rsidP="003A0F64">
      <w:pPr>
        <w:spacing w:after="0" w:line="240" w:lineRule="auto"/>
      </w:pPr>
      <w:r>
        <w:separator/>
      </w:r>
    </w:p>
  </w:footnote>
  <w:footnote w:type="continuationSeparator" w:id="0">
    <w:p w14:paraId="64BAD23A" w14:textId="77777777" w:rsidR="00884E2E" w:rsidRDefault="00884E2E"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8C0DA9" w:rsidRDefault="008C0DA9">
    <w:pPr>
      <w:pStyle w:val="Header"/>
      <w:jc w:val="center"/>
    </w:pPr>
    <w:r>
      <w:fldChar w:fldCharType="begin"/>
    </w:r>
    <w:r>
      <w:instrText xml:space="preserve"> PAGE   \* MERGEFORMAT </w:instrText>
    </w:r>
    <w:r>
      <w:fldChar w:fldCharType="separate"/>
    </w:r>
    <w:r w:rsidR="0024488C">
      <w:rPr>
        <w:noProof/>
      </w:rPr>
      <w:t>24</w:t>
    </w:r>
    <w:r>
      <w:rPr>
        <w:noProof/>
      </w:rPr>
      <w:fldChar w:fldCharType="end"/>
    </w:r>
  </w:p>
  <w:p w14:paraId="30013286" w14:textId="77777777" w:rsidR="008C0DA9" w:rsidRDefault="008C0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46CD"/>
    <w:multiLevelType w:val="hybridMultilevel"/>
    <w:tmpl w:val="6BBED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8F779F"/>
    <w:multiLevelType w:val="hybridMultilevel"/>
    <w:tmpl w:val="AE80D5F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41534B7C"/>
    <w:multiLevelType w:val="hybridMultilevel"/>
    <w:tmpl w:val="87763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761114"/>
    <w:multiLevelType w:val="hybridMultilevel"/>
    <w:tmpl w:val="3FE003A2"/>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936645B"/>
    <w:multiLevelType w:val="hybridMultilevel"/>
    <w:tmpl w:val="A13E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C3262B6"/>
    <w:multiLevelType w:val="hybridMultilevel"/>
    <w:tmpl w:val="9DE007C0"/>
    <w:lvl w:ilvl="0" w:tplc="626AF94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37B2"/>
    <w:rsid w:val="000076BF"/>
    <w:rsid w:val="00013FAE"/>
    <w:rsid w:val="000141A1"/>
    <w:rsid w:val="0001655E"/>
    <w:rsid w:val="00016DB6"/>
    <w:rsid w:val="0001736A"/>
    <w:rsid w:val="00020398"/>
    <w:rsid w:val="00020499"/>
    <w:rsid w:val="00020ECF"/>
    <w:rsid w:val="00022A62"/>
    <w:rsid w:val="000238E4"/>
    <w:rsid w:val="000239F9"/>
    <w:rsid w:val="00024421"/>
    <w:rsid w:val="00025B7C"/>
    <w:rsid w:val="000265A7"/>
    <w:rsid w:val="0002684F"/>
    <w:rsid w:val="00031546"/>
    <w:rsid w:val="00033B9E"/>
    <w:rsid w:val="00035669"/>
    <w:rsid w:val="00040836"/>
    <w:rsid w:val="000413EB"/>
    <w:rsid w:val="000417B1"/>
    <w:rsid w:val="00043735"/>
    <w:rsid w:val="000440AD"/>
    <w:rsid w:val="00044557"/>
    <w:rsid w:val="00045B37"/>
    <w:rsid w:val="00045C75"/>
    <w:rsid w:val="00047E7B"/>
    <w:rsid w:val="0005115E"/>
    <w:rsid w:val="000544C0"/>
    <w:rsid w:val="00054B74"/>
    <w:rsid w:val="000565A6"/>
    <w:rsid w:val="0005797F"/>
    <w:rsid w:val="00062272"/>
    <w:rsid w:val="00063B77"/>
    <w:rsid w:val="000657C1"/>
    <w:rsid w:val="000661D9"/>
    <w:rsid w:val="00067911"/>
    <w:rsid w:val="0007183A"/>
    <w:rsid w:val="0007212A"/>
    <w:rsid w:val="00072558"/>
    <w:rsid w:val="0007292A"/>
    <w:rsid w:val="000739C7"/>
    <w:rsid w:val="00073EA9"/>
    <w:rsid w:val="00075666"/>
    <w:rsid w:val="000757A0"/>
    <w:rsid w:val="00081ABA"/>
    <w:rsid w:val="000821FA"/>
    <w:rsid w:val="00082A4B"/>
    <w:rsid w:val="00082C90"/>
    <w:rsid w:val="000850C8"/>
    <w:rsid w:val="000869D8"/>
    <w:rsid w:val="00086A01"/>
    <w:rsid w:val="000902C7"/>
    <w:rsid w:val="00091A67"/>
    <w:rsid w:val="00092D7E"/>
    <w:rsid w:val="00094919"/>
    <w:rsid w:val="00097F38"/>
    <w:rsid w:val="000A00C2"/>
    <w:rsid w:val="000A3B3C"/>
    <w:rsid w:val="000A514A"/>
    <w:rsid w:val="000A58A5"/>
    <w:rsid w:val="000B1513"/>
    <w:rsid w:val="000B2084"/>
    <w:rsid w:val="000B3145"/>
    <w:rsid w:val="000B47FC"/>
    <w:rsid w:val="000B4ECB"/>
    <w:rsid w:val="000B6293"/>
    <w:rsid w:val="000B7F63"/>
    <w:rsid w:val="000C04D5"/>
    <w:rsid w:val="000C0829"/>
    <w:rsid w:val="000C0E26"/>
    <w:rsid w:val="000C15FE"/>
    <w:rsid w:val="000C2B97"/>
    <w:rsid w:val="000C3CDB"/>
    <w:rsid w:val="000C49B5"/>
    <w:rsid w:val="000C5F37"/>
    <w:rsid w:val="000D1B4A"/>
    <w:rsid w:val="000D6EBF"/>
    <w:rsid w:val="000E3ACC"/>
    <w:rsid w:val="000E3ED8"/>
    <w:rsid w:val="000E710D"/>
    <w:rsid w:val="000E792C"/>
    <w:rsid w:val="000E7C21"/>
    <w:rsid w:val="000F161C"/>
    <w:rsid w:val="000F35F9"/>
    <w:rsid w:val="000F3FD7"/>
    <w:rsid w:val="000F5E06"/>
    <w:rsid w:val="000F6088"/>
    <w:rsid w:val="000F7939"/>
    <w:rsid w:val="00102989"/>
    <w:rsid w:val="00106DE8"/>
    <w:rsid w:val="00107644"/>
    <w:rsid w:val="00107F48"/>
    <w:rsid w:val="00110561"/>
    <w:rsid w:val="001122AD"/>
    <w:rsid w:val="00112644"/>
    <w:rsid w:val="0011331D"/>
    <w:rsid w:val="00114194"/>
    <w:rsid w:val="00116F6A"/>
    <w:rsid w:val="001217A7"/>
    <w:rsid w:val="00124809"/>
    <w:rsid w:val="0012591F"/>
    <w:rsid w:val="00130602"/>
    <w:rsid w:val="001318E8"/>
    <w:rsid w:val="001333AA"/>
    <w:rsid w:val="00137304"/>
    <w:rsid w:val="001407C1"/>
    <w:rsid w:val="001420BE"/>
    <w:rsid w:val="00144377"/>
    <w:rsid w:val="00145700"/>
    <w:rsid w:val="0014586B"/>
    <w:rsid w:val="001536A4"/>
    <w:rsid w:val="00157742"/>
    <w:rsid w:val="00157818"/>
    <w:rsid w:val="0016242F"/>
    <w:rsid w:val="00163694"/>
    <w:rsid w:val="00164E9E"/>
    <w:rsid w:val="00170174"/>
    <w:rsid w:val="0017079F"/>
    <w:rsid w:val="0017126A"/>
    <w:rsid w:val="00174428"/>
    <w:rsid w:val="00174A3B"/>
    <w:rsid w:val="00176AE3"/>
    <w:rsid w:val="00176D2C"/>
    <w:rsid w:val="00180FA4"/>
    <w:rsid w:val="00187CF8"/>
    <w:rsid w:val="00191955"/>
    <w:rsid w:val="00194149"/>
    <w:rsid w:val="0019699F"/>
    <w:rsid w:val="00196E78"/>
    <w:rsid w:val="001973D2"/>
    <w:rsid w:val="00197C5D"/>
    <w:rsid w:val="001A03A4"/>
    <w:rsid w:val="001A0D97"/>
    <w:rsid w:val="001A1323"/>
    <w:rsid w:val="001A151A"/>
    <w:rsid w:val="001A296D"/>
    <w:rsid w:val="001A4587"/>
    <w:rsid w:val="001A47B0"/>
    <w:rsid w:val="001A715F"/>
    <w:rsid w:val="001B0B15"/>
    <w:rsid w:val="001B1E02"/>
    <w:rsid w:val="001B6007"/>
    <w:rsid w:val="001B640E"/>
    <w:rsid w:val="001B77D1"/>
    <w:rsid w:val="001C24FA"/>
    <w:rsid w:val="001C3C40"/>
    <w:rsid w:val="001C5DC4"/>
    <w:rsid w:val="001C5EEF"/>
    <w:rsid w:val="001C68F1"/>
    <w:rsid w:val="001D2424"/>
    <w:rsid w:val="001D255D"/>
    <w:rsid w:val="001D5F97"/>
    <w:rsid w:val="001D61C4"/>
    <w:rsid w:val="001D7744"/>
    <w:rsid w:val="001D7E85"/>
    <w:rsid w:val="001E0B73"/>
    <w:rsid w:val="001E2C77"/>
    <w:rsid w:val="001E5547"/>
    <w:rsid w:val="001E7B3F"/>
    <w:rsid w:val="001F0E91"/>
    <w:rsid w:val="001F112A"/>
    <w:rsid w:val="001F1887"/>
    <w:rsid w:val="001F505E"/>
    <w:rsid w:val="001F51BE"/>
    <w:rsid w:val="0020004D"/>
    <w:rsid w:val="00200813"/>
    <w:rsid w:val="00201CDC"/>
    <w:rsid w:val="00203B25"/>
    <w:rsid w:val="002042F9"/>
    <w:rsid w:val="00204E04"/>
    <w:rsid w:val="00204E3F"/>
    <w:rsid w:val="00204EB8"/>
    <w:rsid w:val="00205324"/>
    <w:rsid w:val="002105A3"/>
    <w:rsid w:val="00212BAE"/>
    <w:rsid w:val="00216B40"/>
    <w:rsid w:val="002217A5"/>
    <w:rsid w:val="00221B68"/>
    <w:rsid w:val="00223389"/>
    <w:rsid w:val="00225E19"/>
    <w:rsid w:val="00231143"/>
    <w:rsid w:val="0023141B"/>
    <w:rsid w:val="00236E42"/>
    <w:rsid w:val="0024396C"/>
    <w:rsid w:val="0024488C"/>
    <w:rsid w:val="002454E4"/>
    <w:rsid w:val="00245E6E"/>
    <w:rsid w:val="00247248"/>
    <w:rsid w:val="0024763B"/>
    <w:rsid w:val="002513AF"/>
    <w:rsid w:val="002536EE"/>
    <w:rsid w:val="00253A1A"/>
    <w:rsid w:val="002544AA"/>
    <w:rsid w:val="00254F0E"/>
    <w:rsid w:val="00256A45"/>
    <w:rsid w:val="002603CB"/>
    <w:rsid w:val="00262000"/>
    <w:rsid w:val="002621FD"/>
    <w:rsid w:val="00263352"/>
    <w:rsid w:val="002634F2"/>
    <w:rsid w:val="0026519A"/>
    <w:rsid w:val="0026758B"/>
    <w:rsid w:val="00267655"/>
    <w:rsid w:val="002705C7"/>
    <w:rsid w:val="00271867"/>
    <w:rsid w:val="002720F3"/>
    <w:rsid w:val="00272267"/>
    <w:rsid w:val="00274913"/>
    <w:rsid w:val="00276883"/>
    <w:rsid w:val="002768EB"/>
    <w:rsid w:val="00281A31"/>
    <w:rsid w:val="00281D9A"/>
    <w:rsid w:val="00283C4D"/>
    <w:rsid w:val="00285248"/>
    <w:rsid w:val="00285C51"/>
    <w:rsid w:val="00285FE2"/>
    <w:rsid w:val="00286D88"/>
    <w:rsid w:val="00287651"/>
    <w:rsid w:val="00291241"/>
    <w:rsid w:val="00291A7C"/>
    <w:rsid w:val="002A0DE6"/>
    <w:rsid w:val="002A4955"/>
    <w:rsid w:val="002A704E"/>
    <w:rsid w:val="002A7878"/>
    <w:rsid w:val="002B28E0"/>
    <w:rsid w:val="002B3DB2"/>
    <w:rsid w:val="002B5646"/>
    <w:rsid w:val="002C27F5"/>
    <w:rsid w:val="002C51F4"/>
    <w:rsid w:val="002C7BB3"/>
    <w:rsid w:val="002D0EA2"/>
    <w:rsid w:val="002D1A6E"/>
    <w:rsid w:val="002D23C7"/>
    <w:rsid w:val="002D3D01"/>
    <w:rsid w:val="002D52B8"/>
    <w:rsid w:val="002D5A4D"/>
    <w:rsid w:val="002E0113"/>
    <w:rsid w:val="002E023D"/>
    <w:rsid w:val="002E0A02"/>
    <w:rsid w:val="002E1D87"/>
    <w:rsid w:val="002E324F"/>
    <w:rsid w:val="002E36E6"/>
    <w:rsid w:val="002E4D35"/>
    <w:rsid w:val="002E59B7"/>
    <w:rsid w:val="002F025E"/>
    <w:rsid w:val="002F0724"/>
    <w:rsid w:val="002F2399"/>
    <w:rsid w:val="002F31A8"/>
    <w:rsid w:val="002F3470"/>
    <w:rsid w:val="002F4727"/>
    <w:rsid w:val="002F4F3A"/>
    <w:rsid w:val="002F560D"/>
    <w:rsid w:val="002F57E7"/>
    <w:rsid w:val="002F5D9C"/>
    <w:rsid w:val="00301231"/>
    <w:rsid w:val="0030306B"/>
    <w:rsid w:val="0030344D"/>
    <w:rsid w:val="00306A91"/>
    <w:rsid w:val="003108FC"/>
    <w:rsid w:val="0031277A"/>
    <w:rsid w:val="00314EA3"/>
    <w:rsid w:val="00315C3F"/>
    <w:rsid w:val="00317389"/>
    <w:rsid w:val="003176EF"/>
    <w:rsid w:val="003177FC"/>
    <w:rsid w:val="00317BB4"/>
    <w:rsid w:val="0032032B"/>
    <w:rsid w:val="003226E9"/>
    <w:rsid w:val="003235F8"/>
    <w:rsid w:val="00323A33"/>
    <w:rsid w:val="00324C4A"/>
    <w:rsid w:val="0033143A"/>
    <w:rsid w:val="0033336C"/>
    <w:rsid w:val="00337DAC"/>
    <w:rsid w:val="00340A2B"/>
    <w:rsid w:val="00345ED9"/>
    <w:rsid w:val="00347533"/>
    <w:rsid w:val="00347F90"/>
    <w:rsid w:val="00352A82"/>
    <w:rsid w:val="00354EB2"/>
    <w:rsid w:val="00355939"/>
    <w:rsid w:val="00355949"/>
    <w:rsid w:val="00356C65"/>
    <w:rsid w:val="0036433B"/>
    <w:rsid w:val="00370670"/>
    <w:rsid w:val="00370E5E"/>
    <w:rsid w:val="00373EC5"/>
    <w:rsid w:val="00376221"/>
    <w:rsid w:val="003805B4"/>
    <w:rsid w:val="003811A2"/>
    <w:rsid w:val="00382230"/>
    <w:rsid w:val="00385B1B"/>
    <w:rsid w:val="00385E8B"/>
    <w:rsid w:val="00386771"/>
    <w:rsid w:val="003874C9"/>
    <w:rsid w:val="00387623"/>
    <w:rsid w:val="003878BF"/>
    <w:rsid w:val="00387BB3"/>
    <w:rsid w:val="003913DB"/>
    <w:rsid w:val="00393511"/>
    <w:rsid w:val="003946DB"/>
    <w:rsid w:val="0039637F"/>
    <w:rsid w:val="003A08FE"/>
    <w:rsid w:val="003A0F64"/>
    <w:rsid w:val="003A21A8"/>
    <w:rsid w:val="003A2FBC"/>
    <w:rsid w:val="003A384D"/>
    <w:rsid w:val="003A5057"/>
    <w:rsid w:val="003A6CBD"/>
    <w:rsid w:val="003A6DE6"/>
    <w:rsid w:val="003B191F"/>
    <w:rsid w:val="003B1A15"/>
    <w:rsid w:val="003B2BF5"/>
    <w:rsid w:val="003B45DF"/>
    <w:rsid w:val="003B7BF8"/>
    <w:rsid w:val="003C02D4"/>
    <w:rsid w:val="003C19C8"/>
    <w:rsid w:val="003C2199"/>
    <w:rsid w:val="003C3CA2"/>
    <w:rsid w:val="003C408A"/>
    <w:rsid w:val="003C45B7"/>
    <w:rsid w:val="003C6BA5"/>
    <w:rsid w:val="003C7996"/>
    <w:rsid w:val="003D1CA2"/>
    <w:rsid w:val="003D4281"/>
    <w:rsid w:val="003D4AB0"/>
    <w:rsid w:val="003D739B"/>
    <w:rsid w:val="003D7474"/>
    <w:rsid w:val="003D784E"/>
    <w:rsid w:val="003D7955"/>
    <w:rsid w:val="003E106A"/>
    <w:rsid w:val="003E15CB"/>
    <w:rsid w:val="003E21E4"/>
    <w:rsid w:val="003E24FF"/>
    <w:rsid w:val="003E2CE8"/>
    <w:rsid w:val="003E4047"/>
    <w:rsid w:val="003E621E"/>
    <w:rsid w:val="003E7F3A"/>
    <w:rsid w:val="003F069F"/>
    <w:rsid w:val="003F100E"/>
    <w:rsid w:val="003F2754"/>
    <w:rsid w:val="003F56E3"/>
    <w:rsid w:val="003F7D8F"/>
    <w:rsid w:val="004029AA"/>
    <w:rsid w:val="004059FD"/>
    <w:rsid w:val="00405C03"/>
    <w:rsid w:val="004101F0"/>
    <w:rsid w:val="00412FC4"/>
    <w:rsid w:val="00415117"/>
    <w:rsid w:val="004153CD"/>
    <w:rsid w:val="004168AA"/>
    <w:rsid w:val="00417060"/>
    <w:rsid w:val="00417D3D"/>
    <w:rsid w:val="0042154C"/>
    <w:rsid w:val="004221C2"/>
    <w:rsid w:val="004247FE"/>
    <w:rsid w:val="00434C96"/>
    <w:rsid w:val="00434E63"/>
    <w:rsid w:val="00437BCE"/>
    <w:rsid w:val="00443583"/>
    <w:rsid w:val="004474A0"/>
    <w:rsid w:val="00450931"/>
    <w:rsid w:val="00451E91"/>
    <w:rsid w:val="00451EBA"/>
    <w:rsid w:val="00455240"/>
    <w:rsid w:val="004564E1"/>
    <w:rsid w:val="00457345"/>
    <w:rsid w:val="004576BE"/>
    <w:rsid w:val="00460511"/>
    <w:rsid w:val="00465678"/>
    <w:rsid w:val="004715F3"/>
    <w:rsid w:val="00471E10"/>
    <w:rsid w:val="004727D8"/>
    <w:rsid w:val="00476DD6"/>
    <w:rsid w:val="00482CB7"/>
    <w:rsid w:val="00492807"/>
    <w:rsid w:val="004940C0"/>
    <w:rsid w:val="00494450"/>
    <w:rsid w:val="0049449B"/>
    <w:rsid w:val="00496A6D"/>
    <w:rsid w:val="00497CAE"/>
    <w:rsid w:val="004A490E"/>
    <w:rsid w:val="004A4CE9"/>
    <w:rsid w:val="004B24A4"/>
    <w:rsid w:val="004B2571"/>
    <w:rsid w:val="004B2FA5"/>
    <w:rsid w:val="004B399D"/>
    <w:rsid w:val="004B57D2"/>
    <w:rsid w:val="004C07EB"/>
    <w:rsid w:val="004C0DEF"/>
    <w:rsid w:val="004C0E57"/>
    <w:rsid w:val="004C2784"/>
    <w:rsid w:val="004C28AB"/>
    <w:rsid w:val="004C3223"/>
    <w:rsid w:val="004C5372"/>
    <w:rsid w:val="004D1A5B"/>
    <w:rsid w:val="004D6617"/>
    <w:rsid w:val="004D66B7"/>
    <w:rsid w:val="004D7CC5"/>
    <w:rsid w:val="004E1D8B"/>
    <w:rsid w:val="004E22DD"/>
    <w:rsid w:val="004E282D"/>
    <w:rsid w:val="004E35B1"/>
    <w:rsid w:val="004E36BD"/>
    <w:rsid w:val="004E43A0"/>
    <w:rsid w:val="004E568D"/>
    <w:rsid w:val="004E67CE"/>
    <w:rsid w:val="004E687F"/>
    <w:rsid w:val="004F00AC"/>
    <w:rsid w:val="004F099C"/>
    <w:rsid w:val="004F300C"/>
    <w:rsid w:val="004F517E"/>
    <w:rsid w:val="004F64B1"/>
    <w:rsid w:val="004F6704"/>
    <w:rsid w:val="004F7986"/>
    <w:rsid w:val="00500C79"/>
    <w:rsid w:val="00503731"/>
    <w:rsid w:val="005068CD"/>
    <w:rsid w:val="0050695F"/>
    <w:rsid w:val="00506B61"/>
    <w:rsid w:val="005074E0"/>
    <w:rsid w:val="0050777D"/>
    <w:rsid w:val="00510D04"/>
    <w:rsid w:val="00515BD8"/>
    <w:rsid w:val="005216EF"/>
    <w:rsid w:val="005225B4"/>
    <w:rsid w:val="005229CE"/>
    <w:rsid w:val="00525501"/>
    <w:rsid w:val="005267E6"/>
    <w:rsid w:val="00526D17"/>
    <w:rsid w:val="0053044B"/>
    <w:rsid w:val="00531071"/>
    <w:rsid w:val="0053194A"/>
    <w:rsid w:val="00534933"/>
    <w:rsid w:val="00534F52"/>
    <w:rsid w:val="005359C7"/>
    <w:rsid w:val="0053792C"/>
    <w:rsid w:val="005401F0"/>
    <w:rsid w:val="00540FDB"/>
    <w:rsid w:val="00541A25"/>
    <w:rsid w:val="00541AC0"/>
    <w:rsid w:val="005422A1"/>
    <w:rsid w:val="005464D4"/>
    <w:rsid w:val="00550B2A"/>
    <w:rsid w:val="00553923"/>
    <w:rsid w:val="00563C44"/>
    <w:rsid w:val="005647A9"/>
    <w:rsid w:val="0056560F"/>
    <w:rsid w:val="0056742D"/>
    <w:rsid w:val="00567CC1"/>
    <w:rsid w:val="00567CC8"/>
    <w:rsid w:val="00570619"/>
    <w:rsid w:val="00571F8E"/>
    <w:rsid w:val="00573DFC"/>
    <w:rsid w:val="0057655B"/>
    <w:rsid w:val="00580C87"/>
    <w:rsid w:val="00584EFF"/>
    <w:rsid w:val="0058592F"/>
    <w:rsid w:val="005865AD"/>
    <w:rsid w:val="00586871"/>
    <w:rsid w:val="00593240"/>
    <w:rsid w:val="005956E9"/>
    <w:rsid w:val="00595761"/>
    <w:rsid w:val="00596AB5"/>
    <w:rsid w:val="005972B7"/>
    <w:rsid w:val="005A03DB"/>
    <w:rsid w:val="005A2ABD"/>
    <w:rsid w:val="005A2FCC"/>
    <w:rsid w:val="005A47D2"/>
    <w:rsid w:val="005A61FE"/>
    <w:rsid w:val="005A741E"/>
    <w:rsid w:val="005A7830"/>
    <w:rsid w:val="005B132B"/>
    <w:rsid w:val="005B19BA"/>
    <w:rsid w:val="005B30B9"/>
    <w:rsid w:val="005B4887"/>
    <w:rsid w:val="005B5364"/>
    <w:rsid w:val="005B79B1"/>
    <w:rsid w:val="005C534F"/>
    <w:rsid w:val="005D05D7"/>
    <w:rsid w:val="005D098A"/>
    <w:rsid w:val="005D0DC2"/>
    <w:rsid w:val="005D1639"/>
    <w:rsid w:val="005D182D"/>
    <w:rsid w:val="005D1BDB"/>
    <w:rsid w:val="005D2119"/>
    <w:rsid w:val="005D3299"/>
    <w:rsid w:val="005D4E75"/>
    <w:rsid w:val="005D5481"/>
    <w:rsid w:val="005D5AEB"/>
    <w:rsid w:val="005D7C23"/>
    <w:rsid w:val="005E0888"/>
    <w:rsid w:val="005E0B18"/>
    <w:rsid w:val="005E1555"/>
    <w:rsid w:val="005E2C35"/>
    <w:rsid w:val="005E359E"/>
    <w:rsid w:val="005E6431"/>
    <w:rsid w:val="005F1D6E"/>
    <w:rsid w:val="005F1DB5"/>
    <w:rsid w:val="005F36A2"/>
    <w:rsid w:val="005F5EAD"/>
    <w:rsid w:val="005F71F9"/>
    <w:rsid w:val="006028DB"/>
    <w:rsid w:val="00602F65"/>
    <w:rsid w:val="00603296"/>
    <w:rsid w:val="006038F2"/>
    <w:rsid w:val="00606F7E"/>
    <w:rsid w:val="00610233"/>
    <w:rsid w:val="006108ED"/>
    <w:rsid w:val="0061225A"/>
    <w:rsid w:val="00612345"/>
    <w:rsid w:val="0061302E"/>
    <w:rsid w:val="0061382C"/>
    <w:rsid w:val="0061456E"/>
    <w:rsid w:val="00615AEF"/>
    <w:rsid w:val="00615CA2"/>
    <w:rsid w:val="00615D5C"/>
    <w:rsid w:val="00616F85"/>
    <w:rsid w:val="006200E6"/>
    <w:rsid w:val="006225DB"/>
    <w:rsid w:val="006232B2"/>
    <w:rsid w:val="00624D0E"/>
    <w:rsid w:val="00624F89"/>
    <w:rsid w:val="006310D7"/>
    <w:rsid w:val="00634457"/>
    <w:rsid w:val="006403D1"/>
    <w:rsid w:val="00642218"/>
    <w:rsid w:val="006439C7"/>
    <w:rsid w:val="00646454"/>
    <w:rsid w:val="006466DE"/>
    <w:rsid w:val="0064708D"/>
    <w:rsid w:val="0064799E"/>
    <w:rsid w:val="00651FAE"/>
    <w:rsid w:val="006546C1"/>
    <w:rsid w:val="006548D4"/>
    <w:rsid w:val="00655219"/>
    <w:rsid w:val="006569F5"/>
    <w:rsid w:val="0065725C"/>
    <w:rsid w:val="00657580"/>
    <w:rsid w:val="006619B7"/>
    <w:rsid w:val="0066233A"/>
    <w:rsid w:val="00662A78"/>
    <w:rsid w:val="006639C7"/>
    <w:rsid w:val="00665D8F"/>
    <w:rsid w:val="00670AC3"/>
    <w:rsid w:val="006728D6"/>
    <w:rsid w:val="00675267"/>
    <w:rsid w:val="00681AB9"/>
    <w:rsid w:val="0068277E"/>
    <w:rsid w:val="00687971"/>
    <w:rsid w:val="00691566"/>
    <w:rsid w:val="00691E45"/>
    <w:rsid w:val="00691EE7"/>
    <w:rsid w:val="00693806"/>
    <w:rsid w:val="0069528D"/>
    <w:rsid w:val="0069635D"/>
    <w:rsid w:val="006964A5"/>
    <w:rsid w:val="006A0227"/>
    <w:rsid w:val="006A71B7"/>
    <w:rsid w:val="006B122C"/>
    <w:rsid w:val="006B63CB"/>
    <w:rsid w:val="006B77C7"/>
    <w:rsid w:val="006C496F"/>
    <w:rsid w:val="006C5061"/>
    <w:rsid w:val="006C60C3"/>
    <w:rsid w:val="006D5A7A"/>
    <w:rsid w:val="006D5ACD"/>
    <w:rsid w:val="006E02A8"/>
    <w:rsid w:val="006E0EFC"/>
    <w:rsid w:val="006E1950"/>
    <w:rsid w:val="006E32B3"/>
    <w:rsid w:val="006E3792"/>
    <w:rsid w:val="006E3AF2"/>
    <w:rsid w:val="006F0082"/>
    <w:rsid w:val="006F04DD"/>
    <w:rsid w:val="006F1245"/>
    <w:rsid w:val="006F1254"/>
    <w:rsid w:val="006F2506"/>
    <w:rsid w:val="006F3C83"/>
    <w:rsid w:val="00700ACE"/>
    <w:rsid w:val="00701E1C"/>
    <w:rsid w:val="00703922"/>
    <w:rsid w:val="00703F14"/>
    <w:rsid w:val="00707370"/>
    <w:rsid w:val="00710C8E"/>
    <w:rsid w:val="00711F92"/>
    <w:rsid w:val="007143B2"/>
    <w:rsid w:val="00715570"/>
    <w:rsid w:val="00716507"/>
    <w:rsid w:val="007167CF"/>
    <w:rsid w:val="00716B50"/>
    <w:rsid w:val="007171DE"/>
    <w:rsid w:val="00726C06"/>
    <w:rsid w:val="0072722A"/>
    <w:rsid w:val="00727B4C"/>
    <w:rsid w:val="0073066B"/>
    <w:rsid w:val="00734A64"/>
    <w:rsid w:val="00735BBC"/>
    <w:rsid w:val="007375A5"/>
    <w:rsid w:val="0074077D"/>
    <w:rsid w:val="00741522"/>
    <w:rsid w:val="00741EFF"/>
    <w:rsid w:val="007424B4"/>
    <w:rsid w:val="00743900"/>
    <w:rsid w:val="0074452D"/>
    <w:rsid w:val="00745839"/>
    <w:rsid w:val="00746BE9"/>
    <w:rsid w:val="00747CFA"/>
    <w:rsid w:val="00747CFB"/>
    <w:rsid w:val="007502AD"/>
    <w:rsid w:val="0075074D"/>
    <w:rsid w:val="0075121F"/>
    <w:rsid w:val="007521A4"/>
    <w:rsid w:val="00752579"/>
    <w:rsid w:val="00752B14"/>
    <w:rsid w:val="00752BE7"/>
    <w:rsid w:val="00754031"/>
    <w:rsid w:val="007547AF"/>
    <w:rsid w:val="00755667"/>
    <w:rsid w:val="0075577E"/>
    <w:rsid w:val="00762A6B"/>
    <w:rsid w:val="00763C45"/>
    <w:rsid w:val="0076573A"/>
    <w:rsid w:val="0076624F"/>
    <w:rsid w:val="00771E25"/>
    <w:rsid w:val="0077611A"/>
    <w:rsid w:val="007778E8"/>
    <w:rsid w:val="00777925"/>
    <w:rsid w:val="0078055F"/>
    <w:rsid w:val="007831E5"/>
    <w:rsid w:val="0078371C"/>
    <w:rsid w:val="00784523"/>
    <w:rsid w:val="00790052"/>
    <w:rsid w:val="00791F30"/>
    <w:rsid w:val="00793E28"/>
    <w:rsid w:val="00795F14"/>
    <w:rsid w:val="00797ABE"/>
    <w:rsid w:val="007A3EBB"/>
    <w:rsid w:val="007A4D39"/>
    <w:rsid w:val="007A6AAD"/>
    <w:rsid w:val="007B057F"/>
    <w:rsid w:val="007B1A04"/>
    <w:rsid w:val="007B241A"/>
    <w:rsid w:val="007B2E8C"/>
    <w:rsid w:val="007B4933"/>
    <w:rsid w:val="007B6282"/>
    <w:rsid w:val="007B6390"/>
    <w:rsid w:val="007B7646"/>
    <w:rsid w:val="007C1C4B"/>
    <w:rsid w:val="007C2688"/>
    <w:rsid w:val="007C41A6"/>
    <w:rsid w:val="007C58BE"/>
    <w:rsid w:val="007C6C3F"/>
    <w:rsid w:val="007D0AAC"/>
    <w:rsid w:val="007D36BE"/>
    <w:rsid w:val="007D48CF"/>
    <w:rsid w:val="007D5EAA"/>
    <w:rsid w:val="007E3426"/>
    <w:rsid w:val="007E4545"/>
    <w:rsid w:val="007E47DD"/>
    <w:rsid w:val="007E777A"/>
    <w:rsid w:val="007E7970"/>
    <w:rsid w:val="007F1048"/>
    <w:rsid w:val="007F24B7"/>
    <w:rsid w:val="007F3072"/>
    <w:rsid w:val="007F3C2E"/>
    <w:rsid w:val="007F4219"/>
    <w:rsid w:val="007F4AE6"/>
    <w:rsid w:val="007F5A5E"/>
    <w:rsid w:val="007F5E64"/>
    <w:rsid w:val="007F67BC"/>
    <w:rsid w:val="0080378D"/>
    <w:rsid w:val="0080482F"/>
    <w:rsid w:val="00806DAF"/>
    <w:rsid w:val="0081136C"/>
    <w:rsid w:val="00812682"/>
    <w:rsid w:val="00815199"/>
    <w:rsid w:val="00816FD7"/>
    <w:rsid w:val="008204DC"/>
    <w:rsid w:val="008210BA"/>
    <w:rsid w:val="00821BC2"/>
    <w:rsid w:val="00821D2F"/>
    <w:rsid w:val="00821EAA"/>
    <w:rsid w:val="008232D1"/>
    <w:rsid w:val="00823CA9"/>
    <w:rsid w:val="0082549E"/>
    <w:rsid w:val="00825871"/>
    <w:rsid w:val="00825E7F"/>
    <w:rsid w:val="00826BAE"/>
    <w:rsid w:val="00826C55"/>
    <w:rsid w:val="00827DB7"/>
    <w:rsid w:val="008306BB"/>
    <w:rsid w:val="00830A8D"/>
    <w:rsid w:val="0083143F"/>
    <w:rsid w:val="00833007"/>
    <w:rsid w:val="00833240"/>
    <w:rsid w:val="00836FE9"/>
    <w:rsid w:val="00841895"/>
    <w:rsid w:val="00842A8A"/>
    <w:rsid w:val="008443AF"/>
    <w:rsid w:val="00847C9F"/>
    <w:rsid w:val="00852BF3"/>
    <w:rsid w:val="00854BBB"/>
    <w:rsid w:val="008562AC"/>
    <w:rsid w:val="0086169C"/>
    <w:rsid w:val="0086169E"/>
    <w:rsid w:val="00863493"/>
    <w:rsid w:val="008638F3"/>
    <w:rsid w:val="00864CA3"/>
    <w:rsid w:val="00867E01"/>
    <w:rsid w:val="008770CC"/>
    <w:rsid w:val="008775F9"/>
    <w:rsid w:val="00882C3A"/>
    <w:rsid w:val="008832CF"/>
    <w:rsid w:val="00884E2E"/>
    <w:rsid w:val="00887929"/>
    <w:rsid w:val="0089245B"/>
    <w:rsid w:val="00892732"/>
    <w:rsid w:val="00893075"/>
    <w:rsid w:val="008A1DDF"/>
    <w:rsid w:val="008A3232"/>
    <w:rsid w:val="008A61F5"/>
    <w:rsid w:val="008B0E7F"/>
    <w:rsid w:val="008B31E7"/>
    <w:rsid w:val="008B6B8E"/>
    <w:rsid w:val="008C0DA9"/>
    <w:rsid w:val="008C2E86"/>
    <w:rsid w:val="008D0A3C"/>
    <w:rsid w:val="008D0F43"/>
    <w:rsid w:val="008D23B2"/>
    <w:rsid w:val="008D5268"/>
    <w:rsid w:val="008D6EC4"/>
    <w:rsid w:val="008D6EE4"/>
    <w:rsid w:val="008E174E"/>
    <w:rsid w:val="008E1842"/>
    <w:rsid w:val="008E36C2"/>
    <w:rsid w:val="008E3B12"/>
    <w:rsid w:val="008E4CE6"/>
    <w:rsid w:val="008E5D73"/>
    <w:rsid w:val="008F15A9"/>
    <w:rsid w:val="008F26F6"/>
    <w:rsid w:val="008F3C74"/>
    <w:rsid w:val="008F43B1"/>
    <w:rsid w:val="008F462F"/>
    <w:rsid w:val="008F5017"/>
    <w:rsid w:val="009001F9"/>
    <w:rsid w:val="0090111A"/>
    <w:rsid w:val="0090190C"/>
    <w:rsid w:val="00901CB6"/>
    <w:rsid w:val="00906E96"/>
    <w:rsid w:val="009101EE"/>
    <w:rsid w:val="00910B16"/>
    <w:rsid w:val="00920754"/>
    <w:rsid w:val="0092554C"/>
    <w:rsid w:val="009259E9"/>
    <w:rsid w:val="00926CA1"/>
    <w:rsid w:val="00927044"/>
    <w:rsid w:val="00930288"/>
    <w:rsid w:val="009315EB"/>
    <w:rsid w:val="00931BA4"/>
    <w:rsid w:val="00931FCF"/>
    <w:rsid w:val="00932015"/>
    <w:rsid w:val="00932A62"/>
    <w:rsid w:val="00933FC4"/>
    <w:rsid w:val="009362A7"/>
    <w:rsid w:val="0093631C"/>
    <w:rsid w:val="00937D1D"/>
    <w:rsid w:val="009419F0"/>
    <w:rsid w:val="00943D6E"/>
    <w:rsid w:val="00943DFF"/>
    <w:rsid w:val="009442F4"/>
    <w:rsid w:val="009456A2"/>
    <w:rsid w:val="009464F4"/>
    <w:rsid w:val="00947491"/>
    <w:rsid w:val="00950172"/>
    <w:rsid w:val="009515D3"/>
    <w:rsid w:val="0095176B"/>
    <w:rsid w:val="0095199B"/>
    <w:rsid w:val="00952245"/>
    <w:rsid w:val="0095381B"/>
    <w:rsid w:val="009538A3"/>
    <w:rsid w:val="00953B2E"/>
    <w:rsid w:val="00953F9E"/>
    <w:rsid w:val="009626FE"/>
    <w:rsid w:val="0096469B"/>
    <w:rsid w:val="009651F0"/>
    <w:rsid w:val="00965EE9"/>
    <w:rsid w:val="00967E42"/>
    <w:rsid w:val="00967F2C"/>
    <w:rsid w:val="00972CC0"/>
    <w:rsid w:val="00972D4A"/>
    <w:rsid w:val="00973484"/>
    <w:rsid w:val="009737A0"/>
    <w:rsid w:val="00974B3F"/>
    <w:rsid w:val="009753B8"/>
    <w:rsid w:val="00975728"/>
    <w:rsid w:val="00975FC5"/>
    <w:rsid w:val="009765A7"/>
    <w:rsid w:val="00980A80"/>
    <w:rsid w:val="009812DE"/>
    <w:rsid w:val="00981890"/>
    <w:rsid w:val="00981EB4"/>
    <w:rsid w:val="009824F1"/>
    <w:rsid w:val="00984DBD"/>
    <w:rsid w:val="00984DE3"/>
    <w:rsid w:val="009850DA"/>
    <w:rsid w:val="00985B07"/>
    <w:rsid w:val="009877B5"/>
    <w:rsid w:val="009925C1"/>
    <w:rsid w:val="009927B8"/>
    <w:rsid w:val="00992FB6"/>
    <w:rsid w:val="00993EA7"/>
    <w:rsid w:val="0099400E"/>
    <w:rsid w:val="0099549D"/>
    <w:rsid w:val="0099651A"/>
    <w:rsid w:val="009A1FED"/>
    <w:rsid w:val="009A2CF2"/>
    <w:rsid w:val="009A37C4"/>
    <w:rsid w:val="009A41A8"/>
    <w:rsid w:val="009A60F6"/>
    <w:rsid w:val="009A734F"/>
    <w:rsid w:val="009B3CC5"/>
    <w:rsid w:val="009B66F0"/>
    <w:rsid w:val="009C2762"/>
    <w:rsid w:val="009C59EC"/>
    <w:rsid w:val="009C6599"/>
    <w:rsid w:val="009C68AE"/>
    <w:rsid w:val="009D16EE"/>
    <w:rsid w:val="009D1ADC"/>
    <w:rsid w:val="009D48E4"/>
    <w:rsid w:val="009D4A9C"/>
    <w:rsid w:val="009D7132"/>
    <w:rsid w:val="009D7EFA"/>
    <w:rsid w:val="009E50A9"/>
    <w:rsid w:val="009F00FE"/>
    <w:rsid w:val="009F14D3"/>
    <w:rsid w:val="009F643F"/>
    <w:rsid w:val="009F6DAD"/>
    <w:rsid w:val="00A001C8"/>
    <w:rsid w:val="00A00FC9"/>
    <w:rsid w:val="00A01269"/>
    <w:rsid w:val="00A01C2E"/>
    <w:rsid w:val="00A03B45"/>
    <w:rsid w:val="00A05CC6"/>
    <w:rsid w:val="00A11E4D"/>
    <w:rsid w:val="00A132CE"/>
    <w:rsid w:val="00A1349B"/>
    <w:rsid w:val="00A14A80"/>
    <w:rsid w:val="00A15D7C"/>
    <w:rsid w:val="00A169F9"/>
    <w:rsid w:val="00A20982"/>
    <w:rsid w:val="00A20CD7"/>
    <w:rsid w:val="00A212B8"/>
    <w:rsid w:val="00A22B94"/>
    <w:rsid w:val="00A248B1"/>
    <w:rsid w:val="00A24E8F"/>
    <w:rsid w:val="00A255C6"/>
    <w:rsid w:val="00A26722"/>
    <w:rsid w:val="00A268AC"/>
    <w:rsid w:val="00A26C67"/>
    <w:rsid w:val="00A30A4E"/>
    <w:rsid w:val="00A3112F"/>
    <w:rsid w:val="00A33F1F"/>
    <w:rsid w:val="00A34CB3"/>
    <w:rsid w:val="00A35DFD"/>
    <w:rsid w:val="00A37D12"/>
    <w:rsid w:val="00A37F2F"/>
    <w:rsid w:val="00A40F52"/>
    <w:rsid w:val="00A41766"/>
    <w:rsid w:val="00A51FE9"/>
    <w:rsid w:val="00A53EC3"/>
    <w:rsid w:val="00A548B0"/>
    <w:rsid w:val="00A5689F"/>
    <w:rsid w:val="00A6031C"/>
    <w:rsid w:val="00A6072C"/>
    <w:rsid w:val="00A620AD"/>
    <w:rsid w:val="00A628E3"/>
    <w:rsid w:val="00A62B2C"/>
    <w:rsid w:val="00A63AFB"/>
    <w:rsid w:val="00A64F97"/>
    <w:rsid w:val="00A66073"/>
    <w:rsid w:val="00A673F5"/>
    <w:rsid w:val="00A6740F"/>
    <w:rsid w:val="00A7324E"/>
    <w:rsid w:val="00A7330E"/>
    <w:rsid w:val="00A73FCB"/>
    <w:rsid w:val="00A74BD0"/>
    <w:rsid w:val="00A758A1"/>
    <w:rsid w:val="00A82C04"/>
    <w:rsid w:val="00A8556C"/>
    <w:rsid w:val="00A86BE9"/>
    <w:rsid w:val="00A8708E"/>
    <w:rsid w:val="00A87C83"/>
    <w:rsid w:val="00A911D5"/>
    <w:rsid w:val="00A94082"/>
    <w:rsid w:val="00A94729"/>
    <w:rsid w:val="00AA1AB0"/>
    <w:rsid w:val="00AA2523"/>
    <w:rsid w:val="00AA2A55"/>
    <w:rsid w:val="00AA5450"/>
    <w:rsid w:val="00AA5C5D"/>
    <w:rsid w:val="00AB39A3"/>
    <w:rsid w:val="00AB60D6"/>
    <w:rsid w:val="00AB7F98"/>
    <w:rsid w:val="00AC05AE"/>
    <w:rsid w:val="00AC075A"/>
    <w:rsid w:val="00AC0DAB"/>
    <w:rsid w:val="00AC13EA"/>
    <w:rsid w:val="00AC2AB4"/>
    <w:rsid w:val="00AC4283"/>
    <w:rsid w:val="00AC497E"/>
    <w:rsid w:val="00AC6D1F"/>
    <w:rsid w:val="00AD3D1D"/>
    <w:rsid w:val="00AD5546"/>
    <w:rsid w:val="00AD7AE0"/>
    <w:rsid w:val="00AE38FE"/>
    <w:rsid w:val="00AE42D8"/>
    <w:rsid w:val="00AE4914"/>
    <w:rsid w:val="00AE7BF2"/>
    <w:rsid w:val="00AE7C7E"/>
    <w:rsid w:val="00AF0D63"/>
    <w:rsid w:val="00AF20BA"/>
    <w:rsid w:val="00AF28B6"/>
    <w:rsid w:val="00AF2FE3"/>
    <w:rsid w:val="00AF4697"/>
    <w:rsid w:val="00AF4A1D"/>
    <w:rsid w:val="00AF53D6"/>
    <w:rsid w:val="00AF6275"/>
    <w:rsid w:val="00AF6621"/>
    <w:rsid w:val="00AF6759"/>
    <w:rsid w:val="00AF6A52"/>
    <w:rsid w:val="00AF6FAD"/>
    <w:rsid w:val="00AF7CD5"/>
    <w:rsid w:val="00B016AC"/>
    <w:rsid w:val="00B01C19"/>
    <w:rsid w:val="00B03BA3"/>
    <w:rsid w:val="00B0421A"/>
    <w:rsid w:val="00B04BAC"/>
    <w:rsid w:val="00B05123"/>
    <w:rsid w:val="00B11116"/>
    <w:rsid w:val="00B15A64"/>
    <w:rsid w:val="00B17415"/>
    <w:rsid w:val="00B17A79"/>
    <w:rsid w:val="00B17E72"/>
    <w:rsid w:val="00B27414"/>
    <w:rsid w:val="00B30B18"/>
    <w:rsid w:val="00B31EEF"/>
    <w:rsid w:val="00B33585"/>
    <w:rsid w:val="00B34D4E"/>
    <w:rsid w:val="00B34E40"/>
    <w:rsid w:val="00B41002"/>
    <w:rsid w:val="00B41AB6"/>
    <w:rsid w:val="00B4388C"/>
    <w:rsid w:val="00B45CC8"/>
    <w:rsid w:val="00B45EF1"/>
    <w:rsid w:val="00B46892"/>
    <w:rsid w:val="00B47ED9"/>
    <w:rsid w:val="00B50729"/>
    <w:rsid w:val="00B51EFB"/>
    <w:rsid w:val="00B53A96"/>
    <w:rsid w:val="00B57E4A"/>
    <w:rsid w:val="00B66C73"/>
    <w:rsid w:val="00B70CFB"/>
    <w:rsid w:val="00B718D8"/>
    <w:rsid w:val="00B7269B"/>
    <w:rsid w:val="00B72DD2"/>
    <w:rsid w:val="00B73881"/>
    <w:rsid w:val="00B7602E"/>
    <w:rsid w:val="00B80743"/>
    <w:rsid w:val="00B8076C"/>
    <w:rsid w:val="00B82761"/>
    <w:rsid w:val="00B82B01"/>
    <w:rsid w:val="00B84183"/>
    <w:rsid w:val="00B8463F"/>
    <w:rsid w:val="00B856F2"/>
    <w:rsid w:val="00B86ABF"/>
    <w:rsid w:val="00B86F24"/>
    <w:rsid w:val="00B9223E"/>
    <w:rsid w:val="00BA0508"/>
    <w:rsid w:val="00BA213A"/>
    <w:rsid w:val="00BA3E43"/>
    <w:rsid w:val="00BA5D8A"/>
    <w:rsid w:val="00BA5F8E"/>
    <w:rsid w:val="00BA65C8"/>
    <w:rsid w:val="00BA684B"/>
    <w:rsid w:val="00BB0F95"/>
    <w:rsid w:val="00BB2048"/>
    <w:rsid w:val="00BB4298"/>
    <w:rsid w:val="00BB697D"/>
    <w:rsid w:val="00BB69B5"/>
    <w:rsid w:val="00BC24E1"/>
    <w:rsid w:val="00BC28EE"/>
    <w:rsid w:val="00BC5CAC"/>
    <w:rsid w:val="00BD2100"/>
    <w:rsid w:val="00BD3623"/>
    <w:rsid w:val="00BD4C1A"/>
    <w:rsid w:val="00BD6CB9"/>
    <w:rsid w:val="00BD7C5A"/>
    <w:rsid w:val="00BE1781"/>
    <w:rsid w:val="00BE3B61"/>
    <w:rsid w:val="00BE4081"/>
    <w:rsid w:val="00BE63BE"/>
    <w:rsid w:val="00BE71E8"/>
    <w:rsid w:val="00BF31DD"/>
    <w:rsid w:val="00BF5287"/>
    <w:rsid w:val="00BF5543"/>
    <w:rsid w:val="00C10B4B"/>
    <w:rsid w:val="00C10EA6"/>
    <w:rsid w:val="00C12C9E"/>
    <w:rsid w:val="00C13072"/>
    <w:rsid w:val="00C14DD1"/>
    <w:rsid w:val="00C20C52"/>
    <w:rsid w:val="00C21216"/>
    <w:rsid w:val="00C23288"/>
    <w:rsid w:val="00C23647"/>
    <w:rsid w:val="00C24EAB"/>
    <w:rsid w:val="00C26FC7"/>
    <w:rsid w:val="00C31FD8"/>
    <w:rsid w:val="00C327EB"/>
    <w:rsid w:val="00C32E65"/>
    <w:rsid w:val="00C34D85"/>
    <w:rsid w:val="00C36099"/>
    <w:rsid w:val="00C37BB2"/>
    <w:rsid w:val="00C46A13"/>
    <w:rsid w:val="00C46C10"/>
    <w:rsid w:val="00C46E46"/>
    <w:rsid w:val="00C50132"/>
    <w:rsid w:val="00C51070"/>
    <w:rsid w:val="00C55A24"/>
    <w:rsid w:val="00C563A8"/>
    <w:rsid w:val="00C61B47"/>
    <w:rsid w:val="00C62762"/>
    <w:rsid w:val="00C6569B"/>
    <w:rsid w:val="00C65B2C"/>
    <w:rsid w:val="00C67354"/>
    <w:rsid w:val="00C702CC"/>
    <w:rsid w:val="00C710C3"/>
    <w:rsid w:val="00C73308"/>
    <w:rsid w:val="00C75448"/>
    <w:rsid w:val="00C761E6"/>
    <w:rsid w:val="00C76C59"/>
    <w:rsid w:val="00C76EE8"/>
    <w:rsid w:val="00C80799"/>
    <w:rsid w:val="00C8092C"/>
    <w:rsid w:val="00C816F0"/>
    <w:rsid w:val="00C82EDD"/>
    <w:rsid w:val="00C82FA8"/>
    <w:rsid w:val="00C843B5"/>
    <w:rsid w:val="00C8645E"/>
    <w:rsid w:val="00C91C19"/>
    <w:rsid w:val="00C93547"/>
    <w:rsid w:val="00C9606A"/>
    <w:rsid w:val="00C96DA4"/>
    <w:rsid w:val="00CA276B"/>
    <w:rsid w:val="00CA2E88"/>
    <w:rsid w:val="00CA4B23"/>
    <w:rsid w:val="00CA5357"/>
    <w:rsid w:val="00CA58A7"/>
    <w:rsid w:val="00CA653F"/>
    <w:rsid w:val="00CB2DFA"/>
    <w:rsid w:val="00CB35AF"/>
    <w:rsid w:val="00CB4E2F"/>
    <w:rsid w:val="00CB5B38"/>
    <w:rsid w:val="00CB60F9"/>
    <w:rsid w:val="00CB75BA"/>
    <w:rsid w:val="00CC2D48"/>
    <w:rsid w:val="00CC36CA"/>
    <w:rsid w:val="00CC7DDC"/>
    <w:rsid w:val="00CD0455"/>
    <w:rsid w:val="00CD0BA6"/>
    <w:rsid w:val="00CD1FED"/>
    <w:rsid w:val="00CD207E"/>
    <w:rsid w:val="00CD3C84"/>
    <w:rsid w:val="00CD58AF"/>
    <w:rsid w:val="00CD701D"/>
    <w:rsid w:val="00CD70A6"/>
    <w:rsid w:val="00CE07DC"/>
    <w:rsid w:val="00CE2B82"/>
    <w:rsid w:val="00CE795C"/>
    <w:rsid w:val="00CF1E32"/>
    <w:rsid w:val="00CF406C"/>
    <w:rsid w:val="00CF47EB"/>
    <w:rsid w:val="00CF5C80"/>
    <w:rsid w:val="00D005D8"/>
    <w:rsid w:val="00D00C95"/>
    <w:rsid w:val="00D01D95"/>
    <w:rsid w:val="00D046F2"/>
    <w:rsid w:val="00D05BF0"/>
    <w:rsid w:val="00D10BE8"/>
    <w:rsid w:val="00D12097"/>
    <w:rsid w:val="00D15EA8"/>
    <w:rsid w:val="00D17BE9"/>
    <w:rsid w:val="00D17C15"/>
    <w:rsid w:val="00D20AB2"/>
    <w:rsid w:val="00D21A8C"/>
    <w:rsid w:val="00D27532"/>
    <w:rsid w:val="00D352DC"/>
    <w:rsid w:val="00D35DD7"/>
    <w:rsid w:val="00D408A2"/>
    <w:rsid w:val="00D42003"/>
    <w:rsid w:val="00D4368B"/>
    <w:rsid w:val="00D44C80"/>
    <w:rsid w:val="00D47875"/>
    <w:rsid w:val="00D512A1"/>
    <w:rsid w:val="00D51CDD"/>
    <w:rsid w:val="00D52905"/>
    <w:rsid w:val="00D53595"/>
    <w:rsid w:val="00D54E7F"/>
    <w:rsid w:val="00D556AA"/>
    <w:rsid w:val="00D55CBC"/>
    <w:rsid w:val="00D57C1F"/>
    <w:rsid w:val="00D62640"/>
    <w:rsid w:val="00D62C0E"/>
    <w:rsid w:val="00D630F7"/>
    <w:rsid w:val="00D64632"/>
    <w:rsid w:val="00D653F5"/>
    <w:rsid w:val="00D66872"/>
    <w:rsid w:val="00D70AAD"/>
    <w:rsid w:val="00D71DA1"/>
    <w:rsid w:val="00D7378F"/>
    <w:rsid w:val="00D7692B"/>
    <w:rsid w:val="00D82AFC"/>
    <w:rsid w:val="00D84DC1"/>
    <w:rsid w:val="00D84DFF"/>
    <w:rsid w:val="00D84ECD"/>
    <w:rsid w:val="00D861D9"/>
    <w:rsid w:val="00D86EE7"/>
    <w:rsid w:val="00D87E93"/>
    <w:rsid w:val="00D900E7"/>
    <w:rsid w:val="00D9135D"/>
    <w:rsid w:val="00D914B1"/>
    <w:rsid w:val="00D94186"/>
    <w:rsid w:val="00D95F61"/>
    <w:rsid w:val="00D96D52"/>
    <w:rsid w:val="00D973FA"/>
    <w:rsid w:val="00D97BD6"/>
    <w:rsid w:val="00DA1CAB"/>
    <w:rsid w:val="00DA1D9C"/>
    <w:rsid w:val="00DA55A2"/>
    <w:rsid w:val="00DA56A4"/>
    <w:rsid w:val="00DA6FFC"/>
    <w:rsid w:val="00DB2D99"/>
    <w:rsid w:val="00DB7B3F"/>
    <w:rsid w:val="00DC06E2"/>
    <w:rsid w:val="00DC441B"/>
    <w:rsid w:val="00DC466C"/>
    <w:rsid w:val="00DC623F"/>
    <w:rsid w:val="00DC66F9"/>
    <w:rsid w:val="00DD24AF"/>
    <w:rsid w:val="00DD4E44"/>
    <w:rsid w:val="00DE101A"/>
    <w:rsid w:val="00DE22CC"/>
    <w:rsid w:val="00DF0E6A"/>
    <w:rsid w:val="00DF2C5E"/>
    <w:rsid w:val="00DF6F10"/>
    <w:rsid w:val="00E0025D"/>
    <w:rsid w:val="00E0041D"/>
    <w:rsid w:val="00E00CC3"/>
    <w:rsid w:val="00E01452"/>
    <w:rsid w:val="00E015DF"/>
    <w:rsid w:val="00E0251A"/>
    <w:rsid w:val="00E03251"/>
    <w:rsid w:val="00E03E18"/>
    <w:rsid w:val="00E05241"/>
    <w:rsid w:val="00E06F93"/>
    <w:rsid w:val="00E109FF"/>
    <w:rsid w:val="00E12380"/>
    <w:rsid w:val="00E12573"/>
    <w:rsid w:val="00E13C2C"/>
    <w:rsid w:val="00E13DF8"/>
    <w:rsid w:val="00E21233"/>
    <w:rsid w:val="00E22185"/>
    <w:rsid w:val="00E275C7"/>
    <w:rsid w:val="00E326F8"/>
    <w:rsid w:val="00E35560"/>
    <w:rsid w:val="00E42BAC"/>
    <w:rsid w:val="00E43D28"/>
    <w:rsid w:val="00E45667"/>
    <w:rsid w:val="00E46407"/>
    <w:rsid w:val="00E4730E"/>
    <w:rsid w:val="00E4784A"/>
    <w:rsid w:val="00E5196D"/>
    <w:rsid w:val="00E5684B"/>
    <w:rsid w:val="00E575F1"/>
    <w:rsid w:val="00E606D3"/>
    <w:rsid w:val="00E60810"/>
    <w:rsid w:val="00E61125"/>
    <w:rsid w:val="00E62732"/>
    <w:rsid w:val="00E632C9"/>
    <w:rsid w:val="00E63DD0"/>
    <w:rsid w:val="00E65C2B"/>
    <w:rsid w:val="00E665E9"/>
    <w:rsid w:val="00E668D1"/>
    <w:rsid w:val="00E6700A"/>
    <w:rsid w:val="00E72523"/>
    <w:rsid w:val="00E73385"/>
    <w:rsid w:val="00E748F7"/>
    <w:rsid w:val="00E80286"/>
    <w:rsid w:val="00E8253A"/>
    <w:rsid w:val="00E8445C"/>
    <w:rsid w:val="00E84888"/>
    <w:rsid w:val="00E9388A"/>
    <w:rsid w:val="00E94C68"/>
    <w:rsid w:val="00E96ACA"/>
    <w:rsid w:val="00EA1AC4"/>
    <w:rsid w:val="00EA3128"/>
    <w:rsid w:val="00EA4FC7"/>
    <w:rsid w:val="00EA61F6"/>
    <w:rsid w:val="00EB43C5"/>
    <w:rsid w:val="00EC01AE"/>
    <w:rsid w:val="00EC18F1"/>
    <w:rsid w:val="00EC29AB"/>
    <w:rsid w:val="00EC325B"/>
    <w:rsid w:val="00ED02C9"/>
    <w:rsid w:val="00ED4F15"/>
    <w:rsid w:val="00ED7211"/>
    <w:rsid w:val="00ED772E"/>
    <w:rsid w:val="00EE565A"/>
    <w:rsid w:val="00EE7EF3"/>
    <w:rsid w:val="00EF0973"/>
    <w:rsid w:val="00EF0E7D"/>
    <w:rsid w:val="00EF32CF"/>
    <w:rsid w:val="00EF42AF"/>
    <w:rsid w:val="00F00234"/>
    <w:rsid w:val="00F02372"/>
    <w:rsid w:val="00F07647"/>
    <w:rsid w:val="00F07D0B"/>
    <w:rsid w:val="00F140D3"/>
    <w:rsid w:val="00F144F9"/>
    <w:rsid w:val="00F1497F"/>
    <w:rsid w:val="00F15A88"/>
    <w:rsid w:val="00F15FA8"/>
    <w:rsid w:val="00F1604B"/>
    <w:rsid w:val="00F204CE"/>
    <w:rsid w:val="00F20781"/>
    <w:rsid w:val="00F209FC"/>
    <w:rsid w:val="00F22E92"/>
    <w:rsid w:val="00F2346C"/>
    <w:rsid w:val="00F26113"/>
    <w:rsid w:val="00F30589"/>
    <w:rsid w:val="00F306AA"/>
    <w:rsid w:val="00F307C4"/>
    <w:rsid w:val="00F3168D"/>
    <w:rsid w:val="00F4097C"/>
    <w:rsid w:val="00F41F57"/>
    <w:rsid w:val="00F43A6F"/>
    <w:rsid w:val="00F44223"/>
    <w:rsid w:val="00F449B3"/>
    <w:rsid w:val="00F510C1"/>
    <w:rsid w:val="00F5155A"/>
    <w:rsid w:val="00F5240E"/>
    <w:rsid w:val="00F5697A"/>
    <w:rsid w:val="00F6103E"/>
    <w:rsid w:val="00F62C9F"/>
    <w:rsid w:val="00F64103"/>
    <w:rsid w:val="00F65033"/>
    <w:rsid w:val="00F66122"/>
    <w:rsid w:val="00F7286F"/>
    <w:rsid w:val="00F72974"/>
    <w:rsid w:val="00F739CB"/>
    <w:rsid w:val="00F73A11"/>
    <w:rsid w:val="00F76333"/>
    <w:rsid w:val="00F76C88"/>
    <w:rsid w:val="00F7722C"/>
    <w:rsid w:val="00F77CB8"/>
    <w:rsid w:val="00F817CB"/>
    <w:rsid w:val="00F82AFA"/>
    <w:rsid w:val="00F83C76"/>
    <w:rsid w:val="00F855A5"/>
    <w:rsid w:val="00F864E0"/>
    <w:rsid w:val="00F865CA"/>
    <w:rsid w:val="00F91109"/>
    <w:rsid w:val="00F921CF"/>
    <w:rsid w:val="00F95F8A"/>
    <w:rsid w:val="00F977A9"/>
    <w:rsid w:val="00FA1453"/>
    <w:rsid w:val="00FA1C90"/>
    <w:rsid w:val="00FA22A8"/>
    <w:rsid w:val="00FA2AD8"/>
    <w:rsid w:val="00FB3952"/>
    <w:rsid w:val="00FC7DB0"/>
    <w:rsid w:val="00FC7FE3"/>
    <w:rsid w:val="00FD1519"/>
    <w:rsid w:val="00FD15E2"/>
    <w:rsid w:val="00FD2634"/>
    <w:rsid w:val="00FD39BB"/>
    <w:rsid w:val="00FD7F83"/>
    <w:rsid w:val="00FE0147"/>
    <w:rsid w:val="00FE1C67"/>
    <w:rsid w:val="00FE2F49"/>
    <w:rsid w:val="00FE30C7"/>
    <w:rsid w:val="00FE3F58"/>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rsid w:val="0020004D"/>
    <w:rPr>
      <w:rFonts w:ascii="Times New Roman" w:eastAsiaTheme="minorEastAsia" w:hAnsi="Times New Roman" w:cs="Times New Roman"/>
      <w:sz w:val="20"/>
      <w:szCs w:val="20"/>
    </w:rPr>
  </w:style>
  <w:style w:type="character" w:styleId="FootnoteReference">
    <w:name w:val="footnote reference"/>
    <w:basedOn w:val="DefaultParagraphFont"/>
    <w:semiHidden/>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paragraph" w:styleId="NoSpacing">
    <w:name w:val="No Spacing"/>
    <w:uiPriority w:val="1"/>
    <w:qFormat/>
    <w:rsid w:val="006E3AF2"/>
    <w:pPr>
      <w:spacing w:after="0" w:line="240" w:lineRule="auto"/>
    </w:pPr>
  </w:style>
  <w:style w:type="character" w:styleId="UnresolvedMention">
    <w:name w:val="Unresolved Mention"/>
    <w:basedOn w:val="DefaultParagraphFont"/>
    <w:uiPriority w:val="99"/>
    <w:semiHidden/>
    <w:unhideWhenUsed/>
    <w:rsid w:val="00FD3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8423">
      <w:bodyDiv w:val="1"/>
      <w:marLeft w:val="0"/>
      <w:marRight w:val="0"/>
      <w:marTop w:val="0"/>
      <w:marBottom w:val="0"/>
      <w:divBdr>
        <w:top w:val="none" w:sz="0" w:space="0" w:color="auto"/>
        <w:left w:val="none" w:sz="0" w:space="0" w:color="auto"/>
        <w:bottom w:val="none" w:sz="0" w:space="0" w:color="auto"/>
        <w:right w:val="none" w:sz="0" w:space="0" w:color="auto"/>
      </w:divBdr>
    </w:div>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37377431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62870273">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67957553">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081782151">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E2D3-78E0-437D-A055-775E52F8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10077</Words>
  <Characters>5745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2020-11-11T09:11:00Z</dcterms:created>
  <dcterms:modified xsi:type="dcterms:W3CDTF">2020-11-16T13:03:00Z</dcterms:modified>
  <cp:contentStatus/>
</cp:coreProperties>
</file>