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57D4" w14:textId="77777777" w:rsidR="00E315C4" w:rsidRDefault="00E315C4" w:rsidP="00DB5A7F">
      <w:pPr>
        <w:ind w:firstLine="300"/>
        <w:jc w:val="center"/>
        <w:rPr>
          <w:bCs/>
        </w:rPr>
      </w:pPr>
      <w:bookmarkStart w:id="0" w:name="_GoBack"/>
      <w:bookmarkEnd w:id="0"/>
    </w:p>
    <w:p w14:paraId="7B98417E" w14:textId="431D417C" w:rsidR="00DB5A7F" w:rsidRPr="009D36DE" w:rsidRDefault="00DB5A7F" w:rsidP="00DB5A7F">
      <w:pPr>
        <w:ind w:firstLine="300"/>
        <w:jc w:val="center"/>
        <w:rPr>
          <w:bCs/>
        </w:rPr>
      </w:pPr>
      <w:r w:rsidRPr="003D6BD2">
        <w:rPr>
          <w:bCs/>
        </w:rPr>
        <w:t>Ministru kabineta rīkojuma projekta</w:t>
      </w:r>
      <w:r w:rsidRPr="003D6BD2">
        <w:rPr>
          <w:b/>
          <w:bCs/>
        </w:rPr>
        <w:t xml:space="preserve"> “</w:t>
      </w:r>
      <w:r w:rsidR="000E0985" w:rsidRPr="000E0985">
        <w:rPr>
          <w:b/>
          <w:bCs/>
        </w:rPr>
        <w:t>Par apropriācijas palielinājumu Finanšu ministrijas budžeta apakšprogramm</w:t>
      </w:r>
      <w:r w:rsidR="00BD7235">
        <w:rPr>
          <w:b/>
          <w:bCs/>
        </w:rPr>
        <w:t>ā</w:t>
      </w:r>
      <w:r w:rsidR="000E0985" w:rsidRPr="000E0985">
        <w:rPr>
          <w:b/>
          <w:bCs/>
        </w:rPr>
        <w:t xml:space="preserve"> 41.01.00 „Iemaksas Eiropas </w:t>
      </w:r>
      <w:r w:rsidR="002C1040">
        <w:rPr>
          <w:b/>
          <w:bCs/>
        </w:rPr>
        <w:t>Savienības</w:t>
      </w:r>
      <w:r w:rsidR="002C1040" w:rsidRPr="000E0985">
        <w:rPr>
          <w:b/>
          <w:bCs/>
        </w:rPr>
        <w:t xml:space="preserve"> </w:t>
      </w:r>
      <w:r w:rsidR="000E0985" w:rsidRPr="000E0985">
        <w:rPr>
          <w:b/>
          <w:bCs/>
        </w:rPr>
        <w:t>budžetā”</w:t>
      </w:r>
      <w:r w:rsidRPr="003D6BD2">
        <w:rPr>
          <w:b/>
          <w:bCs/>
        </w:rPr>
        <w:t xml:space="preserve">” </w:t>
      </w:r>
      <w:r w:rsidRPr="003D6BD2">
        <w:rPr>
          <w:bCs/>
        </w:rPr>
        <w:t>sākotnējās ietekmes novērtējuma ziņojums (anotācija)</w:t>
      </w:r>
    </w:p>
    <w:p w14:paraId="1B158B0B" w14:textId="77777777" w:rsidR="00E50E39" w:rsidRDefault="00E50E39" w:rsidP="00DB5A7F">
      <w:pPr>
        <w:ind w:firstLine="300"/>
        <w:jc w:val="center"/>
        <w:rPr>
          <w:b/>
          <w:bCs/>
        </w:rPr>
      </w:pPr>
    </w:p>
    <w:p w14:paraId="2483D9AC" w14:textId="77777777" w:rsidR="00E315C4" w:rsidRDefault="00E315C4" w:rsidP="00DB5A7F">
      <w:pPr>
        <w:ind w:firstLine="300"/>
        <w:jc w:val="center"/>
        <w:rPr>
          <w:b/>
          <w:bCs/>
        </w:rPr>
      </w:pPr>
    </w:p>
    <w:p w14:paraId="7142698F" w14:textId="77777777" w:rsidR="009D36DE" w:rsidRDefault="009D36DE" w:rsidP="000044FA">
      <w:pPr>
        <w:jc w:val="center"/>
        <w:rPr>
          <w:b/>
        </w:rPr>
      </w:pPr>
    </w:p>
    <w:tbl>
      <w:tblPr>
        <w:tblW w:w="5165" w:type="pct"/>
        <w:tblInd w:w="-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6790"/>
      </w:tblGrid>
      <w:tr w:rsidR="009D36DE" w:rsidRPr="007D3E6E" w14:paraId="5A5F0148" w14:textId="77777777" w:rsidTr="000044FA">
        <w:trPr>
          <w:trHeight w:val="299"/>
        </w:trPr>
        <w:tc>
          <w:tcPr>
            <w:tcW w:w="93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D87722" w14:textId="77777777" w:rsidR="009D36DE" w:rsidRPr="007D3E6E" w:rsidRDefault="009D36DE" w:rsidP="000044FA">
            <w:pPr>
              <w:spacing w:before="100" w:after="100"/>
              <w:jc w:val="center"/>
              <w:rPr>
                <w:b/>
                <w:bCs/>
              </w:rPr>
            </w:pPr>
            <w:r w:rsidRPr="007D3E6E">
              <w:rPr>
                <w:b/>
                <w:bCs/>
              </w:rPr>
              <w:t>Tiesību aktu projektu anotācijas kopsavilkums</w:t>
            </w:r>
          </w:p>
        </w:tc>
      </w:tr>
      <w:tr w:rsidR="009D36DE" w:rsidRPr="007D3E6E" w14:paraId="5DA9EC78" w14:textId="77777777" w:rsidTr="000044FA">
        <w:trPr>
          <w:trHeight w:val="1243"/>
        </w:trPr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C10E43" w14:textId="19AA8E62" w:rsidR="00DB2426" w:rsidRDefault="009D36DE" w:rsidP="000044FA">
            <w:pPr>
              <w:spacing w:before="100" w:after="100"/>
              <w:ind w:right="125"/>
              <w:jc w:val="both"/>
            </w:pPr>
            <w:r w:rsidRPr="007D3E6E">
              <w:t>Mērķis, risinājums un projekta spēkā stāšanās laiks (500 zīmes bez atstarpēm)</w:t>
            </w:r>
          </w:p>
          <w:p w14:paraId="72DE182B" w14:textId="77777777" w:rsidR="00DB2426" w:rsidRPr="00DB2426" w:rsidRDefault="00DB2426" w:rsidP="00DB2426"/>
          <w:p w14:paraId="61A8B197" w14:textId="77777777" w:rsidR="00DB2426" w:rsidRPr="00DB2426" w:rsidRDefault="00DB2426" w:rsidP="00DB2426"/>
          <w:p w14:paraId="05A8026A" w14:textId="77777777" w:rsidR="00DB2426" w:rsidRPr="00DB2426" w:rsidRDefault="00DB2426" w:rsidP="00DB2426"/>
          <w:p w14:paraId="29197F1C" w14:textId="77777777" w:rsidR="00DB2426" w:rsidRPr="00DB2426" w:rsidRDefault="00DB2426" w:rsidP="00DB2426"/>
          <w:p w14:paraId="3F2516D3" w14:textId="522E2F16" w:rsidR="00DB2426" w:rsidRDefault="00DB2426" w:rsidP="00DB2426"/>
          <w:p w14:paraId="50D137A2" w14:textId="77777777" w:rsidR="009D36DE" w:rsidRPr="00DB2426" w:rsidRDefault="009D36DE" w:rsidP="00DB2426"/>
        </w:tc>
        <w:tc>
          <w:tcPr>
            <w:tcW w:w="6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F406F7" w14:textId="04FB7D1D" w:rsidR="00B340BE" w:rsidRDefault="00853AC5" w:rsidP="00B340BE">
            <w:pPr>
              <w:pStyle w:val="NoSpacing"/>
              <w:spacing w:before="60" w:after="60"/>
              <w:ind w:left="91" w:right="108" w:firstLine="28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D3E6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Ministru kabineta rīkojuma projekta </w:t>
            </w:r>
            <w:r w:rsidRPr="007D3E6E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0E0985" w:rsidRPr="000E0985">
              <w:rPr>
                <w:rFonts w:ascii="Times New Roman" w:hAnsi="Times New Roman"/>
                <w:bCs/>
                <w:sz w:val="24"/>
                <w:szCs w:val="24"/>
              </w:rPr>
              <w:t>Par apropriācijas palielinājumu Finanšu ministrijas</w:t>
            </w:r>
            <w:r w:rsidR="00CF02B3">
              <w:rPr>
                <w:rFonts w:ascii="Times New Roman" w:hAnsi="Times New Roman"/>
                <w:bCs/>
                <w:sz w:val="24"/>
                <w:szCs w:val="24"/>
              </w:rPr>
              <w:t xml:space="preserve"> (turpmāk – FM)</w:t>
            </w:r>
            <w:r w:rsidR="000E0985" w:rsidRPr="000E0985">
              <w:rPr>
                <w:rFonts w:ascii="Times New Roman" w:hAnsi="Times New Roman"/>
                <w:bCs/>
                <w:sz w:val="24"/>
                <w:szCs w:val="24"/>
              </w:rPr>
              <w:t xml:space="preserve"> budžeta apakšprogrammai 41.01.00 „Iemaksas Eiropas </w:t>
            </w:r>
            <w:r w:rsidR="002C1040">
              <w:rPr>
                <w:rFonts w:ascii="Times New Roman" w:hAnsi="Times New Roman"/>
                <w:bCs/>
                <w:sz w:val="24"/>
                <w:szCs w:val="24"/>
              </w:rPr>
              <w:t>Savienības</w:t>
            </w:r>
            <w:r w:rsidR="002C1040" w:rsidRPr="000E09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0985" w:rsidRPr="000E0985">
              <w:rPr>
                <w:rFonts w:ascii="Times New Roman" w:hAnsi="Times New Roman"/>
                <w:bCs/>
                <w:sz w:val="24"/>
                <w:szCs w:val="24"/>
              </w:rPr>
              <w:t>budžetā</w:t>
            </w:r>
            <w:r w:rsidRPr="007D3E6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7D3E6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” (turpmāk – Ministru kabineta rīkojuma projekts) mērķis ir </w:t>
            </w:r>
            <w:r w:rsidR="00B340BE" w:rsidRPr="00B340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nodrošināt Latvijas maksājumu E</w:t>
            </w:r>
            <w:r w:rsidR="00DA635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iropas Savienība</w:t>
            </w:r>
            <w:r w:rsidR="002C104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</w:t>
            </w:r>
            <w:r w:rsidR="00DB242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(turpmāk – ES)</w:t>
            </w:r>
            <w:r w:rsidR="00B340BE" w:rsidRPr="00B340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budžetā izpildi </w:t>
            </w:r>
            <w:r w:rsidR="00B340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pilnā apmērā </w:t>
            </w:r>
            <w:r w:rsidR="00B340BE" w:rsidRPr="00B340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saskaņā ar līgumiem, direktīvām, regulām un Eiropas Komisijas</w:t>
            </w:r>
            <w:r w:rsidR="005865A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(turpmāk – Komisija)</w:t>
            </w:r>
            <w:r w:rsidR="00B340BE" w:rsidRPr="00B340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iemaksu pieprasījumiem ES pašu resursu sistēmā</w:t>
            </w:r>
            <w:r w:rsidR="00B340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  <w:p w14:paraId="1E84D5A2" w14:textId="77777777" w:rsidR="00853AC5" w:rsidRDefault="00B340BE" w:rsidP="00B340BE">
            <w:pPr>
              <w:pStyle w:val="NoSpacing"/>
              <w:spacing w:before="60" w:after="60"/>
              <w:ind w:left="91" w:right="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53AC5" w:rsidRPr="007D3E6E">
              <w:rPr>
                <w:rFonts w:ascii="Times New Roman" w:hAnsi="Times New Roman"/>
                <w:sz w:val="24"/>
                <w:szCs w:val="24"/>
              </w:rPr>
              <w:t xml:space="preserve">Ministru kabineta rīkojuma projekts stājas spēkā tā </w:t>
            </w:r>
            <w:r w:rsidR="000A6B9A" w:rsidRPr="007D3E6E">
              <w:rPr>
                <w:rFonts w:ascii="Times New Roman" w:hAnsi="Times New Roman"/>
                <w:sz w:val="24"/>
                <w:szCs w:val="24"/>
              </w:rPr>
              <w:t>parakstīšanas brīdī</w:t>
            </w:r>
            <w:r w:rsidR="004B0522" w:rsidRPr="007D3E6E">
              <w:rPr>
                <w:rFonts w:ascii="Times New Roman" w:hAnsi="Times New Roman"/>
                <w:sz w:val="24"/>
                <w:szCs w:val="24"/>
              </w:rPr>
              <w:t xml:space="preserve"> atbilstoši </w:t>
            </w:r>
            <w:r w:rsidR="004B0522" w:rsidRPr="00DA6359">
              <w:rPr>
                <w:rFonts w:ascii="Times New Roman" w:hAnsi="Times New Roman"/>
                <w:sz w:val="24"/>
                <w:szCs w:val="24"/>
              </w:rPr>
              <w:t>Oficiālo publikāciju un tiesiskās informācijas likuma 7.panta trešajā daļā noteiktajam</w:t>
            </w:r>
            <w:r w:rsidR="00853AC5" w:rsidRPr="00DA63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0ACEBC" w14:textId="6FA4C0C9" w:rsidR="008B3DA5" w:rsidRPr="007D3E6E" w:rsidRDefault="008B3DA5" w:rsidP="00B340BE">
            <w:pPr>
              <w:pStyle w:val="NoSpacing"/>
              <w:spacing w:before="60" w:after="60"/>
              <w:ind w:left="91" w:right="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E1A044" w14:textId="77777777" w:rsidR="009D36DE" w:rsidRPr="007D3E6E" w:rsidRDefault="009D36DE" w:rsidP="000044FA">
      <w:pPr>
        <w:jc w:val="center"/>
        <w:rPr>
          <w:b/>
          <w:highlight w:val="green"/>
        </w:rPr>
      </w:pPr>
    </w:p>
    <w:tbl>
      <w:tblPr>
        <w:tblW w:w="5165" w:type="pct"/>
        <w:tblInd w:w="-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21"/>
        <w:gridCol w:w="6808"/>
      </w:tblGrid>
      <w:tr w:rsidR="009D36DE" w:rsidRPr="007D3E6E" w14:paraId="30959661" w14:textId="77777777" w:rsidTr="001611E9">
        <w:trPr>
          <w:trHeight w:val="340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CE4764" w14:textId="77777777" w:rsidR="009D36DE" w:rsidRPr="007D3E6E" w:rsidRDefault="009D36DE" w:rsidP="000044FA">
            <w:pPr>
              <w:spacing w:before="100" w:after="100"/>
              <w:jc w:val="center"/>
              <w:rPr>
                <w:b/>
                <w:bCs/>
              </w:rPr>
            </w:pPr>
            <w:r w:rsidRPr="007D3E6E">
              <w:rPr>
                <w:b/>
                <w:bCs/>
              </w:rPr>
              <w:t>I. Tiesību aktu projektu izstrādes nepieciešamība</w:t>
            </w:r>
          </w:p>
        </w:tc>
      </w:tr>
      <w:tr w:rsidR="009D36DE" w:rsidRPr="007D3E6E" w14:paraId="47CC67B4" w14:textId="77777777" w:rsidTr="00DA6359">
        <w:trPr>
          <w:trHeight w:val="6371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B6D2EA" w14:textId="77777777" w:rsidR="009D36DE" w:rsidRPr="007D3E6E" w:rsidRDefault="009D36DE" w:rsidP="000044FA">
            <w:pPr>
              <w:spacing w:before="100" w:after="100"/>
            </w:pPr>
            <w:r w:rsidRPr="007D3E6E"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C64662" w14:textId="50739D3F" w:rsidR="000E0985" w:rsidRDefault="009D36DE" w:rsidP="000044FA">
            <w:pPr>
              <w:spacing w:before="100" w:after="100"/>
            </w:pPr>
            <w:r w:rsidRPr="007D3E6E">
              <w:t>Pamatojums</w:t>
            </w:r>
          </w:p>
          <w:p w14:paraId="29F49035" w14:textId="77777777" w:rsidR="000E0985" w:rsidRPr="000E0985" w:rsidRDefault="000E0985" w:rsidP="000E0985"/>
          <w:p w14:paraId="7463586D" w14:textId="77777777" w:rsidR="000E0985" w:rsidRPr="000E0985" w:rsidRDefault="000E0985" w:rsidP="000E0985"/>
          <w:p w14:paraId="3016527B" w14:textId="77777777" w:rsidR="000E0985" w:rsidRPr="000E0985" w:rsidRDefault="000E0985" w:rsidP="000E0985"/>
          <w:p w14:paraId="035B5A93" w14:textId="77777777" w:rsidR="000E0985" w:rsidRPr="000E0985" w:rsidRDefault="000E0985" w:rsidP="000E0985"/>
          <w:p w14:paraId="558E8833" w14:textId="77777777" w:rsidR="000E0985" w:rsidRPr="000E0985" w:rsidRDefault="000E0985" w:rsidP="000E0985"/>
          <w:p w14:paraId="5AE7DD73" w14:textId="77777777" w:rsidR="000E0985" w:rsidRPr="000E0985" w:rsidRDefault="000E0985" w:rsidP="000E0985"/>
          <w:p w14:paraId="5F45AF79" w14:textId="77777777" w:rsidR="000E0985" w:rsidRPr="000E0985" w:rsidRDefault="000E0985" w:rsidP="000E0985"/>
          <w:p w14:paraId="5FDFD68C" w14:textId="77777777" w:rsidR="000E0985" w:rsidRPr="000E0985" w:rsidRDefault="000E0985" w:rsidP="000E0985"/>
          <w:p w14:paraId="2F643AA8" w14:textId="77777777" w:rsidR="000E0985" w:rsidRPr="000E0985" w:rsidRDefault="000E0985" w:rsidP="000E0985"/>
          <w:p w14:paraId="13978087" w14:textId="77777777" w:rsidR="000E0985" w:rsidRPr="000E0985" w:rsidRDefault="000E0985" w:rsidP="000E0985"/>
          <w:p w14:paraId="1731BB38" w14:textId="77777777" w:rsidR="000E0985" w:rsidRPr="000E0985" w:rsidRDefault="000E0985" w:rsidP="000E0985"/>
          <w:p w14:paraId="09AD262D" w14:textId="77777777" w:rsidR="000E0985" w:rsidRPr="000E0985" w:rsidRDefault="000E0985" w:rsidP="000E0985"/>
          <w:p w14:paraId="19E40BC5" w14:textId="77777777" w:rsidR="000E0985" w:rsidRPr="000E0985" w:rsidRDefault="000E0985" w:rsidP="000E0985"/>
          <w:p w14:paraId="24B31C66" w14:textId="77777777" w:rsidR="000E0985" w:rsidRPr="000E0985" w:rsidRDefault="000E0985" w:rsidP="000E0985"/>
          <w:p w14:paraId="1953D0DA" w14:textId="77777777" w:rsidR="000E0985" w:rsidRPr="000E0985" w:rsidRDefault="000E0985" w:rsidP="000E0985"/>
          <w:p w14:paraId="226A3138" w14:textId="5EEEFF91" w:rsidR="009D36DE" w:rsidRPr="000E0985" w:rsidRDefault="009D36DE" w:rsidP="008B3DA5"/>
        </w:tc>
        <w:tc>
          <w:tcPr>
            <w:tcW w:w="6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86DC51" w14:textId="6B5D960E" w:rsidR="000044FA" w:rsidRPr="007D3E6E" w:rsidRDefault="008E3C19" w:rsidP="00DA6359">
            <w:pPr>
              <w:spacing w:before="60" w:after="60"/>
              <w:ind w:left="125" w:right="113"/>
              <w:jc w:val="both"/>
            </w:pPr>
            <w:r w:rsidRPr="007D3E6E">
              <w:t xml:space="preserve">     </w:t>
            </w:r>
            <w:r w:rsidR="000A17C2" w:rsidRPr="008B3DA5">
              <w:t xml:space="preserve"> </w:t>
            </w:r>
            <w:r w:rsidR="00563563">
              <w:t xml:space="preserve">Latvijas iemaksas </w:t>
            </w:r>
            <w:r w:rsidR="00DB2426">
              <w:t>ES</w:t>
            </w:r>
            <w:r w:rsidR="00563563">
              <w:t xml:space="preserve"> budžetā tiek plānotas a</w:t>
            </w:r>
            <w:r w:rsidR="000A17C2" w:rsidRPr="008B3DA5">
              <w:t>pakšprogramm</w:t>
            </w:r>
            <w:r w:rsidR="00563563">
              <w:t>ā</w:t>
            </w:r>
            <w:r w:rsidR="000A17C2" w:rsidRPr="008B3DA5">
              <w:t xml:space="preserve"> 41</w:t>
            </w:r>
            <w:r w:rsidR="009D36DE" w:rsidRPr="008B3DA5">
              <w:t>.</w:t>
            </w:r>
            <w:r w:rsidR="000A17C2" w:rsidRPr="008B3DA5">
              <w:t>01</w:t>
            </w:r>
            <w:r w:rsidR="009D36DE" w:rsidRPr="008B3DA5">
              <w:t xml:space="preserve">.00 </w:t>
            </w:r>
            <w:r w:rsidR="009D36DE" w:rsidRPr="008B3DA5">
              <w:rPr>
                <w:bCs/>
              </w:rPr>
              <w:t>“</w:t>
            </w:r>
            <w:r w:rsidR="000A17C2" w:rsidRPr="008B3DA5">
              <w:t xml:space="preserve">Iemaksas Eiropas </w:t>
            </w:r>
            <w:r w:rsidR="002C1040">
              <w:t>Savienības</w:t>
            </w:r>
            <w:r w:rsidR="002C1040" w:rsidRPr="008B3DA5">
              <w:t xml:space="preserve"> </w:t>
            </w:r>
            <w:r w:rsidR="000A17C2" w:rsidRPr="008B3DA5">
              <w:t>budžetā</w:t>
            </w:r>
            <w:r w:rsidR="009D36DE" w:rsidRPr="008B3DA5">
              <w:rPr>
                <w:bCs/>
              </w:rPr>
              <w:t xml:space="preserve">” (turpmāk – </w:t>
            </w:r>
            <w:r w:rsidR="00E9156E" w:rsidRPr="008B3DA5">
              <w:rPr>
                <w:bCs/>
              </w:rPr>
              <w:t>41.01</w:t>
            </w:r>
            <w:r w:rsidR="009D36DE" w:rsidRPr="008B3DA5">
              <w:rPr>
                <w:bCs/>
              </w:rPr>
              <w:t xml:space="preserve">.00 </w:t>
            </w:r>
            <w:r w:rsidR="00964B8D" w:rsidRPr="008B3DA5">
              <w:rPr>
                <w:bCs/>
              </w:rPr>
              <w:t>apakš</w:t>
            </w:r>
            <w:r w:rsidR="009D36DE" w:rsidRPr="008B3DA5">
              <w:rPr>
                <w:bCs/>
              </w:rPr>
              <w:t>programma)</w:t>
            </w:r>
            <w:r w:rsidR="000A17C2" w:rsidRPr="008B3DA5">
              <w:rPr>
                <w:bCs/>
              </w:rPr>
              <w:t>, tādā veidā pildot saistības, ko Latvija k</w:t>
            </w:r>
            <w:r w:rsidR="008B3DA5" w:rsidRPr="008B3DA5">
              <w:rPr>
                <w:bCs/>
              </w:rPr>
              <w:t xml:space="preserve">ā </w:t>
            </w:r>
            <w:r w:rsidR="00DB2426">
              <w:rPr>
                <w:bCs/>
              </w:rPr>
              <w:t>ES</w:t>
            </w:r>
            <w:r w:rsidR="000A17C2" w:rsidRPr="008B3DA5">
              <w:rPr>
                <w:bCs/>
              </w:rPr>
              <w:t xml:space="preserve"> dalībvalsts ir apņēmusies pildīt, iestājoties </w:t>
            </w:r>
            <w:r w:rsidR="00DB2426">
              <w:rPr>
                <w:bCs/>
              </w:rPr>
              <w:t>ES</w:t>
            </w:r>
            <w:r w:rsidR="008B3DA5" w:rsidRPr="008B3DA5">
              <w:rPr>
                <w:bCs/>
              </w:rPr>
              <w:t xml:space="preserve"> (t.sk. </w:t>
            </w:r>
            <w:r w:rsidR="00DB2426">
              <w:rPr>
                <w:bCs/>
              </w:rPr>
              <w:t>ES</w:t>
            </w:r>
            <w:r w:rsidR="008B3DA5" w:rsidRPr="008B3DA5">
              <w:rPr>
                <w:bCs/>
              </w:rPr>
              <w:t xml:space="preserve"> </w:t>
            </w:r>
            <w:r w:rsidR="006835FE">
              <w:rPr>
                <w:bCs/>
              </w:rPr>
              <w:t>p</w:t>
            </w:r>
            <w:r w:rsidR="008B3DA5" w:rsidRPr="008B3DA5">
              <w:rPr>
                <w:bCs/>
              </w:rPr>
              <w:t>ašu resursu sistēmā)</w:t>
            </w:r>
            <w:r w:rsidR="009D36DE" w:rsidRPr="008B3DA5">
              <w:t>.</w:t>
            </w:r>
          </w:p>
          <w:p w14:paraId="6E865C03" w14:textId="3E7519D9" w:rsidR="00B340BE" w:rsidRDefault="008E3C19" w:rsidP="00DA6359">
            <w:pPr>
              <w:spacing w:before="60" w:after="60"/>
              <w:ind w:left="125" w:right="113"/>
              <w:jc w:val="both"/>
            </w:pPr>
            <w:r w:rsidRPr="007D3E6E">
              <w:t xml:space="preserve">     </w:t>
            </w:r>
            <w:r w:rsidR="009D36DE" w:rsidRPr="007D3E6E">
              <w:t xml:space="preserve">Likuma </w:t>
            </w:r>
            <w:r w:rsidR="002C1040">
              <w:t>“P</w:t>
            </w:r>
            <w:r w:rsidR="009D36DE" w:rsidRPr="007D3E6E">
              <w:t xml:space="preserve">ar </w:t>
            </w:r>
            <w:r w:rsidR="00DA6359">
              <w:t>b</w:t>
            </w:r>
            <w:r w:rsidR="009D36DE" w:rsidRPr="007D3E6E">
              <w:t>udžetu un finanšu vadību</w:t>
            </w:r>
            <w:r w:rsidR="00B340BE">
              <w:t>”</w:t>
            </w:r>
            <w:r w:rsidR="009D36DE" w:rsidRPr="007D3E6E">
              <w:t xml:space="preserve"> 9.panta </w:t>
            </w:r>
            <w:r w:rsidR="00B340BE">
              <w:t>četr</w:t>
            </w:r>
            <w:r w:rsidR="009D36DE" w:rsidRPr="007D3E6E">
              <w:t xml:space="preserve">padsmitās daļas 2.punkts nosaka tiesības finanšu ministram </w:t>
            </w:r>
            <w:r w:rsidR="00B340BE" w:rsidRPr="00B340BE">
              <w:t>palielināt gadskārtējā valsts budžeta likumā noteikto apropriāciju</w:t>
            </w:r>
            <w:r w:rsidR="00B340BE">
              <w:t xml:space="preserve"> </w:t>
            </w:r>
            <w:r w:rsidR="00DB2426">
              <w:t xml:space="preserve">ES </w:t>
            </w:r>
            <w:r w:rsidR="00B340BE" w:rsidRPr="00B340BE">
              <w:t xml:space="preserve">pašu resursu palielināšanai un </w:t>
            </w:r>
            <w:r w:rsidR="00B340BE">
              <w:t xml:space="preserve">norēķiniem ar </w:t>
            </w:r>
            <w:r w:rsidR="006835FE">
              <w:t>ES</w:t>
            </w:r>
            <w:r w:rsidR="00B340BE">
              <w:t xml:space="preserve">, </w:t>
            </w:r>
            <w:r w:rsidR="00B340BE" w:rsidRPr="00B340BE">
              <w:t>ja Saeimas Budžeta un finanšu (nodokļu) komisija piecu darba dienu laikā no attiecīgās informācijas saņemšanas ir izskatījusi to un nav iebildusi p</w:t>
            </w:r>
            <w:r w:rsidR="00DA6359">
              <w:t>ret apropriācijas palielinājumu.</w:t>
            </w:r>
          </w:p>
          <w:p w14:paraId="599C3EF9" w14:textId="124B3171" w:rsidR="008B3DA5" w:rsidRDefault="008E3C19" w:rsidP="006835FE">
            <w:pPr>
              <w:tabs>
                <w:tab w:val="left" w:pos="4035"/>
              </w:tabs>
              <w:spacing w:before="60" w:after="60"/>
              <w:ind w:left="125" w:right="108"/>
              <w:jc w:val="both"/>
            </w:pPr>
            <w:r w:rsidRPr="007D3E6E">
              <w:t xml:space="preserve">     </w:t>
            </w:r>
            <w:r w:rsidR="00DA6359">
              <w:t xml:space="preserve">Savukārt Likuma </w:t>
            </w:r>
            <w:r w:rsidR="002C1040">
              <w:t>“P</w:t>
            </w:r>
            <w:r w:rsidR="00DA6359">
              <w:t xml:space="preserve">ar valsts budžetu </w:t>
            </w:r>
            <w:r w:rsidR="002C1040">
              <w:t>2020</w:t>
            </w:r>
            <w:r w:rsidR="00DA6359">
              <w:t>.</w:t>
            </w:r>
            <w:r w:rsidR="002C1040">
              <w:t xml:space="preserve"> </w:t>
            </w:r>
            <w:r w:rsidR="00DA6359">
              <w:t>gadam</w:t>
            </w:r>
            <w:r w:rsidR="002C1040">
              <w:t>”</w:t>
            </w:r>
            <w:r w:rsidR="00DA6359" w:rsidRPr="00DA6359">
              <w:t xml:space="preserve"> </w:t>
            </w:r>
            <w:r w:rsidR="002C1040" w:rsidRPr="00DA6359">
              <w:t>2</w:t>
            </w:r>
            <w:r w:rsidR="002C1040">
              <w:t>5</w:t>
            </w:r>
            <w:r w:rsidR="00DA6359" w:rsidRPr="00DA6359">
              <w:t>. pant</w:t>
            </w:r>
            <w:r w:rsidR="00DA6359">
              <w:t>s paredz f</w:t>
            </w:r>
            <w:r w:rsidR="00DA6359" w:rsidRPr="00DA6359">
              <w:t>inanšu ministram</w:t>
            </w:r>
            <w:r w:rsidR="00DA6359">
              <w:t xml:space="preserve"> atļaut</w:t>
            </w:r>
            <w:r w:rsidR="00DA6359" w:rsidRPr="00DA6359">
              <w:t xml:space="preserve"> veikt nepieciešamos maksājumus gadījumos, kad </w:t>
            </w:r>
            <w:r w:rsidR="006835FE">
              <w:t>ES</w:t>
            </w:r>
            <w:r w:rsidR="00DA6359" w:rsidRPr="00DA6359">
              <w:t xml:space="preserve"> iestāžu noteiktās Latvijas iemaksas </w:t>
            </w:r>
            <w:r w:rsidR="006835FE">
              <w:t>ES</w:t>
            </w:r>
            <w:r w:rsidR="00DA6359" w:rsidRPr="00DA6359">
              <w:t xml:space="preserve"> budžetā pārsniedz šajā likumā apstiprinātos apjomus</w:t>
            </w:r>
            <w:r w:rsidR="00DA6359">
              <w:t>.</w:t>
            </w:r>
          </w:p>
          <w:p w14:paraId="081B93FD" w14:textId="5D08C618" w:rsidR="009D36DE" w:rsidRPr="00AD370E" w:rsidRDefault="009D36DE" w:rsidP="00AD370E">
            <w:pPr>
              <w:tabs>
                <w:tab w:val="left" w:pos="5595"/>
              </w:tabs>
            </w:pPr>
          </w:p>
        </w:tc>
      </w:tr>
      <w:tr w:rsidR="00D6079A" w:rsidRPr="007D3E6E" w14:paraId="4C69F073" w14:textId="77777777" w:rsidTr="003F1B84">
        <w:trPr>
          <w:trHeight w:val="682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B339D0" w14:textId="77777777" w:rsidR="00D6079A" w:rsidRPr="007D3E6E" w:rsidRDefault="00D6079A" w:rsidP="000044FA">
            <w:pPr>
              <w:spacing w:before="100" w:after="100"/>
            </w:pPr>
            <w:r w:rsidRPr="007D3E6E"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BD96BD" w14:textId="77777777" w:rsidR="00D6079A" w:rsidRPr="007D3E6E" w:rsidRDefault="00D6079A" w:rsidP="000044FA">
            <w:pPr>
              <w:spacing w:before="100" w:after="100"/>
            </w:pPr>
            <w:r w:rsidRPr="007D3E6E">
              <w:t xml:space="preserve">Pašreizējā situācija un problēmas, kuru risināšanai tiesību </w:t>
            </w:r>
            <w:r w:rsidRPr="007D3E6E">
              <w:lastRenderedPageBreak/>
              <w:t>akta projekts izstrādāts, tiesiskā regulējuma mērķis un būtība</w:t>
            </w:r>
          </w:p>
        </w:tc>
        <w:tc>
          <w:tcPr>
            <w:tcW w:w="6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9B3583" w14:textId="2E5D0E6E" w:rsidR="006B55BA" w:rsidRDefault="006B55BA" w:rsidP="006B55BA">
            <w:pPr>
              <w:spacing w:before="60" w:after="60"/>
              <w:ind w:left="125" w:right="113" w:firstLine="284"/>
              <w:jc w:val="both"/>
            </w:pPr>
            <w:r>
              <w:lastRenderedPageBreak/>
              <w:t xml:space="preserve">Likumā “Par valsts budžetu </w:t>
            </w:r>
            <w:r w:rsidR="002C1040">
              <w:t>2020</w:t>
            </w:r>
            <w:r>
              <w:t>.</w:t>
            </w:r>
            <w:r w:rsidR="002C1040">
              <w:t xml:space="preserve"> </w:t>
            </w:r>
            <w:r>
              <w:t xml:space="preserve">gadam” 41.01.00 apakšprogrammas finansējums ir plānots </w:t>
            </w:r>
            <w:r w:rsidR="00671831" w:rsidRPr="00671831">
              <w:t xml:space="preserve"> 317 340 000 </w:t>
            </w:r>
            <w:r w:rsidRPr="006B55BA">
              <w:rPr>
                <w:i/>
              </w:rPr>
              <w:t>euro</w:t>
            </w:r>
            <w:r>
              <w:t xml:space="preserve">. </w:t>
            </w:r>
          </w:p>
          <w:p w14:paraId="7260AA4B" w14:textId="57CEC4E7" w:rsidR="006B55BA" w:rsidRDefault="006B55BA" w:rsidP="006B55BA">
            <w:pPr>
              <w:spacing w:before="60" w:after="60"/>
              <w:ind w:left="125" w:right="113" w:firstLine="284"/>
              <w:jc w:val="both"/>
            </w:pPr>
            <w:r>
              <w:lastRenderedPageBreak/>
              <w:t xml:space="preserve">Apakšprogrammas 41.01.00 mērķis ir nodrošināt Latvijas Republikas kā </w:t>
            </w:r>
            <w:r w:rsidR="006835FE">
              <w:t>ES</w:t>
            </w:r>
            <w:r>
              <w:t xml:space="preserve"> dalībvalsts saistību izpildi, piedaloties ES pašu resursu sistēmā.</w:t>
            </w:r>
          </w:p>
          <w:p w14:paraId="0EFA2911" w14:textId="4BCB5662" w:rsidR="006B55BA" w:rsidRDefault="006B55BA" w:rsidP="006B55BA">
            <w:pPr>
              <w:spacing w:before="60" w:after="60"/>
              <w:ind w:left="125" w:right="113" w:firstLine="284"/>
              <w:jc w:val="both"/>
            </w:pPr>
            <w:r>
              <w:t xml:space="preserve">Ja apakšprogrammā 41.01.00 ir nepietiekami finanšu līdzekļi līdz kārtējā gada beigām, tad Latvija nevar nodrošināt iemaksas </w:t>
            </w:r>
            <w:r w:rsidR="006835FE">
              <w:t>ES</w:t>
            </w:r>
            <w:r>
              <w:t xml:space="preserve"> budžetā pilnā apmērā.</w:t>
            </w:r>
          </w:p>
          <w:p w14:paraId="4616FF66" w14:textId="53F7386A" w:rsidR="00BD7235" w:rsidRDefault="00BD7235" w:rsidP="006B55BA">
            <w:pPr>
              <w:spacing w:before="60" w:after="60"/>
              <w:ind w:left="125" w:right="113" w:firstLine="284"/>
              <w:jc w:val="both"/>
              <w:rPr>
                <w:b/>
              </w:rPr>
            </w:pPr>
            <w:r>
              <w:t>Pamatojoties uz</w:t>
            </w:r>
            <w:r w:rsidR="005B5260">
              <w:t xml:space="preserve"> </w:t>
            </w:r>
            <w:r w:rsidR="00CF02B3">
              <w:t>FM</w:t>
            </w:r>
            <w:r w:rsidR="005B5260">
              <w:t xml:space="preserve"> </w:t>
            </w:r>
            <w:r w:rsidR="00CF02B3">
              <w:t xml:space="preserve">indikatīviem </w:t>
            </w:r>
            <w:r w:rsidR="005B5260">
              <w:t>apr</w:t>
            </w:r>
            <w:r w:rsidR="00237644">
              <w:t>ēķ</w:t>
            </w:r>
            <w:r w:rsidR="005B5260">
              <w:t>iniem</w:t>
            </w:r>
            <w:r w:rsidR="00CF02B3">
              <w:t>,</w:t>
            </w:r>
            <w:r w:rsidR="005B5260">
              <w:t xml:space="preserve"> paredzams, ka, lai nosegtu 2020. gada ES budžeta saistības</w:t>
            </w:r>
            <w:r w:rsidR="00237644">
              <w:t xml:space="preserve"> 100 % apmērā,</w:t>
            </w:r>
            <w:r>
              <w:t xml:space="preserve"> </w:t>
            </w:r>
            <w:r w:rsidRPr="006B55BA">
              <w:rPr>
                <w:b/>
              </w:rPr>
              <w:t xml:space="preserve">budžeta apakšprogrammā 41.01.00 </w:t>
            </w:r>
            <w:r w:rsidR="00CF02B3">
              <w:rPr>
                <w:b/>
              </w:rPr>
              <w:t>būs</w:t>
            </w:r>
            <w:r w:rsidR="00CF02B3" w:rsidRPr="006B55BA">
              <w:rPr>
                <w:b/>
              </w:rPr>
              <w:t xml:space="preserve"> </w:t>
            </w:r>
            <w:r w:rsidRPr="006B55BA">
              <w:rPr>
                <w:b/>
              </w:rPr>
              <w:t xml:space="preserve">nepieciešams papildu finansējums </w:t>
            </w:r>
            <w:r w:rsidR="00671831">
              <w:rPr>
                <w:b/>
              </w:rPr>
              <w:t xml:space="preserve">ne vairāk kā </w:t>
            </w:r>
            <w:r w:rsidRPr="006B55BA">
              <w:rPr>
                <w:b/>
              </w:rPr>
              <w:t xml:space="preserve">1 </w:t>
            </w:r>
            <w:r w:rsidR="00CF02B3">
              <w:rPr>
                <w:b/>
              </w:rPr>
              <w:t>300</w:t>
            </w:r>
            <w:r w:rsidR="00CF02B3" w:rsidRPr="006B55BA">
              <w:rPr>
                <w:b/>
              </w:rPr>
              <w:t xml:space="preserve"> </w:t>
            </w:r>
            <w:r w:rsidR="00671831">
              <w:rPr>
                <w:b/>
              </w:rPr>
              <w:t>000</w:t>
            </w:r>
            <w:r w:rsidR="00671831" w:rsidRPr="006B55BA">
              <w:rPr>
                <w:b/>
              </w:rPr>
              <w:t xml:space="preserve"> </w:t>
            </w:r>
            <w:r w:rsidRPr="006B55BA">
              <w:rPr>
                <w:b/>
                <w:i/>
              </w:rPr>
              <w:t>euro</w:t>
            </w:r>
            <w:r w:rsidRPr="006B55BA">
              <w:rPr>
                <w:b/>
              </w:rPr>
              <w:t xml:space="preserve"> apmērā.</w:t>
            </w:r>
          </w:p>
          <w:p w14:paraId="065392EB" w14:textId="2357A1A3" w:rsidR="005865AA" w:rsidRDefault="005865AA" w:rsidP="00BE2162">
            <w:pPr>
              <w:spacing w:before="120" w:after="60"/>
              <w:ind w:left="125" w:right="113" w:firstLine="284"/>
              <w:jc w:val="center"/>
              <w:rPr>
                <w:b/>
              </w:rPr>
            </w:pPr>
            <w:r>
              <w:rPr>
                <w:b/>
              </w:rPr>
              <w:t>Iemaksu ES budžetā ietekmējošie faktori</w:t>
            </w:r>
          </w:p>
          <w:p w14:paraId="22146802" w14:textId="6482BFE0" w:rsidR="00281AEB" w:rsidRPr="00281AEB" w:rsidRDefault="00281AEB" w:rsidP="00281AEB">
            <w:pPr>
              <w:spacing w:before="60" w:after="60"/>
              <w:ind w:left="125" w:right="113" w:firstLine="284"/>
              <w:jc w:val="both"/>
            </w:pPr>
            <w:r w:rsidRPr="00281AEB">
              <w:t>Jāņem vērā, ka iemaksu apmēru ES budžetā katru gadu ietekmē vairāki faktori, kā rezultātā plānotais apmērs atšķiras no faktiskas izpildes.</w:t>
            </w:r>
            <w:r>
              <w:t xml:space="preserve"> </w:t>
            </w:r>
            <w:r w:rsidRPr="00281AEB">
              <w:t>Iemaksu ES budžetā apmēru ietekmē šādi faktori:</w:t>
            </w:r>
          </w:p>
          <w:p w14:paraId="03E6E401" w14:textId="4653B832" w:rsidR="00281AEB" w:rsidRPr="00281AEB" w:rsidRDefault="00281AEB" w:rsidP="00281AEB">
            <w:pPr>
              <w:pStyle w:val="ListParagraph"/>
              <w:numPr>
                <w:ilvl w:val="0"/>
                <w:numId w:val="17"/>
              </w:numPr>
              <w:spacing w:before="60" w:after="60"/>
              <w:ind w:right="113"/>
              <w:jc w:val="both"/>
            </w:pPr>
            <w:r w:rsidRPr="00BE2162">
              <w:rPr>
                <w:u w:val="single"/>
              </w:rPr>
              <w:t>ES budžeta kopapjoms</w:t>
            </w:r>
            <w:r w:rsidRPr="00281AEB">
              <w:t xml:space="preserve">, kas nosaka izdevumu apmēru, ko dalībvalstis finansē proporcionāli to labklājības līmenim, un </w:t>
            </w:r>
            <w:r w:rsidRPr="00BE2162">
              <w:rPr>
                <w:u w:val="single"/>
              </w:rPr>
              <w:t>ES budžeta grozījumi</w:t>
            </w:r>
            <w:r w:rsidRPr="00281AEB">
              <w:t>, ar kuru palīdzību ES budžeta kopapjoms var tikt mainīts;</w:t>
            </w:r>
          </w:p>
          <w:p w14:paraId="4BC5B495" w14:textId="4A50C918" w:rsidR="00281AEB" w:rsidRPr="00281AEB" w:rsidRDefault="00281AEB" w:rsidP="00281AEB">
            <w:pPr>
              <w:pStyle w:val="ListParagraph"/>
              <w:numPr>
                <w:ilvl w:val="0"/>
                <w:numId w:val="17"/>
              </w:numPr>
              <w:spacing w:before="60" w:after="60"/>
              <w:ind w:right="113"/>
              <w:jc w:val="both"/>
            </w:pPr>
            <w:r w:rsidRPr="00BE2162">
              <w:rPr>
                <w:u w:val="single"/>
              </w:rPr>
              <w:t>ES budžeta grozījumu apstiprināšanas gaita</w:t>
            </w:r>
            <w:r w:rsidRPr="00281AEB">
              <w:t>. Ja ES budžeta grozījumi tiek apstiprināti tekošā gada beigās, tie var faktiski (pēc naudas plūsmas) ietekmēt nākamā gada maksājumus ES budžetā;</w:t>
            </w:r>
          </w:p>
          <w:p w14:paraId="7AAD9722" w14:textId="521B4574" w:rsidR="00281AEB" w:rsidRPr="00281AEB" w:rsidRDefault="00281AEB" w:rsidP="00281AEB">
            <w:pPr>
              <w:pStyle w:val="ListParagraph"/>
              <w:numPr>
                <w:ilvl w:val="0"/>
                <w:numId w:val="17"/>
              </w:numPr>
              <w:spacing w:before="60" w:after="60"/>
              <w:ind w:right="113"/>
              <w:jc w:val="both"/>
            </w:pPr>
            <w:r w:rsidRPr="00BE2162">
              <w:rPr>
                <w:u w:val="single"/>
              </w:rPr>
              <w:t>Latvijas izaugsmes rādītāji un to izmaiņas</w:t>
            </w:r>
            <w:r w:rsidRPr="00281AEB">
              <w:t>, ņemot vērā, ka ES izdevumus dalībvalstis finansē proporcionāli to labklājības līmenim;</w:t>
            </w:r>
          </w:p>
          <w:p w14:paraId="708BFFD7" w14:textId="40BA96BB" w:rsidR="00281AEB" w:rsidRPr="00281AEB" w:rsidRDefault="00281AEB" w:rsidP="00281AEB">
            <w:pPr>
              <w:pStyle w:val="ListParagraph"/>
              <w:numPr>
                <w:ilvl w:val="0"/>
                <w:numId w:val="17"/>
              </w:numPr>
              <w:spacing w:before="60" w:after="60"/>
              <w:ind w:right="113"/>
              <w:jc w:val="both"/>
            </w:pPr>
            <w:r w:rsidRPr="00BE2162">
              <w:rPr>
                <w:u w:val="single"/>
              </w:rPr>
              <w:t>citu ES budžeta ieņēmumu apmērs</w:t>
            </w:r>
            <w:r w:rsidRPr="00281AEB">
              <w:t xml:space="preserve"> (iekasētās soda naudas, kavējumu procenti, iepriekšējā gada ES budžeta izpildes pārpalikums u.tml.);</w:t>
            </w:r>
          </w:p>
          <w:p w14:paraId="45E2CB20" w14:textId="591CD073" w:rsidR="00281AEB" w:rsidRPr="00281AEB" w:rsidRDefault="00281AEB" w:rsidP="00281AEB">
            <w:pPr>
              <w:pStyle w:val="ListParagraph"/>
              <w:numPr>
                <w:ilvl w:val="0"/>
                <w:numId w:val="17"/>
              </w:numPr>
              <w:spacing w:before="60" w:after="60"/>
              <w:ind w:right="113"/>
              <w:jc w:val="both"/>
            </w:pPr>
            <w:r w:rsidRPr="00BE2162">
              <w:rPr>
                <w:u w:val="single"/>
              </w:rPr>
              <w:t>korekcijas maksājuma apmērs</w:t>
            </w:r>
            <w:r w:rsidRPr="00281AEB">
              <w:t>, kas tiek veikts, balstoties uz faktiskajiem pievienotās vērtības nodokļa (turpmāk – PVN) un nacionālā kopienākuma (turpmāk – NKI) bāzes apjomiem par iepriekšējiem saimnieciskajiem gadiem. Tam var būt gan iemaksas samazinoša, gan iemaksas palielinoša ietekme</w:t>
            </w:r>
            <w:r w:rsidR="005865AA">
              <w:t>;</w:t>
            </w:r>
          </w:p>
          <w:p w14:paraId="4CCA987A" w14:textId="7D77FE3C" w:rsidR="005865AA" w:rsidRDefault="00281AEB" w:rsidP="005865AA">
            <w:pPr>
              <w:pStyle w:val="ListParagraph"/>
              <w:numPr>
                <w:ilvl w:val="0"/>
                <w:numId w:val="17"/>
              </w:numPr>
              <w:spacing w:before="60" w:after="60"/>
              <w:ind w:right="113"/>
              <w:jc w:val="both"/>
            </w:pPr>
            <w:r w:rsidRPr="00BE2162">
              <w:rPr>
                <w:u w:val="single"/>
              </w:rPr>
              <w:t>ES dalībvalstu fondu līdzekļu apguves apjomu novirze no plānotajiem apjomiem</w:t>
            </w:r>
            <w:r w:rsidRPr="00281AEB">
              <w:t>. Ja dalībvalstis nespēj apgūt ES fondu līdzekļus 100% apmērā atbilstoši plānotajam, tad veidojas budžetā pārpalikums, kā rezultātā iemaksas ES budžetā samazinās un otrādi</w:t>
            </w:r>
            <w:r>
              <w:t>.</w:t>
            </w:r>
          </w:p>
          <w:p w14:paraId="532DE67B" w14:textId="2F2BA914" w:rsidR="005865AA" w:rsidRDefault="005865AA" w:rsidP="005865AA">
            <w:pPr>
              <w:spacing w:before="60" w:after="60"/>
              <w:ind w:left="123" w:right="113" w:firstLine="283"/>
              <w:jc w:val="both"/>
            </w:pPr>
            <w:r>
              <w:t xml:space="preserve">Jāatzīmē, ka ES iemaksu plānošanu tāpat kā iepriekšējos gados arī 2020. gadā pavadīja ļoti liela nenoteiktība. Tikai gada beigās ir iespējams novērtēt provizoriskos faktiskos maksājumus iepretim iepriekš plānotajam. </w:t>
            </w:r>
          </w:p>
          <w:p w14:paraId="5B067A72" w14:textId="29F0A7F1" w:rsidR="00CF02B3" w:rsidRDefault="005865AA" w:rsidP="00BE2162">
            <w:pPr>
              <w:spacing w:before="60" w:after="60"/>
              <w:ind w:left="123" w:right="113" w:firstLine="283"/>
              <w:jc w:val="both"/>
            </w:pPr>
            <w:r>
              <w:t>2020. gada ES budžetam</w:t>
            </w:r>
            <w:r w:rsidR="008241E0">
              <w:t xml:space="preserve"> Komisija</w:t>
            </w:r>
            <w:r>
              <w:t xml:space="preserve"> </w:t>
            </w:r>
            <w:r w:rsidR="008241E0">
              <w:t xml:space="preserve">kopumā </w:t>
            </w:r>
            <w:r>
              <w:t xml:space="preserve">ir publicējusi 10 budžeta grozījumus. Dēļ 2019. gada ES budžeta izpildes </w:t>
            </w:r>
            <w:r w:rsidR="00090D28">
              <w:t>pārpalikuma</w:t>
            </w:r>
            <w:r w:rsidR="00A03FD5">
              <w:t>,</w:t>
            </w:r>
            <w:r>
              <w:t xml:space="preserve"> atjaunoto makroekonomisko prognožu apstiprināšanas</w:t>
            </w:r>
            <w:r w:rsidR="00A03FD5">
              <w:t xml:space="preserve">, </w:t>
            </w:r>
            <w:r>
              <w:t>u.c. faktoriem,</w:t>
            </w:r>
            <w:r w:rsidR="00A03FD5">
              <w:t xml:space="preserve"> ES budžetā kopumā un līdz ar to</w:t>
            </w:r>
            <w:r>
              <w:t xml:space="preserve"> Latvijai paredzēt</w:t>
            </w:r>
            <w:r w:rsidR="004503F6">
              <w:t>ā</w:t>
            </w:r>
            <w:r>
              <w:t>s pašu resursu iemaksas</w:t>
            </w:r>
            <w:r w:rsidR="004503F6">
              <w:t xml:space="preserve"> 2020.</w:t>
            </w:r>
            <w:r w:rsidR="00FE39E8">
              <w:t xml:space="preserve"> </w:t>
            </w:r>
            <w:r w:rsidR="004503F6">
              <w:t>gada</w:t>
            </w:r>
            <w:r>
              <w:t xml:space="preserve">  ES budžetā samazinājās. Vienlaikus 2020.</w:t>
            </w:r>
            <w:r w:rsidR="008241E0">
              <w:t xml:space="preserve"> </w:t>
            </w:r>
            <w:r>
              <w:t xml:space="preserve">gadā ir bijuši citi budžeta grozījumi saistībā ar Covid-19 izraisīto krīzi, atbalsta sniegšanu </w:t>
            </w:r>
            <w:r w:rsidR="00770019" w:rsidRPr="00993372">
              <w:t>bēgļiem un uzņemošajām kopienām</w:t>
            </w:r>
            <w:r w:rsidR="00770019">
              <w:t xml:space="preserve">, kā </w:t>
            </w:r>
            <w:r w:rsidR="00770019">
              <w:lastRenderedPageBreak/>
              <w:t>arī</w:t>
            </w:r>
            <w:r>
              <w:t xml:space="preserve"> reģionu iedzīvotājiem, kurus ir pi</w:t>
            </w:r>
            <w:r w:rsidR="008241E0">
              <w:t>emeklējušas dabas katastrofas</w:t>
            </w:r>
            <w:r>
              <w:t xml:space="preserve"> u.c., kas tieši pretēji palielināja iemaksas ES budžetā, tādējādi</w:t>
            </w:r>
            <w:r w:rsidR="00770019">
              <w:t xml:space="preserve"> gada laikā</w:t>
            </w:r>
            <w:r>
              <w:t xml:space="preserve"> līdzsvarojot dalībvalstu iemaksas ES budžetā. </w:t>
            </w:r>
          </w:p>
          <w:p w14:paraId="75B71342" w14:textId="5BB31802" w:rsidR="00CF02B3" w:rsidRPr="00BE2162" w:rsidRDefault="00CF02B3" w:rsidP="00BE2162">
            <w:pPr>
              <w:spacing w:before="120" w:after="60"/>
              <w:ind w:left="125" w:right="113" w:firstLine="284"/>
              <w:jc w:val="center"/>
              <w:rPr>
                <w:b/>
              </w:rPr>
            </w:pPr>
            <w:r>
              <w:rPr>
                <w:b/>
              </w:rPr>
              <w:t>Pamatojums a</w:t>
            </w:r>
            <w:r w:rsidRPr="00BE2162">
              <w:rPr>
                <w:b/>
              </w:rPr>
              <w:t>propriāciju palielinājum</w:t>
            </w:r>
            <w:r>
              <w:rPr>
                <w:b/>
              </w:rPr>
              <w:t>am</w:t>
            </w:r>
          </w:p>
          <w:p w14:paraId="2644D730" w14:textId="292221D9" w:rsidR="00CF23C3" w:rsidRDefault="000D1D21" w:rsidP="00544EFD">
            <w:pPr>
              <w:spacing w:before="60" w:after="60"/>
              <w:ind w:left="125" w:right="113" w:firstLine="284"/>
              <w:jc w:val="both"/>
            </w:pPr>
            <w:r>
              <w:t xml:space="preserve">Kā jau iepriekš tika minēts, 2020. gads ir bijis bagāts ar ES budžeta grozījumiem, kas nozīmē to, ka gada griezumā Latvijas iemaksu apjoms ES budžetā ir mainījies vairākas reizes. </w:t>
            </w:r>
          </w:p>
          <w:p w14:paraId="6000A87F" w14:textId="1B491ED2" w:rsidR="002E6068" w:rsidRDefault="00AE0275" w:rsidP="00544EFD">
            <w:pPr>
              <w:spacing w:before="60" w:after="60"/>
              <w:ind w:left="125" w:right="113" w:firstLine="284"/>
              <w:jc w:val="both"/>
            </w:pPr>
            <w:r w:rsidRPr="00823678">
              <w:t>Sākotnēji FM prognozēja, ka 2020. gadā Latvijas iemaksas ES budžetā kopumā būs 317,34 milj. EUR apmērā, bet, tuvojoties gada noslēgumam</w:t>
            </w:r>
            <w:r w:rsidR="006B3337" w:rsidRPr="00823678">
              <w:t>,</w:t>
            </w:r>
            <w:r w:rsidRPr="00823678">
              <w:t xml:space="preserve"> </w:t>
            </w:r>
            <w:r w:rsidR="006B3337" w:rsidRPr="00823678">
              <w:t>kad ir iespējams precīzāk novērtēt faktisko iemaksu apjomu, prognozē varētu palielināties maksimāli par 0,41% salīdzinājumā pret sākotnējo prognozi.</w:t>
            </w:r>
            <w:r w:rsidRPr="00823678">
              <w:t xml:space="preserve"> </w:t>
            </w:r>
            <w:r w:rsidR="00AA4F02" w:rsidRPr="00823678">
              <w:t>Kā r</w:t>
            </w:r>
            <w:r w:rsidR="00D14D71" w:rsidRPr="00823678">
              <w:t xml:space="preserve">ezultātā </w:t>
            </w:r>
            <w:r w:rsidR="00AA4F02" w:rsidRPr="00823678">
              <w:t>faktiskā izpilde pret plānoto 2020. gadā būtu 100,41%.</w:t>
            </w:r>
          </w:p>
          <w:p w14:paraId="4FE80FE9" w14:textId="0F8D6549" w:rsidR="00CF23C3" w:rsidRDefault="00AA4F02" w:rsidP="002E6068">
            <w:pPr>
              <w:spacing w:before="60" w:after="60"/>
              <w:ind w:left="125" w:right="113" w:firstLine="284"/>
              <w:jc w:val="both"/>
            </w:pPr>
            <w:r>
              <w:t>Lai arī novirze no sākotnēji plānotā iemaksu apjoma nav liela, tomēr var secināt, ka g</w:t>
            </w:r>
            <w:r w:rsidR="00CF23C3">
              <w:t xml:space="preserve">alvenais iemesls, kāpēc nepieciešams apropriāciju palielinājums apakšprogrammai 41.01.00  2020. gadā, ir </w:t>
            </w:r>
            <w:r w:rsidR="00085A33">
              <w:t>iepriekš neparedzētu apstākļu (Covid-19 pandēmija) ierosināti ES budžeta grozījum</w:t>
            </w:r>
            <w:r w:rsidR="00BE2162">
              <w:t>i</w:t>
            </w:r>
            <w:r w:rsidR="003818C5">
              <w:t>, kuriem bija iemaksu palielinoša ietekme</w:t>
            </w:r>
            <w:r w:rsidR="00A935D8">
              <w:t xml:space="preserve">. </w:t>
            </w:r>
          </w:p>
          <w:p w14:paraId="0E2EE06A" w14:textId="20B245DE" w:rsidR="004C02F1" w:rsidRDefault="004C02F1" w:rsidP="006B55BA">
            <w:pPr>
              <w:spacing w:before="60" w:after="60"/>
              <w:ind w:left="125" w:right="113" w:firstLine="284"/>
              <w:jc w:val="both"/>
            </w:pPr>
            <w:r>
              <w:t xml:space="preserve">Kopumā </w:t>
            </w:r>
            <w:r w:rsidR="00782438">
              <w:t>2020. gadā</w:t>
            </w:r>
            <w:r w:rsidR="00984EB3" w:rsidRPr="00782438">
              <w:t xml:space="preserve"> </w:t>
            </w:r>
            <w:r w:rsidR="00782438">
              <w:t xml:space="preserve">vēl </w:t>
            </w:r>
            <w:r w:rsidR="00984EB3" w:rsidRPr="00782438">
              <w:t xml:space="preserve">ir atlikuši </w:t>
            </w:r>
            <w:r w:rsidR="00782438">
              <w:t>trīs</w:t>
            </w:r>
            <w:r w:rsidR="00782438" w:rsidRPr="00782438">
              <w:t xml:space="preserve"> </w:t>
            </w:r>
            <w:r w:rsidR="00984EB3" w:rsidRPr="00782438">
              <w:t>maksājumi</w:t>
            </w:r>
            <w:r w:rsidR="00782438">
              <w:t xml:space="preserve"> </w:t>
            </w:r>
            <w:r w:rsidR="00782438" w:rsidRPr="00782438">
              <w:t>ES budžetā</w:t>
            </w:r>
            <w:r>
              <w:t>:</w:t>
            </w:r>
          </w:p>
          <w:p w14:paraId="360B171C" w14:textId="1E10EBC1" w:rsidR="004C02F1" w:rsidRDefault="00782438" w:rsidP="00281AEB">
            <w:pPr>
              <w:pStyle w:val="ListParagraph"/>
              <w:numPr>
                <w:ilvl w:val="0"/>
                <w:numId w:val="18"/>
              </w:numPr>
              <w:spacing w:before="60" w:after="60"/>
              <w:ind w:right="113"/>
              <w:jc w:val="both"/>
            </w:pPr>
            <w:r>
              <w:t xml:space="preserve">Pašu resursu maksājums, kurā iekļauta ir iemaksa par </w:t>
            </w:r>
            <w:r w:rsidR="00FB6D57">
              <w:t xml:space="preserve">NKI </w:t>
            </w:r>
            <w:r>
              <w:t xml:space="preserve">pašu resursu, </w:t>
            </w:r>
            <w:r w:rsidR="00FB6D57">
              <w:t>PVN</w:t>
            </w:r>
            <w:r>
              <w:t xml:space="preserve"> pašu resursu un </w:t>
            </w:r>
            <w:r w:rsidR="004C02F1" w:rsidRPr="004C02F1">
              <w:t>A</w:t>
            </w:r>
            <w:r w:rsidR="004C02F1">
              <w:t>pvienot</w:t>
            </w:r>
            <w:r w:rsidR="00FB6D57">
              <w:t>ā</w:t>
            </w:r>
            <w:r w:rsidR="004C02F1">
              <w:t xml:space="preserve">s </w:t>
            </w:r>
            <w:r w:rsidR="004C02F1" w:rsidRPr="004C02F1">
              <w:t>K</w:t>
            </w:r>
            <w:r w:rsidR="004C02F1">
              <w:t>aralistes</w:t>
            </w:r>
            <w:r w:rsidR="004C02F1" w:rsidRPr="004C02F1">
              <w:t xml:space="preserve"> korekcij</w:t>
            </w:r>
            <w:r w:rsidR="004C02F1">
              <w:t>u</w:t>
            </w:r>
            <w:r w:rsidR="004C02F1" w:rsidRPr="004C02F1">
              <w:t xml:space="preserve"> un citām dalībvalstīm budžeta līdzsvarošanai piešķirt</w:t>
            </w:r>
            <w:r w:rsidR="004C02F1">
              <w:t>ajām</w:t>
            </w:r>
            <w:r w:rsidR="004C02F1" w:rsidRPr="004C02F1">
              <w:t xml:space="preserve"> atlaid</w:t>
            </w:r>
            <w:r w:rsidR="004C02F1">
              <w:t>ēm (jāiemaksā ES budžetā š.g. 1. decembrī);</w:t>
            </w:r>
            <w:r w:rsidR="004C02F1" w:rsidRPr="004C02F1">
              <w:t xml:space="preserve"> </w:t>
            </w:r>
          </w:p>
          <w:p w14:paraId="4AC73D3F" w14:textId="687FFF48" w:rsidR="004C02F1" w:rsidRDefault="004C02F1" w:rsidP="00281AEB">
            <w:pPr>
              <w:pStyle w:val="ListParagraph"/>
              <w:numPr>
                <w:ilvl w:val="0"/>
                <w:numId w:val="18"/>
              </w:numPr>
              <w:spacing w:before="60" w:after="60"/>
              <w:ind w:right="113"/>
              <w:jc w:val="both"/>
            </w:pPr>
            <w:r>
              <w:t>Maksājums par Latvijas Bankā atvērtajam Komisijas kontam piemērotās negatīvās procentu summas kompensēšanu (jāiemaksā ES budžetā š.g. 1. decembrī);</w:t>
            </w:r>
          </w:p>
          <w:p w14:paraId="356BB2BC" w14:textId="31A921C0" w:rsidR="00984EB3" w:rsidRPr="00782438" w:rsidRDefault="00984EB3" w:rsidP="00281AEB">
            <w:pPr>
              <w:pStyle w:val="ListParagraph"/>
              <w:numPr>
                <w:ilvl w:val="0"/>
                <w:numId w:val="18"/>
              </w:numPr>
              <w:spacing w:before="60" w:after="60"/>
              <w:ind w:right="113"/>
              <w:jc w:val="both"/>
            </w:pPr>
            <w:r w:rsidRPr="00782438">
              <w:t>Tradicionālo pašu resursu</w:t>
            </w:r>
            <w:r w:rsidR="00782438">
              <w:t xml:space="preserve"> (turpmāk – TPR)</w:t>
            </w:r>
            <w:r w:rsidRPr="00782438">
              <w:t xml:space="preserve"> maksājums</w:t>
            </w:r>
            <w:r w:rsidR="004C02F1">
              <w:t xml:space="preserve"> (jāiemaksā</w:t>
            </w:r>
            <w:r w:rsidRPr="00782438">
              <w:t xml:space="preserve"> ES budžetā līdz š.g. 21. decembrim</w:t>
            </w:r>
            <w:r w:rsidR="004C02F1">
              <w:t>).</w:t>
            </w:r>
            <w:r w:rsidRPr="00782438">
              <w:t xml:space="preserve"> </w:t>
            </w:r>
          </w:p>
          <w:p w14:paraId="6C41D18E" w14:textId="77777777" w:rsidR="00AD370E" w:rsidRDefault="004C02F1" w:rsidP="004C02F1">
            <w:pPr>
              <w:spacing w:before="60" w:after="60"/>
              <w:ind w:left="125" w:right="113" w:firstLine="281"/>
              <w:jc w:val="both"/>
            </w:pPr>
            <w:r>
              <w:t xml:space="preserve">Par abām iemaksām, kas jāveic 1. decembrī, maksājumu rīkojumu vēstules ir sagatavotas un iesniegtas izpildītājiem, līdz ar to </w:t>
            </w:r>
            <w:r w:rsidR="00AD370E">
              <w:t xml:space="preserve">summas ir rezervētas. </w:t>
            </w:r>
          </w:p>
          <w:p w14:paraId="47875AC4" w14:textId="40A95C7F" w:rsidR="006835FE" w:rsidRDefault="004C02F1" w:rsidP="004C02F1">
            <w:pPr>
              <w:spacing w:before="60" w:after="60"/>
              <w:ind w:left="125" w:right="113" w:firstLine="281"/>
              <w:jc w:val="both"/>
            </w:pPr>
            <w:r w:rsidRPr="004C02F1">
              <w:t xml:space="preserve">Balstoties uz veiktajiem aprēķiniem, uz 2. decembri apakšprogrammas 41.01.00 pieejamais atlikums </w:t>
            </w:r>
            <w:r w:rsidR="00AD370E">
              <w:t>būtu</w:t>
            </w:r>
            <w:r w:rsidR="00AD370E" w:rsidRPr="004C02F1">
              <w:t xml:space="preserve"> </w:t>
            </w:r>
            <w:r w:rsidRPr="004C02F1">
              <w:t>aptuveni 2,</w:t>
            </w:r>
            <w:r w:rsidR="00CF02B3">
              <w:t>55</w:t>
            </w:r>
            <w:r w:rsidR="00CF02B3" w:rsidRPr="004C02F1">
              <w:t xml:space="preserve"> </w:t>
            </w:r>
            <w:r w:rsidRPr="004C02F1">
              <w:t>milj. EUR, kas ir nepietiekams apjoms, lai veiktu atlikušo TPR maksājumu decembrī pilnā apmērā.</w:t>
            </w:r>
            <w:r w:rsidR="00AD370E">
              <w:t xml:space="preserve"> Faktiskais TPR maksājuma apjoms būs zināms š.g. </w:t>
            </w:r>
            <w:r w:rsidR="00281AEB">
              <w:t>decembra vidū</w:t>
            </w:r>
            <w:r w:rsidR="00CF02B3">
              <w:t xml:space="preserve">, ko </w:t>
            </w:r>
            <w:r w:rsidR="00FB6D57">
              <w:t>FM</w:t>
            </w:r>
            <w:r w:rsidR="00CF02B3">
              <w:t xml:space="preserve"> paziņo Valsts ieņēmumu dienesta Muitas pārvalde. </w:t>
            </w:r>
          </w:p>
          <w:p w14:paraId="572111E9" w14:textId="04511E39" w:rsidR="00CF02B3" w:rsidRDefault="00CF02B3" w:rsidP="004C02F1">
            <w:pPr>
              <w:spacing w:before="60" w:after="60"/>
              <w:ind w:left="125" w:right="113" w:firstLine="281"/>
              <w:jc w:val="both"/>
            </w:pPr>
            <w:r>
              <w:t>Ņemot vērā, ka faktiskais TPR maksājuma apjoms vēl nav zināms, tad aprēķinātais apropriāciju iztrūkuma apmērs balstās uz FM prognozi, kuras pamatā ir v</w:t>
            </w:r>
            <w:r w:rsidR="004322BB">
              <w:t xml:space="preserve">ēsturisko datu analīze. </w:t>
            </w:r>
          </w:p>
          <w:p w14:paraId="72B14397" w14:textId="77777777" w:rsidR="00FB6D57" w:rsidRDefault="004322BB" w:rsidP="004C02F1">
            <w:pPr>
              <w:spacing w:before="60" w:after="60"/>
              <w:ind w:left="125" w:right="113" w:firstLine="281"/>
              <w:jc w:val="both"/>
            </w:pPr>
            <w:r>
              <w:t xml:space="preserve">Apskatot pēdējo trīs gadu (2017.-2019.g.) TPR iemaksu ES budžetā datus 3. un 4. ceturksnī, var novērot, ka 4. ceturksnī TPR iemaksas ir bijušas vidēji par 16% lielākas nekā 3. ceturksnī. Savukārt, ja salīdzina TPR iemaksu decembrī un novembrī, tad decembrī pēdējo trīs gadu laikā TPR iemaksas ir bijušas vidēji par 12% lielākas nekā novembrī. </w:t>
            </w:r>
          </w:p>
          <w:p w14:paraId="3701278E" w14:textId="3B9335A4" w:rsidR="004322BB" w:rsidRDefault="003C1601" w:rsidP="004C02F1">
            <w:pPr>
              <w:spacing w:before="60" w:after="60"/>
              <w:ind w:left="125" w:right="113" w:firstLine="281"/>
              <w:jc w:val="both"/>
            </w:pPr>
            <w:r>
              <w:t xml:space="preserve">FM nav pamata apgalvot, ka 2020. gads TPR maksājumu </w:t>
            </w:r>
            <w:r w:rsidR="00FB6D57">
              <w:t xml:space="preserve">vispārējo </w:t>
            </w:r>
            <w:r>
              <w:t>tendenču ziņā būs krasi atšķirīg</w:t>
            </w:r>
            <w:r w:rsidR="00FB6D57">
              <w:t>āks</w:t>
            </w:r>
            <w:r>
              <w:t xml:space="preserve"> kā pēdējie</w:t>
            </w:r>
            <w:r w:rsidR="00FB6D57">
              <w:t xml:space="preserve"> 3 gadi, tāpēc mēnešu un ceturkšņu griezumā</w:t>
            </w:r>
            <w:r w:rsidR="00B67196">
              <w:t xml:space="preserve"> </w:t>
            </w:r>
            <w:r w:rsidR="00FB6D57">
              <w:t xml:space="preserve">proporciju un pieaugumu datiem ir jābūt </w:t>
            </w:r>
            <w:r w:rsidR="00FB6D57">
              <w:lastRenderedPageBreak/>
              <w:t xml:space="preserve">ļoti līdzīgiem, kā tas ir bijis 2017.-2019.g. </w:t>
            </w:r>
            <w:r w:rsidR="00B67196">
              <w:t>Līdz ar to, balstoties uz vēsturiskajiem datiem</w:t>
            </w:r>
            <w:r>
              <w:t xml:space="preserve"> un FM </w:t>
            </w:r>
            <w:r w:rsidR="00FB6D57">
              <w:t>pieņēmumiem</w:t>
            </w:r>
            <w:r w:rsidR="006165CE">
              <w:t>,</w:t>
            </w:r>
            <w:r w:rsidR="00B67196">
              <w:t xml:space="preserve"> </w:t>
            </w:r>
            <w:r w:rsidR="00B67196" w:rsidRPr="00BE2162">
              <w:rPr>
                <w:u w:val="single"/>
              </w:rPr>
              <w:t>FM ir novērtējusi, ka iztrūkuma apmērs, lai veiktu atlikušo TPR maksājumu 100% apmērā, varētu būt diapazonā no 900 000 līdz 1 300 000 EUR</w:t>
            </w:r>
            <w:r w:rsidR="00B67196">
              <w:t>.</w:t>
            </w:r>
          </w:p>
          <w:p w14:paraId="7F9C6854" w14:textId="798D4CE7" w:rsidR="002E5C95" w:rsidRDefault="002E5C95" w:rsidP="00D35326">
            <w:pPr>
              <w:autoSpaceDE w:val="0"/>
              <w:autoSpaceDN w:val="0"/>
              <w:adjustRightInd w:val="0"/>
              <w:spacing w:before="60" w:after="60"/>
              <w:ind w:left="125" w:right="113" w:firstLine="284"/>
              <w:jc w:val="both"/>
              <w:rPr>
                <w:b/>
              </w:rPr>
            </w:pPr>
            <w:r w:rsidRPr="005E37B5">
              <w:t xml:space="preserve">Ņemot vērā iepriekš minēto, </w:t>
            </w:r>
            <w:r w:rsidR="006165CE">
              <w:t>FM</w:t>
            </w:r>
            <w:r w:rsidRPr="005E37B5">
              <w:t xml:space="preserve"> ir sagatavojusi Ministru kabineta rīkojuma projektu, kas paredz palielināt apropriāciju </w:t>
            </w:r>
            <w:r>
              <w:rPr>
                <w:bCs/>
              </w:rPr>
              <w:t>41.01</w:t>
            </w:r>
            <w:r w:rsidRPr="005E37B5">
              <w:rPr>
                <w:bCs/>
              </w:rPr>
              <w:t xml:space="preserve">.00 </w:t>
            </w:r>
            <w:r>
              <w:rPr>
                <w:bCs/>
              </w:rPr>
              <w:t>apakšprogrammā</w:t>
            </w:r>
            <w:r w:rsidRPr="005E37B5">
              <w:rPr>
                <w:bCs/>
              </w:rPr>
              <w:t xml:space="preserve"> </w:t>
            </w:r>
            <w:r w:rsidRPr="00D35326">
              <w:t>1 </w:t>
            </w:r>
            <w:r w:rsidR="004322BB">
              <w:t>300</w:t>
            </w:r>
            <w:r w:rsidR="004322BB" w:rsidRPr="00D35326">
              <w:t> </w:t>
            </w:r>
            <w:r w:rsidR="00237644">
              <w:t>00</w:t>
            </w:r>
            <w:r w:rsidR="00237644" w:rsidRPr="00D35326">
              <w:t xml:space="preserve">0 </w:t>
            </w:r>
            <w:r w:rsidRPr="00D35326">
              <w:rPr>
                <w:i/>
              </w:rPr>
              <w:t>euro</w:t>
            </w:r>
            <w:r w:rsidRPr="005E37B5">
              <w:t>, lai būtu iespējams veikt</w:t>
            </w:r>
            <w:r w:rsidR="00AD370E">
              <w:t xml:space="preserve"> TPR</w:t>
            </w:r>
            <w:r w:rsidRPr="005E37B5">
              <w:t xml:space="preserve"> </w:t>
            </w:r>
            <w:r>
              <w:t>maksājumu</w:t>
            </w:r>
            <w:r w:rsidR="006835FE">
              <w:t xml:space="preserve"> ES</w:t>
            </w:r>
            <w:r>
              <w:t xml:space="preserve"> 20</w:t>
            </w:r>
            <w:r w:rsidR="00237644">
              <w:t>20</w:t>
            </w:r>
            <w:r>
              <w:t>.</w:t>
            </w:r>
            <w:r w:rsidR="00237644">
              <w:t xml:space="preserve"> </w:t>
            </w:r>
            <w:r>
              <w:t>gada budžetā pilnā apmērā.</w:t>
            </w:r>
          </w:p>
          <w:p w14:paraId="1BD16DB1" w14:textId="05C6C8BD" w:rsidR="00D6079A" w:rsidRPr="002E5C95" w:rsidRDefault="00341D9C">
            <w:pPr>
              <w:autoSpaceDE w:val="0"/>
              <w:autoSpaceDN w:val="0"/>
              <w:adjustRightInd w:val="0"/>
              <w:spacing w:before="60" w:after="60"/>
              <w:ind w:left="125" w:right="113" w:firstLine="284"/>
              <w:jc w:val="both"/>
              <w:rPr>
                <w:b/>
              </w:rPr>
            </w:pPr>
            <w:r w:rsidRPr="008B3DA5">
              <w:rPr>
                <w:iCs/>
              </w:rPr>
              <w:t xml:space="preserve">Ja netiks palielināta apropriācija, tad netiks nodrošināta iemaksu </w:t>
            </w:r>
            <w:r w:rsidR="006835FE">
              <w:rPr>
                <w:iCs/>
              </w:rPr>
              <w:t>ES</w:t>
            </w:r>
            <w:r w:rsidRPr="008B3DA5">
              <w:rPr>
                <w:iCs/>
              </w:rPr>
              <w:t xml:space="preserve"> budžetā sagatavošana un veikšana pilnā apmērā š.g. </w:t>
            </w:r>
            <w:r w:rsidR="00237644">
              <w:rPr>
                <w:iCs/>
              </w:rPr>
              <w:t>decembrī</w:t>
            </w:r>
            <w:r w:rsidRPr="008B3DA5">
              <w:rPr>
                <w:iCs/>
              </w:rPr>
              <w:t>, kā rezultātā tiks aprēķināti kavējuma procenti par savlaicīgi Komisijas kontā nepārskaitītu pašu resursu maksājumu.</w:t>
            </w:r>
          </w:p>
        </w:tc>
      </w:tr>
      <w:tr w:rsidR="009D36DE" w:rsidRPr="007D3E6E" w14:paraId="3BB49A49" w14:textId="77777777" w:rsidTr="00962079">
        <w:trPr>
          <w:trHeight w:val="134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3A3AC1" w14:textId="77777777" w:rsidR="009D36DE" w:rsidRPr="007D3E6E" w:rsidRDefault="009D36DE" w:rsidP="000044FA">
            <w:pPr>
              <w:spacing w:before="100" w:after="100"/>
            </w:pPr>
            <w:r w:rsidRPr="007D3E6E">
              <w:lastRenderedPageBreak/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ECC2D3" w14:textId="77777777" w:rsidR="009D36DE" w:rsidRPr="007D3E6E" w:rsidRDefault="009D36DE" w:rsidP="000044FA">
            <w:pPr>
              <w:spacing w:before="100" w:after="100"/>
            </w:pPr>
            <w:r w:rsidRPr="007D3E6E">
              <w:t>Projekta izstrādē iesaistītās institūcijas un publiskas personas kapitālsabiedrības</w:t>
            </w:r>
          </w:p>
        </w:tc>
        <w:tc>
          <w:tcPr>
            <w:tcW w:w="6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FAE1C9" w14:textId="77777777" w:rsidR="009D36DE" w:rsidRPr="007D3E6E" w:rsidRDefault="003B60B8" w:rsidP="006D245F">
            <w:pPr>
              <w:spacing w:before="100" w:after="100"/>
              <w:ind w:firstLine="123"/>
              <w:jc w:val="both"/>
            </w:pPr>
            <w:r w:rsidRPr="007D3E6E">
              <w:t>Nav</w:t>
            </w:r>
          </w:p>
        </w:tc>
      </w:tr>
      <w:tr w:rsidR="009D36DE" w:rsidRPr="007D3E6E" w14:paraId="5652B384" w14:textId="77777777" w:rsidTr="001611E9">
        <w:trPr>
          <w:trHeight w:val="17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8FBA30" w14:textId="77777777" w:rsidR="009D36DE" w:rsidRPr="007D3E6E" w:rsidRDefault="009D36DE" w:rsidP="000044FA">
            <w:pPr>
              <w:spacing w:before="100" w:after="100"/>
            </w:pPr>
            <w:r w:rsidRPr="007D3E6E"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E68AD9" w14:textId="77777777" w:rsidR="009D36DE" w:rsidRPr="007D3E6E" w:rsidRDefault="009D36DE" w:rsidP="000044FA">
            <w:pPr>
              <w:spacing w:before="100" w:after="100"/>
            </w:pPr>
            <w:r w:rsidRPr="007D3E6E">
              <w:t>Cita informācija</w:t>
            </w:r>
          </w:p>
        </w:tc>
        <w:tc>
          <w:tcPr>
            <w:tcW w:w="6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695E48" w14:textId="5480FEF7" w:rsidR="009D36DE" w:rsidRPr="007D3E6E" w:rsidRDefault="00317C31" w:rsidP="005B5260">
            <w:pPr>
              <w:spacing w:before="100" w:after="100"/>
              <w:ind w:right="109" w:firstLine="123"/>
              <w:jc w:val="both"/>
            </w:pPr>
            <w:r>
              <w:t>Nav</w:t>
            </w:r>
          </w:p>
        </w:tc>
      </w:tr>
    </w:tbl>
    <w:p w14:paraId="3DBDB41B" w14:textId="77777777" w:rsidR="009D36DE" w:rsidRPr="007D3E6E" w:rsidRDefault="009D36DE" w:rsidP="000044FA"/>
    <w:tbl>
      <w:tblPr>
        <w:tblW w:w="5181" w:type="pct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  <w:gridCol w:w="40"/>
      </w:tblGrid>
      <w:tr w:rsidR="009D36DE" w:rsidRPr="007D3E6E" w14:paraId="4C146E2F" w14:textId="77777777" w:rsidTr="001611E9">
        <w:trPr>
          <w:trHeight w:val="44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1B351E4" w14:textId="77777777" w:rsidR="009D36DE" w:rsidRPr="007D3E6E" w:rsidRDefault="009D36DE" w:rsidP="004B4E72">
            <w:pPr>
              <w:ind w:right="-19"/>
              <w:jc w:val="center"/>
              <w:rPr>
                <w:b/>
                <w:bCs/>
              </w:rPr>
            </w:pPr>
            <w:r w:rsidRPr="007D3E6E">
              <w:rPr>
                <w:b/>
                <w:bCs/>
              </w:rPr>
              <w:t>II. Tiesību aktu projektu ietekme uz sabiedrību, tautsaimniecības attīstību un administratīvo slogu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968C0" w14:textId="77777777" w:rsidR="009D36DE" w:rsidRPr="007D3E6E" w:rsidRDefault="009D36DE" w:rsidP="000044FA">
            <w:pPr>
              <w:ind w:firstLine="1113"/>
              <w:jc w:val="center"/>
              <w:rPr>
                <w:b/>
                <w:bCs/>
              </w:rPr>
            </w:pPr>
          </w:p>
        </w:tc>
      </w:tr>
      <w:tr w:rsidR="001611E9" w:rsidRPr="007D3E6E" w14:paraId="5B31CB64" w14:textId="77777777" w:rsidTr="001611E9">
        <w:trPr>
          <w:trHeight w:val="44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6D3D226" w14:textId="77777777" w:rsidR="001611E9" w:rsidRPr="007D3E6E" w:rsidRDefault="001611E9" w:rsidP="004B4E72">
            <w:pPr>
              <w:jc w:val="center"/>
              <w:rPr>
                <w:b/>
                <w:bCs/>
                <w:highlight w:val="green"/>
              </w:rPr>
            </w:pPr>
            <w:r w:rsidRPr="007D3E6E">
              <w:t>Projekts šo jomu neskar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1C3D0" w14:textId="77777777" w:rsidR="001611E9" w:rsidRPr="007D3E6E" w:rsidRDefault="001611E9" w:rsidP="000044FA">
            <w:pPr>
              <w:ind w:firstLine="1113"/>
              <w:jc w:val="center"/>
              <w:rPr>
                <w:b/>
                <w:bCs/>
                <w:highlight w:val="green"/>
              </w:rPr>
            </w:pPr>
          </w:p>
        </w:tc>
      </w:tr>
    </w:tbl>
    <w:p w14:paraId="2054AA73" w14:textId="77777777" w:rsidR="00064F32" w:rsidRDefault="00064F32" w:rsidP="000044FA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</w:p>
    <w:tbl>
      <w:tblPr>
        <w:tblStyle w:val="TableGrid"/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134"/>
        <w:gridCol w:w="1134"/>
        <w:gridCol w:w="851"/>
        <w:gridCol w:w="992"/>
        <w:gridCol w:w="1276"/>
        <w:gridCol w:w="8"/>
      </w:tblGrid>
      <w:tr w:rsidR="00064F32" w14:paraId="2290E396" w14:textId="77777777" w:rsidTr="00962079">
        <w:trPr>
          <w:jc w:val="center"/>
        </w:trPr>
        <w:tc>
          <w:tcPr>
            <w:tcW w:w="9501" w:type="dxa"/>
            <w:gridSpan w:val="9"/>
          </w:tcPr>
          <w:p w14:paraId="6B1BBF90" w14:textId="77777777" w:rsidR="00064F32" w:rsidRPr="00E47E33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7E33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64F32" w14:paraId="5EF10583" w14:textId="77777777" w:rsidTr="005B5260">
        <w:trPr>
          <w:jc w:val="center"/>
        </w:trPr>
        <w:tc>
          <w:tcPr>
            <w:tcW w:w="1413" w:type="dxa"/>
            <w:vMerge w:val="restart"/>
          </w:tcPr>
          <w:p w14:paraId="70055DE7" w14:textId="77777777" w:rsidR="00372421" w:rsidRDefault="00372421" w:rsidP="00372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64D976C" w14:textId="77777777" w:rsidR="00372421" w:rsidRDefault="00372421" w:rsidP="00372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F95A946" w14:textId="77777777" w:rsidR="00372421" w:rsidRDefault="00372421" w:rsidP="00372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337BA23" w14:textId="77777777" w:rsidR="00372421" w:rsidRDefault="00372421" w:rsidP="00372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B77B71A" w14:textId="32842978" w:rsidR="00064F32" w:rsidRPr="00962079" w:rsidRDefault="00064F32" w:rsidP="00372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2079">
              <w:rPr>
                <w:rFonts w:ascii="Times New Roman" w:hAnsi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693" w:type="dxa"/>
            <w:gridSpan w:val="2"/>
            <w:vMerge w:val="restart"/>
          </w:tcPr>
          <w:p w14:paraId="2AB83078" w14:textId="55E9C4CA" w:rsidR="00064F32" w:rsidRPr="00962079" w:rsidRDefault="002C104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2020</w:t>
            </w:r>
            <w:r w:rsidR="00064F32" w:rsidRPr="00962079">
              <w:rPr>
                <w:rFonts w:ascii="Times New Roman" w:hAnsi="Times New Roman"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5395" w:type="dxa"/>
            <w:gridSpan w:val="6"/>
          </w:tcPr>
          <w:p w14:paraId="77284521" w14:textId="77777777" w:rsidR="00064F32" w:rsidRPr="0027336A" w:rsidRDefault="00064F32" w:rsidP="00372421">
            <w:pPr>
              <w:pStyle w:val="NoSpacing"/>
              <w:jc w:val="center"/>
              <w:rPr>
                <w:rFonts w:ascii="Times New Roman" w:hAnsi="Times New Roman"/>
                <w:lang w:eastAsia="lv-LV"/>
              </w:rPr>
            </w:pPr>
            <w:r w:rsidRPr="0027336A">
              <w:rPr>
                <w:rFonts w:ascii="Times New Roman" w:hAnsi="Times New Roman"/>
                <w:lang w:eastAsia="lv-LV"/>
              </w:rPr>
              <w:t>Turpmākie trīs gadi (</w:t>
            </w:r>
            <w:r w:rsidRPr="0027336A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 w:rsidRPr="0027336A">
              <w:rPr>
                <w:rFonts w:ascii="Times New Roman" w:hAnsi="Times New Roman"/>
                <w:lang w:eastAsia="lv-LV"/>
              </w:rPr>
              <w:t>)</w:t>
            </w:r>
          </w:p>
        </w:tc>
      </w:tr>
      <w:tr w:rsidR="00064F32" w14:paraId="72722EC7" w14:textId="77777777" w:rsidTr="005B5260">
        <w:trPr>
          <w:jc w:val="center"/>
        </w:trPr>
        <w:tc>
          <w:tcPr>
            <w:tcW w:w="1413" w:type="dxa"/>
            <w:vMerge/>
          </w:tcPr>
          <w:p w14:paraId="5F6D5C9D" w14:textId="77777777" w:rsidR="00064F32" w:rsidRPr="00962079" w:rsidRDefault="00064F32" w:rsidP="00372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gridSpan w:val="2"/>
            <w:vMerge/>
          </w:tcPr>
          <w:p w14:paraId="0186CDB4" w14:textId="77777777" w:rsidR="00064F32" w:rsidRPr="00962079" w:rsidRDefault="00064F32" w:rsidP="00372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</w:tcPr>
          <w:p w14:paraId="2B8E1DA0" w14:textId="15D9EDB8" w:rsidR="00064F32" w:rsidRPr="004B0522" w:rsidRDefault="002C1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5B5260">
              <w:rPr>
                <w:rFonts w:ascii="Times New Roman" w:hAnsi="Times New Roman"/>
                <w:szCs w:val="20"/>
                <w:lang w:eastAsia="lv-LV"/>
              </w:rPr>
              <w:t>2021</w:t>
            </w:r>
            <w:r w:rsidR="00064F32" w:rsidRPr="005B5260">
              <w:rPr>
                <w:rFonts w:ascii="Times New Roman" w:hAnsi="Times New Roman"/>
                <w:szCs w:val="20"/>
                <w:lang w:eastAsia="lv-LV"/>
              </w:rPr>
              <w:t>.</w:t>
            </w:r>
            <w:r w:rsidR="005B5260">
              <w:rPr>
                <w:rFonts w:ascii="Times New Roman" w:hAnsi="Times New Roman"/>
                <w:szCs w:val="20"/>
                <w:lang w:eastAsia="lv-LV"/>
              </w:rPr>
              <w:t xml:space="preserve"> </w:t>
            </w:r>
            <w:r w:rsidR="00064F32" w:rsidRPr="005B5260">
              <w:rPr>
                <w:rFonts w:ascii="Times New Roman" w:hAnsi="Times New Roman"/>
                <w:szCs w:val="20"/>
                <w:lang w:eastAsia="lv-LV"/>
              </w:rPr>
              <w:t>gads</w:t>
            </w:r>
          </w:p>
        </w:tc>
        <w:tc>
          <w:tcPr>
            <w:tcW w:w="1843" w:type="dxa"/>
            <w:gridSpan w:val="2"/>
          </w:tcPr>
          <w:p w14:paraId="0613558D" w14:textId="5C7D29FE" w:rsidR="00064F32" w:rsidRPr="0027336A" w:rsidRDefault="002C1040">
            <w:pPr>
              <w:pStyle w:val="NoSpacing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2022</w:t>
            </w:r>
            <w:r w:rsidR="00064F32" w:rsidRPr="0027336A">
              <w:rPr>
                <w:rFonts w:ascii="Times New Roman" w:hAnsi="Times New Roman"/>
                <w:lang w:eastAsia="lv-LV"/>
              </w:rPr>
              <w:t>.</w:t>
            </w:r>
            <w:r w:rsidR="005B5260">
              <w:rPr>
                <w:rFonts w:ascii="Times New Roman" w:hAnsi="Times New Roman"/>
                <w:lang w:eastAsia="lv-LV"/>
              </w:rPr>
              <w:t xml:space="preserve"> </w:t>
            </w:r>
            <w:r w:rsidR="00064F32" w:rsidRPr="0027336A">
              <w:rPr>
                <w:rFonts w:ascii="Times New Roman" w:hAnsi="Times New Roman"/>
                <w:lang w:eastAsia="lv-LV"/>
              </w:rPr>
              <w:t>gads</w:t>
            </w:r>
          </w:p>
        </w:tc>
        <w:tc>
          <w:tcPr>
            <w:tcW w:w="1284" w:type="dxa"/>
            <w:gridSpan w:val="2"/>
          </w:tcPr>
          <w:p w14:paraId="2EC5B9B5" w14:textId="76B29204" w:rsidR="00064F32" w:rsidRPr="0027336A" w:rsidRDefault="002C1040">
            <w:pPr>
              <w:pStyle w:val="NoSpacing"/>
              <w:jc w:val="center"/>
              <w:rPr>
                <w:rFonts w:ascii="Times New Roman" w:hAnsi="Times New Roman"/>
                <w:lang w:eastAsia="lv-LV"/>
              </w:rPr>
            </w:pPr>
            <w:r w:rsidRPr="0027336A">
              <w:rPr>
                <w:rFonts w:ascii="Times New Roman" w:hAnsi="Times New Roman"/>
                <w:lang w:eastAsia="lv-LV"/>
              </w:rPr>
              <w:t>202</w:t>
            </w:r>
            <w:r>
              <w:rPr>
                <w:rFonts w:ascii="Times New Roman" w:hAnsi="Times New Roman"/>
                <w:lang w:eastAsia="lv-LV"/>
              </w:rPr>
              <w:t>3</w:t>
            </w:r>
            <w:r w:rsidR="00064F32" w:rsidRPr="0027336A">
              <w:rPr>
                <w:rFonts w:ascii="Times New Roman" w:hAnsi="Times New Roman"/>
                <w:lang w:eastAsia="lv-LV"/>
              </w:rPr>
              <w:t>.</w:t>
            </w:r>
            <w:r w:rsidR="005B5260">
              <w:rPr>
                <w:rFonts w:ascii="Times New Roman" w:hAnsi="Times New Roman"/>
                <w:lang w:eastAsia="lv-LV"/>
              </w:rPr>
              <w:t xml:space="preserve"> </w:t>
            </w:r>
            <w:r w:rsidR="00064F32" w:rsidRPr="0027336A">
              <w:rPr>
                <w:rFonts w:ascii="Times New Roman" w:hAnsi="Times New Roman"/>
                <w:lang w:eastAsia="lv-LV"/>
              </w:rPr>
              <w:t>gads</w:t>
            </w:r>
          </w:p>
        </w:tc>
      </w:tr>
      <w:tr w:rsidR="00064F32" w14:paraId="704E5777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14:paraId="21797E92" w14:textId="77777777" w:rsidR="00064F32" w:rsidRPr="00962079" w:rsidRDefault="00064F32" w:rsidP="00372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14:paraId="4CF9630E" w14:textId="77777777" w:rsidR="00064F32" w:rsidRPr="00962079" w:rsidRDefault="00064F32" w:rsidP="00372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2079">
              <w:rPr>
                <w:rFonts w:ascii="Times New Roman" w:hAnsi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76" w:type="dxa"/>
          </w:tcPr>
          <w:p w14:paraId="1659FCE2" w14:textId="77777777" w:rsidR="00064F32" w:rsidRPr="00962079" w:rsidRDefault="00064F32" w:rsidP="00372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2079">
              <w:rPr>
                <w:rFonts w:ascii="Times New Roman" w:hAnsi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134" w:type="dxa"/>
          </w:tcPr>
          <w:p w14:paraId="15473A0E" w14:textId="77777777" w:rsidR="00064F32" w:rsidRPr="00962079" w:rsidRDefault="00064F32" w:rsidP="00372421">
            <w:pPr>
              <w:pStyle w:val="NoSpacing"/>
              <w:jc w:val="center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saskaņā ar vidēja termiņa budžeta ietvaru</w:t>
            </w:r>
          </w:p>
        </w:tc>
        <w:tc>
          <w:tcPr>
            <w:tcW w:w="1134" w:type="dxa"/>
          </w:tcPr>
          <w:p w14:paraId="688AD74B" w14:textId="77777777" w:rsidR="00064F32" w:rsidRPr="00962079" w:rsidRDefault="00064F32" w:rsidP="00372421">
            <w:pPr>
              <w:pStyle w:val="NoSpacing"/>
              <w:jc w:val="center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izmaiņas, salīdzinot ar vidēja termiņa budžeta ietvaru 20</w:t>
            </w:r>
            <w:r w:rsidR="00C142F2">
              <w:rPr>
                <w:rFonts w:ascii="Times New Roman" w:hAnsi="Times New Roman"/>
                <w:lang w:eastAsia="lv-LV"/>
              </w:rPr>
              <w:t>20</w:t>
            </w:r>
            <w:r w:rsidRPr="00962079">
              <w:rPr>
                <w:rFonts w:ascii="Times New Roman" w:hAnsi="Times New Roman"/>
                <w:lang w:eastAsia="lv-LV"/>
              </w:rPr>
              <w:t>. gadam</w:t>
            </w:r>
          </w:p>
        </w:tc>
        <w:tc>
          <w:tcPr>
            <w:tcW w:w="851" w:type="dxa"/>
          </w:tcPr>
          <w:p w14:paraId="31723888" w14:textId="77777777" w:rsidR="00064F32" w:rsidRPr="00962079" w:rsidRDefault="00064F32" w:rsidP="00372421">
            <w:pPr>
              <w:pStyle w:val="NoSpacing"/>
              <w:ind w:left="-102"/>
              <w:jc w:val="center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saskaņā ar vidēja termiņa budžeta ietvaru</w:t>
            </w:r>
          </w:p>
        </w:tc>
        <w:tc>
          <w:tcPr>
            <w:tcW w:w="992" w:type="dxa"/>
          </w:tcPr>
          <w:p w14:paraId="05EF7C8C" w14:textId="77777777" w:rsidR="00064F32" w:rsidRPr="00962079" w:rsidRDefault="00064F32" w:rsidP="00372421">
            <w:pPr>
              <w:pStyle w:val="NoSpacing"/>
              <w:ind w:left="-102"/>
              <w:jc w:val="center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izmaiņas, salīdzinot ar vid</w:t>
            </w:r>
            <w:r w:rsidR="00C142F2">
              <w:rPr>
                <w:rFonts w:ascii="Times New Roman" w:hAnsi="Times New Roman"/>
                <w:lang w:eastAsia="lv-LV"/>
              </w:rPr>
              <w:t>ēja termiņa budžeta ietvaru 2021</w:t>
            </w:r>
            <w:r w:rsidRPr="00962079">
              <w:rPr>
                <w:rFonts w:ascii="Times New Roman" w:hAnsi="Times New Roman"/>
                <w:lang w:eastAsia="lv-LV"/>
              </w:rPr>
              <w:t>. gadam</w:t>
            </w:r>
          </w:p>
        </w:tc>
        <w:tc>
          <w:tcPr>
            <w:tcW w:w="1276" w:type="dxa"/>
          </w:tcPr>
          <w:p w14:paraId="4F89B0BE" w14:textId="77777777" w:rsidR="00064F32" w:rsidRPr="00962079" w:rsidRDefault="00064F32" w:rsidP="00372421">
            <w:pPr>
              <w:pStyle w:val="NoSpacing"/>
              <w:jc w:val="center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izmaiņas, salīdzinot ar vidēja termiņa budžeta ietvaru 202</w:t>
            </w:r>
            <w:r w:rsidR="00C142F2">
              <w:rPr>
                <w:rFonts w:ascii="Times New Roman" w:hAnsi="Times New Roman"/>
                <w:lang w:eastAsia="lv-LV"/>
              </w:rPr>
              <w:t>1</w:t>
            </w:r>
            <w:r w:rsidRPr="00962079">
              <w:rPr>
                <w:rFonts w:ascii="Times New Roman" w:hAnsi="Times New Roman"/>
                <w:lang w:eastAsia="lv-LV"/>
              </w:rPr>
              <w:t>. gadam</w:t>
            </w:r>
          </w:p>
        </w:tc>
      </w:tr>
      <w:tr w:rsidR="00064F32" w14:paraId="06738653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  <w:vAlign w:val="center"/>
          </w:tcPr>
          <w:p w14:paraId="087E6665" w14:textId="77777777" w:rsidR="00064F32" w:rsidRPr="0027336A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lv-LV"/>
              </w:rPr>
            </w:pPr>
            <w:r w:rsidRPr="0027336A">
              <w:rPr>
                <w:rFonts w:ascii="Times New Roman" w:hAnsi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417" w:type="dxa"/>
            <w:vAlign w:val="center"/>
          </w:tcPr>
          <w:p w14:paraId="742AF566" w14:textId="77777777" w:rsidR="00064F32" w:rsidRPr="0027336A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lv-LV"/>
              </w:rPr>
            </w:pPr>
            <w:r w:rsidRPr="0027336A">
              <w:rPr>
                <w:rFonts w:ascii="Times New Roman" w:hAnsi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276" w:type="dxa"/>
            <w:vAlign w:val="center"/>
          </w:tcPr>
          <w:p w14:paraId="2F15398D" w14:textId="77777777" w:rsidR="00064F32" w:rsidRPr="0027336A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lv-LV"/>
              </w:rPr>
            </w:pPr>
            <w:r w:rsidRPr="0027336A">
              <w:rPr>
                <w:rFonts w:ascii="Times New Roman" w:hAnsi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34" w:type="dxa"/>
            <w:vAlign w:val="center"/>
          </w:tcPr>
          <w:p w14:paraId="5C4D947D" w14:textId="77777777" w:rsidR="00064F32" w:rsidRPr="0027336A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lv-LV"/>
              </w:rPr>
            </w:pPr>
            <w:r w:rsidRPr="0027336A">
              <w:rPr>
                <w:rFonts w:ascii="Times New Roman" w:hAnsi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134" w:type="dxa"/>
            <w:vAlign w:val="center"/>
          </w:tcPr>
          <w:p w14:paraId="27465714" w14:textId="77777777" w:rsidR="00064F32" w:rsidRPr="0027336A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lv-LV"/>
              </w:rPr>
            </w:pPr>
            <w:r w:rsidRPr="0027336A">
              <w:rPr>
                <w:rFonts w:ascii="Times New Roman" w:hAnsi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851" w:type="dxa"/>
            <w:vAlign w:val="center"/>
          </w:tcPr>
          <w:p w14:paraId="508761AC" w14:textId="77777777" w:rsidR="00064F32" w:rsidRPr="0027336A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lv-LV"/>
              </w:rPr>
            </w:pPr>
            <w:r w:rsidRPr="0027336A">
              <w:rPr>
                <w:rFonts w:ascii="Times New Roman" w:hAnsi="Times New Roman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992" w:type="dxa"/>
            <w:vAlign w:val="center"/>
          </w:tcPr>
          <w:p w14:paraId="74BAE14B" w14:textId="77777777" w:rsidR="00064F32" w:rsidRPr="0027336A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lv-LV"/>
              </w:rPr>
            </w:pPr>
            <w:r w:rsidRPr="0027336A">
              <w:rPr>
                <w:rFonts w:ascii="Times New Roman" w:hAnsi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276" w:type="dxa"/>
            <w:vAlign w:val="center"/>
          </w:tcPr>
          <w:p w14:paraId="4061E3F8" w14:textId="77777777" w:rsidR="00064F32" w:rsidRPr="0027336A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lv-LV"/>
              </w:rPr>
            </w:pPr>
            <w:r w:rsidRPr="0027336A">
              <w:rPr>
                <w:rFonts w:ascii="Times New Roman" w:hAnsi="Times New Roman"/>
                <w:sz w:val="16"/>
                <w:szCs w:val="16"/>
                <w:lang w:eastAsia="lv-LV"/>
              </w:rPr>
              <w:t>8</w:t>
            </w:r>
          </w:p>
        </w:tc>
      </w:tr>
      <w:tr w:rsidR="000044FA" w:rsidRPr="007D3E6E" w14:paraId="6285ABA3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18F4E0D7" w14:textId="77777777" w:rsidR="001611E9" w:rsidRPr="00962079" w:rsidRDefault="001611E9" w:rsidP="000044F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1. Budžeta ieņēmumi</w:t>
            </w:r>
          </w:p>
        </w:tc>
        <w:tc>
          <w:tcPr>
            <w:tcW w:w="1417" w:type="dxa"/>
          </w:tcPr>
          <w:p w14:paraId="056264E9" w14:textId="35C1806E" w:rsidR="001611E9" w:rsidRPr="007D3E6E" w:rsidRDefault="00671831" w:rsidP="00671831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  <w:r w:rsidRPr="004C2D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4C2D52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401C55" w:rsidRPr="004C2D5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14:paraId="2AC5F917" w14:textId="77777777" w:rsidR="001611E9" w:rsidRPr="007D3E6E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07F1B4E9" w14:textId="77BAE109" w:rsidR="001611E9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5EB6020B" w14:textId="77777777" w:rsidR="001611E9" w:rsidRPr="007D3E6E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07795111" w14:textId="422514BA" w:rsidR="001611E9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5427B052" w14:textId="77777777" w:rsidR="001611E9" w:rsidRPr="007D3E6E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11A42E02" w14:textId="77777777" w:rsidR="001611E9" w:rsidRPr="007D3E6E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044FA" w:rsidRPr="007D3E6E" w14:paraId="6E564720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3D166CCC" w14:textId="77777777" w:rsidR="001611E9" w:rsidRPr="00962079" w:rsidRDefault="001611E9" w:rsidP="000044F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417" w:type="dxa"/>
          </w:tcPr>
          <w:p w14:paraId="2058AD1F" w14:textId="1B80679C" w:rsidR="001611E9" w:rsidRPr="007D3E6E" w:rsidRDefault="00671831" w:rsidP="00671831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  <w:r w:rsidRPr="004C2D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4C2D52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401C55" w:rsidRPr="004C2D5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14:paraId="04F63E08" w14:textId="77777777" w:rsidR="001611E9" w:rsidRPr="007D3E6E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75B65C1F" w14:textId="03DF7526" w:rsidR="001611E9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6FF8F956" w14:textId="77777777" w:rsidR="001611E9" w:rsidRPr="007D3E6E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3D823D9F" w14:textId="1F262E06" w:rsidR="001611E9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882CD76" w14:textId="77777777" w:rsidR="001611E9" w:rsidRPr="007D3E6E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5D10F365" w14:textId="77777777" w:rsidR="001611E9" w:rsidRPr="007D3E6E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8556ED" w:rsidRPr="007D3E6E" w14:paraId="7AC8B340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5FE16CE0" w14:textId="5120D76D" w:rsidR="008556ED" w:rsidRPr="008556ED" w:rsidRDefault="008556ED" w:rsidP="002C1040">
            <w:pPr>
              <w:pStyle w:val="NoSpacing"/>
              <w:rPr>
                <w:rFonts w:ascii="Times New Roman" w:hAnsi="Times New Roman"/>
                <w:i/>
                <w:lang w:eastAsia="lv-LV"/>
              </w:rPr>
            </w:pPr>
            <w:r w:rsidRPr="008556ED">
              <w:rPr>
                <w:rFonts w:ascii="Times New Roman" w:hAnsi="Times New Roman"/>
                <w:i/>
                <w:lang w:eastAsia="lv-LV"/>
              </w:rPr>
              <w:t xml:space="preserve">Apakšprogramma 41.01.00 “Iemaksas </w:t>
            </w:r>
            <w:r w:rsidRPr="008556ED">
              <w:rPr>
                <w:rFonts w:ascii="Times New Roman" w:hAnsi="Times New Roman"/>
                <w:i/>
                <w:lang w:eastAsia="lv-LV"/>
              </w:rPr>
              <w:lastRenderedPageBreak/>
              <w:t xml:space="preserve">Eiropas </w:t>
            </w:r>
            <w:r w:rsidR="002C1040">
              <w:rPr>
                <w:rFonts w:ascii="Times New Roman" w:hAnsi="Times New Roman"/>
                <w:i/>
                <w:lang w:eastAsia="lv-LV"/>
              </w:rPr>
              <w:t>Savienības</w:t>
            </w:r>
            <w:r w:rsidR="002C1040" w:rsidRPr="008556ED">
              <w:rPr>
                <w:rFonts w:ascii="Times New Roman" w:hAnsi="Times New Roman"/>
                <w:i/>
                <w:lang w:eastAsia="lv-LV"/>
              </w:rPr>
              <w:t xml:space="preserve"> </w:t>
            </w:r>
            <w:r w:rsidRPr="008556ED">
              <w:rPr>
                <w:rFonts w:ascii="Times New Roman" w:hAnsi="Times New Roman"/>
                <w:i/>
                <w:lang w:eastAsia="lv-LV"/>
              </w:rPr>
              <w:t>budžetā”</w:t>
            </w:r>
          </w:p>
        </w:tc>
        <w:tc>
          <w:tcPr>
            <w:tcW w:w="1417" w:type="dxa"/>
          </w:tcPr>
          <w:p w14:paraId="661ABFA3" w14:textId="7564483D" w:rsidR="008556ED" w:rsidRPr="008556ED" w:rsidRDefault="00671831" w:rsidP="00671831">
            <w:pPr>
              <w:pStyle w:val="NoSpacing"/>
              <w:ind w:left="-253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317</w:t>
            </w:r>
            <w:r w:rsidRPr="008556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  <w:r w:rsidRPr="008556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 </w:t>
            </w:r>
            <w:r w:rsidR="008556ED" w:rsidRPr="008556ED">
              <w:rPr>
                <w:rFonts w:ascii="Times New Roman" w:hAnsi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14:paraId="2B36D07E" w14:textId="18F808E2" w:rsidR="008556ED" w:rsidRPr="007D3E6E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70E94A69" w14:textId="7C072708" w:rsidR="008556ED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40D899C7" w14:textId="58E8CEC4" w:rsidR="008556ED" w:rsidRPr="007D3E6E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5090360B" w14:textId="6682B005" w:rsidR="008556ED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7761A2A" w14:textId="77777777" w:rsidR="008556ED" w:rsidRPr="007D3E6E" w:rsidRDefault="008556ED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18D692C1" w14:textId="152DCE8D" w:rsidR="008556ED" w:rsidRPr="007D3E6E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64F32" w:rsidRPr="007D3E6E" w14:paraId="68E4CF1A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7EF383DE" w14:textId="77777777" w:rsidR="00064F32" w:rsidRPr="00962079" w:rsidRDefault="00064F32" w:rsidP="000044F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1.2. valsts speciālais budžets</w:t>
            </w:r>
          </w:p>
        </w:tc>
        <w:tc>
          <w:tcPr>
            <w:tcW w:w="1417" w:type="dxa"/>
          </w:tcPr>
          <w:p w14:paraId="5F16D58E" w14:textId="177BD6B7" w:rsidR="00064F32" w:rsidRPr="007D3E6E" w:rsidRDefault="00964B8D" w:rsidP="00962079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0A0B96CF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79A53E17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534BEFB7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233826F5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3C3B58ED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4BCF405B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64F32" w:rsidRPr="007D3E6E" w14:paraId="3FFC3881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2CEA15CD" w14:textId="77777777" w:rsidR="00064F32" w:rsidRPr="00962079" w:rsidRDefault="00064F32" w:rsidP="000044F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1.3. pašvaldību budžets</w:t>
            </w:r>
          </w:p>
        </w:tc>
        <w:tc>
          <w:tcPr>
            <w:tcW w:w="1417" w:type="dxa"/>
          </w:tcPr>
          <w:p w14:paraId="2B532EE4" w14:textId="77777777" w:rsidR="00064F32" w:rsidRPr="007D3E6E" w:rsidRDefault="00064F32" w:rsidP="00962079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313ABD5E" w14:textId="77777777" w:rsidR="00064F32" w:rsidRPr="005E37B5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E37B5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357F7F23" w14:textId="77777777" w:rsidR="00064F32" w:rsidRPr="005E37B5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E37B5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773D4032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03D4C03E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13DFCA97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0B6BC1F3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64F32" w:rsidRPr="007D3E6E" w14:paraId="1C3F2C8B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4A1093AA" w14:textId="77777777" w:rsidR="00064F32" w:rsidRPr="00962079" w:rsidRDefault="00064F32" w:rsidP="000044F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2. Budžeta izdevumi</w:t>
            </w:r>
          </w:p>
        </w:tc>
        <w:tc>
          <w:tcPr>
            <w:tcW w:w="1417" w:type="dxa"/>
          </w:tcPr>
          <w:p w14:paraId="78FDC2B0" w14:textId="49AC2913" w:rsidR="00064F32" w:rsidRPr="00341D9C" w:rsidRDefault="005B5260" w:rsidP="005B5260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  <w:r w:rsidRPr="004C2D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4C2D52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341D9C" w:rsidRPr="004C2D5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41D9C" w:rsidRPr="002A38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A22C34A" w14:textId="334A1E1B" w:rsidR="00064F32" w:rsidRPr="005E37B5" w:rsidRDefault="00964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64B8D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4322BB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="004322BB" w:rsidRPr="00964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526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14:paraId="62AAB058" w14:textId="719239C8" w:rsidR="00064F32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493BFE3A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1D94E43E" w14:textId="26312B5E" w:rsidR="00064F32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7404EAF3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7BB6509A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64F32" w:rsidRPr="007D3E6E" w14:paraId="5F14C625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3E9C8911" w14:textId="77777777" w:rsidR="00064F32" w:rsidRPr="00962079" w:rsidRDefault="00064F32" w:rsidP="000044FA">
            <w:pPr>
              <w:pStyle w:val="NoSpacing"/>
              <w:rPr>
                <w:rFonts w:ascii="Times New Roman" w:hAnsi="Times New Roman"/>
                <w:sz w:val="21"/>
                <w:szCs w:val="21"/>
                <w:lang w:eastAsia="lv-LV"/>
              </w:rPr>
            </w:pPr>
            <w:r w:rsidRPr="00962079">
              <w:rPr>
                <w:rFonts w:ascii="Times New Roman" w:hAnsi="Times New Roman"/>
                <w:sz w:val="21"/>
                <w:szCs w:val="21"/>
                <w:lang w:eastAsia="lv-LV"/>
              </w:rPr>
              <w:t>2.1. valsts pamatbudžets</w:t>
            </w:r>
          </w:p>
        </w:tc>
        <w:tc>
          <w:tcPr>
            <w:tcW w:w="1417" w:type="dxa"/>
          </w:tcPr>
          <w:p w14:paraId="16433056" w14:textId="70AD1983" w:rsidR="00064F32" w:rsidRPr="00341D9C" w:rsidRDefault="005B5260" w:rsidP="005B5260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  <w:r w:rsidRPr="004C2D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  <w:r w:rsidRPr="004C2D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1D9C" w:rsidRPr="004C2D5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41D9C" w:rsidRPr="002A38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AA220F2" w14:textId="135A913F" w:rsidR="00064F32" w:rsidRPr="005E37B5" w:rsidRDefault="00964B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64B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52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322BB">
              <w:rPr>
                <w:rFonts w:ascii="Times New Roman" w:hAnsi="Times New Roman"/>
                <w:b/>
                <w:sz w:val="24"/>
                <w:szCs w:val="24"/>
              </w:rPr>
              <w:t xml:space="preserve">300 </w:t>
            </w:r>
            <w:r w:rsidR="005B526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14:paraId="28D6A541" w14:textId="0FDF3DE6" w:rsidR="00064F32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4D8E7113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6C94C429" w14:textId="3BE3D746" w:rsidR="00064F32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22364611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172AC6AE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E16501" w:rsidRPr="007D3E6E" w14:paraId="5DAFDD09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3B02577A" w14:textId="4583C41E" w:rsidR="00E16501" w:rsidRPr="00962079" w:rsidRDefault="000A17C2" w:rsidP="002C1040">
            <w:pPr>
              <w:pStyle w:val="NoSpacing"/>
              <w:rPr>
                <w:rFonts w:ascii="Times New Roman" w:hAnsi="Times New Roman"/>
                <w:i/>
                <w:lang w:eastAsia="lv-LV"/>
              </w:rPr>
            </w:pPr>
            <w:r>
              <w:rPr>
                <w:rFonts w:ascii="Times New Roman" w:hAnsi="Times New Roman"/>
                <w:i/>
                <w:lang w:eastAsia="lv-LV"/>
              </w:rPr>
              <w:t xml:space="preserve">Apakšprogramma 41.01.00 “Iemaksas Eiropas </w:t>
            </w:r>
            <w:r w:rsidR="002C1040">
              <w:rPr>
                <w:rFonts w:ascii="Times New Roman" w:hAnsi="Times New Roman"/>
                <w:i/>
                <w:lang w:eastAsia="lv-LV"/>
              </w:rPr>
              <w:t xml:space="preserve">Savienības </w:t>
            </w:r>
            <w:r>
              <w:rPr>
                <w:rFonts w:ascii="Times New Roman" w:hAnsi="Times New Roman"/>
                <w:i/>
                <w:lang w:eastAsia="lv-LV"/>
              </w:rPr>
              <w:t>budžetā”</w:t>
            </w:r>
          </w:p>
        </w:tc>
        <w:tc>
          <w:tcPr>
            <w:tcW w:w="1417" w:type="dxa"/>
          </w:tcPr>
          <w:p w14:paraId="63E2BB95" w14:textId="02A4902D" w:rsidR="00E16501" w:rsidRPr="00984EB3" w:rsidRDefault="005B5260" w:rsidP="005B5260">
            <w:pPr>
              <w:pStyle w:val="NoSpacing"/>
              <w:ind w:left="-253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984EB3">
              <w:rPr>
                <w:rFonts w:ascii="Times New Roman" w:hAnsi="Times New Roman"/>
                <w:b/>
                <w:i/>
                <w:sz w:val="24"/>
                <w:szCs w:val="24"/>
                <w:lang w:eastAsia="lv-LV"/>
              </w:rPr>
              <w:t xml:space="preserve">317 340 </w:t>
            </w:r>
            <w:r w:rsidR="000A17C2" w:rsidRPr="00984EB3">
              <w:rPr>
                <w:rFonts w:ascii="Times New Roman" w:hAnsi="Times New Roman"/>
                <w:b/>
                <w:i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1276" w:type="dxa"/>
          </w:tcPr>
          <w:p w14:paraId="0C434249" w14:textId="3214F3BC" w:rsidR="00E16501" w:rsidRPr="005E37B5" w:rsidRDefault="00964B8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B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="004322BB"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  <w:r w:rsidR="004322BB" w:rsidRPr="00964B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B5260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  <w:r w:rsidR="005B5260" w:rsidRPr="00964B8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B52A75D" w14:textId="624DFDBA" w:rsidR="00E16501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7CEB6124" w14:textId="301BA5D8" w:rsidR="00E16501" w:rsidRPr="007D3E6E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6CFA916B" w14:textId="2A7F358D" w:rsidR="00E16501" w:rsidRPr="00644EA2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4EA2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63A9B313" w14:textId="599E0ECC" w:rsidR="00E16501" w:rsidRPr="007D3E6E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0047CDD4" w14:textId="19DC8F07" w:rsidR="00E16501" w:rsidRPr="007D3E6E" w:rsidRDefault="00644EA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64F32" w:rsidRPr="007D3E6E" w14:paraId="7FB0B2A6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3EBF83C1" w14:textId="77777777" w:rsidR="00064F32" w:rsidRPr="00962079" w:rsidRDefault="00064F32" w:rsidP="000044F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2.2. valsts speciālais budžets</w:t>
            </w:r>
          </w:p>
        </w:tc>
        <w:tc>
          <w:tcPr>
            <w:tcW w:w="1417" w:type="dxa"/>
          </w:tcPr>
          <w:p w14:paraId="542E510A" w14:textId="3B2523F2" w:rsidR="00064F32" w:rsidRPr="007D3E6E" w:rsidRDefault="00253DCA" w:rsidP="00372421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0FE7C2E1" w14:textId="77777777" w:rsidR="00064F32" w:rsidRPr="005E37B5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E37B5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492BE7D6" w14:textId="77777777" w:rsidR="00064F32" w:rsidRPr="005E37B5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E37B5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3469DC20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5C2E9A3B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02DFA4C6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58C10384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64F32" w:rsidRPr="007D3E6E" w14:paraId="372F9969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38C27707" w14:textId="77777777" w:rsidR="00064F32" w:rsidRPr="00962079" w:rsidRDefault="00064F32" w:rsidP="000044F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2.3. pašvaldību budžets</w:t>
            </w:r>
          </w:p>
        </w:tc>
        <w:tc>
          <w:tcPr>
            <w:tcW w:w="1417" w:type="dxa"/>
          </w:tcPr>
          <w:p w14:paraId="175D109A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68529B3E" w14:textId="77777777" w:rsidR="00064F32" w:rsidRPr="005E37B5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E37B5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441A7550" w14:textId="77777777" w:rsidR="00064F32" w:rsidRPr="005E37B5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E37B5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46134518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6C4E8B0C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1C3949B1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5CCCC85E" w14:textId="77777777" w:rsidR="00064F32" w:rsidRPr="007D3E6E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253DCA" w:rsidRPr="007D3E6E" w14:paraId="73CD7EDA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381D3420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3. Finansiālā ietekme</w:t>
            </w:r>
          </w:p>
        </w:tc>
        <w:tc>
          <w:tcPr>
            <w:tcW w:w="1417" w:type="dxa"/>
          </w:tcPr>
          <w:p w14:paraId="53658771" w14:textId="1154C3D2" w:rsidR="00253DCA" w:rsidRPr="008556ED" w:rsidRDefault="00401C55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556ED">
              <w:rPr>
                <w:rFonts w:ascii="Times New Roman" w:hAnsi="Times New Roman"/>
                <w:sz w:val="24"/>
                <w:szCs w:val="24"/>
              </w:rPr>
              <w:t>0</w:t>
            </w:r>
            <w:r w:rsidR="00341D9C" w:rsidRPr="00855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909CF64" w14:textId="2E075506" w:rsidR="00253DCA" w:rsidRPr="005E37B5" w:rsidRDefault="00253DCA">
            <w:pPr>
              <w:ind w:left="-112"/>
              <w:jc w:val="right"/>
            </w:pPr>
            <w:r>
              <w:rPr>
                <w:b/>
              </w:rPr>
              <w:t>-</w:t>
            </w:r>
            <w:r w:rsidRPr="00964B8D">
              <w:rPr>
                <w:b/>
              </w:rPr>
              <w:t xml:space="preserve">1 </w:t>
            </w:r>
            <w:r w:rsidR="004322BB">
              <w:rPr>
                <w:b/>
              </w:rPr>
              <w:t>300</w:t>
            </w:r>
            <w:r w:rsidR="004322BB" w:rsidRPr="00964B8D">
              <w:rPr>
                <w:b/>
              </w:rPr>
              <w:t xml:space="preserve"> </w:t>
            </w:r>
            <w:r w:rsidR="00317C31">
              <w:rPr>
                <w:b/>
              </w:rPr>
              <w:t>00</w:t>
            </w:r>
            <w:r w:rsidR="00317C31" w:rsidRPr="00964B8D">
              <w:rPr>
                <w:b/>
              </w:rPr>
              <w:t>0</w:t>
            </w:r>
          </w:p>
        </w:tc>
        <w:tc>
          <w:tcPr>
            <w:tcW w:w="1134" w:type="dxa"/>
          </w:tcPr>
          <w:p w14:paraId="08662B43" w14:textId="77777777" w:rsidR="00253DCA" w:rsidRPr="005E37B5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E37B5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52966D99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6FF772A0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02F5617C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1AA9812E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253DCA" w:rsidRPr="007D3E6E" w14:paraId="3363C3F7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2D886A6E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sz w:val="21"/>
                <w:szCs w:val="21"/>
                <w:lang w:eastAsia="lv-LV"/>
              </w:rPr>
            </w:pPr>
            <w:r w:rsidRPr="00962079">
              <w:rPr>
                <w:rFonts w:ascii="Times New Roman" w:hAnsi="Times New Roman"/>
                <w:sz w:val="21"/>
                <w:szCs w:val="21"/>
                <w:lang w:eastAsia="lv-LV"/>
              </w:rPr>
              <w:t>3.1. valsts pamatbudžets</w:t>
            </w:r>
          </w:p>
        </w:tc>
        <w:tc>
          <w:tcPr>
            <w:tcW w:w="1417" w:type="dxa"/>
          </w:tcPr>
          <w:p w14:paraId="6567D3E7" w14:textId="1ADDFCB4" w:rsidR="00253DCA" w:rsidRPr="008556ED" w:rsidRDefault="00401C55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556ED">
              <w:rPr>
                <w:rFonts w:ascii="Times New Roman" w:hAnsi="Times New Roman"/>
                <w:sz w:val="24"/>
                <w:szCs w:val="24"/>
              </w:rPr>
              <w:t>0</w:t>
            </w:r>
            <w:r w:rsidR="00341D9C" w:rsidRPr="00855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B392BDE" w14:textId="4437837E" w:rsidR="00253DCA" w:rsidRPr="005E37B5" w:rsidRDefault="00253DCA">
            <w:pPr>
              <w:ind w:left="-112"/>
              <w:jc w:val="right"/>
            </w:pPr>
            <w:r>
              <w:rPr>
                <w:b/>
              </w:rPr>
              <w:t>-</w:t>
            </w:r>
            <w:r w:rsidRPr="00964B8D">
              <w:rPr>
                <w:b/>
              </w:rPr>
              <w:t xml:space="preserve">1 </w:t>
            </w:r>
            <w:r w:rsidR="004322BB">
              <w:rPr>
                <w:b/>
              </w:rPr>
              <w:t>300</w:t>
            </w:r>
            <w:r w:rsidR="004322BB" w:rsidRPr="00964B8D">
              <w:rPr>
                <w:b/>
              </w:rPr>
              <w:t xml:space="preserve"> </w:t>
            </w:r>
            <w:r w:rsidR="00317C31">
              <w:rPr>
                <w:b/>
              </w:rPr>
              <w:t>000</w:t>
            </w:r>
          </w:p>
        </w:tc>
        <w:tc>
          <w:tcPr>
            <w:tcW w:w="1134" w:type="dxa"/>
          </w:tcPr>
          <w:p w14:paraId="3B54D384" w14:textId="77777777" w:rsidR="00253DCA" w:rsidRPr="005E37B5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E37B5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4043500F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716338DF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0689B2A9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6B97A361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253DCA" w:rsidRPr="007D3E6E" w14:paraId="08C899AA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15619ACC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3.2. speciālais budžets</w:t>
            </w:r>
          </w:p>
        </w:tc>
        <w:tc>
          <w:tcPr>
            <w:tcW w:w="1417" w:type="dxa"/>
          </w:tcPr>
          <w:p w14:paraId="5C7C4333" w14:textId="2E73436E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262AD31F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53F20CB3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07DE10F6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6D3D705A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690C155E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0F9CADEA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253DCA" w:rsidRPr="007D3E6E" w14:paraId="4AABF1C2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12BBD651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3.3. pašvaldību budžets</w:t>
            </w:r>
          </w:p>
        </w:tc>
        <w:tc>
          <w:tcPr>
            <w:tcW w:w="1417" w:type="dxa"/>
          </w:tcPr>
          <w:p w14:paraId="4B19A6CF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322134AF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3EEEDD1D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6CA57C92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23A8E17B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20DEE9A7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22B66776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253DCA" w:rsidRPr="007D3E6E" w14:paraId="25FC07B2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41667BCA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417" w:type="dxa"/>
          </w:tcPr>
          <w:p w14:paraId="13A7C5D5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6" w:type="dxa"/>
          </w:tcPr>
          <w:p w14:paraId="265D40DE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8E38DF" w14:textId="0E994836" w:rsidR="00253DCA" w:rsidRPr="007D3E6E" w:rsidRDefault="008556ED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34" w:type="dxa"/>
          </w:tcPr>
          <w:p w14:paraId="0528B402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058E60E9" w14:textId="1BFAB40D" w:rsidR="00253DCA" w:rsidRPr="007D3E6E" w:rsidRDefault="008556ED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2" w:type="dxa"/>
          </w:tcPr>
          <w:p w14:paraId="42287641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254D6A84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253DCA" w:rsidRPr="007D3E6E" w14:paraId="49558BB9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50C004EA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5. Precizēta finansiālā ietekme</w:t>
            </w:r>
          </w:p>
        </w:tc>
        <w:tc>
          <w:tcPr>
            <w:tcW w:w="1417" w:type="dxa"/>
            <w:vMerge w:val="restart"/>
          </w:tcPr>
          <w:p w14:paraId="71896942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6" w:type="dxa"/>
          </w:tcPr>
          <w:p w14:paraId="3F980A87" w14:textId="78995C32" w:rsidR="00253DCA" w:rsidRPr="008556ED" w:rsidRDefault="008556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8556ED">
              <w:rPr>
                <w:rFonts w:ascii="Times New Roman" w:hAnsi="Times New Roman"/>
                <w:b/>
                <w:sz w:val="24"/>
                <w:szCs w:val="24"/>
              </w:rPr>
              <w:t xml:space="preserve">-1 </w:t>
            </w:r>
            <w:r w:rsidR="004322BB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="004322BB" w:rsidRPr="008556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526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</w:tcPr>
          <w:p w14:paraId="46D8B921" w14:textId="43A87236" w:rsidR="00253DCA" w:rsidRPr="007D3E6E" w:rsidRDefault="008556ED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34" w:type="dxa"/>
          </w:tcPr>
          <w:p w14:paraId="034309E6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  <w:vMerge w:val="restart"/>
          </w:tcPr>
          <w:p w14:paraId="3DDF670A" w14:textId="6379138F" w:rsidR="00253DCA" w:rsidRPr="007D3E6E" w:rsidRDefault="008556ED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2" w:type="dxa"/>
          </w:tcPr>
          <w:p w14:paraId="3E80C41A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6CEFDF47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253DCA" w:rsidRPr="007D3E6E" w14:paraId="65B33339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71DE0575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62079">
              <w:rPr>
                <w:rFonts w:ascii="Times New Roman" w:hAnsi="Times New Roman"/>
                <w:sz w:val="20"/>
                <w:szCs w:val="20"/>
                <w:lang w:eastAsia="lv-LV"/>
              </w:rPr>
              <w:t>5.1. valsts pamatbudžets</w:t>
            </w:r>
          </w:p>
        </w:tc>
        <w:tc>
          <w:tcPr>
            <w:tcW w:w="1417" w:type="dxa"/>
            <w:vMerge/>
          </w:tcPr>
          <w:p w14:paraId="6D843DC1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054216D1" w14:textId="33B74D7C" w:rsidR="00253DCA" w:rsidRPr="008556ED" w:rsidRDefault="008556ED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8556ED">
              <w:rPr>
                <w:rFonts w:ascii="Times New Roman" w:hAnsi="Times New Roman"/>
                <w:b/>
                <w:sz w:val="24"/>
                <w:szCs w:val="24"/>
              </w:rPr>
              <w:t xml:space="preserve">-1 </w:t>
            </w:r>
            <w:r w:rsidR="004322BB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="004322BB" w:rsidRPr="008556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526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Merge/>
          </w:tcPr>
          <w:p w14:paraId="53721396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A663C27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  <w:vMerge/>
          </w:tcPr>
          <w:p w14:paraId="1F1E9C21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74587068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7FDD3E7D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253DCA" w:rsidRPr="007D3E6E" w14:paraId="75A000B9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26C10E9D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5.2. speciālais budžets</w:t>
            </w:r>
          </w:p>
        </w:tc>
        <w:tc>
          <w:tcPr>
            <w:tcW w:w="1417" w:type="dxa"/>
            <w:vMerge/>
          </w:tcPr>
          <w:p w14:paraId="575A6F01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43616EA0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Merge/>
          </w:tcPr>
          <w:p w14:paraId="0BDDD43C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823A8AF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  <w:vMerge/>
          </w:tcPr>
          <w:p w14:paraId="6B0B25D3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25B71135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7B1BD3F9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253DCA" w:rsidRPr="007D3E6E" w14:paraId="6B097274" w14:textId="77777777" w:rsidTr="005B5260">
        <w:trPr>
          <w:gridAfter w:val="1"/>
          <w:wAfter w:w="8" w:type="dxa"/>
          <w:jc w:val="center"/>
        </w:trPr>
        <w:tc>
          <w:tcPr>
            <w:tcW w:w="1413" w:type="dxa"/>
          </w:tcPr>
          <w:p w14:paraId="1648B06C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5.3. pašvaldību budžets</w:t>
            </w:r>
          </w:p>
        </w:tc>
        <w:tc>
          <w:tcPr>
            <w:tcW w:w="1417" w:type="dxa"/>
            <w:vMerge/>
          </w:tcPr>
          <w:p w14:paraId="7DA4D268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728E24F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Merge/>
          </w:tcPr>
          <w:p w14:paraId="367EB45C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35DA0816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  <w:vMerge/>
          </w:tcPr>
          <w:p w14:paraId="08750598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0C644448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7D9C2A23" w14:textId="77777777" w:rsidR="00253DCA" w:rsidRPr="007D3E6E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3E6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253DCA" w14:paraId="2F5C9D08" w14:textId="77777777" w:rsidTr="00962079">
        <w:trPr>
          <w:jc w:val="center"/>
        </w:trPr>
        <w:tc>
          <w:tcPr>
            <w:tcW w:w="1413" w:type="dxa"/>
          </w:tcPr>
          <w:p w14:paraId="6478C227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lastRenderedPageBreak/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8088" w:type="dxa"/>
            <w:gridSpan w:val="8"/>
            <w:vMerge w:val="restart"/>
          </w:tcPr>
          <w:p w14:paraId="07BD2F4F" w14:textId="77777777" w:rsidR="00253DCA" w:rsidRPr="007D3E6E" w:rsidRDefault="00253DCA" w:rsidP="00253DC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tbl>
            <w:tblPr>
              <w:tblW w:w="7679" w:type="dxa"/>
              <w:tblLayout w:type="fixed"/>
              <w:tblLook w:val="04A0" w:firstRow="1" w:lastRow="0" w:firstColumn="1" w:lastColumn="0" w:noHBand="0" w:noVBand="1"/>
            </w:tblPr>
            <w:tblGrid>
              <w:gridCol w:w="5983"/>
              <w:gridCol w:w="1696"/>
            </w:tblGrid>
            <w:tr w:rsidR="006165CE" w:rsidRPr="007D3E6E" w14:paraId="780FF169" w14:textId="77777777" w:rsidTr="00FB6D57">
              <w:trPr>
                <w:trHeight w:val="300"/>
              </w:trPr>
              <w:tc>
                <w:tcPr>
                  <w:tcW w:w="7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B68CB" w14:textId="77777777" w:rsidR="006165CE" w:rsidRPr="007D3E6E" w:rsidRDefault="006165CE" w:rsidP="006165CE">
                  <w:pPr>
                    <w:spacing w:before="120" w:after="12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41</w:t>
                  </w:r>
                  <w:r w:rsidRPr="007D3E6E">
                    <w:rPr>
                      <w:b/>
                      <w:bCs/>
                      <w:color w:val="000000"/>
                    </w:rPr>
                    <w:t>.0</w:t>
                  </w: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Pr="007D3E6E">
                    <w:rPr>
                      <w:b/>
                      <w:bCs/>
                      <w:color w:val="000000"/>
                    </w:rPr>
                    <w:t xml:space="preserve">.00 </w:t>
                  </w:r>
                  <w:r>
                    <w:rPr>
                      <w:b/>
                      <w:bCs/>
                      <w:color w:val="000000"/>
                    </w:rPr>
                    <w:t>apakš</w:t>
                  </w:r>
                  <w:r w:rsidRPr="007D3E6E">
                    <w:rPr>
                      <w:b/>
                      <w:bCs/>
                      <w:color w:val="000000"/>
                    </w:rPr>
                    <w:t>programma</w:t>
                  </w:r>
                  <w:r>
                    <w:rPr>
                      <w:b/>
                      <w:bCs/>
                      <w:color w:val="000000"/>
                    </w:rPr>
                    <w:t xml:space="preserve">s </w:t>
                  </w:r>
                  <w:r w:rsidRPr="00563563">
                    <w:rPr>
                      <w:b/>
                      <w:bCs/>
                      <w:color w:val="000000"/>
                    </w:rPr>
                    <w:t>papildu nepieciešamā finansējuma aprēķins</w:t>
                  </w:r>
                </w:p>
              </w:tc>
            </w:tr>
            <w:tr w:rsidR="006165CE" w:rsidRPr="007D3E6E" w14:paraId="1BACA309" w14:textId="77777777" w:rsidTr="00FB6D57">
              <w:trPr>
                <w:trHeight w:val="127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D35CB" w14:textId="39388ABC" w:rsidR="006165CE" w:rsidRPr="007D3E6E" w:rsidRDefault="006165CE" w:rsidP="006165CE">
                  <w:pPr>
                    <w:spacing w:before="120"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Apakšprogrammas apropriāciju atlikums uz š.g. 2.decembri</w:t>
                  </w:r>
                  <w:r w:rsidRPr="007D3E6E">
                    <w:rPr>
                      <w:iCs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56EE9" w14:textId="1C4813A3" w:rsidR="006165CE" w:rsidRPr="007D3E6E" w:rsidRDefault="006165CE">
                  <w:pPr>
                    <w:spacing w:before="120" w:after="12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</w:rPr>
                    <w:t>2</w:t>
                  </w:r>
                  <w:r w:rsidRPr="00E86357">
                    <w:rPr>
                      <w:b/>
                    </w:rPr>
                    <w:t xml:space="preserve"> </w:t>
                  </w:r>
                  <w:r w:rsidR="003C1601">
                    <w:rPr>
                      <w:b/>
                    </w:rPr>
                    <w:t>550</w:t>
                  </w:r>
                  <w:r w:rsidRPr="00E86357">
                    <w:rPr>
                      <w:b/>
                    </w:rPr>
                    <w:t xml:space="preserve"> </w:t>
                  </w:r>
                  <w:r w:rsidR="003C1601">
                    <w:rPr>
                      <w:b/>
                    </w:rPr>
                    <w:t>130</w:t>
                  </w:r>
                </w:p>
              </w:tc>
            </w:tr>
            <w:tr w:rsidR="006165CE" w:rsidRPr="005E37B5" w14:paraId="4E23B08E" w14:textId="77777777" w:rsidTr="00FB6D57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74133" w14:textId="74E7BBD0" w:rsidR="006165CE" w:rsidRPr="005E37B5" w:rsidRDefault="006165CE">
                  <w:pPr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Prognozētais minimālais TPR maksājums</w:t>
                  </w:r>
                  <w:r w:rsidR="003C1601">
                    <w:rPr>
                      <w:bCs/>
                      <w:color w:val="000000"/>
                    </w:rPr>
                    <w:t xml:space="preserve"> decembrī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D0C74" w14:textId="5ED48F97" w:rsidR="006165CE" w:rsidRPr="00C61270" w:rsidRDefault="003C1601" w:rsidP="006165C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3 459 010</w:t>
                  </w:r>
                </w:p>
              </w:tc>
            </w:tr>
            <w:tr w:rsidR="006165CE" w:rsidRPr="005E37B5" w14:paraId="6D430E02" w14:textId="77777777" w:rsidTr="00BE2162">
              <w:trPr>
                <w:trHeight w:val="353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91F70" w14:textId="2E77D278" w:rsidR="006165CE" w:rsidRPr="005E37B5" w:rsidRDefault="006165CE">
                  <w:pPr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Prognozētais maksimālais TPR maksājums </w:t>
                  </w:r>
                  <w:r w:rsidR="003C1601">
                    <w:rPr>
                      <w:bCs/>
                      <w:color w:val="000000"/>
                    </w:rPr>
                    <w:t>decembrī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7DC17" w14:textId="36BB6157" w:rsidR="006165CE" w:rsidRPr="005E37B5" w:rsidRDefault="003C1601">
                  <w:pPr>
                    <w:spacing w:before="120" w:after="12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</w:rPr>
                    <w:t>3</w:t>
                  </w:r>
                  <w:r w:rsidR="006165CE" w:rsidRPr="00964B8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850</w:t>
                  </w:r>
                  <w:r w:rsidR="006165CE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130</w:t>
                  </w:r>
                  <w:r w:rsidR="006165CE">
                    <w:rPr>
                      <w:b/>
                    </w:rPr>
                    <w:t xml:space="preserve"> </w:t>
                  </w:r>
                </w:p>
              </w:tc>
            </w:tr>
            <w:tr w:rsidR="006165CE" w:rsidRPr="005E37B5" w14:paraId="05496C1E" w14:textId="77777777" w:rsidTr="00BE2162">
              <w:trPr>
                <w:trHeight w:val="353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29654" w14:textId="06421439" w:rsidR="006165CE" w:rsidRDefault="006165CE" w:rsidP="006165CE">
                  <w:pPr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Prognozētais minimālais apakšprogrammas</w:t>
                  </w:r>
                  <w:r w:rsidR="00AF4833">
                    <w:rPr>
                      <w:bCs/>
                      <w:color w:val="000000"/>
                    </w:rPr>
                    <w:t xml:space="preserve"> apropriāciju iztrūkums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DB5F0" w14:textId="63AF8385" w:rsidR="006165CE" w:rsidRPr="00964B8D" w:rsidRDefault="003C1601" w:rsidP="006165CE">
                  <w:pPr>
                    <w:spacing w:before="120" w:after="12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908 880</w:t>
                  </w:r>
                </w:p>
              </w:tc>
            </w:tr>
            <w:tr w:rsidR="006165CE" w:rsidRPr="005E37B5" w14:paraId="0CF5D009" w14:textId="77777777" w:rsidTr="00BE2162">
              <w:trPr>
                <w:trHeight w:val="353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070A0D" w14:textId="1CEFFCE1" w:rsidR="006165CE" w:rsidRDefault="00AF4833">
                  <w:pPr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Prognozētais maksimālais apakšprogrammas apropriāciju iztrūkums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1962F2" w14:textId="6B60DD0E" w:rsidR="006165CE" w:rsidRPr="00964B8D" w:rsidRDefault="003C1601" w:rsidP="006165CE">
                  <w:pPr>
                    <w:spacing w:before="120" w:after="12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1 300 000</w:t>
                  </w:r>
                </w:p>
              </w:tc>
            </w:tr>
          </w:tbl>
          <w:p w14:paraId="7FCC94B4" w14:textId="77777777" w:rsidR="00253DCA" w:rsidRPr="007D3E6E" w:rsidRDefault="00253DCA" w:rsidP="00253DC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6C77CAB5" w14:textId="77777777" w:rsidR="00253DCA" w:rsidRPr="005E37B5" w:rsidRDefault="00253DCA" w:rsidP="00253DCA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8D71C11" w14:textId="44AE24B8" w:rsidR="00253DCA" w:rsidRPr="007D3E6E" w:rsidRDefault="00253DCA" w:rsidP="00253DCA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253DCA" w14:paraId="032D437D" w14:textId="77777777" w:rsidTr="00962079">
        <w:trPr>
          <w:jc w:val="center"/>
        </w:trPr>
        <w:tc>
          <w:tcPr>
            <w:tcW w:w="1413" w:type="dxa"/>
          </w:tcPr>
          <w:p w14:paraId="0F01021E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6.1. detalizēts ieņēmumu aprēķins</w:t>
            </w:r>
          </w:p>
        </w:tc>
        <w:tc>
          <w:tcPr>
            <w:tcW w:w="8088" w:type="dxa"/>
            <w:gridSpan w:val="8"/>
            <w:vMerge/>
          </w:tcPr>
          <w:p w14:paraId="34BAF3F1" w14:textId="77777777" w:rsidR="00253DCA" w:rsidRPr="004B0522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253DCA" w14:paraId="3B7EF858" w14:textId="77777777" w:rsidTr="00962079">
        <w:trPr>
          <w:jc w:val="center"/>
        </w:trPr>
        <w:tc>
          <w:tcPr>
            <w:tcW w:w="1413" w:type="dxa"/>
          </w:tcPr>
          <w:p w14:paraId="7A82CB34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6.2. detalizēts izdevumu aprēķins</w:t>
            </w:r>
          </w:p>
        </w:tc>
        <w:tc>
          <w:tcPr>
            <w:tcW w:w="8088" w:type="dxa"/>
            <w:gridSpan w:val="8"/>
            <w:vMerge/>
          </w:tcPr>
          <w:p w14:paraId="06BA7DF6" w14:textId="77777777" w:rsidR="00253DCA" w:rsidRPr="004B0522" w:rsidRDefault="00253DCA" w:rsidP="00253DC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253DCA" w14:paraId="7DEA98C3" w14:textId="77777777" w:rsidTr="00962079">
        <w:trPr>
          <w:jc w:val="center"/>
        </w:trPr>
        <w:tc>
          <w:tcPr>
            <w:tcW w:w="1413" w:type="dxa"/>
          </w:tcPr>
          <w:p w14:paraId="110A27BB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7. Amata vietu skaita izmaiņas</w:t>
            </w:r>
          </w:p>
        </w:tc>
        <w:tc>
          <w:tcPr>
            <w:tcW w:w="8088" w:type="dxa"/>
            <w:gridSpan w:val="8"/>
          </w:tcPr>
          <w:p w14:paraId="4DA2E9A7" w14:textId="77777777" w:rsidR="00253DCA" w:rsidRPr="004B0522" w:rsidRDefault="00253DCA" w:rsidP="00253DC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253DCA" w14:paraId="75D4CB1E" w14:textId="77777777" w:rsidTr="00962079">
        <w:trPr>
          <w:jc w:val="center"/>
        </w:trPr>
        <w:tc>
          <w:tcPr>
            <w:tcW w:w="1413" w:type="dxa"/>
          </w:tcPr>
          <w:p w14:paraId="2BF35CAA" w14:textId="77777777" w:rsidR="00253DCA" w:rsidRPr="00962079" w:rsidRDefault="00253DCA" w:rsidP="00253DCA">
            <w:pPr>
              <w:pStyle w:val="NoSpacing"/>
              <w:rPr>
                <w:rFonts w:ascii="Times New Roman" w:hAnsi="Times New Roman"/>
                <w:lang w:eastAsia="lv-LV"/>
              </w:rPr>
            </w:pPr>
            <w:r w:rsidRPr="00962079">
              <w:rPr>
                <w:rFonts w:ascii="Times New Roman" w:hAnsi="Times New Roman"/>
                <w:lang w:eastAsia="lv-LV"/>
              </w:rPr>
              <w:t>8. Cita informācija</w:t>
            </w:r>
          </w:p>
        </w:tc>
        <w:tc>
          <w:tcPr>
            <w:tcW w:w="8088" w:type="dxa"/>
            <w:gridSpan w:val="8"/>
          </w:tcPr>
          <w:p w14:paraId="3236A7EC" w14:textId="20B10CBC" w:rsidR="00253DCA" w:rsidRPr="004B0522" w:rsidRDefault="00E72AB6" w:rsidP="00253D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Nav</w:t>
            </w:r>
          </w:p>
        </w:tc>
      </w:tr>
    </w:tbl>
    <w:p w14:paraId="7F813B8D" w14:textId="77777777" w:rsidR="009D36DE" w:rsidRPr="009D36DE" w:rsidRDefault="009D36DE" w:rsidP="000044FA">
      <w:pPr>
        <w:rPr>
          <w:highlight w:val="green"/>
        </w:rPr>
      </w:pPr>
    </w:p>
    <w:tbl>
      <w:tblPr>
        <w:tblW w:w="5160" w:type="pct"/>
        <w:tblInd w:w="-1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6DE" w:rsidRPr="007D3E6E" w14:paraId="0F3650F4" w14:textId="77777777" w:rsidTr="001611E9">
        <w:tc>
          <w:tcPr>
            <w:tcW w:w="9356" w:type="dxa"/>
            <w:tcBorders>
              <w:top w:val="outset" w:sz="2" w:space="0" w:color="414142"/>
              <w:left w:val="outset" w:sz="2" w:space="0" w:color="414142"/>
              <w:bottom w:val="outset" w:sz="2" w:space="0" w:color="414142"/>
              <w:right w:val="outset" w:sz="2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D68197" w14:textId="77777777" w:rsidR="009D36DE" w:rsidRPr="007D3E6E" w:rsidRDefault="009D36DE" w:rsidP="000044FA">
            <w:pPr>
              <w:spacing w:before="100" w:after="100" w:line="293" w:lineRule="atLeast"/>
              <w:jc w:val="center"/>
            </w:pPr>
            <w:r w:rsidRPr="007D3E6E">
              <w:rPr>
                <w:b/>
                <w:bCs/>
              </w:rPr>
              <w:t>IV. Tiesību aktu projektu ietekme uz spēkā esošo tiesību normu sistēmu</w:t>
            </w:r>
          </w:p>
        </w:tc>
      </w:tr>
      <w:tr w:rsidR="009D36DE" w:rsidRPr="007D3E6E" w14:paraId="094A977A" w14:textId="77777777" w:rsidTr="001611E9">
        <w:tc>
          <w:tcPr>
            <w:tcW w:w="9356" w:type="dxa"/>
            <w:tcBorders>
              <w:top w:val="outset" w:sz="2" w:space="0" w:color="414142"/>
              <w:left w:val="outset" w:sz="2" w:space="0" w:color="414142"/>
              <w:bottom w:val="outset" w:sz="2" w:space="0" w:color="414142"/>
              <w:right w:val="outset" w:sz="2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CC64FA" w14:textId="77777777" w:rsidR="009D36DE" w:rsidRPr="007D3E6E" w:rsidRDefault="009D36DE" w:rsidP="000044FA">
            <w:pPr>
              <w:spacing w:before="100" w:after="100" w:line="293" w:lineRule="atLeast"/>
              <w:jc w:val="center"/>
            </w:pPr>
            <w:r w:rsidRPr="007D3E6E">
              <w:t>Projekts šo jomu neskar</w:t>
            </w:r>
          </w:p>
        </w:tc>
      </w:tr>
    </w:tbl>
    <w:p w14:paraId="0DA1CFD5" w14:textId="77777777" w:rsidR="009D36DE" w:rsidRPr="007D3E6E" w:rsidRDefault="009D36DE" w:rsidP="000044FA"/>
    <w:tbl>
      <w:tblPr>
        <w:tblW w:w="5160" w:type="pct"/>
        <w:tblInd w:w="-1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6DE" w:rsidRPr="007D3E6E" w14:paraId="341A5737" w14:textId="77777777" w:rsidTr="001611E9">
        <w:tc>
          <w:tcPr>
            <w:tcW w:w="9356" w:type="dxa"/>
            <w:tcBorders>
              <w:top w:val="outset" w:sz="2" w:space="0" w:color="414142"/>
              <w:left w:val="outset" w:sz="2" w:space="0" w:color="414142"/>
              <w:bottom w:val="outset" w:sz="2" w:space="0" w:color="414142"/>
              <w:right w:val="outset" w:sz="2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ECDD0" w14:textId="77777777" w:rsidR="009D36DE" w:rsidRPr="007D3E6E" w:rsidRDefault="009D36DE" w:rsidP="000044FA">
            <w:pPr>
              <w:spacing w:before="100" w:after="100" w:line="293" w:lineRule="atLeast"/>
              <w:jc w:val="center"/>
            </w:pPr>
            <w:r w:rsidRPr="007D3E6E">
              <w:rPr>
                <w:b/>
                <w:bCs/>
              </w:rPr>
              <w:t>V. Tiesību aktu projektu atbilstība Latvijas Republikas starptautiskajām saistībām</w:t>
            </w:r>
          </w:p>
        </w:tc>
      </w:tr>
      <w:tr w:rsidR="009D36DE" w:rsidRPr="007D3E6E" w14:paraId="55F281ED" w14:textId="77777777" w:rsidTr="001611E9">
        <w:tc>
          <w:tcPr>
            <w:tcW w:w="9356" w:type="dxa"/>
            <w:tcBorders>
              <w:top w:val="outset" w:sz="2" w:space="0" w:color="414142"/>
              <w:left w:val="outset" w:sz="2" w:space="0" w:color="414142"/>
              <w:bottom w:val="outset" w:sz="2" w:space="0" w:color="414142"/>
              <w:right w:val="outset" w:sz="2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90AAB9" w14:textId="77777777" w:rsidR="009D36DE" w:rsidRPr="007D3E6E" w:rsidRDefault="009D36DE" w:rsidP="000044FA">
            <w:pPr>
              <w:spacing w:before="100" w:after="100" w:line="293" w:lineRule="atLeast"/>
              <w:jc w:val="center"/>
            </w:pPr>
            <w:r w:rsidRPr="007D3E6E">
              <w:t>Projekts šo jomu neskar</w:t>
            </w:r>
          </w:p>
        </w:tc>
      </w:tr>
    </w:tbl>
    <w:p w14:paraId="536F51B7" w14:textId="77777777" w:rsidR="009D36DE" w:rsidRPr="007D3E6E" w:rsidRDefault="009D36DE" w:rsidP="000044FA"/>
    <w:tbl>
      <w:tblPr>
        <w:tblW w:w="515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9D36DE" w:rsidRPr="007D3E6E" w14:paraId="135AC213" w14:textId="77777777" w:rsidTr="001611E9">
        <w:trPr>
          <w:trHeight w:val="336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09EB38B" w14:textId="77777777" w:rsidR="009D36DE" w:rsidRPr="007D3E6E" w:rsidRDefault="009D36DE" w:rsidP="000044FA">
            <w:pPr>
              <w:spacing w:before="100" w:after="100" w:line="360" w:lineRule="auto"/>
              <w:ind w:firstLine="300"/>
              <w:jc w:val="center"/>
              <w:rPr>
                <w:b/>
                <w:bCs/>
              </w:rPr>
            </w:pPr>
            <w:r w:rsidRPr="007D3E6E">
              <w:rPr>
                <w:b/>
                <w:bCs/>
              </w:rPr>
              <w:t>VI. Sabiedrības līdzdalība un komunikācijas aktivitātes</w:t>
            </w:r>
          </w:p>
        </w:tc>
      </w:tr>
      <w:tr w:rsidR="003B60B8" w:rsidRPr="007D3E6E" w14:paraId="33DC9CAF" w14:textId="77777777" w:rsidTr="001611E9">
        <w:trPr>
          <w:trHeight w:val="366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BD42002" w14:textId="77777777" w:rsidR="003B60B8" w:rsidRPr="007D3E6E" w:rsidRDefault="003B60B8" w:rsidP="000044FA">
            <w:pPr>
              <w:spacing w:before="100" w:after="100" w:line="360" w:lineRule="auto"/>
              <w:ind w:firstLine="300"/>
              <w:jc w:val="center"/>
              <w:rPr>
                <w:b/>
                <w:bCs/>
              </w:rPr>
            </w:pPr>
            <w:r w:rsidRPr="007D3E6E">
              <w:t>Projekts šo jomu neskar</w:t>
            </w:r>
          </w:p>
        </w:tc>
      </w:tr>
    </w:tbl>
    <w:p w14:paraId="3173A2A4" w14:textId="77777777" w:rsidR="009D36DE" w:rsidRPr="007D3E6E" w:rsidRDefault="009D36DE" w:rsidP="000044FA"/>
    <w:tbl>
      <w:tblPr>
        <w:tblW w:w="5166" w:type="pct"/>
        <w:tblInd w:w="-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4214"/>
        <w:gridCol w:w="4395"/>
      </w:tblGrid>
      <w:tr w:rsidR="009D36DE" w:rsidRPr="007D3E6E" w14:paraId="167E4317" w14:textId="77777777" w:rsidTr="00372421">
        <w:tc>
          <w:tcPr>
            <w:tcW w:w="93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348D7" w14:textId="77777777" w:rsidR="009D36DE" w:rsidRPr="007D3E6E" w:rsidRDefault="009D36DE" w:rsidP="000044FA">
            <w:pPr>
              <w:spacing w:before="100" w:after="100"/>
              <w:jc w:val="center"/>
              <w:rPr>
                <w:b/>
                <w:bCs/>
              </w:rPr>
            </w:pPr>
            <w:r w:rsidRPr="007D3E6E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B60B8" w:rsidRPr="007D3E6E" w14:paraId="56989E49" w14:textId="77777777" w:rsidTr="00372421"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E07AD0" w14:textId="77777777" w:rsidR="003B60B8" w:rsidRPr="007D3E6E" w:rsidRDefault="003B60B8" w:rsidP="000044FA">
            <w:pPr>
              <w:spacing w:before="100" w:after="100"/>
            </w:pPr>
            <w:r w:rsidRPr="007D3E6E">
              <w:t>1.</w:t>
            </w:r>
          </w:p>
        </w:tc>
        <w:tc>
          <w:tcPr>
            <w:tcW w:w="4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D42C8B" w14:textId="77777777" w:rsidR="003B60B8" w:rsidRPr="007D3E6E" w:rsidRDefault="003B60B8" w:rsidP="000044FA">
            <w:pPr>
              <w:spacing w:before="100" w:after="100"/>
            </w:pPr>
            <w:r w:rsidRPr="007D3E6E">
              <w:t>Projekta izpildē iesaistītās institūcijas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BDA611" w14:textId="31E4905A" w:rsidR="003B60B8" w:rsidRPr="007D3E6E" w:rsidRDefault="00401C55" w:rsidP="00401C55">
            <w:pPr>
              <w:shd w:val="clear" w:color="auto" w:fill="FFFFFF"/>
              <w:spacing w:before="120" w:after="120"/>
              <w:jc w:val="both"/>
            </w:pPr>
            <w:r>
              <w:rPr>
                <w:bCs/>
                <w:color w:val="000000"/>
              </w:rPr>
              <w:t>Finanšu m</w:t>
            </w:r>
            <w:r w:rsidR="004422AA" w:rsidRPr="007D3E6E">
              <w:rPr>
                <w:bCs/>
                <w:color w:val="000000"/>
              </w:rPr>
              <w:t xml:space="preserve">inistrija </w:t>
            </w:r>
          </w:p>
        </w:tc>
      </w:tr>
      <w:tr w:rsidR="003B60B8" w:rsidRPr="007D3E6E" w14:paraId="7B922FD7" w14:textId="77777777" w:rsidTr="00372421"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D34A1" w14:textId="77777777" w:rsidR="003B60B8" w:rsidRPr="007D3E6E" w:rsidRDefault="003B60B8" w:rsidP="000044FA">
            <w:pPr>
              <w:spacing w:before="100" w:after="100"/>
            </w:pPr>
            <w:r w:rsidRPr="007D3E6E">
              <w:t>2.</w:t>
            </w:r>
          </w:p>
        </w:tc>
        <w:tc>
          <w:tcPr>
            <w:tcW w:w="4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D8E3BA" w14:textId="77777777" w:rsidR="003B60B8" w:rsidRPr="007D3E6E" w:rsidRDefault="003B60B8" w:rsidP="000044FA">
            <w:pPr>
              <w:spacing w:before="100" w:after="100"/>
            </w:pPr>
            <w:r w:rsidRPr="007D3E6E">
              <w:t xml:space="preserve">Projekta izpildes ietekme uz pārvaldes funkcijām un institucionālo struktūru. </w:t>
            </w:r>
          </w:p>
          <w:p w14:paraId="26A504E1" w14:textId="77777777" w:rsidR="003B60B8" w:rsidRPr="007D3E6E" w:rsidRDefault="003B60B8" w:rsidP="000044FA">
            <w:pPr>
              <w:spacing w:before="100" w:after="100"/>
            </w:pPr>
            <w:r w:rsidRPr="007D3E6E"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B8E8F5" w14:textId="77777777" w:rsidR="003B60B8" w:rsidRPr="007D3E6E" w:rsidRDefault="00B4749B" w:rsidP="000044FA">
            <w:pPr>
              <w:shd w:val="clear" w:color="auto" w:fill="FFFFFF"/>
              <w:spacing w:before="120" w:after="120"/>
              <w:jc w:val="both"/>
            </w:pPr>
            <w:r w:rsidRPr="007D3E6E">
              <w:lastRenderedPageBreak/>
              <w:t>Projekts šo jomu neskar</w:t>
            </w:r>
          </w:p>
          <w:p w14:paraId="07CDC1D8" w14:textId="77777777" w:rsidR="003B60B8" w:rsidRPr="007D3E6E" w:rsidRDefault="003B60B8" w:rsidP="000044FA">
            <w:pPr>
              <w:shd w:val="clear" w:color="auto" w:fill="FFFFFF"/>
              <w:jc w:val="both"/>
            </w:pPr>
          </w:p>
        </w:tc>
      </w:tr>
      <w:tr w:rsidR="009D36DE" w:rsidRPr="007D3E6E" w14:paraId="06E6EC7B" w14:textId="77777777" w:rsidTr="00372421"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424A09" w14:textId="77777777" w:rsidR="009D36DE" w:rsidRPr="007D3E6E" w:rsidRDefault="009D36DE" w:rsidP="000044FA">
            <w:r w:rsidRPr="007D3E6E">
              <w:t>3.</w:t>
            </w:r>
          </w:p>
        </w:tc>
        <w:tc>
          <w:tcPr>
            <w:tcW w:w="4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F09B8" w14:textId="77777777" w:rsidR="009D36DE" w:rsidRPr="007D3E6E" w:rsidRDefault="009D36DE" w:rsidP="000044FA">
            <w:r w:rsidRPr="007D3E6E">
              <w:t>Cita informācija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C4B881" w14:textId="77777777" w:rsidR="009D36DE" w:rsidRPr="007D3E6E" w:rsidRDefault="009D36DE" w:rsidP="00DE03E0">
            <w:pPr>
              <w:jc w:val="both"/>
            </w:pPr>
            <w:r w:rsidRPr="007D3E6E">
              <w:t>Nav</w:t>
            </w:r>
          </w:p>
        </w:tc>
      </w:tr>
    </w:tbl>
    <w:p w14:paraId="640AE653" w14:textId="77777777" w:rsidR="009D36DE" w:rsidRPr="007D3E6E" w:rsidRDefault="009D36DE" w:rsidP="000044FA">
      <w:pPr>
        <w:ind w:firstLine="720"/>
      </w:pPr>
    </w:p>
    <w:p w14:paraId="5EE3DBBF" w14:textId="239F00A9" w:rsidR="00372421" w:rsidRDefault="00372421" w:rsidP="00E218B9">
      <w:pPr>
        <w:pStyle w:val="BodyText"/>
        <w:jc w:val="both"/>
        <w:rPr>
          <w:sz w:val="26"/>
          <w:szCs w:val="26"/>
        </w:rPr>
      </w:pPr>
    </w:p>
    <w:p w14:paraId="25E92AC3" w14:textId="77777777" w:rsidR="008B3DA5" w:rsidRDefault="008B3DA5" w:rsidP="00E218B9">
      <w:pPr>
        <w:pStyle w:val="BodyText"/>
        <w:jc w:val="both"/>
        <w:rPr>
          <w:sz w:val="26"/>
          <w:szCs w:val="26"/>
        </w:rPr>
      </w:pPr>
    </w:p>
    <w:p w14:paraId="1721EC2D" w14:textId="1A9D7546" w:rsidR="00D444BA" w:rsidRPr="00372421" w:rsidRDefault="00AC1A2E" w:rsidP="002C1040">
      <w:pPr>
        <w:pStyle w:val="BodyText"/>
        <w:jc w:val="both"/>
        <w:rPr>
          <w:sz w:val="26"/>
          <w:szCs w:val="26"/>
        </w:rPr>
      </w:pPr>
      <w:r w:rsidRPr="00372421">
        <w:rPr>
          <w:sz w:val="26"/>
          <w:szCs w:val="26"/>
        </w:rPr>
        <w:t xml:space="preserve">Finanšu </w:t>
      </w:r>
      <w:r w:rsidR="002C1040" w:rsidRPr="00372421">
        <w:rPr>
          <w:sz w:val="26"/>
          <w:szCs w:val="26"/>
        </w:rPr>
        <w:t>ministr</w:t>
      </w:r>
      <w:r w:rsidR="002C1040">
        <w:rPr>
          <w:sz w:val="26"/>
          <w:szCs w:val="26"/>
        </w:rPr>
        <w:t>s</w:t>
      </w:r>
      <w:r w:rsidR="00857FA9" w:rsidRPr="00372421">
        <w:rPr>
          <w:sz w:val="26"/>
          <w:szCs w:val="26"/>
        </w:rPr>
        <w:tab/>
      </w:r>
      <w:r w:rsidR="00857FA9" w:rsidRPr="00372421">
        <w:rPr>
          <w:sz w:val="26"/>
          <w:szCs w:val="26"/>
        </w:rPr>
        <w:tab/>
      </w:r>
      <w:r w:rsidR="00857FA9" w:rsidRPr="00372421">
        <w:rPr>
          <w:sz w:val="26"/>
          <w:szCs w:val="26"/>
        </w:rPr>
        <w:tab/>
      </w:r>
      <w:r w:rsidR="0091691A" w:rsidRPr="00372421">
        <w:rPr>
          <w:sz w:val="26"/>
          <w:szCs w:val="26"/>
        </w:rPr>
        <w:tab/>
      </w:r>
      <w:r w:rsidR="0091691A" w:rsidRPr="00372421">
        <w:rPr>
          <w:sz w:val="26"/>
          <w:szCs w:val="26"/>
        </w:rPr>
        <w:tab/>
      </w:r>
      <w:r w:rsidR="009D1F15" w:rsidRPr="00372421">
        <w:rPr>
          <w:sz w:val="26"/>
          <w:szCs w:val="26"/>
        </w:rPr>
        <w:t xml:space="preserve">                     </w:t>
      </w:r>
      <w:r w:rsidR="002C1040">
        <w:rPr>
          <w:sz w:val="26"/>
          <w:szCs w:val="26"/>
        </w:rPr>
        <w:t xml:space="preserve">       </w:t>
      </w:r>
      <w:proofErr w:type="spellStart"/>
      <w:r w:rsidR="00E02575">
        <w:rPr>
          <w:sz w:val="26"/>
          <w:szCs w:val="26"/>
        </w:rPr>
        <w:t>J.Reirs</w:t>
      </w:r>
      <w:proofErr w:type="spellEnd"/>
      <w:r w:rsidR="0091691A" w:rsidRPr="00372421">
        <w:rPr>
          <w:sz w:val="26"/>
          <w:szCs w:val="26"/>
        </w:rPr>
        <w:tab/>
      </w:r>
    </w:p>
    <w:p w14:paraId="0B6E3685" w14:textId="77777777" w:rsidR="00E218B9" w:rsidRPr="007D3E6E" w:rsidRDefault="00E218B9" w:rsidP="00E218B9">
      <w:pPr>
        <w:pStyle w:val="BodyText"/>
        <w:jc w:val="both"/>
        <w:rPr>
          <w:sz w:val="24"/>
        </w:rPr>
      </w:pPr>
    </w:p>
    <w:p w14:paraId="3329C5E9" w14:textId="58953457" w:rsidR="002837F3" w:rsidRDefault="002837F3" w:rsidP="000C703D">
      <w:pPr>
        <w:pStyle w:val="BodyText"/>
        <w:jc w:val="left"/>
        <w:rPr>
          <w:sz w:val="20"/>
          <w:szCs w:val="20"/>
        </w:rPr>
      </w:pPr>
    </w:p>
    <w:p w14:paraId="1365D4BE" w14:textId="6EA1A66F" w:rsidR="00F47E7F" w:rsidRDefault="00F47E7F" w:rsidP="000C703D">
      <w:pPr>
        <w:pStyle w:val="BodyText"/>
        <w:jc w:val="left"/>
        <w:rPr>
          <w:sz w:val="16"/>
          <w:szCs w:val="16"/>
        </w:rPr>
      </w:pPr>
    </w:p>
    <w:p w14:paraId="11FBE742" w14:textId="5B9E91E8" w:rsidR="00F47E7F" w:rsidRDefault="00F47E7F" w:rsidP="000C703D">
      <w:pPr>
        <w:pStyle w:val="BodyText"/>
        <w:jc w:val="left"/>
        <w:rPr>
          <w:sz w:val="16"/>
          <w:szCs w:val="16"/>
        </w:rPr>
      </w:pPr>
    </w:p>
    <w:p w14:paraId="6D504FC3" w14:textId="77777777" w:rsidR="00F47E7F" w:rsidRPr="00372421" w:rsidRDefault="00F47E7F" w:rsidP="000C703D">
      <w:pPr>
        <w:pStyle w:val="BodyText"/>
        <w:jc w:val="left"/>
        <w:rPr>
          <w:sz w:val="16"/>
          <w:szCs w:val="16"/>
        </w:rPr>
      </w:pPr>
    </w:p>
    <w:p w14:paraId="1B91D7E2" w14:textId="6D67345E" w:rsidR="002837F3" w:rsidRPr="00BE2162" w:rsidRDefault="000E0985" w:rsidP="000C703D">
      <w:pPr>
        <w:pStyle w:val="BodyText"/>
        <w:jc w:val="left"/>
        <w:rPr>
          <w:sz w:val="20"/>
          <w:szCs w:val="20"/>
        </w:rPr>
      </w:pPr>
      <w:r w:rsidRPr="00BE2162">
        <w:rPr>
          <w:sz w:val="20"/>
          <w:szCs w:val="20"/>
        </w:rPr>
        <w:t>Līva,</w:t>
      </w:r>
      <w:r w:rsidR="002837F3" w:rsidRPr="00BE2162">
        <w:rPr>
          <w:sz w:val="20"/>
          <w:szCs w:val="20"/>
        </w:rPr>
        <w:t xml:space="preserve"> 670</w:t>
      </w:r>
      <w:r w:rsidRPr="00BE2162">
        <w:rPr>
          <w:sz w:val="20"/>
          <w:szCs w:val="20"/>
        </w:rPr>
        <w:t>83822</w:t>
      </w:r>
    </w:p>
    <w:p w14:paraId="4513B1E6" w14:textId="111B3B1C" w:rsidR="002837F3" w:rsidRPr="00BE2162" w:rsidRDefault="00F034C4" w:rsidP="000C703D">
      <w:pPr>
        <w:pStyle w:val="BodyText"/>
        <w:jc w:val="left"/>
        <w:rPr>
          <w:sz w:val="20"/>
          <w:szCs w:val="20"/>
        </w:rPr>
      </w:pPr>
      <w:hyperlink r:id="rId8" w:history="1">
        <w:r w:rsidR="000B091A" w:rsidRPr="00BE2162">
          <w:rPr>
            <w:rStyle w:val="Hyperlink"/>
            <w:sz w:val="20"/>
            <w:szCs w:val="20"/>
          </w:rPr>
          <w:t>evija.liva@fm.gov.lv</w:t>
        </w:r>
      </w:hyperlink>
    </w:p>
    <w:sectPr w:rsidR="002837F3" w:rsidRPr="00BE2162" w:rsidSect="002D3E38">
      <w:headerReference w:type="default" r:id="rId9"/>
      <w:footerReference w:type="default" r:id="rId10"/>
      <w:footerReference w:type="first" r:id="rId11"/>
      <w:pgSz w:w="11906" w:h="16838"/>
      <w:pgMar w:top="993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5FE2" w14:textId="77777777" w:rsidR="00F034C4" w:rsidRDefault="00F034C4" w:rsidP="009A7EE9">
      <w:r>
        <w:separator/>
      </w:r>
    </w:p>
  </w:endnote>
  <w:endnote w:type="continuationSeparator" w:id="0">
    <w:p w14:paraId="0477F6C4" w14:textId="77777777" w:rsidR="00F034C4" w:rsidRDefault="00F034C4" w:rsidP="009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8027" w14:textId="61AA8CFC" w:rsidR="00FB6D57" w:rsidRPr="00DE03E0" w:rsidRDefault="00FB6D57" w:rsidP="009D6DC8">
    <w:pPr>
      <w:pStyle w:val="Footer"/>
      <w:rPr>
        <w:sz w:val="20"/>
        <w:szCs w:val="20"/>
      </w:rPr>
    </w:pPr>
    <w:r w:rsidRPr="00DE03E0">
      <w:rPr>
        <w:noProof/>
        <w:sz w:val="20"/>
        <w:szCs w:val="20"/>
      </w:rPr>
      <w:fldChar w:fldCharType="begin"/>
    </w:r>
    <w:r w:rsidRPr="00DE03E0">
      <w:rPr>
        <w:noProof/>
        <w:sz w:val="20"/>
        <w:szCs w:val="20"/>
      </w:rPr>
      <w:instrText xml:space="preserve"> FILENAME \* MERGEFORMAT </w:instrText>
    </w:r>
    <w:r w:rsidRPr="00DE03E0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FM</w:t>
    </w:r>
    <w:r w:rsidR="00E7315D">
      <w:rPr>
        <w:noProof/>
        <w:sz w:val="20"/>
        <w:szCs w:val="20"/>
      </w:rPr>
      <w:t>a</w:t>
    </w:r>
    <w:r>
      <w:rPr>
        <w:noProof/>
        <w:sz w:val="20"/>
        <w:szCs w:val="20"/>
      </w:rPr>
      <w:t>not_</w:t>
    </w:r>
    <w:r w:rsidR="002B7F2E">
      <w:rPr>
        <w:noProof/>
        <w:sz w:val="20"/>
        <w:szCs w:val="20"/>
      </w:rPr>
      <w:t>26</w:t>
    </w:r>
    <w:r>
      <w:rPr>
        <w:noProof/>
        <w:sz w:val="20"/>
        <w:szCs w:val="20"/>
      </w:rPr>
      <w:t>1120</w:t>
    </w:r>
    <w:r w:rsidR="00E7315D">
      <w:rPr>
        <w:noProof/>
        <w:sz w:val="20"/>
        <w:szCs w:val="20"/>
      </w:rPr>
      <w:t>_Iemaksas</w:t>
    </w:r>
    <w:r>
      <w:rPr>
        <w:noProof/>
        <w:sz w:val="20"/>
        <w:szCs w:val="20"/>
      </w:rPr>
      <w:t>.docx</w:t>
    </w:r>
    <w:r w:rsidRPr="00DE03E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CCB2" w14:textId="3FF6C64A" w:rsidR="00FB6D57" w:rsidRDefault="00FB6D57">
    <w:pPr>
      <w:pStyle w:val="Footer"/>
    </w:pPr>
    <w:r w:rsidRPr="00DE03E0">
      <w:rPr>
        <w:noProof/>
        <w:sz w:val="20"/>
        <w:szCs w:val="20"/>
      </w:rPr>
      <w:fldChar w:fldCharType="begin"/>
    </w:r>
    <w:r w:rsidRPr="00DE03E0">
      <w:rPr>
        <w:noProof/>
        <w:sz w:val="20"/>
        <w:szCs w:val="20"/>
      </w:rPr>
      <w:instrText xml:space="preserve"> FILENAME \* MERGEFORMAT </w:instrText>
    </w:r>
    <w:r w:rsidRPr="00DE03E0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FM</w:t>
    </w:r>
    <w:r w:rsidR="00E7315D">
      <w:rPr>
        <w:noProof/>
        <w:sz w:val="20"/>
        <w:szCs w:val="20"/>
      </w:rPr>
      <w:t>a</w:t>
    </w:r>
    <w:r>
      <w:rPr>
        <w:noProof/>
        <w:sz w:val="20"/>
        <w:szCs w:val="20"/>
      </w:rPr>
      <w:t>not_</w:t>
    </w:r>
    <w:r w:rsidR="002B7F2E">
      <w:rPr>
        <w:noProof/>
        <w:sz w:val="20"/>
        <w:szCs w:val="20"/>
      </w:rPr>
      <w:t>26</w:t>
    </w:r>
    <w:r>
      <w:rPr>
        <w:noProof/>
        <w:sz w:val="20"/>
        <w:szCs w:val="20"/>
      </w:rPr>
      <w:t>1120</w:t>
    </w:r>
    <w:r w:rsidR="00E7315D">
      <w:rPr>
        <w:noProof/>
        <w:sz w:val="20"/>
        <w:szCs w:val="20"/>
      </w:rPr>
      <w:t>_Iemaksas</w:t>
    </w:r>
    <w:r>
      <w:rPr>
        <w:noProof/>
        <w:sz w:val="20"/>
        <w:szCs w:val="20"/>
      </w:rPr>
      <w:t>.docx</w:t>
    </w:r>
    <w:r w:rsidRPr="00DE03E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2D2F" w14:textId="77777777" w:rsidR="00F034C4" w:rsidRDefault="00F034C4" w:rsidP="009A7EE9">
      <w:r>
        <w:separator/>
      </w:r>
    </w:p>
  </w:footnote>
  <w:footnote w:type="continuationSeparator" w:id="0">
    <w:p w14:paraId="6A857552" w14:textId="77777777" w:rsidR="00F034C4" w:rsidRDefault="00F034C4" w:rsidP="009A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612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A5915D" w14:textId="0F1CEF23" w:rsidR="00FB6D57" w:rsidRDefault="00FB6D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7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C688AF" w14:textId="77777777" w:rsidR="00FB6D57" w:rsidRDefault="00FB6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E3345E4"/>
    <w:multiLevelType w:val="hybridMultilevel"/>
    <w:tmpl w:val="0FE2A1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6343"/>
    <w:multiLevelType w:val="hybridMultilevel"/>
    <w:tmpl w:val="A38E1812"/>
    <w:lvl w:ilvl="0" w:tplc="0426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28643C5C"/>
    <w:multiLevelType w:val="hybridMultilevel"/>
    <w:tmpl w:val="71D8D78C"/>
    <w:lvl w:ilvl="0" w:tplc="0426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1">
    <w:nsid w:val="2AA5344B"/>
    <w:multiLevelType w:val="hybridMultilevel"/>
    <w:tmpl w:val="CCDA5EEE"/>
    <w:lvl w:ilvl="0" w:tplc="FA1215C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D02CDE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254B97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7C49A1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62AA4A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A3E552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143DE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D62D0F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DAEDB7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14B55F3"/>
    <w:multiLevelType w:val="hybridMultilevel"/>
    <w:tmpl w:val="4AB684FE"/>
    <w:lvl w:ilvl="0" w:tplc="0426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" w15:restartNumberingAfterBreak="1">
    <w:nsid w:val="350E16AC"/>
    <w:multiLevelType w:val="hybridMultilevel"/>
    <w:tmpl w:val="4E706C82"/>
    <w:lvl w:ilvl="0" w:tplc="C92E9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7C624EE" w:tentative="1">
      <w:start w:val="1"/>
      <w:numFmt w:val="lowerLetter"/>
      <w:lvlText w:val="%2."/>
      <w:lvlJc w:val="left"/>
      <w:pPr>
        <w:ind w:left="1800" w:hanging="360"/>
      </w:pPr>
    </w:lvl>
    <w:lvl w:ilvl="2" w:tplc="4A949F52" w:tentative="1">
      <w:start w:val="1"/>
      <w:numFmt w:val="lowerRoman"/>
      <w:lvlText w:val="%3."/>
      <w:lvlJc w:val="right"/>
      <w:pPr>
        <w:ind w:left="2520" w:hanging="180"/>
      </w:pPr>
    </w:lvl>
    <w:lvl w:ilvl="3" w:tplc="B7445C6E" w:tentative="1">
      <w:start w:val="1"/>
      <w:numFmt w:val="decimal"/>
      <w:lvlText w:val="%4."/>
      <w:lvlJc w:val="left"/>
      <w:pPr>
        <w:ind w:left="3240" w:hanging="360"/>
      </w:pPr>
    </w:lvl>
    <w:lvl w:ilvl="4" w:tplc="8206ADDC" w:tentative="1">
      <w:start w:val="1"/>
      <w:numFmt w:val="lowerLetter"/>
      <w:lvlText w:val="%5."/>
      <w:lvlJc w:val="left"/>
      <w:pPr>
        <w:ind w:left="3960" w:hanging="360"/>
      </w:pPr>
    </w:lvl>
    <w:lvl w:ilvl="5" w:tplc="5FD4C794" w:tentative="1">
      <w:start w:val="1"/>
      <w:numFmt w:val="lowerRoman"/>
      <w:lvlText w:val="%6."/>
      <w:lvlJc w:val="right"/>
      <w:pPr>
        <w:ind w:left="4680" w:hanging="180"/>
      </w:pPr>
    </w:lvl>
    <w:lvl w:ilvl="6" w:tplc="F77881F4" w:tentative="1">
      <w:start w:val="1"/>
      <w:numFmt w:val="decimal"/>
      <w:lvlText w:val="%7."/>
      <w:lvlJc w:val="left"/>
      <w:pPr>
        <w:ind w:left="5400" w:hanging="360"/>
      </w:pPr>
    </w:lvl>
    <w:lvl w:ilvl="7" w:tplc="D9E00FEC" w:tentative="1">
      <w:start w:val="1"/>
      <w:numFmt w:val="lowerLetter"/>
      <w:lvlText w:val="%8."/>
      <w:lvlJc w:val="left"/>
      <w:pPr>
        <w:ind w:left="6120" w:hanging="360"/>
      </w:pPr>
    </w:lvl>
    <w:lvl w:ilvl="8" w:tplc="2140E6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4730D"/>
    <w:multiLevelType w:val="hybridMultilevel"/>
    <w:tmpl w:val="FF646ABE"/>
    <w:lvl w:ilvl="0" w:tplc="0426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8" w15:restartNumberingAfterBreak="0">
    <w:nsid w:val="3FED347F"/>
    <w:multiLevelType w:val="hybridMultilevel"/>
    <w:tmpl w:val="75EAFC46"/>
    <w:lvl w:ilvl="0" w:tplc="0426000F">
      <w:start w:val="1"/>
      <w:numFmt w:val="decimal"/>
      <w:lvlText w:val="%1."/>
      <w:lvlJc w:val="left"/>
      <w:pPr>
        <w:ind w:left="1129" w:hanging="360"/>
      </w:pPr>
    </w:lvl>
    <w:lvl w:ilvl="1" w:tplc="04260019" w:tentative="1">
      <w:start w:val="1"/>
      <w:numFmt w:val="lowerLetter"/>
      <w:lvlText w:val="%2."/>
      <w:lvlJc w:val="left"/>
      <w:pPr>
        <w:ind w:left="1849" w:hanging="360"/>
      </w:pPr>
    </w:lvl>
    <w:lvl w:ilvl="2" w:tplc="0426001B" w:tentative="1">
      <w:start w:val="1"/>
      <w:numFmt w:val="lowerRoman"/>
      <w:lvlText w:val="%3."/>
      <w:lvlJc w:val="right"/>
      <w:pPr>
        <w:ind w:left="2569" w:hanging="180"/>
      </w:pPr>
    </w:lvl>
    <w:lvl w:ilvl="3" w:tplc="0426000F" w:tentative="1">
      <w:start w:val="1"/>
      <w:numFmt w:val="decimal"/>
      <w:lvlText w:val="%4."/>
      <w:lvlJc w:val="left"/>
      <w:pPr>
        <w:ind w:left="3289" w:hanging="360"/>
      </w:pPr>
    </w:lvl>
    <w:lvl w:ilvl="4" w:tplc="04260019" w:tentative="1">
      <w:start w:val="1"/>
      <w:numFmt w:val="lowerLetter"/>
      <w:lvlText w:val="%5."/>
      <w:lvlJc w:val="left"/>
      <w:pPr>
        <w:ind w:left="4009" w:hanging="360"/>
      </w:pPr>
    </w:lvl>
    <w:lvl w:ilvl="5" w:tplc="0426001B" w:tentative="1">
      <w:start w:val="1"/>
      <w:numFmt w:val="lowerRoman"/>
      <w:lvlText w:val="%6."/>
      <w:lvlJc w:val="right"/>
      <w:pPr>
        <w:ind w:left="4729" w:hanging="180"/>
      </w:pPr>
    </w:lvl>
    <w:lvl w:ilvl="6" w:tplc="0426000F" w:tentative="1">
      <w:start w:val="1"/>
      <w:numFmt w:val="decimal"/>
      <w:lvlText w:val="%7."/>
      <w:lvlJc w:val="left"/>
      <w:pPr>
        <w:ind w:left="5449" w:hanging="360"/>
      </w:pPr>
    </w:lvl>
    <w:lvl w:ilvl="7" w:tplc="04260019" w:tentative="1">
      <w:start w:val="1"/>
      <w:numFmt w:val="lowerLetter"/>
      <w:lvlText w:val="%8."/>
      <w:lvlJc w:val="left"/>
      <w:pPr>
        <w:ind w:left="6169" w:hanging="360"/>
      </w:pPr>
    </w:lvl>
    <w:lvl w:ilvl="8" w:tplc="042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44EE1B87"/>
    <w:multiLevelType w:val="multilevel"/>
    <w:tmpl w:val="85BCE7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0477225"/>
    <w:multiLevelType w:val="hybridMultilevel"/>
    <w:tmpl w:val="627C84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97986"/>
    <w:multiLevelType w:val="hybridMultilevel"/>
    <w:tmpl w:val="F480611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A3717"/>
    <w:multiLevelType w:val="hybridMultilevel"/>
    <w:tmpl w:val="4E9C23CE"/>
    <w:lvl w:ilvl="0" w:tplc="0426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1">
    <w:nsid w:val="6AE64DEE"/>
    <w:multiLevelType w:val="hybridMultilevel"/>
    <w:tmpl w:val="44888E1A"/>
    <w:lvl w:ilvl="0" w:tplc="C7D0E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C890C" w:tentative="1">
      <w:start w:val="1"/>
      <w:numFmt w:val="lowerLetter"/>
      <w:lvlText w:val="%2."/>
      <w:lvlJc w:val="left"/>
      <w:pPr>
        <w:ind w:left="1440" w:hanging="360"/>
      </w:pPr>
    </w:lvl>
    <w:lvl w:ilvl="2" w:tplc="FD9CD9E0" w:tentative="1">
      <w:start w:val="1"/>
      <w:numFmt w:val="lowerRoman"/>
      <w:lvlText w:val="%3."/>
      <w:lvlJc w:val="right"/>
      <w:pPr>
        <w:ind w:left="2160" w:hanging="180"/>
      </w:pPr>
    </w:lvl>
    <w:lvl w:ilvl="3" w:tplc="06822826" w:tentative="1">
      <w:start w:val="1"/>
      <w:numFmt w:val="decimal"/>
      <w:lvlText w:val="%4."/>
      <w:lvlJc w:val="left"/>
      <w:pPr>
        <w:ind w:left="2880" w:hanging="360"/>
      </w:pPr>
    </w:lvl>
    <w:lvl w:ilvl="4" w:tplc="845AFF0E" w:tentative="1">
      <w:start w:val="1"/>
      <w:numFmt w:val="lowerLetter"/>
      <w:lvlText w:val="%5."/>
      <w:lvlJc w:val="left"/>
      <w:pPr>
        <w:ind w:left="3600" w:hanging="360"/>
      </w:pPr>
    </w:lvl>
    <w:lvl w:ilvl="5" w:tplc="5E8CA23A" w:tentative="1">
      <w:start w:val="1"/>
      <w:numFmt w:val="lowerRoman"/>
      <w:lvlText w:val="%6."/>
      <w:lvlJc w:val="right"/>
      <w:pPr>
        <w:ind w:left="4320" w:hanging="180"/>
      </w:pPr>
    </w:lvl>
    <w:lvl w:ilvl="6" w:tplc="0386A564" w:tentative="1">
      <w:start w:val="1"/>
      <w:numFmt w:val="decimal"/>
      <w:lvlText w:val="%7."/>
      <w:lvlJc w:val="left"/>
      <w:pPr>
        <w:ind w:left="5040" w:hanging="360"/>
      </w:pPr>
    </w:lvl>
    <w:lvl w:ilvl="7" w:tplc="63C4E4AE" w:tentative="1">
      <w:start w:val="1"/>
      <w:numFmt w:val="lowerLetter"/>
      <w:lvlText w:val="%8."/>
      <w:lvlJc w:val="left"/>
      <w:pPr>
        <w:ind w:left="5760" w:hanging="360"/>
      </w:pPr>
    </w:lvl>
    <w:lvl w:ilvl="8" w:tplc="91C80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01BD2"/>
    <w:multiLevelType w:val="hybridMultilevel"/>
    <w:tmpl w:val="EA8E0C5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7699F"/>
    <w:multiLevelType w:val="hybridMultilevel"/>
    <w:tmpl w:val="9DE27E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278C6"/>
    <w:multiLevelType w:val="hybridMultilevel"/>
    <w:tmpl w:val="10329CF2"/>
    <w:lvl w:ilvl="0" w:tplc="0426000F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7" w15:restartNumberingAfterBreak="0">
    <w:nsid w:val="7A7C3B16"/>
    <w:multiLevelType w:val="hybridMultilevel"/>
    <w:tmpl w:val="F9666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5"/>
  </w:num>
  <w:num w:numId="7">
    <w:abstractNumId w:val="9"/>
  </w:num>
  <w:num w:numId="8">
    <w:abstractNumId w:val="17"/>
  </w:num>
  <w:num w:numId="9">
    <w:abstractNumId w:val="14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8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28"/>
    <w:rsid w:val="000044FA"/>
    <w:rsid w:val="00011587"/>
    <w:rsid w:val="00011820"/>
    <w:rsid w:val="0005038A"/>
    <w:rsid w:val="00060D1F"/>
    <w:rsid w:val="000614F5"/>
    <w:rsid w:val="00064F32"/>
    <w:rsid w:val="000766F8"/>
    <w:rsid w:val="000818D2"/>
    <w:rsid w:val="00085845"/>
    <w:rsid w:val="00085A33"/>
    <w:rsid w:val="000871F0"/>
    <w:rsid w:val="00090D28"/>
    <w:rsid w:val="000916CE"/>
    <w:rsid w:val="000A17C2"/>
    <w:rsid w:val="000A6B9A"/>
    <w:rsid w:val="000B091A"/>
    <w:rsid w:val="000B283D"/>
    <w:rsid w:val="000B2CA0"/>
    <w:rsid w:val="000C07B8"/>
    <w:rsid w:val="000C701E"/>
    <w:rsid w:val="000C703D"/>
    <w:rsid w:val="000D0EFF"/>
    <w:rsid w:val="000D1D21"/>
    <w:rsid w:val="000E0985"/>
    <w:rsid w:val="00110F94"/>
    <w:rsid w:val="00111617"/>
    <w:rsid w:val="0012264C"/>
    <w:rsid w:val="00135441"/>
    <w:rsid w:val="00141286"/>
    <w:rsid w:val="001509E7"/>
    <w:rsid w:val="00152ECC"/>
    <w:rsid w:val="00156E18"/>
    <w:rsid w:val="001611E9"/>
    <w:rsid w:val="00162EB9"/>
    <w:rsid w:val="00170CFC"/>
    <w:rsid w:val="00171A81"/>
    <w:rsid w:val="00183027"/>
    <w:rsid w:val="0019469A"/>
    <w:rsid w:val="001B419D"/>
    <w:rsid w:val="001C0756"/>
    <w:rsid w:val="001C1669"/>
    <w:rsid w:val="001C59ED"/>
    <w:rsid w:val="001E78CC"/>
    <w:rsid w:val="00202D39"/>
    <w:rsid w:val="0020584E"/>
    <w:rsid w:val="002128BD"/>
    <w:rsid w:val="002204E8"/>
    <w:rsid w:val="00234702"/>
    <w:rsid w:val="00237644"/>
    <w:rsid w:val="00253DCA"/>
    <w:rsid w:val="00261740"/>
    <w:rsid w:val="0027336A"/>
    <w:rsid w:val="0028027D"/>
    <w:rsid w:val="00281AEB"/>
    <w:rsid w:val="002837F3"/>
    <w:rsid w:val="00283E0D"/>
    <w:rsid w:val="00285775"/>
    <w:rsid w:val="002A3849"/>
    <w:rsid w:val="002A5180"/>
    <w:rsid w:val="002B19A5"/>
    <w:rsid w:val="002B3D2F"/>
    <w:rsid w:val="002B5EE7"/>
    <w:rsid w:val="002B7F2E"/>
    <w:rsid w:val="002C1040"/>
    <w:rsid w:val="002C3D81"/>
    <w:rsid w:val="002C3DC9"/>
    <w:rsid w:val="002D34CC"/>
    <w:rsid w:val="002D3E38"/>
    <w:rsid w:val="002E5C95"/>
    <w:rsid w:val="002E6068"/>
    <w:rsid w:val="002F4A0D"/>
    <w:rsid w:val="002F5428"/>
    <w:rsid w:val="00301CBB"/>
    <w:rsid w:val="00304F3B"/>
    <w:rsid w:val="00317C31"/>
    <w:rsid w:val="00320C6A"/>
    <w:rsid w:val="0032120D"/>
    <w:rsid w:val="0032647A"/>
    <w:rsid w:val="00335619"/>
    <w:rsid w:val="00341D9C"/>
    <w:rsid w:val="00352431"/>
    <w:rsid w:val="00363F9A"/>
    <w:rsid w:val="00370F44"/>
    <w:rsid w:val="00372421"/>
    <w:rsid w:val="003735E2"/>
    <w:rsid w:val="003818C5"/>
    <w:rsid w:val="00384F7C"/>
    <w:rsid w:val="003941C6"/>
    <w:rsid w:val="003B60B8"/>
    <w:rsid w:val="003C1601"/>
    <w:rsid w:val="003C21F6"/>
    <w:rsid w:val="003C6F6D"/>
    <w:rsid w:val="003D6BD2"/>
    <w:rsid w:val="003E3E05"/>
    <w:rsid w:val="003F10D1"/>
    <w:rsid w:val="003F1B84"/>
    <w:rsid w:val="003F4BF1"/>
    <w:rsid w:val="00401C55"/>
    <w:rsid w:val="00407869"/>
    <w:rsid w:val="004170B3"/>
    <w:rsid w:val="00422AFA"/>
    <w:rsid w:val="004322BB"/>
    <w:rsid w:val="004422AA"/>
    <w:rsid w:val="004503F6"/>
    <w:rsid w:val="00455577"/>
    <w:rsid w:val="0047084C"/>
    <w:rsid w:val="00474805"/>
    <w:rsid w:val="00474ED8"/>
    <w:rsid w:val="00480A1B"/>
    <w:rsid w:val="00482307"/>
    <w:rsid w:val="00483B29"/>
    <w:rsid w:val="004876F3"/>
    <w:rsid w:val="00493060"/>
    <w:rsid w:val="004A456A"/>
    <w:rsid w:val="004A7D0E"/>
    <w:rsid w:val="004B0522"/>
    <w:rsid w:val="004B4E72"/>
    <w:rsid w:val="004C02F1"/>
    <w:rsid w:val="004C2D52"/>
    <w:rsid w:val="004C4D7F"/>
    <w:rsid w:val="004D1D9A"/>
    <w:rsid w:val="004D5A33"/>
    <w:rsid w:val="004F70B8"/>
    <w:rsid w:val="005222BD"/>
    <w:rsid w:val="00524414"/>
    <w:rsid w:val="00524926"/>
    <w:rsid w:val="005331D5"/>
    <w:rsid w:val="0053409A"/>
    <w:rsid w:val="00542B98"/>
    <w:rsid w:val="005437C3"/>
    <w:rsid w:val="00544EFD"/>
    <w:rsid w:val="00545A7B"/>
    <w:rsid w:val="00563563"/>
    <w:rsid w:val="00567C3A"/>
    <w:rsid w:val="005717CC"/>
    <w:rsid w:val="005802FC"/>
    <w:rsid w:val="00580CBE"/>
    <w:rsid w:val="00583D19"/>
    <w:rsid w:val="005865AA"/>
    <w:rsid w:val="005B0615"/>
    <w:rsid w:val="005B5260"/>
    <w:rsid w:val="005B7346"/>
    <w:rsid w:val="005C5BDA"/>
    <w:rsid w:val="005C622C"/>
    <w:rsid w:val="005D0284"/>
    <w:rsid w:val="005D2988"/>
    <w:rsid w:val="005D489A"/>
    <w:rsid w:val="005D7B3B"/>
    <w:rsid w:val="005E0012"/>
    <w:rsid w:val="005E37B5"/>
    <w:rsid w:val="005E435A"/>
    <w:rsid w:val="005E6150"/>
    <w:rsid w:val="00603455"/>
    <w:rsid w:val="00611862"/>
    <w:rsid w:val="006165CE"/>
    <w:rsid w:val="00630442"/>
    <w:rsid w:val="00632159"/>
    <w:rsid w:val="00641D60"/>
    <w:rsid w:val="006423EF"/>
    <w:rsid w:val="00644EA2"/>
    <w:rsid w:val="00645290"/>
    <w:rsid w:val="00652E48"/>
    <w:rsid w:val="00664DE2"/>
    <w:rsid w:val="00666039"/>
    <w:rsid w:val="00671831"/>
    <w:rsid w:val="006835FE"/>
    <w:rsid w:val="00684B77"/>
    <w:rsid w:val="006A556C"/>
    <w:rsid w:val="006B05E0"/>
    <w:rsid w:val="006B3337"/>
    <w:rsid w:val="006B3BBA"/>
    <w:rsid w:val="006B55BA"/>
    <w:rsid w:val="006D245F"/>
    <w:rsid w:val="006D76D5"/>
    <w:rsid w:val="006F2B5A"/>
    <w:rsid w:val="006F4715"/>
    <w:rsid w:val="0070316C"/>
    <w:rsid w:val="00705A8F"/>
    <w:rsid w:val="0071285B"/>
    <w:rsid w:val="00725252"/>
    <w:rsid w:val="00725640"/>
    <w:rsid w:val="00751999"/>
    <w:rsid w:val="00754E7D"/>
    <w:rsid w:val="0076081E"/>
    <w:rsid w:val="00763F04"/>
    <w:rsid w:val="0076428F"/>
    <w:rsid w:val="00764807"/>
    <w:rsid w:val="00770019"/>
    <w:rsid w:val="007733C9"/>
    <w:rsid w:val="00777791"/>
    <w:rsid w:val="00782438"/>
    <w:rsid w:val="00790DC9"/>
    <w:rsid w:val="00793B6F"/>
    <w:rsid w:val="007B6C93"/>
    <w:rsid w:val="007C0493"/>
    <w:rsid w:val="007C300C"/>
    <w:rsid w:val="007C4626"/>
    <w:rsid w:val="007D3E62"/>
    <w:rsid w:val="007D3E6E"/>
    <w:rsid w:val="007D4F71"/>
    <w:rsid w:val="007D693E"/>
    <w:rsid w:val="007E0FA9"/>
    <w:rsid w:val="007E157D"/>
    <w:rsid w:val="007E492A"/>
    <w:rsid w:val="007F18B8"/>
    <w:rsid w:val="00811EAA"/>
    <w:rsid w:val="00811F34"/>
    <w:rsid w:val="00814BB4"/>
    <w:rsid w:val="00823678"/>
    <w:rsid w:val="008241E0"/>
    <w:rsid w:val="008278B4"/>
    <w:rsid w:val="008322A7"/>
    <w:rsid w:val="008336C8"/>
    <w:rsid w:val="008412CC"/>
    <w:rsid w:val="0085126E"/>
    <w:rsid w:val="00853AC5"/>
    <w:rsid w:val="008556ED"/>
    <w:rsid w:val="00857FA9"/>
    <w:rsid w:val="0086037C"/>
    <w:rsid w:val="00860930"/>
    <w:rsid w:val="00870008"/>
    <w:rsid w:val="00871282"/>
    <w:rsid w:val="008739A6"/>
    <w:rsid w:val="00875E3E"/>
    <w:rsid w:val="008A5638"/>
    <w:rsid w:val="008B1594"/>
    <w:rsid w:val="008B3DA5"/>
    <w:rsid w:val="008B46B2"/>
    <w:rsid w:val="008B702A"/>
    <w:rsid w:val="008C0091"/>
    <w:rsid w:val="008C4C8E"/>
    <w:rsid w:val="008C54BF"/>
    <w:rsid w:val="008E0870"/>
    <w:rsid w:val="008E3C19"/>
    <w:rsid w:val="008E5B7C"/>
    <w:rsid w:val="008F6918"/>
    <w:rsid w:val="00905312"/>
    <w:rsid w:val="0091691A"/>
    <w:rsid w:val="009226DC"/>
    <w:rsid w:val="009228D2"/>
    <w:rsid w:val="00923946"/>
    <w:rsid w:val="00927A17"/>
    <w:rsid w:val="00930BF9"/>
    <w:rsid w:val="00932481"/>
    <w:rsid w:val="00935E36"/>
    <w:rsid w:val="00945363"/>
    <w:rsid w:val="00962079"/>
    <w:rsid w:val="0096231B"/>
    <w:rsid w:val="00964B8D"/>
    <w:rsid w:val="009757FD"/>
    <w:rsid w:val="00977221"/>
    <w:rsid w:val="00982034"/>
    <w:rsid w:val="00984EB3"/>
    <w:rsid w:val="009873B8"/>
    <w:rsid w:val="0099499C"/>
    <w:rsid w:val="009A48FE"/>
    <w:rsid w:val="009A4A62"/>
    <w:rsid w:val="009A6715"/>
    <w:rsid w:val="009A7EE9"/>
    <w:rsid w:val="009C6D89"/>
    <w:rsid w:val="009C7F21"/>
    <w:rsid w:val="009D1F15"/>
    <w:rsid w:val="009D36DE"/>
    <w:rsid w:val="009D6DC8"/>
    <w:rsid w:val="009E5A67"/>
    <w:rsid w:val="009F065F"/>
    <w:rsid w:val="00A0018F"/>
    <w:rsid w:val="00A02827"/>
    <w:rsid w:val="00A03FD5"/>
    <w:rsid w:val="00A11E5A"/>
    <w:rsid w:val="00A12EFD"/>
    <w:rsid w:val="00A23985"/>
    <w:rsid w:val="00A26A03"/>
    <w:rsid w:val="00A310DC"/>
    <w:rsid w:val="00A37ADF"/>
    <w:rsid w:val="00A511BA"/>
    <w:rsid w:val="00A518EF"/>
    <w:rsid w:val="00A8127B"/>
    <w:rsid w:val="00A85919"/>
    <w:rsid w:val="00A914D2"/>
    <w:rsid w:val="00A935D8"/>
    <w:rsid w:val="00A93CF7"/>
    <w:rsid w:val="00A97367"/>
    <w:rsid w:val="00AA1528"/>
    <w:rsid w:val="00AA4A17"/>
    <w:rsid w:val="00AA4F02"/>
    <w:rsid w:val="00AA5033"/>
    <w:rsid w:val="00AB45E9"/>
    <w:rsid w:val="00AB7DDF"/>
    <w:rsid w:val="00AC14B6"/>
    <w:rsid w:val="00AC1A2E"/>
    <w:rsid w:val="00AC7C0E"/>
    <w:rsid w:val="00AD2335"/>
    <w:rsid w:val="00AD370E"/>
    <w:rsid w:val="00AD3761"/>
    <w:rsid w:val="00AD6E8B"/>
    <w:rsid w:val="00AE0275"/>
    <w:rsid w:val="00AE7DAC"/>
    <w:rsid w:val="00AF4833"/>
    <w:rsid w:val="00B03683"/>
    <w:rsid w:val="00B05D95"/>
    <w:rsid w:val="00B105E3"/>
    <w:rsid w:val="00B14C2E"/>
    <w:rsid w:val="00B17BAC"/>
    <w:rsid w:val="00B270FD"/>
    <w:rsid w:val="00B2761E"/>
    <w:rsid w:val="00B2791A"/>
    <w:rsid w:val="00B340BE"/>
    <w:rsid w:val="00B344E5"/>
    <w:rsid w:val="00B354A3"/>
    <w:rsid w:val="00B3568E"/>
    <w:rsid w:val="00B37017"/>
    <w:rsid w:val="00B4749B"/>
    <w:rsid w:val="00B61A29"/>
    <w:rsid w:val="00B64477"/>
    <w:rsid w:val="00B67196"/>
    <w:rsid w:val="00B672D4"/>
    <w:rsid w:val="00B71A99"/>
    <w:rsid w:val="00B7663C"/>
    <w:rsid w:val="00B87AF4"/>
    <w:rsid w:val="00B946E5"/>
    <w:rsid w:val="00BA091C"/>
    <w:rsid w:val="00BA10D2"/>
    <w:rsid w:val="00BA4D20"/>
    <w:rsid w:val="00BA7526"/>
    <w:rsid w:val="00BB2AB5"/>
    <w:rsid w:val="00BC3853"/>
    <w:rsid w:val="00BD2338"/>
    <w:rsid w:val="00BD4180"/>
    <w:rsid w:val="00BD7235"/>
    <w:rsid w:val="00BD7B24"/>
    <w:rsid w:val="00BE2162"/>
    <w:rsid w:val="00BF0C19"/>
    <w:rsid w:val="00BF18C9"/>
    <w:rsid w:val="00BF7635"/>
    <w:rsid w:val="00C13638"/>
    <w:rsid w:val="00C142F2"/>
    <w:rsid w:val="00C335C5"/>
    <w:rsid w:val="00C41B93"/>
    <w:rsid w:val="00C41E55"/>
    <w:rsid w:val="00C437F7"/>
    <w:rsid w:val="00C44880"/>
    <w:rsid w:val="00C57036"/>
    <w:rsid w:val="00C61270"/>
    <w:rsid w:val="00C621A0"/>
    <w:rsid w:val="00C63854"/>
    <w:rsid w:val="00C64112"/>
    <w:rsid w:val="00C656FF"/>
    <w:rsid w:val="00C66B75"/>
    <w:rsid w:val="00C73478"/>
    <w:rsid w:val="00C770AA"/>
    <w:rsid w:val="00C8713F"/>
    <w:rsid w:val="00C94740"/>
    <w:rsid w:val="00CB2E04"/>
    <w:rsid w:val="00CC1E07"/>
    <w:rsid w:val="00CC3A0B"/>
    <w:rsid w:val="00CF02B3"/>
    <w:rsid w:val="00CF1350"/>
    <w:rsid w:val="00CF23C3"/>
    <w:rsid w:val="00CF2F7B"/>
    <w:rsid w:val="00D0076B"/>
    <w:rsid w:val="00D14D71"/>
    <w:rsid w:val="00D25421"/>
    <w:rsid w:val="00D309B0"/>
    <w:rsid w:val="00D312A6"/>
    <w:rsid w:val="00D35326"/>
    <w:rsid w:val="00D43AB3"/>
    <w:rsid w:val="00D444BA"/>
    <w:rsid w:val="00D54B2D"/>
    <w:rsid w:val="00D6079A"/>
    <w:rsid w:val="00D81DFB"/>
    <w:rsid w:val="00D82EC1"/>
    <w:rsid w:val="00D84D37"/>
    <w:rsid w:val="00D90423"/>
    <w:rsid w:val="00D94EC3"/>
    <w:rsid w:val="00D97850"/>
    <w:rsid w:val="00DA451A"/>
    <w:rsid w:val="00DA6359"/>
    <w:rsid w:val="00DB1865"/>
    <w:rsid w:val="00DB2426"/>
    <w:rsid w:val="00DB37C4"/>
    <w:rsid w:val="00DB5A7F"/>
    <w:rsid w:val="00DB7B48"/>
    <w:rsid w:val="00DC37EA"/>
    <w:rsid w:val="00DE03E0"/>
    <w:rsid w:val="00DE1003"/>
    <w:rsid w:val="00DE3336"/>
    <w:rsid w:val="00DE6271"/>
    <w:rsid w:val="00E02575"/>
    <w:rsid w:val="00E16501"/>
    <w:rsid w:val="00E218B9"/>
    <w:rsid w:val="00E315C4"/>
    <w:rsid w:val="00E366AD"/>
    <w:rsid w:val="00E458CF"/>
    <w:rsid w:val="00E47E33"/>
    <w:rsid w:val="00E50E39"/>
    <w:rsid w:val="00E72AB6"/>
    <w:rsid w:val="00E7315D"/>
    <w:rsid w:val="00E8499A"/>
    <w:rsid w:val="00E86357"/>
    <w:rsid w:val="00E9156E"/>
    <w:rsid w:val="00EA6C2F"/>
    <w:rsid w:val="00EB582C"/>
    <w:rsid w:val="00ED59B9"/>
    <w:rsid w:val="00EE3ADF"/>
    <w:rsid w:val="00EE4FC4"/>
    <w:rsid w:val="00F034C4"/>
    <w:rsid w:val="00F14DB0"/>
    <w:rsid w:val="00F14F02"/>
    <w:rsid w:val="00F154FE"/>
    <w:rsid w:val="00F21AC1"/>
    <w:rsid w:val="00F32B28"/>
    <w:rsid w:val="00F405EC"/>
    <w:rsid w:val="00F46EED"/>
    <w:rsid w:val="00F47E7F"/>
    <w:rsid w:val="00F529F2"/>
    <w:rsid w:val="00F74692"/>
    <w:rsid w:val="00F920C2"/>
    <w:rsid w:val="00F95876"/>
    <w:rsid w:val="00FA0AC6"/>
    <w:rsid w:val="00FA753E"/>
    <w:rsid w:val="00FB6D57"/>
    <w:rsid w:val="00FC248C"/>
    <w:rsid w:val="00FC73BD"/>
    <w:rsid w:val="00FD4884"/>
    <w:rsid w:val="00FE39E8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B454"/>
  <w15:chartTrackingRefBased/>
  <w15:docId w15:val="{A946C429-3305-472F-9C79-4996D4D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6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7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2B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2B2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32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A7EE9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9A7EE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9A7EE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9A7EE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EE9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9A7EE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0C70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29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6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paragraph" w:styleId="NoSpacing">
    <w:name w:val="No Spacing"/>
    <w:uiPriority w:val="1"/>
    <w:qFormat/>
    <w:rsid w:val="009D36D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3524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0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93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6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A0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A0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liva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5387-51E1-49E3-8812-07812B84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7531</Words>
  <Characters>4293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apropriācijas palielinājumu Finanšu ministri-jas budžeta apakšprogrammā 41.01.00 „Iemaksas Eiropas Savienības budžetā”” sākotnē-jās ietekmes novērtējuma ziņojums (anotācija)</vt:lpstr>
    </vt:vector>
  </TitlesOfParts>
  <Company>Finanšu ministrija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apropriācijas palielinājumu Finanšu ministri-jas budžeta apakšprogrammā 41.01.00 „Iemaksas Eiropas Savienības budžetā”” sākotnē-jās ietekmes novērtējuma ziņojums (anotācija)</dc:title>
  <dc:subject>Anotācija</dc:subject>
  <dc:creator>Evija Līva</dc:creator>
  <cp:keywords/>
  <dc:description>67083822, evija.liva@fm.gov.lv</dc:description>
  <cp:lastModifiedBy>Laimdota Adlere</cp:lastModifiedBy>
  <cp:revision>3</cp:revision>
  <cp:lastPrinted>2019-09-11T11:17:00Z</cp:lastPrinted>
  <dcterms:created xsi:type="dcterms:W3CDTF">2020-11-30T08:38:00Z</dcterms:created>
  <dcterms:modified xsi:type="dcterms:W3CDTF">2020-11-30T08:38:00Z</dcterms:modified>
</cp:coreProperties>
</file>