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87" w:rsidRDefault="002D3F87" w:rsidP="002D3F87">
      <w:pPr>
        <w:pStyle w:val="Heading2"/>
        <w:spacing w:before="0" w:after="0"/>
        <w:ind w:right="-108"/>
        <w:jc w:val="center"/>
        <w:rPr>
          <w:rFonts w:ascii="Times New Roman" w:hAnsi="Times New Roman"/>
          <w:b w:val="0"/>
          <w:bCs w:val="0"/>
          <w:i w:val="0"/>
          <w:sz w:val="24"/>
          <w:szCs w:val="24"/>
          <w:lang w:eastAsia="lv-LV"/>
        </w:rPr>
      </w:pPr>
    </w:p>
    <w:p w:rsidR="002D3F87" w:rsidRPr="006C330D" w:rsidRDefault="002D3F87" w:rsidP="002D3F87">
      <w:pPr>
        <w:pStyle w:val="Heading2"/>
        <w:spacing w:before="0" w:after="0"/>
        <w:ind w:right="-108"/>
        <w:jc w:val="center"/>
        <w:rPr>
          <w:rFonts w:ascii="Times New Roman" w:hAnsi="Times New Roman"/>
          <w:bCs w:val="0"/>
          <w:i w:val="0"/>
          <w:sz w:val="24"/>
          <w:szCs w:val="24"/>
          <w:lang w:eastAsia="lv-LV"/>
        </w:rPr>
      </w:pPr>
      <w:r w:rsidRPr="006C330D">
        <w:rPr>
          <w:rFonts w:ascii="Times New Roman" w:hAnsi="Times New Roman"/>
          <w:b w:val="0"/>
          <w:bCs w:val="0"/>
          <w:i w:val="0"/>
          <w:sz w:val="24"/>
          <w:szCs w:val="24"/>
          <w:lang w:eastAsia="lv-LV"/>
        </w:rPr>
        <w:t>Ministru kabineta noteikumu projekta</w:t>
      </w:r>
      <w:r w:rsidRPr="006C330D">
        <w:rPr>
          <w:rFonts w:ascii="Times New Roman" w:hAnsi="Times New Roman"/>
          <w:bCs w:val="0"/>
          <w:i w:val="0"/>
          <w:sz w:val="24"/>
          <w:szCs w:val="24"/>
          <w:lang w:eastAsia="lv-LV"/>
        </w:rPr>
        <w:t xml:space="preserve"> </w:t>
      </w:r>
    </w:p>
    <w:p w:rsidR="002D3F87" w:rsidRPr="006C330D" w:rsidRDefault="00047EDD" w:rsidP="002D3F87">
      <w:pPr>
        <w:pStyle w:val="Heading3"/>
        <w:rPr>
          <w:sz w:val="24"/>
          <w:szCs w:val="24"/>
        </w:rPr>
      </w:pPr>
      <w:r>
        <w:rPr>
          <w:b/>
          <w:sz w:val="24"/>
          <w:szCs w:val="24"/>
        </w:rPr>
        <w:t>“</w:t>
      </w:r>
      <w:r w:rsidR="002D3F87" w:rsidRPr="006C330D">
        <w:rPr>
          <w:b/>
          <w:sz w:val="24"/>
          <w:szCs w:val="24"/>
        </w:rPr>
        <w:t>Noteikumi par pašvaldību finanšu izlīdzināšanas fonda ieņēmumiem</w:t>
      </w:r>
    </w:p>
    <w:p w:rsidR="002D3F87" w:rsidRPr="006C330D" w:rsidRDefault="002D3F87" w:rsidP="002D3F87">
      <w:pPr>
        <w:jc w:val="center"/>
        <w:rPr>
          <w:b/>
        </w:rPr>
      </w:pPr>
      <w:r>
        <w:rPr>
          <w:b/>
        </w:rPr>
        <w:t>un to sadales kārtību 2021</w:t>
      </w:r>
      <w:r w:rsidRPr="006C330D">
        <w:rPr>
          <w:b/>
        </w:rPr>
        <w:t>.</w:t>
      </w:r>
      <w:r>
        <w:rPr>
          <w:b/>
        </w:rPr>
        <w:t> </w:t>
      </w:r>
      <w:r w:rsidRPr="006C330D">
        <w:rPr>
          <w:b/>
        </w:rPr>
        <w:t>gadā”</w:t>
      </w:r>
    </w:p>
    <w:p w:rsidR="002D3F87" w:rsidRPr="006C330D" w:rsidRDefault="002D3F87" w:rsidP="002D3F87">
      <w:pPr>
        <w:jc w:val="center"/>
        <w:rPr>
          <w:i/>
        </w:rPr>
      </w:pPr>
      <w:r w:rsidRPr="006C330D">
        <w:t>sākotnējās ietekmes novērtējuma ziņojums (anotācija)</w:t>
      </w:r>
    </w:p>
    <w:p w:rsidR="002D3F87" w:rsidRDefault="002D3F87" w:rsidP="002D3F87">
      <w:pPr>
        <w:jc w:val="center"/>
        <w:rPr>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2D3F87" w:rsidRPr="00594D5A" w:rsidTr="000D55AD">
        <w:tc>
          <w:tcPr>
            <w:tcW w:w="9356" w:type="dxa"/>
            <w:gridSpan w:val="2"/>
            <w:shd w:val="clear" w:color="auto" w:fill="auto"/>
            <w:vAlign w:val="center"/>
          </w:tcPr>
          <w:p w:rsidR="002D3F87" w:rsidRPr="0086718C" w:rsidRDefault="002D3F87" w:rsidP="000D55AD">
            <w:pPr>
              <w:ind w:right="85"/>
              <w:jc w:val="center"/>
              <w:rPr>
                <w:b/>
                <w:bCs/>
                <w:iCs/>
              </w:rPr>
            </w:pPr>
            <w:r w:rsidRPr="0086718C">
              <w:rPr>
                <w:b/>
                <w:bCs/>
                <w:iCs/>
              </w:rPr>
              <w:t>Tiesību akta projekta anotācijas kopsavilkums</w:t>
            </w:r>
          </w:p>
        </w:tc>
      </w:tr>
      <w:tr w:rsidR="002D3F87" w:rsidRPr="00594D5A" w:rsidTr="000D55AD">
        <w:tc>
          <w:tcPr>
            <w:tcW w:w="2694" w:type="dxa"/>
            <w:shd w:val="clear" w:color="auto" w:fill="auto"/>
          </w:tcPr>
          <w:p w:rsidR="002D3F87" w:rsidRPr="0086718C" w:rsidRDefault="002D3F87" w:rsidP="000D55AD">
            <w:pPr>
              <w:rPr>
                <w:iCs/>
                <w:color w:val="414142"/>
              </w:rPr>
            </w:pPr>
            <w:r w:rsidRPr="0086718C">
              <w:rPr>
                <w:iCs/>
              </w:rPr>
              <w:t>Mērķis, risinājums un projekta spēkā stāšanās laiks</w:t>
            </w:r>
          </w:p>
        </w:tc>
        <w:tc>
          <w:tcPr>
            <w:tcW w:w="6662" w:type="dxa"/>
            <w:shd w:val="clear" w:color="auto" w:fill="auto"/>
          </w:tcPr>
          <w:p w:rsidR="002D3F87" w:rsidRPr="00BA3B3A" w:rsidRDefault="002D3F87" w:rsidP="000D55AD">
            <w:pPr>
              <w:jc w:val="both"/>
              <w:rPr>
                <w:lang w:eastAsia="en-US"/>
              </w:rPr>
            </w:pPr>
            <w:r w:rsidRPr="00BA3B3A">
              <w:t>Netiek aizpildīts saskaņā ar Ministru kabineta 2009.</w:t>
            </w:r>
            <w:r>
              <w:t> </w:t>
            </w:r>
            <w:r w:rsidRPr="00BA3B3A">
              <w:t>gada 15.decembra instrukcijas Nr.19 “Tiesību akta projekta sākotnējās ietekmes izvērtēšanas kārtība” 5.</w:t>
            </w:r>
            <w:r w:rsidRPr="0086718C">
              <w:rPr>
                <w:vertAlign w:val="superscript"/>
              </w:rPr>
              <w:t>1</w:t>
            </w:r>
            <w:r w:rsidRPr="00BA3B3A">
              <w:t> punktu.</w:t>
            </w:r>
          </w:p>
        </w:tc>
      </w:tr>
    </w:tbl>
    <w:p w:rsidR="002D3F87" w:rsidRDefault="002D3F87" w:rsidP="002D3F87">
      <w:pPr>
        <w:jc w:val="center"/>
        <w:rPr>
          <w:bCs/>
          <w:sz w:val="28"/>
          <w:szCs w:val="28"/>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7"/>
        <w:gridCol w:w="2264"/>
        <w:gridCol w:w="6608"/>
      </w:tblGrid>
      <w:tr w:rsidR="002D3F87" w:rsidRPr="00A74BA1" w:rsidTr="000D55AD">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D3F87" w:rsidRPr="00A74BA1" w:rsidRDefault="002D3F87" w:rsidP="000D55AD">
            <w:pPr>
              <w:pStyle w:val="NormalWeb"/>
              <w:spacing w:before="0" w:beforeAutospacing="0" w:after="0" w:afterAutospacing="0"/>
              <w:jc w:val="center"/>
              <w:rPr>
                <w:b/>
                <w:bCs/>
              </w:rPr>
            </w:pPr>
            <w:r w:rsidRPr="00A74BA1">
              <w:rPr>
                <w:b/>
                <w:bCs/>
              </w:rPr>
              <w:t>I. Tiesību akta projekta izstrādes nepieciešamība</w:t>
            </w:r>
          </w:p>
        </w:tc>
      </w:tr>
      <w:tr w:rsidR="002D3F87" w:rsidRPr="00A74BA1" w:rsidTr="000D55AD">
        <w:tc>
          <w:tcPr>
            <w:tcW w:w="235"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1.</w:t>
            </w:r>
          </w:p>
        </w:tc>
        <w:tc>
          <w:tcPr>
            <w:tcW w:w="1216"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Pamatojums</w:t>
            </w:r>
          </w:p>
        </w:tc>
        <w:tc>
          <w:tcPr>
            <w:tcW w:w="3549"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ind w:left="53" w:right="140"/>
              <w:jc w:val="both"/>
            </w:pPr>
            <w:r w:rsidRPr="00A74BA1">
              <w:t>Ministru kabineta noteikumu projekts „Noteikumi par pašvaldību finanšu izlīdzināšanas fonda ieņēmumiem un to sadales kārtību 202</w:t>
            </w:r>
            <w:r>
              <w:t>1</w:t>
            </w:r>
            <w:r w:rsidRPr="00A74BA1">
              <w:t>.</w:t>
            </w:r>
            <w:r>
              <w:t> </w:t>
            </w:r>
            <w:r w:rsidRPr="00A74BA1">
              <w:t>gadā” (turpmāk – noteikumu projekts) izstrādāts, pamatojoties uz Pašvaldību finanšu izlīdzināšanas likuma 9.</w:t>
            </w:r>
            <w:r>
              <w:t> </w:t>
            </w:r>
            <w:r w:rsidRPr="00A74BA1">
              <w:t xml:space="preserve">panta </w:t>
            </w:r>
            <w:r>
              <w:t xml:space="preserve">otro daļu, kas nosaka to, ka </w:t>
            </w:r>
            <w:r w:rsidRPr="00A74BA1">
              <w:t>Ministru kabinets divu nedēļu laikā pēc gadskārtējā valsts budžeta likuma izsludināšanas izdod noteikumus par pašvaldību finanšu i</w:t>
            </w:r>
            <w:r>
              <w:t>zlīdzināšanas fonda (turpmāk – </w:t>
            </w:r>
            <w:r w:rsidRPr="00A74BA1">
              <w:t>izlīdzināšanas fonds) ieņēmumiem un to sadales kārtību attiecīgajā budžeta gadā.</w:t>
            </w:r>
          </w:p>
        </w:tc>
      </w:tr>
      <w:tr w:rsidR="002D3F87" w:rsidRPr="00A74BA1" w:rsidTr="000D55AD">
        <w:tc>
          <w:tcPr>
            <w:tcW w:w="235" w:type="pct"/>
            <w:tcBorders>
              <w:top w:val="outset" w:sz="6" w:space="0" w:color="000000"/>
              <w:left w:val="outset" w:sz="6" w:space="0" w:color="000000"/>
              <w:bottom w:val="single" w:sz="4" w:space="0" w:color="auto"/>
              <w:right w:val="outset" w:sz="6" w:space="0" w:color="000000"/>
            </w:tcBorders>
            <w:hideMark/>
          </w:tcPr>
          <w:p w:rsidR="002D3F87" w:rsidRPr="00A74BA1" w:rsidRDefault="002D3F87" w:rsidP="000D55AD">
            <w:pPr>
              <w:pStyle w:val="NormalWeb"/>
              <w:spacing w:before="0" w:beforeAutospacing="0" w:after="0" w:afterAutospacing="0"/>
            </w:pPr>
            <w:r w:rsidRPr="00A74BA1">
              <w:t>2.</w:t>
            </w:r>
          </w:p>
        </w:tc>
        <w:tc>
          <w:tcPr>
            <w:tcW w:w="1216" w:type="pct"/>
            <w:tcBorders>
              <w:top w:val="outset" w:sz="6" w:space="0" w:color="000000"/>
              <w:left w:val="outset" w:sz="6" w:space="0" w:color="000000"/>
              <w:bottom w:val="single" w:sz="4" w:space="0" w:color="auto"/>
              <w:right w:val="outset" w:sz="6" w:space="0" w:color="000000"/>
            </w:tcBorders>
            <w:hideMark/>
          </w:tcPr>
          <w:p w:rsidR="002D3F87" w:rsidRPr="00A74BA1" w:rsidRDefault="002D3F87" w:rsidP="000D55AD">
            <w:pPr>
              <w:pStyle w:val="NormalWeb"/>
              <w:spacing w:before="0" w:beforeAutospacing="0" w:after="0" w:afterAutospacing="0"/>
            </w:pPr>
            <w:r w:rsidRPr="00A74BA1">
              <w:t>Pašreizējā situācija un problēmas, kuru risināšanai tiesību akta projekts izstrādāts, tiesiskā regulējuma mērķis un būtība</w:t>
            </w:r>
          </w:p>
        </w:tc>
        <w:tc>
          <w:tcPr>
            <w:tcW w:w="3549" w:type="pct"/>
            <w:tcBorders>
              <w:top w:val="outset" w:sz="6" w:space="0" w:color="000000"/>
              <w:left w:val="outset" w:sz="6" w:space="0" w:color="000000"/>
              <w:bottom w:val="single" w:sz="4" w:space="0" w:color="auto"/>
              <w:right w:val="outset" w:sz="6" w:space="0" w:color="000000"/>
            </w:tcBorders>
            <w:hideMark/>
          </w:tcPr>
          <w:p w:rsidR="002D3F87" w:rsidRPr="00A74BA1" w:rsidRDefault="002D3F87" w:rsidP="000D55AD">
            <w:pPr>
              <w:pStyle w:val="NormalWeb"/>
              <w:spacing w:before="0" w:beforeAutospacing="0" w:after="0" w:afterAutospacing="0"/>
              <w:ind w:left="53" w:right="140"/>
              <w:jc w:val="both"/>
            </w:pPr>
            <w:r w:rsidRPr="00A74BA1">
              <w:t>Pamatojoties uz Pašvaldību finanšu izlīdzināšanas likuma 9.</w:t>
            </w:r>
            <w:r>
              <w:t> </w:t>
            </w:r>
            <w:r w:rsidRPr="00A74BA1">
              <w:t>panta otro daļu šādi noteikumi jāizstrādā katru gadu, nosakot katrai pašvaldībai aprēķināto no izlīdzināšanas fonda izmaksājamo dotāciju vai izlīdzināšanas fondā veicamās iemaksas un kārtību, kādā tiek veiktas iemaksas izlīdzināšanas fondā un izmaksāta dotācija no tā, kā arī aprēķināto izlīdzināmo vienību skaitu katrā pašvaldībā, pamatojoties uz iedzīvotāju skaitu, pašvaldības teritorijas platību kvadrātkilometros, iedzīvotāju ienākuma nodokļa un nekustamā īpašuma nodokļa prognozi.</w:t>
            </w:r>
          </w:p>
          <w:p w:rsidR="002D3F87" w:rsidRPr="00AD61F6" w:rsidRDefault="002D3F87" w:rsidP="000D55AD">
            <w:pPr>
              <w:pStyle w:val="NormalWeb"/>
              <w:spacing w:before="0" w:beforeAutospacing="0" w:after="0" w:afterAutospacing="0"/>
              <w:ind w:left="53" w:right="140"/>
              <w:jc w:val="both"/>
            </w:pPr>
            <w:r w:rsidRPr="00AD61F6">
              <w:t>Noteikumu projektā ņemtas vērā izmaiņas, kuras 2021.</w:t>
            </w:r>
            <w:r>
              <w:t> </w:t>
            </w:r>
            <w:r w:rsidRPr="00AD61F6">
              <w:t>gadā ieviesīs administratīvi teritoriālā reforma. Izlīdzināšanas fonda ieņēmumi un izdevumi tiek rēķināti par diviem periodiem: no 2021.</w:t>
            </w:r>
            <w:r>
              <w:t> </w:t>
            </w:r>
            <w:r w:rsidRPr="00AD61F6">
              <w:t>gada 1.</w:t>
            </w:r>
            <w:r>
              <w:t> </w:t>
            </w:r>
            <w:r w:rsidRPr="00AD61F6">
              <w:t>janvāra līdz 2021.</w:t>
            </w:r>
            <w:r>
              <w:t> gada 30. </w:t>
            </w:r>
            <w:r w:rsidRPr="00AD61F6">
              <w:t>jūnijam 119 pašvaldībām un no 2021.</w:t>
            </w:r>
            <w:r>
              <w:t> </w:t>
            </w:r>
            <w:r w:rsidRPr="00AD61F6">
              <w:t>gada 1.</w:t>
            </w:r>
            <w:r>
              <w:t> </w:t>
            </w:r>
            <w:r w:rsidRPr="00AD61F6">
              <w:t>jūlija līdz 2021.</w:t>
            </w:r>
            <w:r>
              <w:t> </w:t>
            </w:r>
            <w:r w:rsidRPr="00AD61F6">
              <w:t>gada 31.</w:t>
            </w:r>
            <w:r>
              <w:t> </w:t>
            </w:r>
            <w:r w:rsidRPr="00AD61F6">
              <w:t xml:space="preserve">decembrim 42 pašvaldībām. </w:t>
            </w:r>
          </w:p>
          <w:p w:rsidR="002D3F87" w:rsidRPr="002D785B" w:rsidRDefault="002D3F87" w:rsidP="000D55AD">
            <w:pPr>
              <w:pStyle w:val="NormalWeb"/>
              <w:spacing w:before="0" w:beforeAutospacing="0" w:after="0" w:afterAutospacing="0"/>
              <w:ind w:left="53" w:right="140"/>
              <w:jc w:val="both"/>
              <w:rPr>
                <w:color w:val="000000"/>
              </w:rPr>
            </w:pPr>
            <w:r w:rsidRPr="002D785B">
              <w:rPr>
                <w:color w:val="000000"/>
              </w:rPr>
              <w:t>Atbilstoši pašvaldību finanšu izlīdzināšanas aprēķinam kopējie finanšu izlīdzināšanas fonda ieņēmumi 2021. gadā 119 pašvaldībām plānoti 272,65 milj</w:t>
            </w:r>
            <w:r w:rsidRPr="002D785B">
              <w:rPr>
                <w:i/>
                <w:color w:val="000000"/>
              </w:rPr>
              <w:t xml:space="preserve">. </w:t>
            </w:r>
            <w:proofErr w:type="spellStart"/>
            <w:r w:rsidRPr="002D785B">
              <w:rPr>
                <w:i/>
                <w:color w:val="000000"/>
              </w:rPr>
              <w:t>euro</w:t>
            </w:r>
            <w:proofErr w:type="spellEnd"/>
            <w:r w:rsidRPr="002D785B">
              <w:rPr>
                <w:color w:val="000000"/>
              </w:rPr>
              <w:t xml:space="preserve">, kurus veido valsts budžeta dotācija 198,69 milj. </w:t>
            </w:r>
            <w:proofErr w:type="spellStart"/>
            <w:r w:rsidRPr="002D785B">
              <w:rPr>
                <w:i/>
                <w:color w:val="000000"/>
              </w:rPr>
              <w:t>euro</w:t>
            </w:r>
            <w:proofErr w:type="spellEnd"/>
            <w:r w:rsidRPr="002D785B">
              <w:rPr>
                <w:i/>
                <w:color w:val="000000"/>
              </w:rPr>
              <w:t xml:space="preserve"> </w:t>
            </w:r>
            <w:r w:rsidRPr="002D785B">
              <w:rPr>
                <w:color w:val="000000"/>
              </w:rPr>
              <w:t xml:space="preserve">(t.sk. speciālā dotācija 162,87 milj. </w:t>
            </w:r>
            <w:proofErr w:type="spellStart"/>
            <w:r w:rsidRPr="002D785B">
              <w:rPr>
                <w:i/>
                <w:color w:val="000000"/>
              </w:rPr>
              <w:t>euro</w:t>
            </w:r>
            <w:proofErr w:type="spellEnd"/>
            <w:r w:rsidRPr="002D785B">
              <w:rPr>
                <w:color w:val="000000"/>
              </w:rPr>
              <w:t xml:space="preserve">) un kopējās pašvaldību iemaksas 73,96 milj. </w:t>
            </w:r>
            <w:proofErr w:type="spellStart"/>
            <w:r w:rsidRPr="002D785B">
              <w:rPr>
                <w:i/>
                <w:color w:val="000000"/>
              </w:rPr>
              <w:t>euro</w:t>
            </w:r>
            <w:proofErr w:type="spellEnd"/>
            <w:r w:rsidRPr="002D785B">
              <w:rPr>
                <w:color w:val="000000"/>
              </w:rPr>
              <w:t>.</w:t>
            </w:r>
          </w:p>
          <w:p w:rsidR="002D3F87" w:rsidRDefault="002D3F87" w:rsidP="000D55AD">
            <w:pPr>
              <w:pStyle w:val="NormalWeb"/>
              <w:spacing w:before="0" w:beforeAutospacing="0" w:after="0" w:afterAutospacing="0"/>
              <w:ind w:left="53" w:right="140"/>
              <w:jc w:val="both"/>
              <w:rPr>
                <w:color w:val="000000"/>
              </w:rPr>
            </w:pPr>
            <w:r w:rsidRPr="002D785B">
              <w:rPr>
                <w:color w:val="000000"/>
              </w:rPr>
              <w:t>Saskaņā ar Administratīvo teritoriju apdzīvotu vietu likuma</w:t>
            </w:r>
            <w:r w:rsidRPr="00AD61F6">
              <w:t xml:space="preserve"> pārejas noteikumu 19.</w:t>
            </w:r>
            <w:r>
              <w:t> </w:t>
            </w:r>
            <w:r w:rsidRPr="00AD61F6">
              <w:t xml:space="preserve">punktu dotācijas no pašvaldību finanšu izlīdzināšanas fonda un iemaksas pašvaldību finanšu izlīdzināšanas fondā tiek pārskaitītas kā summa no apvienojamām pašvaldībām apstiprinātajiem līdzekļiem. Ņemot vērā, ka atsevišķos gadījumos </w:t>
            </w:r>
            <w:proofErr w:type="spellStart"/>
            <w:r w:rsidRPr="00AD61F6">
              <w:t>jaunizveidotā</w:t>
            </w:r>
            <w:proofErr w:type="spellEnd"/>
            <w:r w:rsidRPr="00AD61F6">
              <w:t xml:space="preserve"> novadā apvienojas gan pašvaldības, kas veic iemaksas izlīdzināšanas fondā, gan pašvaldības, kas saņem dotāciju no izlīdzināšanas fonda, pašvaldību kopējās plānotās iemaksas un kopējā plānotā dotācija </w:t>
            </w:r>
            <w:r w:rsidRPr="00AD61F6">
              <w:lastRenderedPageBreak/>
              <w:t>2021.gada II pusgad</w:t>
            </w:r>
            <w:r>
              <w:t>ā</w:t>
            </w:r>
            <w:r w:rsidRPr="00AD61F6">
              <w:t xml:space="preserve"> aritmētiski </w:t>
            </w:r>
            <w:r w:rsidRPr="002D785B">
              <w:rPr>
                <w:color w:val="000000"/>
              </w:rPr>
              <w:t xml:space="preserve">izmainās – kopējie finanšu izlīdzināšanas fonda ieņēmumi I pusgadā ir 136,32 milj. </w:t>
            </w:r>
            <w:proofErr w:type="spellStart"/>
            <w:r w:rsidRPr="002D785B">
              <w:rPr>
                <w:i/>
                <w:color w:val="000000"/>
              </w:rPr>
              <w:t>euro</w:t>
            </w:r>
            <w:proofErr w:type="spellEnd"/>
            <w:r w:rsidRPr="002D785B">
              <w:rPr>
                <w:i/>
                <w:color w:val="000000"/>
              </w:rPr>
              <w:t>,</w:t>
            </w:r>
            <w:r w:rsidRPr="002D785B">
              <w:rPr>
                <w:color w:val="000000"/>
              </w:rPr>
              <w:t xml:space="preserve"> bet II pusgadā – 134,75 milj. </w:t>
            </w:r>
            <w:proofErr w:type="spellStart"/>
            <w:r w:rsidRPr="002D785B">
              <w:rPr>
                <w:i/>
                <w:color w:val="000000"/>
              </w:rPr>
              <w:t>euro</w:t>
            </w:r>
            <w:proofErr w:type="spellEnd"/>
            <w:r w:rsidRPr="002D785B">
              <w:rPr>
                <w:color w:val="000000"/>
              </w:rPr>
              <w:t xml:space="preserve"> un kopējās iemaksas I pusgadā ir 36,98 milj. </w:t>
            </w:r>
            <w:proofErr w:type="spellStart"/>
            <w:r w:rsidRPr="002D785B">
              <w:rPr>
                <w:i/>
                <w:color w:val="000000"/>
              </w:rPr>
              <w:t>euro</w:t>
            </w:r>
            <w:proofErr w:type="spellEnd"/>
            <w:r w:rsidRPr="002D785B">
              <w:rPr>
                <w:color w:val="000000"/>
              </w:rPr>
              <w:t xml:space="preserve">, bet II pusgadā – 35,41 milj. </w:t>
            </w:r>
            <w:proofErr w:type="spellStart"/>
            <w:r w:rsidRPr="002D785B">
              <w:rPr>
                <w:i/>
                <w:color w:val="000000"/>
              </w:rPr>
              <w:t>euro</w:t>
            </w:r>
            <w:proofErr w:type="spellEnd"/>
            <w:r w:rsidRPr="002D785B">
              <w:rPr>
                <w:color w:val="000000"/>
              </w:rPr>
              <w:t>.</w:t>
            </w:r>
          </w:p>
          <w:p w:rsidR="00BA3A67" w:rsidRPr="00BA3A67" w:rsidRDefault="00BA3A67" w:rsidP="00BA3A67">
            <w:pPr>
              <w:pStyle w:val="NormalWeb"/>
              <w:spacing w:before="0" w:beforeAutospacing="0" w:after="0" w:afterAutospacing="0"/>
              <w:ind w:left="53" w:right="140"/>
              <w:jc w:val="both"/>
            </w:pPr>
            <w:r w:rsidRPr="00BA3A67">
              <w:t>Noteikumu projekta 1.pielikumā un</w:t>
            </w:r>
            <w:r w:rsidR="00227D0A">
              <w:t xml:space="preserve"> 2.pielikumā ir norādītas 2021.</w:t>
            </w:r>
            <w:r w:rsidRPr="00BA3A67">
              <w:t xml:space="preserve">gadam plānotās pašvaldību iemaksas un dotācijas no pašvaldību </w:t>
            </w:r>
            <w:r w:rsidR="00B815E4">
              <w:t>finanšu izlīdzināšanas fonda I </w:t>
            </w:r>
            <w:r w:rsidRPr="00BA3A67">
              <w:t>pusgadā un II pusgadā. Pašvaldību iemaksas tiek veiktas atbilstoši noteikumu projekta 6. un 7.punktam, t.i., kā noteikts % no iedzīvotāju ienākuma nodokļa faktiski saņemtās daļas, savukārt izmaksas no fonda – atbilstoši noteikumu projekta 9. punktam, t.i., kā noteikts % no pašvaldību finanšu izlīdzināšanas fondā iemaksātajiem līdzekļiem.</w:t>
            </w:r>
          </w:p>
          <w:p w:rsidR="002D3F87" w:rsidRDefault="002D3F87" w:rsidP="000D55AD">
            <w:pPr>
              <w:pStyle w:val="NormalWeb"/>
              <w:spacing w:before="0" w:beforeAutospacing="0" w:after="0" w:afterAutospacing="0"/>
              <w:ind w:left="53" w:right="140"/>
              <w:jc w:val="both"/>
            </w:pPr>
            <w:r w:rsidRPr="002D785B">
              <w:rPr>
                <w:color w:val="000000"/>
              </w:rPr>
              <w:t xml:space="preserve">Noteikumu projektā papildus iekļautas ziņas par to pašvaldību, kas administratīvi teritoriālo reformas ietvaros tiek sadalītas, piekritīgo dotācijas apmēru teritoriālām vienībām, lai nodrošinātu korektu finanšu pārskatu datu sagatavošanu par 2021. gadu. Līdz ar to finanšu izlīdzināšanas aprēķini par periodu no 2021. gada </w:t>
            </w:r>
            <w:r w:rsidRPr="00AD61F6">
              <w:t>1.</w:t>
            </w:r>
            <w:r>
              <w:t> </w:t>
            </w:r>
            <w:r w:rsidRPr="00AD61F6">
              <w:t>janvār</w:t>
            </w:r>
            <w:r>
              <w:t>a</w:t>
            </w:r>
            <w:r w:rsidRPr="00AD61F6">
              <w:t xml:space="preserve"> līdz 2021.</w:t>
            </w:r>
            <w:r>
              <w:t> </w:t>
            </w:r>
            <w:r w:rsidRPr="00AD61F6">
              <w:t>gada 30.</w:t>
            </w:r>
            <w:r>
              <w:t> </w:t>
            </w:r>
            <w:r w:rsidRPr="00AD61F6">
              <w:t>jūnijam papildus norādīti Aglonas novada Aglonas pagastam, Inčukalna novada Vangažu pilsētai, Limbažu novada Skultes pagastam.</w:t>
            </w:r>
          </w:p>
          <w:p w:rsidR="002D3F87" w:rsidRPr="002D785B" w:rsidRDefault="002D3F87" w:rsidP="000D55AD">
            <w:pPr>
              <w:pStyle w:val="NormalWeb"/>
              <w:spacing w:before="0" w:beforeAutospacing="0" w:after="0" w:afterAutospacing="0"/>
              <w:ind w:left="51" w:right="142"/>
              <w:jc w:val="both"/>
              <w:rPr>
                <w:color w:val="000000"/>
              </w:rPr>
            </w:pPr>
            <w:r w:rsidRPr="00AD61F6">
              <w:t>Lai nodrošinātu viennozīmīgu administratīvo teritoriju  identificēšanu, tām, saskaņā ar Ministru kabineta 2017.</w:t>
            </w:r>
            <w:r>
              <w:t> </w:t>
            </w:r>
            <w:r w:rsidRPr="00AD61F6">
              <w:t>gada 21.</w:t>
            </w:r>
            <w:r>
              <w:t> marta</w:t>
            </w:r>
            <w:r w:rsidRPr="00AD61F6">
              <w:t xml:space="preserve"> noteikumiem N</w:t>
            </w:r>
            <w:r>
              <w:t>r. </w:t>
            </w:r>
            <w:r w:rsidRPr="00AD61F6">
              <w:t xml:space="preserve">152 “Administratīvo teritoriju un teritoriālo vienību klasifikatora noteikumi”, tiek piešķirti klasifikācijas kodi. Grozījumi iepriekš minētajos Ministru kabineta noteikumos, kas paredzētu jauno administratīvo teritoriju klasifikatoru, vēl nav veikti, līdz ar to klasifikācijas kodi </w:t>
            </w:r>
            <w:proofErr w:type="spellStart"/>
            <w:r w:rsidRPr="00AD61F6">
              <w:t>jaunizveidojamajām</w:t>
            </w:r>
            <w:proofErr w:type="spellEnd"/>
            <w:r w:rsidRPr="00AD61F6">
              <w:t xml:space="preserve"> pašvaldībām nav zināmi. Ņemot vērā iepriekš minēto, noteikumu pielikumos, kuros norādītas pašvaldību iemaksas un pašvaldībām izmaksājamā dotācija no izlīdzināšanas fonda, 42 pašvaldību dalījumā, klasifikācijas kodi nav norādīti. </w:t>
            </w:r>
            <w:r w:rsidRPr="002D785B">
              <w:rPr>
                <w:color w:val="000000"/>
              </w:rPr>
              <w:t>Kad būs apstiprināti jaunie administratīvo teritoriju klasifikācijas kodi, tiks veikti grozījumi noteikumos, iekļaujot tajos jaunos klasifikācijas kodus.</w:t>
            </w:r>
          </w:p>
          <w:p w:rsidR="002D3F87" w:rsidRPr="00A74BA1" w:rsidRDefault="002D3F87" w:rsidP="000D55AD">
            <w:pPr>
              <w:pStyle w:val="NormalWeb"/>
              <w:spacing w:before="0" w:beforeAutospacing="0" w:after="0" w:afterAutospacing="0"/>
              <w:ind w:left="53" w:right="140"/>
              <w:jc w:val="both"/>
            </w:pPr>
            <w:r w:rsidRPr="002D785B">
              <w:rPr>
                <w:color w:val="000000"/>
              </w:rPr>
              <w:t>Valsts budžeta dotācija izlīdzināšanas</w:t>
            </w:r>
            <w:r w:rsidRPr="00AD61F6">
              <w:t xml:space="preserve"> fondā ieskaitāma likuma „Par valsts budžetu 2021.</w:t>
            </w:r>
            <w:r>
              <w:t> </w:t>
            </w:r>
            <w:r w:rsidRPr="00AD61F6">
              <w:t>gadam" 4.</w:t>
            </w:r>
            <w:r>
              <w:t> </w:t>
            </w:r>
            <w:r w:rsidRPr="00AD61F6">
              <w:t>panta 1.</w:t>
            </w:r>
            <w:r>
              <w:t> </w:t>
            </w:r>
            <w:r w:rsidRPr="00AD61F6">
              <w:t>punktā noteiktajā apmērā saskaņā ar Finanšu ministrijas</w:t>
            </w:r>
            <w:r w:rsidRPr="00A74BA1">
              <w:t xml:space="preserve"> apstiprinātu finansēšanas plānu. </w:t>
            </w:r>
          </w:p>
          <w:p w:rsidR="002D3F87" w:rsidRDefault="002D3F87" w:rsidP="000D55AD">
            <w:pPr>
              <w:pStyle w:val="NormalWeb"/>
              <w:spacing w:before="0" w:beforeAutospacing="0" w:after="0" w:afterAutospacing="0"/>
              <w:ind w:left="53" w:right="140"/>
              <w:jc w:val="both"/>
            </w:pPr>
            <w:r w:rsidRPr="00A74BA1">
              <w:t>Valsts kase iemaksas izlīdzināšanas fondā pārskaita atbilstoši iedzīvotāju ienākuma nodokļa sadalei, t.i., kad no iedzīvotāju ienākuma nodokļa ieņēmumu budžeta sadales konta Valsts kase veic nodokļa sadali, attiecīgi tiek arī ieturētas iemaksas izlīdzināšanas fondā no šī konta atbilstoši nodokļa ieņēmumu izpildei šo noteikumu 1.</w:t>
            </w:r>
            <w:r>
              <w:t> </w:t>
            </w:r>
            <w:r w:rsidRPr="00A74BA1">
              <w:t>pielikumā norādīto iemaksu procentu apmērā. Savukārt pašvaldībām dotāciju no izlīdzināšanas fonda Valsts kase izmaksā atbilstoši šo noteikumu 2.</w:t>
            </w:r>
            <w:r>
              <w:t> </w:t>
            </w:r>
            <w:r w:rsidRPr="00A74BA1">
              <w:t>pielikumā minētajam procentuālajam sadalījumam. Saskaņā ar Pašvaldību finanšu izlīdzināšanas likuma 10.</w:t>
            </w:r>
            <w:r>
              <w:t> </w:t>
            </w:r>
            <w:r w:rsidRPr="00A74BA1">
              <w:t xml:space="preserve">panta trešo daļu Valsts kase dotāciju no izlīdzināšanas fonda pašvaldībām izmaksā divas reizes mēnesī – ne </w:t>
            </w:r>
            <w:r>
              <w:t>vēlāk kā līdz attiecīgā mēneša 15. un 25. </w:t>
            </w:r>
            <w:r w:rsidRPr="00A74BA1">
              <w:t>datumam.</w:t>
            </w:r>
          </w:p>
          <w:p w:rsidR="002D3F87" w:rsidRPr="002D785B" w:rsidRDefault="002D3F87" w:rsidP="000D55AD">
            <w:pPr>
              <w:pStyle w:val="NormalWeb"/>
              <w:spacing w:before="0" w:beforeAutospacing="0" w:after="0" w:afterAutospacing="0"/>
              <w:ind w:left="53" w:right="140"/>
              <w:jc w:val="both"/>
              <w:rPr>
                <w:color w:val="000000"/>
              </w:rPr>
            </w:pPr>
            <w:r w:rsidRPr="002D785B">
              <w:rPr>
                <w:color w:val="000000"/>
              </w:rPr>
              <w:lastRenderedPageBreak/>
              <w:t>Lai nodrošinātu korektu finanšu pārskatu datu sagatavošanu par 2021. gadu, Valsts kase sagatavos un 2021. gada 30. jūnijā Valsts kases tīmekļa vietnē</w:t>
            </w:r>
            <w:r>
              <w:rPr>
                <w:color w:val="000000"/>
              </w:rPr>
              <w:t xml:space="preserve"> </w:t>
            </w:r>
            <w:hyperlink r:id="rId7" w:history="1">
              <w:r w:rsidRPr="005342F1">
                <w:rPr>
                  <w:rStyle w:val="Hyperlink"/>
                </w:rPr>
                <w:t>www.kase.gov.lv</w:t>
              </w:r>
            </w:hyperlink>
            <w:r>
              <w:rPr>
                <w:color w:val="000000"/>
              </w:rPr>
              <w:t xml:space="preserve"> </w:t>
            </w:r>
            <w:r w:rsidRPr="002D785B">
              <w:rPr>
                <w:color w:val="000000"/>
              </w:rPr>
              <w:t>(sadaļā: Norēķini ar pašvaldībām) publicēs informāciju par 2021. gada pirmajā pusgadā no pašvaldību finanšu izlīdzināšanas fonda pašvaldībām pārskaitītās dotācijas attiecināto daļu saskaņā ar šo noteikumu 2.</w:t>
            </w:r>
            <w:r w:rsidR="000302A2">
              <w:rPr>
                <w:color w:val="000000"/>
              </w:rPr>
              <w:t> </w:t>
            </w:r>
            <w:bookmarkStart w:id="0" w:name="_GoBack"/>
            <w:bookmarkEnd w:id="0"/>
            <w:r w:rsidRPr="002D785B">
              <w:rPr>
                <w:color w:val="000000"/>
              </w:rPr>
              <w:t>pielikuma pirmo daļu uz šādām teritoriālām vienībām: Inčukalna novada pašvaldībai attiecībā uz Vangažu pilsētu; Aglonas novada pašvaldībai attiecībā uz Aglonas pagastu; Limbažu novada pašvaldībai attiecībā uz Skultes pagastu.</w:t>
            </w:r>
          </w:p>
          <w:p w:rsidR="002D3F87" w:rsidRDefault="002D3F87" w:rsidP="000D55AD">
            <w:pPr>
              <w:pStyle w:val="NormalWeb"/>
              <w:spacing w:before="0" w:beforeAutospacing="0" w:after="0" w:afterAutospacing="0"/>
              <w:ind w:left="53" w:right="140"/>
              <w:jc w:val="both"/>
              <w:rPr>
                <w:color w:val="000000"/>
                <w:shd w:val="clear" w:color="auto" w:fill="FFFFFF"/>
              </w:rPr>
            </w:pPr>
            <w:r w:rsidRPr="002D785B">
              <w:rPr>
                <w:color w:val="000000"/>
                <w:shd w:val="clear" w:color="auto" w:fill="FFFFFF"/>
              </w:rPr>
              <w:t xml:space="preserve">Noteikumu projektā noteikts, ka </w:t>
            </w:r>
            <w:proofErr w:type="spellStart"/>
            <w:r w:rsidRPr="002D785B">
              <w:rPr>
                <w:color w:val="000000"/>
                <w:shd w:val="clear" w:color="auto" w:fill="FFFFFF"/>
              </w:rPr>
              <w:t>jaunizveidojamām</w:t>
            </w:r>
            <w:proofErr w:type="spellEnd"/>
            <w:r w:rsidRPr="002D785B">
              <w:rPr>
                <w:color w:val="000000"/>
                <w:shd w:val="clear" w:color="auto" w:fill="FFFFFF"/>
              </w:rPr>
              <w:t xml:space="preserve"> pašvaldībām līdz 2021. gada 5. jūlijam jāpaziņo Valsts kasei kontu, uz kuru izmaksāt dotāciju no izlīdzināšanas fonda par 2021. gada otro pusgadu.</w:t>
            </w:r>
          </w:p>
          <w:p w:rsidR="002D3F87" w:rsidRPr="00806072" w:rsidRDefault="002D3F87" w:rsidP="009624B2">
            <w:pPr>
              <w:pStyle w:val="NormalWeb"/>
              <w:spacing w:before="0" w:beforeAutospacing="0" w:after="0" w:afterAutospacing="0"/>
              <w:ind w:left="53" w:right="140"/>
              <w:jc w:val="both"/>
              <w:rPr>
                <w:color w:val="FF0000"/>
              </w:rPr>
            </w:pPr>
            <w:r w:rsidRPr="005E6479">
              <w:rPr>
                <w:color w:val="000000"/>
                <w:shd w:val="clear" w:color="auto" w:fill="FFFFFF"/>
              </w:rPr>
              <w:t>Plānojot 2021.</w:t>
            </w:r>
            <w:r w:rsidR="00B815E4">
              <w:rPr>
                <w:color w:val="000000"/>
                <w:shd w:val="clear" w:color="auto" w:fill="FFFFFF"/>
              </w:rPr>
              <w:t> </w:t>
            </w:r>
            <w:r w:rsidRPr="005E6479">
              <w:rPr>
                <w:color w:val="000000"/>
                <w:shd w:val="clear" w:color="auto" w:fill="FFFFFF"/>
              </w:rPr>
              <w:t>gada budžetu, pašvaldības atbilstoši Fin</w:t>
            </w:r>
            <w:r w:rsidR="009624B2" w:rsidRPr="005E6479">
              <w:rPr>
                <w:color w:val="000000"/>
                <w:shd w:val="clear" w:color="auto" w:fill="FFFFFF"/>
              </w:rPr>
              <w:t>anšu ministrijas tīmekļa vietnē</w:t>
            </w:r>
            <w:r w:rsidR="009624B2" w:rsidRPr="005E6479">
              <w:rPr>
                <w:rStyle w:val="FootnoteReference"/>
                <w:color w:val="000000"/>
                <w:shd w:val="clear" w:color="auto" w:fill="FFFFFF"/>
              </w:rPr>
              <w:footnoteReference w:id="1"/>
            </w:r>
            <w:r w:rsidR="009624B2" w:rsidRPr="005E6479">
              <w:rPr>
                <w:color w:val="000000"/>
                <w:shd w:val="clear" w:color="auto" w:fill="FFFFFF"/>
              </w:rPr>
              <w:t xml:space="preserve"> </w:t>
            </w:r>
            <w:r w:rsidRPr="005E6479">
              <w:rPr>
                <w:color w:val="000000"/>
                <w:shd w:val="clear" w:color="auto" w:fill="FFFFFF"/>
              </w:rPr>
              <w:t>ievietotajam pašvaldību finanšu izlīdzināšanas aprēķinam 2021.</w:t>
            </w:r>
            <w:r w:rsidR="00B815E4">
              <w:rPr>
                <w:color w:val="000000"/>
                <w:shd w:val="clear" w:color="auto" w:fill="FFFFFF"/>
              </w:rPr>
              <w:t> </w:t>
            </w:r>
            <w:r w:rsidRPr="005E6479">
              <w:rPr>
                <w:color w:val="000000"/>
                <w:shd w:val="clear" w:color="auto" w:fill="FFFFFF"/>
              </w:rPr>
              <w:t>gadam</w:t>
            </w:r>
            <w:r w:rsidR="0045192F" w:rsidRPr="005E6479">
              <w:rPr>
                <w:color w:val="000000"/>
                <w:shd w:val="clear" w:color="auto" w:fill="FFFFFF"/>
              </w:rPr>
              <w:t>,</w:t>
            </w:r>
            <w:r w:rsidRPr="005E6479">
              <w:rPr>
                <w:color w:val="000000"/>
                <w:shd w:val="clear" w:color="auto" w:fill="FFFFFF"/>
              </w:rPr>
              <w:t xml:space="preserve"> ņem vērā visam gadam plānoto iedzīvotāju ienākuma nodokļa un nekustamā īpašuma nodokļa ieņēmumu prognozi, kā arī dotāciju no izlīdzināšanas fonda un iemaksu </w:t>
            </w:r>
            <w:r w:rsidR="009624B2" w:rsidRPr="005E6479">
              <w:rPr>
                <w:color w:val="000000"/>
                <w:shd w:val="clear" w:color="auto" w:fill="FFFFFF"/>
              </w:rPr>
              <w:t xml:space="preserve">izlīdzināšanas fondā </w:t>
            </w:r>
            <w:r w:rsidRPr="005E6479">
              <w:rPr>
                <w:color w:val="000000"/>
                <w:shd w:val="clear" w:color="auto" w:fill="FFFFFF"/>
              </w:rPr>
              <w:t>apmēru.</w:t>
            </w:r>
          </w:p>
        </w:tc>
      </w:tr>
      <w:tr w:rsidR="002D3F87" w:rsidRPr="00A74BA1" w:rsidTr="000D55AD">
        <w:tc>
          <w:tcPr>
            <w:tcW w:w="235" w:type="pct"/>
            <w:tcBorders>
              <w:top w:val="single" w:sz="4" w:space="0" w:color="auto"/>
              <w:left w:val="single" w:sz="4" w:space="0" w:color="auto"/>
              <w:bottom w:val="single" w:sz="4" w:space="0" w:color="auto"/>
              <w:right w:val="single" w:sz="4" w:space="0" w:color="auto"/>
            </w:tcBorders>
            <w:hideMark/>
          </w:tcPr>
          <w:p w:rsidR="002D3F87" w:rsidRPr="00A74BA1" w:rsidRDefault="002D3F87" w:rsidP="000D55AD">
            <w:pPr>
              <w:pStyle w:val="NormalWeb"/>
              <w:spacing w:before="0" w:beforeAutospacing="0" w:after="0" w:afterAutospacing="0"/>
            </w:pPr>
            <w:r w:rsidRPr="00A74BA1">
              <w:lastRenderedPageBreak/>
              <w:t>3.</w:t>
            </w:r>
          </w:p>
        </w:tc>
        <w:tc>
          <w:tcPr>
            <w:tcW w:w="1216" w:type="pct"/>
            <w:tcBorders>
              <w:top w:val="single" w:sz="4" w:space="0" w:color="auto"/>
              <w:left w:val="single" w:sz="4" w:space="0" w:color="auto"/>
              <w:bottom w:val="single" w:sz="4" w:space="0" w:color="auto"/>
              <w:right w:val="single" w:sz="4" w:space="0" w:color="auto"/>
            </w:tcBorders>
            <w:hideMark/>
          </w:tcPr>
          <w:p w:rsidR="002D3F87" w:rsidRPr="00A74BA1" w:rsidRDefault="002D3F87" w:rsidP="000D55AD">
            <w:pPr>
              <w:pStyle w:val="NormalWeb"/>
              <w:spacing w:before="0" w:beforeAutospacing="0" w:after="0" w:afterAutospacing="0"/>
            </w:pPr>
            <w:r w:rsidRPr="00A74BA1">
              <w:t>Projekta izstrādē iesaistītās institūcijas</w:t>
            </w:r>
          </w:p>
        </w:tc>
        <w:tc>
          <w:tcPr>
            <w:tcW w:w="3549" w:type="pct"/>
            <w:tcBorders>
              <w:top w:val="single" w:sz="4" w:space="0" w:color="auto"/>
              <w:left w:val="single" w:sz="4" w:space="0" w:color="auto"/>
              <w:bottom w:val="single" w:sz="4" w:space="0" w:color="auto"/>
              <w:right w:val="single" w:sz="4" w:space="0" w:color="auto"/>
            </w:tcBorders>
            <w:hideMark/>
          </w:tcPr>
          <w:p w:rsidR="002D3F87" w:rsidRPr="00A74BA1" w:rsidRDefault="002D3F87" w:rsidP="000D55AD">
            <w:pPr>
              <w:pStyle w:val="NormalWeb"/>
              <w:spacing w:before="0" w:beforeAutospacing="0" w:after="0" w:afterAutospacing="0"/>
              <w:ind w:firstLine="53"/>
            </w:pPr>
            <w:r>
              <w:t>Finanšu ministrija, Valsts kase.</w:t>
            </w:r>
          </w:p>
        </w:tc>
      </w:tr>
      <w:tr w:rsidR="002D3F87" w:rsidRPr="00A74BA1" w:rsidTr="000D55AD">
        <w:tc>
          <w:tcPr>
            <w:tcW w:w="235" w:type="pct"/>
            <w:tcBorders>
              <w:top w:val="single" w:sz="4" w:space="0" w:color="auto"/>
              <w:left w:val="outset" w:sz="6" w:space="0" w:color="000000"/>
              <w:bottom w:val="single" w:sz="4" w:space="0" w:color="auto"/>
              <w:right w:val="outset" w:sz="6" w:space="0" w:color="000000"/>
            </w:tcBorders>
            <w:hideMark/>
          </w:tcPr>
          <w:p w:rsidR="002D3F87" w:rsidRPr="00A74BA1" w:rsidRDefault="002D3F87" w:rsidP="000D55AD">
            <w:pPr>
              <w:pStyle w:val="NormalWeb"/>
              <w:spacing w:before="0" w:beforeAutospacing="0" w:after="0" w:afterAutospacing="0"/>
            </w:pPr>
            <w:r w:rsidRPr="00A74BA1">
              <w:t>4.</w:t>
            </w:r>
          </w:p>
        </w:tc>
        <w:tc>
          <w:tcPr>
            <w:tcW w:w="1216" w:type="pct"/>
            <w:tcBorders>
              <w:top w:val="single" w:sz="4" w:space="0" w:color="auto"/>
              <w:left w:val="outset" w:sz="6" w:space="0" w:color="000000"/>
              <w:bottom w:val="single" w:sz="4" w:space="0" w:color="auto"/>
              <w:right w:val="outset" w:sz="6" w:space="0" w:color="000000"/>
            </w:tcBorders>
            <w:hideMark/>
          </w:tcPr>
          <w:p w:rsidR="002D3F87" w:rsidRPr="00A74BA1" w:rsidRDefault="002D3F87" w:rsidP="000D55AD">
            <w:pPr>
              <w:pStyle w:val="NormalWeb"/>
              <w:spacing w:before="0" w:beforeAutospacing="0" w:after="0" w:afterAutospacing="0"/>
            </w:pPr>
            <w:r w:rsidRPr="00A74BA1">
              <w:t>Cita informācija</w:t>
            </w:r>
          </w:p>
        </w:tc>
        <w:tc>
          <w:tcPr>
            <w:tcW w:w="3549" w:type="pct"/>
            <w:tcBorders>
              <w:top w:val="single" w:sz="4" w:space="0" w:color="auto"/>
              <w:left w:val="outset" w:sz="6" w:space="0" w:color="000000"/>
              <w:bottom w:val="single" w:sz="4" w:space="0" w:color="auto"/>
              <w:right w:val="outset" w:sz="6" w:space="0" w:color="000000"/>
            </w:tcBorders>
            <w:hideMark/>
          </w:tcPr>
          <w:p w:rsidR="002D3F87" w:rsidRPr="00A74BA1" w:rsidRDefault="002D3F87" w:rsidP="000D55AD">
            <w:pPr>
              <w:pStyle w:val="NormalWeb"/>
              <w:spacing w:before="0" w:beforeAutospacing="0" w:after="0" w:afterAutospacing="0"/>
              <w:jc w:val="both"/>
            </w:pPr>
            <w:r w:rsidRPr="00A74BA1">
              <w:t>Nav.</w:t>
            </w:r>
          </w:p>
        </w:tc>
      </w:tr>
    </w:tbl>
    <w:p w:rsidR="002D3F87" w:rsidRPr="001604FF" w:rsidRDefault="002D3F87" w:rsidP="002D3F87">
      <w:pPr>
        <w:pStyle w:val="NormalWeb"/>
        <w:spacing w:before="0" w:beforeAutospacing="0" w:after="0" w:afterAutospacing="0"/>
        <w:rPr>
          <w:sz w:val="28"/>
          <w:szCs w:val="28"/>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7"/>
        <w:gridCol w:w="4061"/>
        <w:gridCol w:w="4781"/>
      </w:tblGrid>
      <w:tr w:rsidR="002D3F87" w:rsidRPr="00A74BA1" w:rsidTr="000D55AD">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D3F87" w:rsidRPr="00A74BA1" w:rsidRDefault="002D3F87" w:rsidP="000D55AD">
            <w:pPr>
              <w:pStyle w:val="NormalWeb"/>
              <w:spacing w:before="0" w:beforeAutospacing="0" w:after="0" w:afterAutospacing="0"/>
              <w:jc w:val="center"/>
              <w:rPr>
                <w:b/>
                <w:bCs/>
              </w:rPr>
            </w:pPr>
            <w:r w:rsidRPr="00A74BA1">
              <w:rPr>
                <w:b/>
                <w:bCs/>
              </w:rPr>
              <w:t>II. Tiesību akta projekta ietekme uz sabiedrību, tautsaimniecības attīstību un administratīvo slogu</w:t>
            </w:r>
          </w:p>
        </w:tc>
      </w:tr>
      <w:tr w:rsidR="002D3F87" w:rsidRPr="00A74BA1" w:rsidTr="000D55AD">
        <w:tc>
          <w:tcPr>
            <w:tcW w:w="251"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1.</w:t>
            </w:r>
          </w:p>
        </w:tc>
        <w:tc>
          <w:tcPr>
            <w:tcW w:w="2181"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 xml:space="preserve">Sabiedrības </w:t>
            </w:r>
            <w:proofErr w:type="spellStart"/>
            <w:r w:rsidRPr="00A74BA1">
              <w:t>mērķgrupas</w:t>
            </w:r>
            <w:proofErr w:type="spellEnd"/>
            <w:r w:rsidRPr="00A74BA1">
              <w:t>, kuras tiesiskais regulējums ietekmē vai varētu ietekmēt</w:t>
            </w:r>
          </w:p>
        </w:tc>
        <w:tc>
          <w:tcPr>
            <w:tcW w:w="2568"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jc w:val="both"/>
            </w:pPr>
            <w:r w:rsidRPr="00A74BA1">
              <w:t>Noteikumu projekta tiesiskais regulējums attiecināms uz pašvaldībām.</w:t>
            </w:r>
          </w:p>
        </w:tc>
      </w:tr>
      <w:tr w:rsidR="002D3F87" w:rsidRPr="00A74BA1" w:rsidTr="000D55AD">
        <w:tc>
          <w:tcPr>
            <w:tcW w:w="251"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2.</w:t>
            </w:r>
          </w:p>
        </w:tc>
        <w:tc>
          <w:tcPr>
            <w:tcW w:w="2181"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Tiesiskā regulējuma ietekme uz tautsaimniecību un administratīvo slogu</w:t>
            </w:r>
          </w:p>
        </w:tc>
        <w:tc>
          <w:tcPr>
            <w:tcW w:w="2568"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jc w:val="both"/>
            </w:pPr>
            <w:r w:rsidRPr="00A74BA1">
              <w:t>Projekts šo jomu neskar.</w:t>
            </w:r>
          </w:p>
        </w:tc>
      </w:tr>
      <w:tr w:rsidR="002D3F87" w:rsidRPr="00A74BA1" w:rsidTr="000D55AD">
        <w:tc>
          <w:tcPr>
            <w:tcW w:w="251"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3.</w:t>
            </w:r>
          </w:p>
        </w:tc>
        <w:tc>
          <w:tcPr>
            <w:tcW w:w="2181"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Administratīvo izmaksu monetārs novērtējums</w:t>
            </w:r>
          </w:p>
        </w:tc>
        <w:tc>
          <w:tcPr>
            <w:tcW w:w="2568"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jc w:val="both"/>
            </w:pPr>
            <w:r w:rsidRPr="00A74BA1">
              <w:t>Projekts šo jomu neskar.</w:t>
            </w:r>
          </w:p>
        </w:tc>
      </w:tr>
      <w:tr w:rsidR="002D3F87" w:rsidRPr="00A74BA1" w:rsidTr="000D55AD">
        <w:tc>
          <w:tcPr>
            <w:tcW w:w="251"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4.</w:t>
            </w:r>
          </w:p>
        </w:tc>
        <w:tc>
          <w:tcPr>
            <w:tcW w:w="2181"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Cita informācija</w:t>
            </w:r>
          </w:p>
        </w:tc>
        <w:tc>
          <w:tcPr>
            <w:tcW w:w="2568"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Nav.</w:t>
            </w:r>
          </w:p>
        </w:tc>
      </w:tr>
    </w:tbl>
    <w:p w:rsidR="002D3F87" w:rsidRDefault="002D3F87" w:rsidP="002D3F87">
      <w:pPr>
        <w:pStyle w:val="NormalWeb"/>
        <w:spacing w:before="0" w:beforeAutospacing="0" w:after="0" w:afterAutospacing="0"/>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D3F87" w:rsidRPr="0086718C" w:rsidTr="000D55AD">
        <w:tc>
          <w:tcPr>
            <w:tcW w:w="9356" w:type="dxa"/>
            <w:tcBorders>
              <w:top w:val="single" w:sz="4" w:space="0" w:color="auto"/>
              <w:left w:val="single" w:sz="4" w:space="0" w:color="auto"/>
              <w:bottom w:val="single" w:sz="4" w:space="0" w:color="auto"/>
              <w:right w:val="single" w:sz="4" w:space="0" w:color="auto"/>
            </w:tcBorders>
            <w:hideMark/>
          </w:tcPr>
          <w:p w:rsidR="002D3F87" w:rsidRPr="0086718C" w:rsidRDefault="002D3F87" w:rsidP="000D55AD">
            <w:pPr>
              <w:pStyle w:val="NormalWeb"/>
              <w:spacing w:before="0" w:beforeAutospacing="0" w:after="0" w:afterAutospacing="0"/>
              <w:ind w:left="-107" w:right="147"/>
              <w:jc w:val="center"/>
              <w:rPr>
                <w:color w:val="000000"/>
                <w:sz w:val="26"/>
                <w:szCs w:val="26"/>
              </w:rPr>
            </w:pPr>
            <w:r w:rsidRPr="0086718C">
              <w:rPr>
                <w:b/>
                <w:bCs/>
                <w:color w:val="000000"/>
                <w:sz w:val="26"/>
                <w:szCs w:val="26"/>
              </w:rPr>
              <w:t>III. Tiesību akta projekta ietekme uz valsts budžetu un pašvaldību budžetiem</w:t>
            </w:r>
          </w:p>
        </w:tc>
      </w:tr>
      <w:tr w:rsidR="002D3F87" w:rsidRPr="0086718C" w:rsidTr="000D55AD">
        <w:tc>
          <w:tcPr>
            <w:tcW w:w="9356" w:type="dxa"/>
            <w:tcBorders>
              <w:top w:val="single" w:sz="4" w:space="0" w:color="auto"/>
              <w:left w:val="single" w:sz="4" w:space="0" w:color="auto"/>
              <w:bottom w:val="single" w:sz="4" w:space="0" w:color="auto"/>
              <w:right w:val="single" w:sz="4" w:space="0" w:color="auto"/>
            </w:tcBorders>
            <w:hideMark/>
          </w:tcPr>
          <w:p w:rsidR="002D3F87" w:rsidRPr="0086718C" w:rsidRDefault="002D3F87" w:rsidP="000D55AD">
            <w:pPr>
              <w:pStyle w:val="NormalWeb"/>
              <w:spacing w:before="0" w:beforeAutospacing="0" w:after="0" w:afterAutospacing="0"/>
              <w:jc w:val="center"/>
              <w:rPr>
                <w:b/>
                <w:bCs/>
                <w:color w:val="000000"/>
                <w:sz w:val="26"/>
                <w:szCs w:val="26"/>
              </w:rPr>
            </w:pPr>
            <w:r w:rsidRPr="0086718C">
              <w:rPr>
                <w:color w:val="000000"/>
                <w:sz w:val="26"/>
                <w:szCs w:val="26"/>
              </w:rPr>
              <w:t>Projekts šo jomu neskar</w:t>
            </w:r>
          </w:p>
        </w:tc>
      </w:tr>
    </w:tbl>
    <w:p w:rsidR="002D3F87" w:rsidRPr="0086718C" w:rsidRDefault="002D3F87" w:rsidP="002D3F87">
      <w:pPr>
        <w:pStyle w:val="NormalWeb"/>
        <w:spacing w:before="0" w:beforeAutospacing="0" w:after="0" w:afterAutospacing="0"/>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D3F87" w:rsidRPr="0086718C" w:rsidTr="000D55AD">
        <w:tc>
          <w:tcPr>
            <w:tcW w:w="9356" w:type="dxa"/>
            <w:tcBorders>
              <w:top w:val="single" w:sz="4" w:space="0" w:color="auto"/>
              <w:left w:val="single" w:sz="4" w:space="0" w:color="auto"/>
              <w:bottom w:val="single" w:sz="4" w:space="0" w:color="auto"/>
              <w:right w:val="single" w:sz="4" w:space="0" w:color="auto"/>
            </w:tcBorders>
            <w:hideMark/>
          </w:tcPr>
          <w:p w:rsidR="002D3F87" w:rsidRPr="0086718C" w:rsidRDefault="002D3F87" w:rsidP="000D55AD">
            <w:pPr>
              <w:pStyle w:val="NormalWeb"/>
              <w:spacing w:before="0" w:beforeAutospacing="0" w:after="0" w:afterAutospacing="0"/>
              <w:jc w:val="center"/>
              <w:rPr>
                <w:color w:val="000000"/>
                <w:sz w:val="26"/>
                <w:szCs w:val="26"/>
              </w:rPr>
            </w:pPr>
            <w:r w:rsidRPr="0086718C">
              <w:rPr>
                <w:b/>
                <w:bCs/>
                <w:color w:val="000000"/>
                <w:sz w:val="26"/>
                <w:szCs w:val="26"/>
              </w:rPr>
              <w:t>IV. Tiesību akta projekta ietekme uz spēkā esošo tiesību normu sistēmu</w:t>
            </w:r>
          </w:p>
        </w:tc>
      </w:tr>
      <w:tr w:rsidR="002D3F87" w:rsidRPr="0086718C" w:rsidTr="000D55AD">
        <w:tc>
          <w:tcPr>
            <w:tcW w:w="9356" w:type="dxa"/>
            <w:tcBorders>
              <w:top w:val="single" w:sz="4" w:space="0" w:color="auto"/>
              <w:left w:val="single" w:sz="4" w:space="0" w:color="auto"/>
              <w:bottom w:val="single" w:sz="4" w:space="0" w:color="auto"/>
              <w:right w:val="single" w:sz="4" w:space="0" w:color="auto"/>
            </w:tcBorders>
            <w:hideMark/>
          </w:tcPr>
          <w:p w:rsidR="002D3F87" w:rsidRPr="0086718C" w:rsidRDefault="002D3F87" w:rsidP="000D55AD">
            <w:pPr>
              <w:pStyle w:val="NormalWeb"/>
              <w:spacing w:before="0" w:beforeAutospacing="0" w:after="0" w:afterAutospacing="0"/>
              <w:jc w:val="center"/>
              <w:rPr>
                <w:color w:val="000000"/>
                <w:sz w:val="26"/>
                <w:szCs w:val="26"/>
              </w:rPr>
            </w:pPr>
            <w:r w:rsidRPr="0086718C">
              <w:rPr>
                <w:color w:val="000000"/>
                <w:sz w:val="26"/>
                <w:szCs w:val="26"/>
              </w:rPr>
              <w:t>Projekts šo jomu neskar</w:t>
            </w:r>
          </w:p>
        </w:tc>
      </w:tr>
    </w:tbl>
    <w:p w:rsidR="002D3F87" w:rsidRPr="0086718C" w:rsidRDefault="002D3F87" w:rsidP="002D3F87">
      <w:pPr>
        <w:pStyle w:val="NormalWeb"/>
        <w:spacing w:before="0" w:beforeAutospacing="0" w:after="0" w:afterAutospacing="0"/>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D3F87" w:rsidRPr="0086718C" w:rsidTr="000D55AD">
        <w:tc>
          <w:tcPr>
            <w:tcW w:w="9356" w:type="dxa"/>
            <w:tcBorders>
              <w:top w:val="single" w:sz="4" w:space="0" w:color="auto"/>
              <w:left w:val="single" w:sz="4" w:space="0" w:color="auto"/>
              <w:bottom w:val="single" w:sz="4" w:space="0" w:color="auto"/>
              <w:right w:val="single" w:sz="4" w:space="0" w:color="auto"/>
            </w:tcBorders>
            <w:hideMark/>
          </w:tcPr>
          <w:p w:rsidR="002D3F87" w:rsidRPr="0086718C" w:rsidRDefault="002D3F87" w:rsidP="000D55AD">
            <w:pPr>
              <w:pStyle w:val="NormalWeb"/>
              <w:spacing w:before="0" w:beforeAutospacing="0" w:after="0" w:afterAutospacing="0"/>
              <w:jc w:val="center"/>
              <w:rPr>
                <w:color w:val="000000"/>
                <w:sz w:val="26"/>
                <w:szCs w:val="26"/>
              </w:rPr>
            </w:pPr>
            <w:r w:rsidRPr="0086718C">
              <w:rPr>
                <w:b/>
                <w:bCs/>
                <w:color w:val="000000"/>
                <w:sz w:val="26"/>
                <w:szCs w:val="26"/>
              </w:rPr>
              <w:t>V. Tiesību akta projekta atbilstība Latvijas Republikas starptautiskajām saistībām</w:t>
            </w:r>
          </w:p>
        </w:tc>
      </w:tr>
      <w:tr w:rsidR="002D3F87" w:rsidRPr="0086718C" w:rsidTr="000D55AD">
        <w:tc>
          <w:tcPr>
            <w:tcW w:w="9356" w:type="dxa"/>
            <w:tcBorders>
              <w:top w:val="single" w:sz="4" w:space="0" w:color="auto"/>
              <w:left w:val="single" w:sz="4" w:space="0" w:color="auto"/>
              <w:bottom w:val="single" w:sz="4" w:space="0" w:color="auto"/>
              <w:right w:val="single" w:sz="4" w:space="0" w:color="auto"/>
            </w:tcBorders>
            <w:hideMark/>
          </w:tcPr>
          <w:p w:rsidR="002D3F87" w:rsidRPr="0086718C" w:rsidRDefault="002D3F87" w:rsidP="000D55AD">
            <w:pPr>
              <w:pStyle w:val="NormalWeb"/>
              <w:spacing w:before="0" w:beforeAutospacing="0" w:after="0" w:afterAutospacing="0"/>
              <w:jc w:val="center"/>
              <w:rPr>
                <w:color w:val="000000"/>
                <w:sz w:val="26"/>
                <w:szCs w:val="26"/>
              </w:rPr>
            </w:pPr>
            <w:r w:rsidRPr="0086718C">
              <w:rPr>
                <w:color w:val="000000"/>
                <w:sz w:val="26"/>
                <w:szCs w:val="26"/>
              </w:rPr>
              <w:t>Projekts šo jomu neskar</w:t>
            </w:r>
          </w:p>
        </w:tc>
      </w:tr>
    </w:tbl>
    <w:p w:rsidR="002D3F87" w:rsidRPr="001604FF" w:rsidRDefault="002D3F87" w:rsidP="002D3F87">
      <w:pPr>
        <w:pStyle w:val="NormalWeb"/>
        <w:spacing w:before="0" w:beforeAutospacing="0" w:after="0" w:afterAutospacing="0"/>
        <w:rPr>
          <w:sz w:val="28"/>
          <w:szCs w:val="28"/>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8"/>
        <w:gridCol w:w="3235"/>
        <w:gridCol w:w="5646"/>
      </w:tblGrid>
      <w:tr w:rsidR="002D3F87" w:rsidRPr="00A74BA1" w:rsidTr="000D55AD">
        <w:tc>
          <w:tcPr>
            <w:tcW w:w="5000" w:type="pct"/>
            <w:gridSpan w:val="3"/>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jc w:val="center"/>
              <w:rPr>
                <w:b/>
                <w:bCs/>
              </w:rPr>
            </w:pPr>
            <w:r w:rsidRPr="00A74BA1">
              <w:rPr>
                <w:b/>
                <w:bCs/>
              </w:rPr>
              <w:lastRenderedPageBreak/>
              <w:t>VI. Sabiedrības līdzdalība un komunikācijas aktivitātes</w:t>
            </w:r>
          </w:p>
        </w:tc>
      </w:tr>
      <w:tr w:rsidR="002D3F87" w:rsidRPr="00A74BA1" w:rsidTr="000D55AD">
        <w:tc>
          <w:tcPr>
            <w:tcW w:w="243"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1.</w:t>
            </w:r>
          </w:p>
        </w:tc>
        <w:tc>
          <w:tcPr>
            <w:tcW w:w="1750"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Plānotās sabiedrības līdzdalības un komunikācijas aktivitātes saistībā ar projektu</w:t>
            </w:r>
          </w:p>
        </w:tc>
        <w:tc>
          <w:tcPr>
            <w:tcW w:w="3007" w:type="pct"/>
            <w:tcBorders>
              <w:top w:val="outset" w:sz="6" w:space="0" w:color="000000"/>
              <w:left w:val="outset" w:sz="6" w:space="0" w:color="000000"/>
              <w:bottom w:val="outset" w:sz="6" w:space="0" w:color="000000"/>
              <w:right w:val="outset" w:sz="6" w:space="0" w:color="000000"/>
            </w:tcBorders>
            <w:hideMark/>
          </w:tcPr>
          <w:p w:rsidR="002D3F87" w:rsidRPr="002D785B" w:rsidRDefault="002D3F87" w:rsidP="000D55AD">
            <w:pPr>
              <w:pStyle w:val="NormalWeb"/>
              <w:spacing w:before="0" w:beforeAutospacing="0" w:after="0" w:afterAutospacing="0"/>
              <w:ind w:left="68" w:right="142"/>
              <w:jc w:val="both"/>
              <w:rPr>
                <w:color w:val="000000"/>
              </w:rPr>
            </w:pPr>
            <w:r w:rsidRPr="002D785B">
              <w:rPr>
                <w:color w:val="000000"/>
              </w:rPr>
              <w:t xml:space="preserve">Informācija par projekta izstrādi ir publicēta Finanšu ministrijas tīmekļvietnē sadaļā “Sabiedrības līdzdalība” – “Tiesību aktu projekti” – “Pašvaldību finanšu uzraudzības politika”. Līdz ar to sabiedrības pārstāvji varēja līdzdarboties projekta izstrādē, </w:t>
            </w:r>
            <w:proofErr w:type="spellStart"/>
            <w:r w:rsidRPr="002D785B">
              <w:rPr>
                <w:color w:val="000000"/>
              </w:rPr>
              <w:t>rakstveidā</w:t>
            </w:r>
            <w:proofErr w:type="spellEnd"/>
            <w:r w:rsidRPr="002D785B">
              <w:rPr>
                <w:color w:val="000000"/>
              </w:rPr>
              <w:t xml:space="preserve"> sniedzot viedokļus par projektu. </w:t>
            </w:r>
          </w:p>
          <w:p w:rsidR="002D3F87" w:rsidRPr="00A74BA1" w:rsidRDefault="002D3F87" w:rsidP="000D55AD">
            <w:pPr>
              <w:pStyle w:val="NormalWeb"/>
              <w:spacing w:before="0" w:beforeAutospacing="0" w:after="0" w:afterAutospacing="0"/>
              <w:ind w:left="69" w:right="140"/>
              <w:jc w:val="both"/>
            </w:pPr>
            <w:r>
              <w:t>Projekts nosūtīts viedokļa sniegšanai Latvijas Pašvaldību savienībai (turpmāk – LPS).</w:t>
            </w:r>
          </w:p>
        </w:tc>
      </w:tr>
      <w:tr w:rsidR="002D3F87" w:rsidRPr="00A74BA1" w:rsidTr="000D55AD">
        <w:tc>
          <w:tcPr>
            <w:tcW w:w="243"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2.</w:t>
            </w:r>
          </w:p>
        </w:tc>
        <w:tc>
          <w:tcPr>
            <w:tcW w:w="1750"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Sabiedrības līdzdalība projekta izstrādē</w:t>
            </w:r>
          </w:p>
        </w:tc>
        <w:tc>
          <w:tcPr>
            <w:tcW w:w="3007" w:type="pct"/>
            <w:tcBorders>
              <w:top w:val="outset" w:sz="6" w:space="0" w:color="000000"/>
              <w:left w:val="outset" w:sz="6" w:space="0" w:color="000000"/>
              <w:bottom w:val="outset" w:sz="6" w:space="0" w:color="000000"/>
              <w:right w:val="outset" w:sz="6" w:space="0" w:color="000000"/>
            </w:tcBorders>
          </w:tcPr>
          <w:p w:rsidR="002D3F87" w:rsidRPr="002D785B" w:rsidRDefault="002D3F87" w:rsidP="000D55AD">
            <w:pPr>
              <w:ind w:left="105"/>
              <w:jc w:val="both"/>
              <w:rPr>
                <w:color w:val="000000"/>
              </w:rPr>
            </w:pPr>
            <w:r w:rsidRPr="002D785B">
              <w:rPr>
                <w:color w:val="000000"/>
              </w:rPr>
              <w:t xml:space="preserve">Sabiedrības pārstāvji varēja līdzdarboties projekta izstrādē, </w:t>
            </w:r>
            <w:proofErr w:type="spellStart"/>
            <w:r w:rsidRPr="002D785B">
              <w:rPr>
                <w:color w:val="000000"/>
              </w:rPr>
              <w:t>rakstveidā</w:t>
            </w:r>
            <w:proofErr w:type="spellEnd"/>
            <w:r w:rsidRPr="002D785B">
              <w:rPr>
                <w:color w:val="000000"/>
              </w:rPr>
              <w:t xml:space="preserve"> sniedzot viedokļus par projektu, kas 2020. gada 9. novembrī publicēts Finanšu ministrijas tīmekļvietnē sadaļā “Sabiedrības līdzdalība” – “Tiesību aktu projekti” – “Pašvaldību finanšu uzraudzības politika”, adrese: </w:t>
            </w:r>
          </w:p>
          <w:p w:rsidR="002D3F87" w:rsidRPr="002D0395" w:rsidRDefault="002D3F87" w:rsidP="000D55AD">
            <w:pPr>
              <w:ind w:left="121" w:right="106"/>
              <w:jc w:val="both"/>
              <w:rPr>
                <w:rStyle w:val="Hyperlink"/>
              </w:rPr>
            </w:pPr>
            <w:r>
              <w:rPr>
                <w:rStyle w:val="Hyperlink"/>
              </w:rPr>
              <w:fldChar w:fldCharType="begin"/>
            </w:r>
            <w:r>
              <w:rPr>
                <w:rStyle w:val="Hyperlink"/>
              </w:rPr>
              <w:instrText xml:space="preserve"> HYPERLINK "https://www.fm.gov.lv/lv/sabiedribas_lidzdaliba/tiesibu_aktu_projekti/pasvaldibu_finansu_uzraudzibas_politika" \l "project683" </w:instrText>
            </w:r>
            <w:r>
              <w:rPr>
                <w:rStyle w:val="Hyperlink"/>
              </w:rPr>
              <w:fldChar w:fldCharType="separate"/>
            </w:r>
            <w:r w:rsidRPr="002D0395">
              <w:rPr>
                <w:rStyle w:val="Hyperlink"/>
              </w:rPr>
              <w:t>https://www.fm.gov.lv/lv/sabiedribas_lidzdaliba/</w:t>
            </w:r>
          </w:p>
          <w:p w:rsidR="002D3F87" w:rsidRPr="002D0395" w:rsidRDefault="002D3F87" w:rsidP="000D55AD">
            <w:pPr>
              <w:ind w:left="121" w:right="106"/>
              <w:jc w:val="both"/>
              <w:rPr>
                <w:rStyle w:val="Hyperlink"/>
              </w:rPr>
            </w:pPr>
            <w:proofErr w:type="spellStart"/>
            <w:r w:rsidRPr="002D0395">
              <w:rPr>
                <w:rStyle w:val="Hyperlink"/>
              </w:rPr>
              <w:t>tiesibu_aktu_projekti</w:t>
            </w:r>
            <w:proofErr w:type="spellEnd"/>
            <w:r w:rsidRPr="002D0395">
              <w:rPr>
                <w:rStyle w:val="Hyperlink"/>
              </w:rPr>
              <w:t>/</w:t>
            </w:r>
            <w:proofErr w:type="spellStart"/>
            <w:r w:rsidRPr="002D0395">
              <w:rPr>
                <w:rStyle w:val="Hyperlink"/>
              </w:rPr>
              <w:t>pasvaldibu_finansu_uzraudzibas</w:t>
            </w:r>
            <w:proofErr w:type="spellEnd"/>
            <w:r w:rsidRPr="002D0395">
              <w:rPr>
                <w:rStyle w:val="Hyperlink"/>
              </w:rPr>
              <w:t>_</w:t>
            </w:r>
          </w:p>
          <w:p w:rsidR="002D3F87" w:rsidRPr="002D0395" w:rsidRDefault="002D3F87" w:rsidP="000D55AD">
            <w:pPr>
              <w:ind w:left="121" w:right="106"/>
              <w:jc w:val="both"/>
              <w:rPr>
                <w:rStyle w:val="Hyperlink"/>
              </w:rPr>
            </w:pPr>
            <w:r w:rsidRPr="002D0395">
              <w:rPr>
                <w:rStyle w:val="Hyperlink"/>
              </w:rPr>
              <w:t>politika#project683</w:t>
            </w:r>
            <w:r>
              <w:rPr>
                <w:rStyle w:val="Hyperlink"/>
              </w:rPr>
              <w:fldChar w:fldCharType="end"/>
            </w:r>
          </w:p>
          <w:p w:rsidR="002D3F87" w:rsidRPr="00A74BA1" w:rsidRDefault="002D3F87" w:rsidP="000D55AD">
            <w:pPr>
              <w:ind w:left="121" w:right="106"/>
              <w:jc w:val="both"/>
            </w:pPr>
            <w:r w:rsidRPr="00E233D4">
              <w:t>Sagatavojot Ministru kabineta un LPS vienošanās un domstarpību protokolu par 202</w:t>
            </w:r>
            <w:r>
              <w:t>1</w:t>
            </w:r>
            <w:r w:rsidRPr="00E233D4">
              <w:t>.</w:t>
            </w:r>
            <w:r>
              <w:t> g</w:t>
            </w:r>
            <w:r w:rsidRPr="00E233D4">
              <w:t>a</w:t>
            </w:r>
            <w:r>
              <w:t xml:space="preserve">da budžetu, </w:t>
            </w:r>
            <w:r w:rsidRPr="002E4F1E">
              <w:t>ar</w:t>
            </w:r>
            <w:r w:rsidRPr="00E233D4">
              <w:t xml:space="preserve"> LPS panākta vienošanās</w:t>
            </w:r>
            <w:r>
              <w:t xml:space="preserve">, kas paredz, ka </w:t>
            </w:r>
            <w:r w:rsidRPr="00552296">
              <w:t>2021.</w:t>
            </w:r>
            <w:r>
              <w:t> </w:t>
            </w:r>
            <w:r w:rsidRPr="00552296">
              <w:t xml:space="preserve">gadā </w:t>
            </w:r>
            <w:r>
              <w:t xml:space="preserve">tiek </w:t>
            </w:r>
            <w:r w:rsidRPr="00552296">
              <w:t>saglabāt</w:t>
            </w:r>
            <w:r>
              <w:t>s</w:t>
            </w:r>
            <w:r w:rsidRPr="00552296">
              <w:t xml:space="preserve"> esoš</w:t>
            </w:r>
            <w:r>
              <w:t>ais</w:t>
            </w:r>
            <w:r w:rsidRPr="00552296">
              <w:t xml:space="preserve"> pašvaldību finanšu izlīdzināšanas aprēķina modeli</w:t>
            </w:r>
            <w:r>
              <w:t>s.</w:t>
            </w:r>
          </w:p>
        </w:tc>
      </w:tr>
      <w:tr w:rsidR="002D3F87" w:rsidRPr="00A74BA1" w:rsidTr="000D55AD">
        <w:tc>
          <w:tcPr>
            <w:tcW w:w="243"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3.</w:t>
            </w:r>
          </w:p>
        </w:tc>
        <w:tc>
          <w:tcPr>
            <w:tcW w:w="1750"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Sabiedrības līdzdalības rezultāti</w:t>
            </w:r>
          </w:p>
        </w:tc>
        <w:tc>
          <w:tcPr>
            <w:tcW w:w="3007" w:type="pct"/>
            <w:tcBorders>
              <w:top w:val="outset" w:sz="6" w:space="0" w:color="000000"/>
              <w:left w:val="outset" w:sz="6" w:space="0" w:color="000000"/>
              <w:bottom w:val="outset" w:sz="6" w:space="0" w:color="000000"/>
              <w:right w:val="outset" w:sz="6" w:space="0" w:color="000000"/>
            </w:tcBorders>
          </w:tcPr>
          <w:p w:rsidR="002D3F87" w:rsidRPr="00A74BA1" w:rsidRDefault="002D3F87" w:rsidP="000D55AD">
            <w:pPr>
              <w:pStyle w:val="NormalWeb"/>
              <w:spacing w:before="0" w:beforeAutospacing="0" w:after="0" w:afterAutospacing="0"/>
              <w:ind w:left="69" w:right="140"/>
              <w:jc w:val="both"/>
            </w:pPr>
            <w:r w:rsidRPr="0045563C">
              <w:t>Sabiedrības pārstāvju iebildumi un priekšlikumi nav saņemti.</w:t>
            </w:r>
          </w:p>
        </w:tc>
      </w:tr>
      <w:tr w:rsidR="002D3F87" w:rsidRPr="00A74BA1" w:rsidTr="000D55AD">
        <w:tc>
          <w:tcPr>
            <w:tcW w:w="243"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4.</w:t>
            </w:r>
          </w:p>
        </w:tc>
        <w:tc>
          <w:tcPr>
            <w:tcW w:w="1750"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Cita informācija</w:t>
            </w:r>
          </w:p>
        </w:tc>
        <w:tc>
          <w:tcPr>
            <w:tcW w:w="3007" w:type="pct"/>
            <w:tcBorders>
              <w:top w:val="outset" w:sz="6" w:space="0" w:color="000000"/>
              <w:left w:val="outset" w:sz="6" w:space="0" w:color="000000"/>
              <w:bottom w:val="outset" w:sz="6" w:space="0" w:color="000000"/>
              <w:right w:val="outset" w:sz="6" w:space="0" w:color="000000"/>
            </w:tcBorders>
          </w:tcPr>
          <w:p w:rsidR="002D3F87" w:rsidRPr="00A74BA1" w:rsidRDefault="002D3F87" w:rsidP="000D55AD">
            <w:pPr>
              <w:pStyle w:val="NormalWeb"/>
              <w:spacing w:before="0" w:beforeAutospacing="0" w:after="0" w:afterAutospacing="0"/>
              <w:ind w:left="69" w:right="140"/>
            </w:pPr>
            <w:r w:rsidRPr="00A74BA1">
              <w:t>Nav.</w:t>
            </w:r>
          </w:p>
        </w:tc>
      </w:tr>
    </w:tbl>
    <w:p w:rsidR="002D3F87" w:rsidRPr="001604FF" w:rsidRDefault="002D3F87" w:rsidP="002D3F87">
      <w:pPr>
        <w:pStyle w:val="NormalWeb"/>
        <w:spacing w:before="0" w:beforeAutospacing="0" w:after="0" w:afterAutospacing="0"/>
        <w:rPr>
          <w:sz w:val="28"/>
          <w:szCs w:val="28"/>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7"/>
        <w:gridCol w:w="3992"/>
        <w:gridCol w:w="4880"/>
      </w:tblGrid>
      <w:tr w:rsidR="002D3F87" w:rsidRPr="00A74BA1" w:rsidTr="000D55AD">
        <w:tc>
          <w:tcPr>
            <w:tcW w:w="5000" w:type="pct"/>
            <w:gridSpan w:val="3"/>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jc w:val="center"/>
              <w:rPr>
                <w:b/>
                <w:bCs/>
              </w:rPr>
            </w:pPr>
            <w:r w:rsidRPr="00A74BA1">
              <w:rPr>
                <w:b/>
                <w:bCs/>
              </w:rPr>
              <w:t>VII. Tiesību akta projekta izpildes nodrošināšana un tās ietekme uz institūcijām</w:t>
            </w:r>
          </w:p>
        </w:tc>
      </w:tr>
      <w:tr w:rsidR="002D3F87" w:rsidRPr="00A74BA1" w:rsidTr="000D55AD">
        <w:tc>
          <w:tcPr>
            <w:tcW w:w="235"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1.</w:t>
            </w:r>
          </w:p>
        </w:tc>
        <w:tc>
          <w:tcPr>
            <w:tcW w:w="2144"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Projekta izpildē iesaistītās institūcijas</w:t>
            </w:r>
          </w:p>
        </w:tc>
        <w:tc>
          <w:tcPr>
            <w:tcW w:w="2620"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ind w:left="69" w:right="140"/>
              <w:jc w:val="both"/>
            </w:pPr>
            <w:r w:rsidRPr="00A74BA1">
              <w:t>Finanšu ministrija, Valsts kase, Valsts ieņēmumu dienests un pašvaldības.</w:t>
            </w:r>
          </w:p>
        </w:tc>
      </w:tr>
      <w:tr w:rsidR="002D3F87" w:rsidRPr="00A74BA1" w:rsidTr="000D55AD">
        <w:tc>
          <w:tcPr>
            <w:tcW w:w="235"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2.</w:t>
            </w:r>
          </w:p>
          <w:p w:rsidR="002D3F87" w:rsidRPr="00A74BA1" w:rsidRDefault="002D3F87" w:rsidP="000D55AD"/>
          <w:p w:rsidR="002D3F87" w:rsidRPr="00A74BA1" w:rsidRDefault="002D3F87" w:rsidP="000D55AD"/>
          <w:p w:rsidR="002D3F87" w:rsidRPr="00A74BA1" w:rsidRDefault="002D3F87" w:rsidP="000D55AD"/>
          <w:p w:rsidR="002D3F87" w:rsidRPr="00A74BA1" w:rsidRDefault="002D3F87" w:rsidP="000D55AD"/>
          <w:p w:rsidR="002D3F87" w:rsidRPr="00A74BA1" w:rsidRDefault="002D3F87" w:rsidP="000D55AD"/>
          <w:p w:rsidR="002D3F87" w:rsidRPr="00A74BA1" w:rsidRDefault="002D3F87" w:rsidP="000D55AD"/>
          <w:p w:rsidR="002D3F87" w:rsidRPr="00A74BA1" w:rsidRDefault="002D3F87" w:rsidP="000D55AD"/>
        </w:tc>
        <w:tc>
          <w:tcPr>
            <w:tcW w:w="2144"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Projekta izpildes ietekme uz pārvaldes funkcijām un institucionālo struktūru.</w:t>
            </w:r>
          </w:p>
          <w:p w:rsidR="002D3F87" w:rsidRPr="00A74BA1" w:rsidRDefault="002D3F87" w:rsidP="000D55AD">
            <w:pPr>
              <w:pStyle w:val="NormalWeb"/>
              <w:spacing w:before="0" w:beforeAutospacing="0" w:after="0" w:afterAutospacing="0"/>
            </w:pPr>
            <w:r w:rsidRPr="00A74BA1">
              <w:t>Jaunu institūciju izveide, esošo institūciju likvidācija vai reorganizācija, to ietekme uz institūcijas cilvēkresursiem</w:t>
            </w:r>
          </w:p>
        </w:tc>
        <w:tc>
          <w:tcPr>
            <w:tcW w:w="2620"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ind w:left="69" w:right="140"/>
              <w:jc w:val="both"/>
            </w:pPr>
            <w:r w:rsidRPr="00A74BA1">
              <w:t>Iesaistītās institūcijas noteikumu projekta izpildi nodrošina to esošo funkciju un uzdevumus ietvaros.</w:t>
            </w:r>
          </w:p>
          <w:p w:rsidR="002D3F87" w:rsidRPr="00A74BA1" w:rsidRDefault="002D3F87" w:rsidP="000D55AD">
            <w:pPr>
              <w:pStyle w:val="NormalWeb"/>
              <w:spacing w:before="0" w:beforeAutospacing="0" w:after="0" w:afterAutospacing="0"/>
              <w:ind w:left="69" w:right="140"/>
              <w:jc w:val="both"/>
            </w:pPr>
            <w:r w:rsidRPr="00A74BA1">
              <w:t>Noteikumu projekta izpildei nav nepieciešams radīt jaunas vai likvidēt esošās institūcijas, kā arī nav nepieciešams reorganizēt esošās institūcijas.</w:t>
            </w:r>
          </w:p>
        </w:tc>
      </w:tr>
      <w:tr w:rsidR="002D3F87" w:rsidRPr="00A74BA1" w:rsidTr="000D55AD">
        <w:tc>
          <w:tcPr>
            <w:tcW w:w="235"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3.</w:t>
            </w:r>
          </w:p>
        </w:tc>
        <w:tc>
          <w:tcPr>
            <w:tcW w:w="2144"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Cita informācija</w:t>
            </w:r>
          </w:p>
        </w:tc>
        <w:tc>
          <w:tcPr>
            <w:tcW w:w="2620" w:type="pct"/>
            <w:tcBorders>
              <w:top w:val="outset" w:sz="6" w:space="0" w:color="000000"/>
              <w:left w:val="outset" w:sz="6" w:space="0" w:color="000000"/>
              <w:bottom w:val="outset" w:sz="6" w:space="0" w:color="000000"/>
              <w:right w:val="outset" w:sz="6" w:space="0" w:color="000000"/>
            </w:tcBorders>
            <w:hideMark/>
          </w:tcPr>
          <w:p w:rsidR="002D3F87" w:rsidRPr="00A74BA1" w:rsidRDefault="002D3F87" w:rsidP="000D55AD">
            <w:pPr>
              <w:pStyle w:val="NormalWeb"/>
              <w:spacing w:before="0" w:beforeAutospacing="0" w:after="0" w:afterAutospacing="0"/>
            </w:pPr>
            <w:r w:rsidRPr="00A74BA1">
              <w:t>Nav.</w:t>
            </w:r>
          </w:p>
        </w:tc>
      </w:tr>
    </w:tbl>
    <w:p w:rsidR="002D3F87" w:rsidRPr="001604FF" w:rsidRDefault="002D3F87" w:rsidP="002D3F87">
      <w:pPr>
        <w:rPr>
          <w:i/>
          <w:sz w:val="28"/>
          <w:szCs w:val="28"/>
        </w:rPr>
      </w:pPr>
    </w:p>
    <w:p w:rsidR="002D3F87" w:rsidRPr="00A74BA1" w:rsidRDefault="002D3F87" w:rsidP="002D3F87"/>
    <w:tbl>
      <w:tblPr>
        <w:tblW w:w="0" w:type="auto"/>
        <w:tblBorders>
          <w:insideH w:val="single" w:sz="4" w:space="0" w:color="auto"/>
        </w:tblBorders>
        <w:tblLook w:val="04A0" w:firstRow="1" w:lastRow="0" w:firstColumn="1" w:lastColumn="0" w:noHBand="0" w:noVBand="1"/>
      </w:tblPr>
      <w:tblGrid>
        <w:gridCol w:w="4535"/>
        <w:gridCol w:w="4536"/>
      </w:tblGrid>
      <w:tr w:rsidR="002D3F87" w:rsidRPr="00A74BA1" w:rsidTr="000D55AD">
        <w:tc>
          <w:tcPr>
            <w:tcW w:w="4643" w:type="dxa"/>
            <w:shd w:val="clear" w:color="auto" w:fill="auto"/>
          </w:tcPr>
          <w:p w:rsidR="002D3F87" w:rsidRPr="00A74BA1" w:rsidRDefault="002D3F87" w:rsidP="000D55AD"/>
        </w:tc>
        <w:tc>
          <w:tcPr>
            <w:tcW w:w="4644" w:type="dxa"/>
            <w:shd w:val="clear" w:color="auto" w:fill="auto"/>
          </w:tcPr>
          <w:p w:rsidR="002D3F87" w:rsidRPr="00A74BA1" w:rsidRDefault="002D3F87" w:rsidP="000D55AD">
            <w:pPr>
              <w:jc w:val="right"/>
            </w:pPr>
          </w:p>
        </w:tc>
      </w:tr>
    </w:tbl>
    <w:p w:rsidR="002D3F87" w:rsidRPr="00A74BA1" w:rsidRDefault="002D3F87" w:rsidP="002D3F87">
      <w:pPr>
        <w:ind w:firstLine="720"/>
      </w:pPr>
      <w:r w:rsidRPr="00A74BA1">
        <w:t xml:space="preserve">Finanšu ministrs                            </w:t>
      </w:r>
      <w:r w:rsidRPr="00A74BA1">
        <w:tab/>
      </w:r>
      <w:r w:rsidRPr="00A74BA1">
        <w:tab/>
      </w:r>
      <w:r w:rsidRPr="00A74BA1">
        <w:tab/>
      </w:r>
      <w:r w:rsidRPr="00A74BA1">
        <w:tab/>
        <w:t>Jānis Reirs</w:t>
      </w:r>
    </w:p>
    <w:p w:rsidR="002D3F87" w:rsidRPr="00883063" w:rsidRDefault="002D3F87" w:rsidP="002D3F87">
      <w:pPr>
        <w:rPr>
          <w:sz w:val="28"/>
          <w:szCs w:val="28"/>
        </w:rPr>
      </w:pPr>
    </w:p>
    <w:p w:rsidR="002D3F87" w:rsidRPr="001604FF" w:rsidRDefault="002D3F87" w:rsidP="002D3F87">
      <w:pPr>
        <w:rPr>
          <w:sz w:val="26"/>
          <w:szCs w:val="26"/>
        </w:rPr>
      </w:pPr>
    </w:p>
    <w:p w:rsidR="002D3F87" w:rsidRDefault="002D3F87" w:rsidP="002D3F87">
      <w:pPr>
        <w:rPr>
          <w:sz w:val="26"/>
          <w:szCs w:val="26"/>
        </w:rPr>
      </w:pPr>
    </w:p>
    <w:p w:rsidR="002D3F87" w:rsidRPr="001604FF" w:rsidRDefault="002D3F87" w:rsidP="002D3F87">
      <w:pPr>
        <w:rPr>
          <w:sz w:val="20"/>
          <w:szCs w:val="20"/>
        </w:rPr>
      </w:pPr>
      <w:r w:rsidRPr="001604FF">
        <w:rPr>
          <w:sz w:val="20"/>
          <w:szCs w:val="20"/>
        </w:rPr>
        <w:t>Locāne, 67083876</w:t>
      </w:r>
    </w:p>
    <w:p w:rsidR="003420F2" w:rsidRDefault="006D1C90">
      <w:hyperlink r:id="rId8" w:history="1">
        <w:r w:rsidR="002D3F87" w:rsidRPr="00836217">
          <w:rPr>
            <w:rStyle w:val="Hyperlink"/>
            <w:sz w:val="20"/>
            <w:szCs w:val="20"/>
          </w:rPr>
          <w:t>Lasma.Locane@fm.gov.lv</w:t>
        </w:r>
      </w:hyperlink>
      <w:r w:rsidR="002D3F87">
        <w:rPr>
          <w:sz w:val="20"/>
          <w:szCs w:val="20"/>
        </w:rPr>
        <w:t xml:space="preserve"> </w:t>
      </w:r>
    </w:p>
    <w:sectPr w:rsidR="003420F2" w:rsidSect="008225E7">
      <w:headerReference w:type="even" r:id="rId9"/>
      <w:headerReference w:type="default" r:id="rId10"/>
      <w:footerReference w:type="even" r:id="rId11"/>
      <w:footerReference w:type="default" r:id="rId12"/>
      <w:footerReference w:type="first" r:id="rId13"/>
      <w:pgSz w:w="11906" w:h="16838" w:code="9"/>
      <w:pgMar w:top="1134" w:right="1134" w:bottom="1276" w:left="1701" w:header="709"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90" w:rsidRDefault="006D1C90" w:rsidP="009624B2">
      <w:r>
        <w:separator/>
      </w:r>
    </w:p>
  </w:endnote>
  <w:endnote w:type="continuationSeparator" w:id="0">
    <w:p w:rsidR="006D1C90" w:rsidRDefault="006D1C90" w:rsidP="0096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F1582"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6D1C90"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F1582" w:rsidP="00CD7F41">
    <w:pPr>
      <w:pStyle w:val="Footer"/>
      <w:rPr>
        <w:sz w:val="22"/>
        <w:szCs w:val="22"/>
      </w:rPr>
    </w:pPr>
    <w:r w:rsidRPr="008225E7">
      <w:rPr>
        <w:sz w:val="22"/>
        <w:szCs w:val="22"/>
      </w:rPr>
      <w:fldChar w:fldCharType="begin"/>
    </w:r>
    <w:r w:rsidRPr="008225E7">
      <w:rPr>
        <w:sz w:val="22"/>
        <w:szCs w:val="22"/>
      </w:rPr>
      <w:instrText xml:space="preserve"> FILENAME   \* MERGEFORMAT </w:instrText>
    </w:r>
    <w:r w:rsidRPr="008225E7">
      <w:rPr>
        <w:sz w:val="22"/>
        <w:szCs w:val="22"/>
      </w:rPr>
      <w:fldChar w:fldCharType="separate"/>
    </w:r>
    <w:r>
      <w:rPr>
        <w:noProof/>
        <w:sz w:val="22"/>
        <w:szCs w:val="22"/>
      </w:rPr>
      <w:t>FMAnot_</w:t>
    </w:r>
    <w:r w:rsidR="008D0C5B">
      <w:rPr>
        <w:noProof/>
        <w:sz w:val="22"/>
        <w:szCs w:val="22"/>
      </w:rPr>
      <w:t>031220</w:t>
    </w:r>
    <w:r w:rsidRPr="008225E7">
      <w:rPr>
        <w:noProof/>
        <w:sz w:val="22"/>
        <w:szCs w:val="22"/>
      </w:rPr>
      <w:t>_PFI</w:t>
    </w:r>
    <w:r w:rsidRPr="008225E7">
      <w:rPr>
        <w:sz w:val="22"/>
        <w:szCs w:val="22"/>
      </w:rPr>
      <w:fldChar w:fldCharType="end"/>
    </w:r>
  </w:p>
  <w:p w:rsidR="008225E7" w:rsidRPr="008225E7" w:rsidRDefault="006D1C90" w:rsidP="00CD7F41">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Pr="008225E7" w:rsidRDefault="009F1582" w:rsidP="00B75D1D">
    <w:pPr>
      <w:pStyle w:val="Footer"/>
      <w:rPr>
        <w:sz w:val="22"/>
        <w:szCs w:val="22"/>
      </w:rPr>
    </w:pPr>
    <w:r w:rsidRPr="008225E7">
      <w:rPr>
        <w:sz w:val="22"/>
        <w:szCs w:val="22"/>
      </w:rPr>
      <w:fldChar w:fldCharType="begin"/>
    </w:r>
    <w:r w:rsidRPr="008225E7">
      <w:rPr>
        <w:sz w:val="22"/>
        <w:szCs w:val="22"/>
      </w:rPr>
      <w:instrText xml:space="preserve"> FILENAME   \* MERGEFORMAT </w:instrText>
    </w:r>
    <w:r w:rsidRPr="008225E7">
      <w:rPr>
        <w:sz w:val="22"/>
        <w:szCs w:val="22"/>
      </w:rPr>
      <w:fldChar w:fldCharType="separate"/>
    </w:r>
    <w:r>
      <w:rPr>
        <w:noProof/>
        <w:sz w:val="22"/>
        <w:szCs w:val="22"/>
      </w:rPr>
      <w:t>FMAnot_</w:t>
    </w:r>
    <w:r w:rsidR="008D0C5B">
      <w:rPr>
        <w:noProof/>
        <w:sz w:val="22"/>
        <w:szCs w:val="22"/>
      </w:rPr>
      <w:t>0312</w:t>
    </w:r>
    <w:r w:rsidRPr="008225E7">
      <w:rPr>
        <w:noProof/>
        <w:sz w:val="22"/>
        <w:szCs w:val="22"/>
      </w:rPr>
      <w:t>20_PFI</w:t>
    </w:r>
    <w:r w:rsidRPr="008225E7">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90" w:rsidRDefault="006D1C90" w:rsidP="009624B2">
      <w:r>
        <w:separator/>
      </w:r>
    </w:p>
  </w:footnote>
  <w:footnote w:type="continuationSeparator" w:id="0">
    <w:p w:rsidR="006D1C90" w:rsidRDefault="006D1C90" w:rsidP="009624B2">
      <w:r>
        <w:continuationSeparator/>
      </w:r>
    </w:p>
  </w:footnote>
  <w:footnote w:id="1">
    <w:p w:rsidR="009624B2" w:rsidRPr="009F1582" w:rsidRDefault="009624B2" w:rsidP="009624B2">
      <w:pPr>
        <w:ind w:right="1643"/>
        <w:rPr>
          <w:sz w:val="20"/>
          <w:szCs w:val="20"/>
        </w:rPr>
      </w:pPr>
      <w:r w:rsidRPr="009F1582">
        <w:rPr>
          <w:rStyle w:val="FootnoteReference"/>
          <w:sz w:val="20"/>
          <w:szCs w:val="20"/>
        </w:rPr>
        <w:footnoteRef/>
      </w:r>
      <w:r w:rsidRPr="009F1582">
        <w:rPr>
          <w:sz w:val="20"/>
          <w:szCs w:val="20"/>
        </w:rPr>
        <w:t xml:space="preserve">  </w:t>
      </w:r>
      <w:hyperlink r:id="rId1" w:history="1">
        <w:r w:rsidRPr="009F1582">
          <w:rPr>
            <w:rStyle w:val="Hyperlink"/>
            <w:sz w:val="20"/>
            <w:szCs w:val="20"/>
          </w:rPr>
          <w:t>https://www.fm.gov.lv/lv/sadalas/pasvaldibu_finansu_uzraudziba/pasvaldibu_finansu_izlidzinasana/2021_gadam/</w:t>
        </w:r>
      </w:hyperlink>
    </w:p>
    <w:p w:rsidR="009624B2" w:rsidRDefault="009624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F1582"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6D1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41" w:rsidRDefault="009F1582">
    <w:pPr>
      <w:pStyle w:val="Header"/>
      <w:jc w:val="center"/>
    </w:pPr>
    <w:r>
      <w:fldChar w:fldCharType="begin"/>
    </w:r>
    <w:r>
      <w:instrText xml:space="preserve"> PAGE   \* MERGEFORMAT </w:instrText>
    </w:r>
    <w:r>
      <w:fldChar w:fldCharType="separate"/>
    </w:r>
    <w:r w:rsidR="000302A2">
      <w:rPr>
        <w:noProof/>
      </w:rPr>
      <w:t>4</w:t>
    </w:r>
    <w:r>
      <w:rPr>
        <w:noProof/>
      </w:rPr>
      <w:fldChar w:fldCharType="end"/>
    </w:r>
  </w:p>
  <w:p w:rsidR="009439B5" w:rsidRPr="004F7101" w:rsidRDefault="006D1C90" w:rsidP="004F7101">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87"/>
    <w:rsid w:val="000302A2"/>
    <w:rsid w:val="00047EDD"/>
    <w:rsid w:val="00227D0A"/>
    <w:rsid w:val="002B2422"/>
    <w:rsid w:val="002D3F87"/>
    <w:rsid w:val="0032050C"/>
    <w:rsid w:val="003420F2"/>
    <w:rsid w:val="003964F7"/>
    <w:rsid w:val="0045192F"/>
    <w:rsid w:val="005E6479"/>
    <w:rsid w:val="006D1C90"/>
    <w:rsid w:val="007865E5"/>
    <w:rsid w:val="00873C60"/>
    <w:rsid w:val="008D0C5B"/>
    <w:rsid w:val="009624B2"/>
    <w:rsid w:val="0096519A"/>
    <w:rsid w:val="009F1582"/>
    <w:rsid w:val="00B434FD"/>
    <w:rsid w:val="00B815E4"/>
    <w:rsid w:val="00BA3A67"/>
    <w:rsid w:val="00D12068"/>
    <w:rsid w:val="00D33AEC"/>
    <w:rsid w:val="00D87B87"/>
    <w:rsid w:val="00EA66C8"/>
    <w:rsid w:val="00EB6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7089"/>
  <w15:chartTrackingRefBased/>
  <w15:docId w15:val="{1E9E4AD9-9505-400D-BF31-74B731ED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F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9624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D3F87"/>
    <w:pPr>
      <w:keepNext/>
      <w:spacing w:before="240" w:after="60"/>
      <w:jc w:val="both"/>
      <w:outlineLvl w:val="1"/>
    </w:pPr>
    <w:rPr>
      <w:rFonts w:ascii="Cambria" w:hAnsi="Cambria"/>
      <w:b/>
      <w:bCs/>
      <w:i/>
      <w:iCs/>
      <w:sz w:val="28"/>
      <w:szCs w:val="28"/>
      <w:lang w:eastAsia="en-US"/>
    </w:rPr>
  </w:style>
  <w:style w:type="paragraph" w:styleId="Heading3">
    <w:name w:val="heading 3"/>
    <w:basedOn w:val="Normal"/>
    <w:next w:val="Normal"/>
    <w:link w:val="Heading3Char"/>
    <w:qFormat/>
    <w:rsid w:val="002D3F87"/>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F8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D3F87"/>
    <w:rPr>
      <w:rFonts w:ascii="Times New Roman" w:eastAsia="Times New Roman" w:hAnsi="Times New Roman" w:cs="Times New Roman"/>
      <w:sz w:val="28"/>
      <w:szCs w:val="20"/>
    </w:rPr>
  </w:style>
  <w:style w:type="paragraph" w:styleId="NormalWeb">
    <w:name w:val="Normal (Web)"/>
    <w:basedOn w:val="Normal"/>
    <w:uiPriority w:val="99"/>
    <w:rsid w:val="002D3F87"/>
    <w:pPr>
      <w:spacing w:before="100" w:beforeAutospacing="1" w:after="100" w:afterAutospacing="1"/>
    </w:pPr>
  </w:style>
  <w:style w:type="character" w:styleId="Hyperlink">
    <w:name w:val="Hyperlink"/>
    <w:rsid w:val="002D3F87"/>
    <w:rPr>
      <w:color w:val="0000FF"/>
      <w:u w:val="single"/>
    </w:rPr>
  </w:style>
  <w:style w:type="paragraph" w:styleId="Header">
    <w:name w:val="header"/>
    <w:basedOn w:val="Normal"/>
    <w:link w:val="HeaderChar"/>
    <w:uiPriority w:val="99"/>
    <w:rsid w:val="002D3F87"/>
    <w:pPr>
      <w:tabs>
        <w:tab w:val="center" w:pos="4153"/>
        <w:tab w:val="right" w:pos="8306"/>
      </w:tabs>
    </w:pPr>
  </w:style>
  <w:style w:type="character" w:customStyle="1" w:styleId="HeaderChar">
    <w:name w:val="Header Char"/>
    <w:basedOn w:val="DefaultParagraphFont"/>
    <w:link w:val="Header"/>
    <w:uiPriority w:val="99"/>
    <w:rsid w:val="002D3F8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D3F87"/>
    <w:pPr>
      <w:tabs>
        <w:tab w:val="center" w:pos="4153"/>
        <w:tab w:val="right" w:pos="8306"/>
      </w:tabs>
    </w:pPr>
  </w:style>
  <w:style w:type="character" w:customStyle="1" w:styleId="FooterChar">
    <w:name w:val="Footer Char"/>
    <w:basedOn w:val="DefaultParagraphFont"/>
    <w:link w:val="Footer"/>
    <w:uiPriority w:val="99"/>
    <w:rsid w:val="002D3F87"/>
    <w:rPr>
      <w:rFonts w:ascii="Times New Roman" w:eastAsia="Times New Roman" w:hAnsi="Times New Roman" w:cs="Times New Roman"/>
      <w:sz w:val="24"/>
      <w:szCs w:val="24"/>
      <w:lang w:eastAsia="lv-LV"/>
    </w:rPr>
  </w:style>
  <w:style w:type="character" w:styleId="PageNumber">
    <w:name w:val="page number"/>
    <w:basedOn w:val="DefaultParagraphFont"/>
    <w:rsid w:val="002D3F87"/>
  </w:style>
  <w:style w:type="character" w:styleId="FollowedHyperlink">
    <w:name w:val="FollowedHyperlink"/>
    <w:basedOn w:val="DefaultParagraphFont"/>
    <w:uiPriority w:val="99"/>
    <w:semiHidden/>
    <w:unhideWhenUsed/>
    <w:rsid w:val="009624B2"/>
    <w:rPr>
      <w:color w:val="954F72" w:themeColor="followedHyperlink"/>
      <w:u w:val="single"/>
    </w:rPr>
  </w:style>
  <w:style w:type="character" w:customStyle="1" w:styleId="Heading1Char">
    <w:name w:val="Heading 1 Char"/>
    <w:basedOn w:val="DefaultParagraphFont"/>
    <w:link w:val="Heading1"/>
    <w:uiPriority w:val="9"/>
    <w:rsid w:val="009624B2"/>
    <w:rPr>
      <w:rFonts w:asciiTheme="majorHAnsi" w:eastAsiaTheme="majorEastAsia" w:hAnsiTheme="majorHAnsi" w:cstheme="majorBidi"/>
      <w:color w:val="2E74B5" w:themeColor="accent1" w:themeShade="BF"/>
      <w:sz w:val="32"/>
      <w:szCs w:val="32"/>
      <w:lang w:eastAsia="lv-LV"/>
    </w:rPr>
  </w:style>
  <w:style w:type="paragraph" w:styleId="FootnoteText">
    <w:name w:val="footnote text"/>
    <w:basedOn w:val="Normal"/>
    <w:link w:val="FootnoteTextChar"/>
    <w:uiPriority w:val="99"/>
    <w:semiHidden/>
    <w:unhideWhenUsed/>
    <w:rsid w:val="009624B2"/>
    <w:rPr>
      <w:sz w:val="20"/>
      <w:szCs w:val="20"/>
    </w:rPr>
  </w:style>
  <w:style w:type="character" w:customStyle="1" w:styleId="FootnoteTextChar">
    <w:name w:val="Footnote Text Char"/>
    <w:basedOn w:val="DefaultParagraphFont"/>
    <w:link w:val="FootnoteText"/>
    <w:uiPriority w:val="99"/>
    <w:semiHidden/>
    <w:rsid w:val="009624B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62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Locane@fm.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ase.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lv/sadalas/pasvaldibu_finansu_uzraudziba/pasvaldibu_finansu_izlidzinasana/2021_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D4AE-641F-4568-BA0D-D15F8B07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6517</Words>
  <Characters>3715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Runkovska</dc:creator>
  <cp:keywords/>
  <dc:description/>
  <cp:lastModifiedBy>Lāsma Locāne</cp:lastModifiedBy>
  <cp:revision>4</cp:revision>
  <dcterms:created xsi:type="dcterms:W3CDTF">2020-12-03T07:52:00Z</dcterms:created>
  <dcterms:modified xsi:type="dcterms:W3CDTF">2020-12-03T11:08:00Z</dcterms:modified>
</cp:coreProperties>
</file>