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DEE1" w14:textId="2D0D821C" w:rsidR="009D5508" w:rsidRPr="00BE25AC" w:rsidRDefault="009D5508" w:rsidP="000615BE">
      <w:pPr>
        <w:pStyle w:val="naisnod"/>
        <w:spacing w:before="0" w:after="0"/>
      </w:pPr>
      <w:r w:rsidRPr="00BE25AC">
        <w:t>Izziņa par atzinumos sniegtajiem iebildumiem</w:t>
      </w:r>
    </w:p>
    <w:p w14:paraId="50EFFDA8" w14:textId="77777777" w:rsidR="009D5508" w:rsidRPr="00BE25AC" w:rsidRDefault="009D5508" w:rsidP="000615BE">
      <w:pPr>
        <w:pStyle w:val="naisf"/>
        <w:spacing w:before="0" w:after="0"/>
      </w:pPr>
      <w:r w:rsidRPr="00BE25AC">
        <w:t> </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BE25AC" w:rsidRPr="00BE25AC" w14:paraId="1C46B699" w14:textId="77777777" w:rsidTr="009D5508">
        <w:trPr>
          <w:tblCellSpacing w:w="0" w:type="dxa"/>
          <w:jc w:val="center"/>
        </w:trPr>
        <w:tc>
          <w:tcPr>
            <w:tcW w:w="10185" w:type="dxa"/>
            <w:tcBorders>
              <w:top w:val="nil"/>
              <w:left w:val="nil"/>
              <w:bottom w:val="single" w:sz="8" w:space="0" w:color="000000"/>
              <w:right w:val="nil"/>
            </w:tcBorders>
          </w:tcPr>
          <w:p w14:paraId="21E2FE69" w14:textId="77777777" w:rsidR="009D5508" w:rsidRPr="00BE25AC" w:rsidRDefault="00F32B0B" w:rsidP="000615BE">
            <w:pPr>
              <w:pStyle w:val="Header"/>
              <w:jc w:val="center"/>
              <w:rPr>
                <w:lang w:val="lv-LV"/>
              </w:rPr>
            </w:pPr>
            <w:r w:rsidRPr="00BE25AC">
              <w:rPr>
                <w:b/>
                <w:spacing w:val="2"/>
                <w:position w:val="-12"/>
                <w:sz w:val="28"/>
                <w:szCs w:val="28"/>
                <w:lang w:val="lv-LV"/>
              </w:rPr>
              <w:t>Grozījumi Ministru kabineta 2010.gada 28.decembra noteikumos Nr.1220 "Asignējumu piešķiršanas un izpildes kārtība"</w:t>
            </w:r>
            <w:r w:rsidR="009D5508" w:rsidRPr="00BE25AC">
              <w:rPr>
                <w:lang w:val="lv-LV"/>
              </w:rPr>
              <w:t> </w:t>
            </w:r>
          </w:p>
        </w:tc>
      </w:tr>
    </w:tbl>
    <w:p w14:paraId="5FD7C4C0" w14:textId="77777777" w:rsidR="009D5508" w:rsidRPr="00BE25AC" w:rsidRDefault="009D5508" w:rsidP="000615BE">
      <w:pPr>
        <w:pStyle w:val="naisc"/>
        <w:spacing w:before="0" w:after="0"/>
      </w:pPr>
      <w:r w:rsidRPr="00BE25AC">
        <w:t>(dokumenta veids un nosaukums)</w:t>
      </w:r>
    </w:p>
    <w:p w14:paraId="73A3EA4A" w14:textId="77777777" w:rsidR="009D5508" w:rsidRPr="00BE25AC" w:rsidRDefault="009D5508" w:rsidP="000615BE">
      <w:pPr>
        <w:pStyle w:val="naisf"/>
        <w:spacing w:before="0" w:after="0"/>
      </w:pPr>
      <w:r w:rsidRPr="00BE25AC">
        <w:t> </w:t>
      </w:r>
    </w:p>
    <w:p w14:paraId="6AAC7E60" w14:textId="2D29EDD5" w:rsidR="009D5508" w:rsidRPr="00BE25AC" w:rsidRDefault="009D5508" w:rsidP="000615BE">
      <w:pPr>
        <w:pStyle w:val="naisnod"/>
        <w:spacing w:before="0" w:after="0"/>
      </w:pPr>
      <w:r w:rsidRPr="00BE25AC">
        <w:t>I. Jautājumi, par kuriem saskaņošanā vienošanās nav panākta </w:t>
      </w:r>
    </w:p>
    <w:p w14:paraId="7FF27A20" w14:textId="14165AC6" w:rsidR="008D2684" w:rsidRPr="00BE25AC" w:rsidRDefault="008D2684" w:rsidP="000615BE">
      <w:pPr>
        <w:pStyle w:val="naisf"/>
        <w:spacing w:before="0" w:after="0"/>
      </w:pPr>
    </w:p>
    <w:tbl>
      <w:tblPr>
        <w:tblStyle w:val="TableGrid"/>
        <w:tblW w:w="14480" w:type="dxa"/>
        <w:tblLook w:val="04A0" w:firstRow="1" w:lastRow="0" w:firstColumn="1" w:lastColumn="0" w:noHBand="0" w:noVBand="1"/>
      </w:tblPr>
      <w:tblGrid>
        <w:gridCol w:w="728"/>
        <w:gridCol w:w="2102"/>
        <w:gridCol w:w="3969"/>
        <w:gridCol w:w="3686"/>
        <w:gridCol w:w="1559"/>
        <w:gridCol w:w="2436"/>
      </w:tblGrid>
      <w:tr w:rsidR="00BE25AC" w:rsidRPr="00BE25AC" w14:paraId="5BF0B954" w14:textId="77777777" w:rsidTr="00F70613">
        <w:tc>
          <w:tcPr>
            <w:tcW w:w="728" w:type="dxa"/>
            <w:vAlign w:val="center"/>
          </w:tcPr>
          <w:p w14:paraId="0EFC024C" w14:textId="705467BE" w:rsidR="008D2684" w:rsidRPr="00BE25AC" w:rsidRDefault="008D2684" w:rsidP="000615BE">
            <w:pPr>
              <w:pStyle w:val="naisf"/>
              <w:spacing w:before="0" w:after="0"/>
              <w:ind w:firstLine="0"/>
              <w:jc w:val="center"/>
              <w:rPr>
                <w:sz w:val="20"/>
                <w:szCs w:val="22"/>
              </w:rPr>
            </w:pPr>
            <w:r w:rsidRPr="00BE25AC">
              <w:rPr>
                <w:sz w:val="20"/>
                <w:szCs w:val="22"/>
              </w:rPr>
              <w:t>Nr.</w:t>
            </w:r>
            <w:r w:rsidRPr="00BE25AC">
              <w:rPr>
                <w:sz w:val="20"/>
                <w:szCs w:val="22"/>
              </w:rPr>
              <w:br/>
              <w:t> p.k.</w:t>
            </w:r>
          </w:p>
        </w:tc>
        <w:tc>
          <w:tcPr>
            <w:tcW w:w="2102" w:type="dxa"/>
            <w:vAlign w:val="center"/>
          </w:tcPr>
          <w:p w14:paraId="74F0DCEC" w14:textId="04DB48CA" w:rsidR="008D2684" w:rsidRPr="00BE25AC" w:rsidRDefault="008D2684" w:rsidP="000615BE">
            <w:pPr>
              <w:pStyle w:val="naisf"/>
              <w:spacing w:before="0" w:after="0"/>
              <w:ind w:firstLine="0"/>
              <w:jc w:val="center"/>
              <w:rPr>
                <w:sz w:val="20"/>
                <w:szCs w:val="22"/>
              </w:rPr>
            </w:pPr>
            <w:r w:rsidRPr="00BE25AC">
              <w:rPr>
                <w:sz w:val="20"/>
                <w:szCs w:val="22"/>
              </w:rPr>
              <w:t>Saskaņošanai nosūtītā projekta redakcija (konkrēta punkta (panta) redakcija)</w:t>
            </w:r>
          </w:p>
        </w:tc>
        <w:tc>
          <w:tcPr>
            <w:tcW w:w="3969" w:type="dxa"/>
            <w:vAlign w:val="center"/>
          </w:tcPr>
          <w:p w14:paraId="5758363B" w14:textId="6C9B0B1A" w:rsidR="008D2684" w:rsidRPr="00BE25AC" w:rsidRDefault="008D2684" w:rsidP="000615BE">
            <w:pPr>
              <w:pStyle w:val="naisf"/>
              <w:spacing w:before="0" w:after="0"/>
              <w:ind w:firstLine="0"/>
              <w:jc w:val="center"/>
              <w:rPr>
                <w:sz w:val="20"/>
                <w:szCs w:val="22"/>
              </w:rPr>
            </w:pPr>
            <w:r w:rsidRPr="00BE25AC">
              <w:rPr>
                <w:sz w:val="20"/>
                <w:szCs w:val="22"/>
              </w:rPr>
              <w:t>Atzinumā norādītais ministrijas (citas institūcijas) iebildums, kā arī saskaņošanā papildus izteiktais iebildums par projekta konkrēto punktu (pantu)</w:t>
            </w:r>
          </w:p>
        </w:tc>
        <w:tc>
          <w:tcPr>
            <w:tcW w:w="3686" w:type="dxa"/>
            <w:vAlign w:val="center"/>
          </w:tcPr>
          <w:p w14:paraId="6E254FDF" w14:textId="68E55340" w:rsidR="008D2684" w:rsidRPr="00BE25AC" w:rsidRDefault="008D2684" w:rsidP="000615BE">
            <w:pPr>
              <w:pStyle w:val="naisf"/>
              <w:spacing w:before="0" w:after="0"/>
              <w:ind w:firstLine="0"/>
              <w:jc w:val="center"/>
              <w:rPr>
                <w:sz w:val="20"/>
                <w:szCs w:val="22"/>
              </w:rPr>
            </w:pPr>
            <w:r w:rsidRPr="00BE25AC">
              <w:rPr>
                <w:sz w:val="20"/>
                <w:szCs w:val="22"/>
              </w:rPr>
              <w:t>Atbildīgās ministrijas pamatojums iebilduma noraidījumam</w:t>
            </w:r>
          </w:p>
        </w:tc>
        <w:tc>
          <w:tcPr>
            <w:tcW w:w="1559" w:type="dxa"/>
            <w:vAlign w:val="center"/>
          </w:tcPr>
          <w:p w14:paraId="28760112" w14:textId="4FD89E1C" w:rsidR="008D2684" w:rsidRPr="00BE25AC" w:rsidRDefault="008D2684" w:rsidP="000615BE">
            <w:pPr>
              <w:pStyle w:val="naisf"/>
              <w:spacing w:before="0" w:after="0"/>
              <w:ind w:firstLine="0"/>
              <w:jc w:val="center"/>
              <w:rPr>
                <w:sz w:val="20"/>
                <w:szCs w:val="22"/>
              </w:rPr>
            </w:pPr>
            <w:r w:rsidRPr="00BE25AC">
              <w:rPr>
                <w:sz w:val="20"/>
                <w:szCs w:val="22"/>
              </w:rPr>
              <w:t>Atzinuma sniedzēja uzturētais iebildums, ja tas atšķiras no atzinumā norādītā iebilduma pamatojuma</w:t>
            </w:r>
          </w:p>
        </w:tc>
        <w:tc>
          <w:tcPr>
            <w:tcW w:w="2436" w:type="dxa"/>
            <w:vAlign w:val="center"/>
          </w:tcPr>
          <w:p w14:paraId="5213C81C" w14:textId="0561E137" w:rsidR="008D2684" w:rsidRPr="00BE25AC" w:rsidRDefault="008D2684" w:rsidP="000615BE">
            <w:pPr>
              <w:pStyle w:val="naisf"/>
              <w:spacing w:before="0" w:after="0"/>
              <w:ind w:firstLine="0"/>
              <w:jc w:val="center"/>
              <w:rPr>
                <w:sz w:val="20"/>
                <w:szCs w:val="22"/>
              </w:rPr>
            </w:pPr>
            <w:r w:rsidRPr="00BE25AC">
              <w:rPr>
                <w:sz w:val="20"/>
                <w:szCs w:val="22"/>
              </w:rPr>
              <w:t>Projekta attiecīgā punkta (panta) galīgā redakcija</w:t>
            </w:r>
          </w:p>
        </w:tc>
      </w:tr>
      <w:tr w:rsidR="00BE25AC" w:rsidRPr="00BE25AC" w14:paraId="6ACE5C7D" w14:textId="77777777" w:rsidTr="00F70613">
        <w:tc>
          <w:tcPr>
            <w:tcW w:w="728" w:type="dxa"/>
          </w:tcPr>
          <w:p w14:paraId="1CF057FB" w14:textId="2B157608" w:rsidR="008D2684" w:rsidRPr="00BE25AC" w:rsidRDefault="008D2684" w:rsidP="000615BE">
            <w:pPr>
              <w:pStyle w:val="naisf"/>
              <w:spacing w:before="0" w:after="0"/>
              <w:ind w:firstLine="0"/>
              <w:jc w:val="center"/>
              <w:rPr>
                <w:sz w:val="22"/>
                <w:szCs w:val="22"/>
              </w:rPr>
            </w:pPr>
            <w:r w:rsidRPr="00BE25AC">
              <w:rPr>
                <w:sz w:val="22"/>
                <w:szCs w:val="22"/>
              </w:rPr>
              <w:t>1</w:t>
            </w:r>
          </w:p>
        </w:tc>
        <w:tc>
          <w:tcPr>
            <w:tcW w:w="2102" w:type="dxa"/>
          </w:tcPr>
          <w:p w14:paraId="4B6BEAD6" w14:textId="75BDA8DB" w:rsidR="008D2684" w:rsidRPr="00BE25AC" w:rsidRDefault="008D2684" w:rsidP="000615BE">
            <w:pPr>
              <w:pStyle w:val="naisf"/>
              <w:spacing w:before="0" w:after="0"/>
              <w:ind w:firstLine="0"/>
              <w:jc w:val="center"/>
              <w:rPr>
                <w:sz w:val="22"/>
                <w:szCs w:val="22"/>
              </w:rPr>
            </w:pPr>
            <w:r w:rsidRPr="00BE25AC">
              <w:rPr>
                <w:sz w:val="22"/>
                <w:szCs w:val="22"/>
              </w:rPr>
              <w:t>2</w:t>
            </w:r>
          </w:p>
        </w:tc>
        <w:tc>
          <w:tcPr>
            <w:tcW w:w="3969" w:type="dxa"/>
          </w:tcPr>
          <w:p w14:paraId="061CE57E" w14:textId="0803C8C2" w:rsidR="008D2684" w:rsidRPr="00BE25AC" w:rsidRDefault="008D2684" w:rsidP="000615BE">
            <w:pPr>
              <w:pStyle w:val="naisf"/>
              <w:spacing w:before="0" w:after="0"/>
              <w:ind w:firstLine="0"/>
              <w:jc w:val="center"/>
              <w:rPr>
                <w:sz w:val="22"/>
                <w:szCs w:val="22"/>
              </w:rPr>
            </w:pPr>
            <w:r w:rsidRPr="00BE25AC">
              <w:rPr>
                <w:sz w:val="22"/>
                <w:szCs w:val="22"/>
              </w:rPr>
              <w:t>3</w:t>
            </w:r>
          </w:p>
        </w:tc>
        <w:tc>
          <w:tcPr>
            <w:tcW w:w="3686" w:type="dxa"/>
          </w:tcPr>
          <w:p w14:paraId="1D9CCCC5" w14:textId="14395CDF" w:rsidR="008D2684" w:rsidRPr="00BE25AC" w:rsidRDefault="008D2684" w:rsidP="000615BE">
            <w:pPr>
              <w:pStyle w:val="naisf"/>
              <w:spacing w:before="0" w:after="0"/>
              <w:ind w:firstLine="0"/>
              <w:jc w:val="center"/>
              <w:rPr>
                <w:sz w:val="22"/>
                <w:szCs w:val="22"/>
              </w:rPr>
            </w:pPr>
            <w:r w:rsidRPr="00BE25AC">
              <w:rPr>
                <w:sz w:val="22"/>
                <w:szCs w:val="22"/>
              </w:rPr>
              <w:t>4</w:t>
            </w:r>
          </w:p>
        </w:tc>
        <w:tc>
          <w:tcPr>
            <w:tcW w:w="1559" w:type="dxa"/>
          </w:tcPr>
          <w:p w14:paraId="23686BAC" w14:textId="77AC98CC" w:rsidR="008D2684" w:rsidRPr="00BE25AC" w:rsidRDefault="008D2684" w:rsidP="000615BE">
            <w:pPr>
              <w:pStyle w:val="naisf"/>
              <w:spacing w:before="0" w:after="0"/>
              <w:ind w:firstLine="0"/>
              <w:jc w:val="center"/>
              <w:rPr>
                <w:sz w:val="22"/>
                <w:szCs w:val="22"/>
              </w:rPr>
            </w:pPr>
            <w:r w:rsidRPr="00BE25AC">
              <w:rPr>
                <w:sz w:val="22"/>
                <w:szCs w:val="22"/>
              </w:rPr>
              <w:t>5</w:t>
            </w:r>
          </w:p>
        </w:tc>
        <w:tc>
          <w:tcPr>
            <w:tcW w:w="2436" w:type="dxa"/>
          </w:tcPr>
          <w:p w14:paraId="77F7719C" w14:textId="1604D4B8" w:rsidR="008D2684" w:rsidRPr="00BE25AC" w:rsidRDefault="008D2684" w:rsidP="000615BE">
            <w:pPr>
              <w:pStyle w:val="naisf"/>
              <w:spacing w:before="0" w:after="0"/>
              <w:ind w:firstLine="0"/>
              <w:jc w:val="center"/>
              <w:rPr>
                <w:sz w:val="22"/>
                <w:szCs w:val="22"/>
              </w:rPr>
            </w:pPr>
            <w:r w:rsidRPr="00BE25AC">
              <w:rPr>
                <w:sz w:val="22"/>
                <w:szCs w:val="22"/>
              </w:rPr>
              <w:t>6</w:t>
            </w:r>
          </w:p>
        </w:tc>
      </w:tr>
      <w:tr w:rsidR="002A432A" w:rsidRPr="00BE25AC" w14:paraId="6A8AA119" w14:textId="77777777" w:rsidTr="00F70613">
        <w:tc>
          <w:tcPr>
            <w:tcW w:w="728" w:type="dxa"/>
          </w:tcPr>
          <w:p w14:paraId="5D27F188" w14:textId="08BB165F" w:rsidR="002A432A" w:rsidRPr="00BE25AC" w:rsidRDefault="002A432A" w:rsidP="005272EB">
            <w:pPr>
              <w:pStyle w:val="naisf"/>
              <w:spacing w:before="0" w:after="0"/>
              <w:ind w:firstLine="0"/>
              <w:rPr>
                <w:sz w:val="22"/>
                <w:szCs w:val="22"/>
              </w:rPr>
            </w:pPr>
          </w:p>
        </w:tc>
        <w:tc>
          <w:tcPr>
            <w:tcW w:w="2102" w:type="dxa"/>
          </w:tcPr>
          <w:p w14:paraId="13F133C1" w14:textId="75ACFEE2" w:rsidR="002A432A" w:rsidRPr="00BE25AC" w:rsidRDefault="002A432A" w:rsidP="005272EB">
            <w:pPr>
              <w:rPr>
                <w:sz w:val="22"/>
                <w:szCs w:val="22"/>
              </w:rPr>
            </w:pPr>
          </w:p>
        </w:tc>
        <w:tc>
          <w:tcPr>
            <w:tcW w:w="3969" w:type="dxa"/>
          </w:tcPr>
          <w:p w14:paraId="55B8249C" w14:textId="3C9F03A1" w:rsidR="002A432A" w:rsidRPr="00BE25AC" w:rsidRDefault="002A432A" w:rsidP="005272EB">
            <w:pPr>
              <w:pStyle w:val="naisf"/>
              <w:spacing w:before="0" w:after="0"/>
              <w:ind w:firstLine="0"/>
              <w:rPr>
                <w:sz w:val="22"/>
                <w:szCs w:val="22"/>
              </w:rPr>
            </w:pPr>
          </w:p>
        </w:tc>
        <w:tc>
          <w:tcPr>
            <w:tcW w:w="3686" w:type="dxa"/>
          </w:tcPr>
          <w:p w14:paraId="14615050" w14:textId="59DBB446" w:rsidR="002B38E5" w:rsidRPr="00BE25AC" w:rsidRDefault="002B38E5" w:rsidP="005272EB">
            <w:pPr>
              <w:pStyle w:val="naisc"/>
              <w:spacing w:before="0" w:after="0"/>
              <w:jc w:val="both"/>
              <w:rPr>
                <w:sz w:val="22"/>
                <w:szCs w:val="22"/>
              </w:rPr>
            </w:pPr>
          </w:p>
        </w:tc>
        <w:tc>
          <w:tcPr>
            <w:tcW w:w="1559" w:type="dxa"/>
          </w:tcPr>
          <w:p w14:paraId="7452C628" w14:textId="77777777" w:rsidR="002A432A" w:rsidRPr="00BE25AC" w:rsidRDefault="002A432A" w:rsidP="005272EB">
            <w:pPr>
              <w:pStyle w:val="naisf"/>
              <w:spacing w:before="0" w:after="0"/>
              <w:ind w:firstLine="0"/>
              <w:rPr>
                <w:sz w:val="22"/>
                <w:szCs w:val="22"/>
              </w:rPr>
            </w:pPr>
          </w:p>
        </w:tc>
        <w:tc>
          <w:tcPr>
            <w:tcW w:w="2436" w:type="dxa"/>
          </w:tcPr>
          <w:p w14:paraId="2688D61B" w14:textId="647FA555" w:rsidR="002A432A" w:rsidRPr="00BE25AC" w:rsidRDefault="002A432A" w:rsidP="005272EB">
            <w:pPr>
              <w:pStyle w:val="naisf"/>
              <w:spacing w:before="0" w:after="0"/>
              <w:ind w:firstLine="0"/>
              <w:rPr>
                <w:sz w:val="22"/>
                <w:szCs w:val="22"/>
              </w:rPr>
            </w:pPr>
          </w:p>
        </w:tc>
      </w:tr>
    </w:tbl>
    <w:p w14:paraId="63146747" w14:textId="77777777" w:rsidR="003C4D61" w:rsidRPr="00BE25AC" w:rsidRDefault="003C4D61" w:rsidP="000615BE">
      <w:pPr>
        <w:pStyle w:val="naiskr"/>
        <w:spacing w:before="0" w:after="0"/>
        <w:rPr>
          <w:b/>
          <w:bCs/>
        </w:rPr>
      </w:pPr>
    </w:p>
    <w:p w14:paraId="6BC9613A" w14:textId="1BCEAECB" w:rsidR="009D5508" w:rsidRPr="00BE25AC" w:rsidRDefault="009D5508" w:rsidP="000615BE">
      <w:pPr>
        <w:pStyle w:val="naiskr"/>
        <w:spacing w:before="0" w:after="0"/>
        <w:rPr>
          <w:sz w:val="22"/>
        </w:rPr>
      </w:pPr>
      <w:r w:rsidRPr="00BE25AC">
        <w:rPr>
          <w:b/>
          <w:bCs/>
          <w:sz w:val="22"/>
        </w:rPr>
        <w:t xml:space="preserve">Informācija par </w:t>
      </w:r>
      <w:proofErr w:type="spellStart"/>
      <w:r w:rsidRPr="00BE25AC">
        <w:rPr>
          <w:b/>
          <w:bCs/>
          <w:sz w:val="22"/>
        </w:rPr>
        <w:t>starpministriju</w:t>
      </w:r>
      <w:proofErr w:type="spellEnd"/>
      <w:r w:rsidRPr="00BE25AC">
        <w:rPr>
          <w:b/>
          <w:bCs/>
          <w:sz w:val="22"/>
        </w:rPr>
        <w:t xml:space="preserve"> (starpinstitūciju) sanāksmi vai elektronisko saskaņošanu</w:t>
      </w:r>
    </w:p>
    <w:p w14:paraId="27A3D207" w14:textId="77777777" w:rsidR="009D5508" w:rsidRPr="00BE25AC" w:rsidRDefault="009D5508" w:rsidP="000615BE">
      <w:pPr>
        <w:pStyle w:val="naisf"/>
        <w:spacing w:before="0" w:after="0"/>
        <w:rPr>
          <w:sz w:val="22"/>
        </w:rPr>
      </w:pPr>
      <w:r w:rsidRPr="00BE25AC">
        <w:rPr>
          <w:sz w:val="22"/>
        </w:rPr>
        <w:t> </w:t>
      </w:r>
    </w:p>
    <w:tbl>
      <w:tblPr>
        <w:tblW w:w="14459" w:type="dxa"/>
        <w:tblCellSpacing w:w="0" w:type="dxa"/>
        <w:tblCellMar>
          <w:left w:w="0" w:type="dxa"/>
          <w:right w:w="0" w:type="dxa"/>
        </w:tblCellMar>
        <w:tblLook w:val="0000" w:firstRow="0" w:lastRow="0" w:firstColumn="0" w:lastColumn="0" w:noHBand="0" w:noVBand="0"/>
      </w:tblPr>
      <w:tblGrid>
        <w:gridCol w:w="4678"/>
        <w:gridCol w:w="4779"/>
        <w:gridCol w:w="5002"/>
      </w:tblGrid>
      <w:tr w:rsidR="00BE25AC" w:rsidRPr="00BE25AC" w14:paraId="5B644A4E" w14:textId="77777777" w:rsidTr="008E612C">
        <w:trPr>
          <w:tblCellSpacing w:w="0" w:type="dxa"/>
        </w:trPr>
        <w:tc>
          <w:tcPr>
            <w:tcW w:w="4678" w:type="dxa"/>
          </w:tcPr>
          <w:p w14:paraId="52BD1602" w14:textId="77777777" w:rsidR="009D5508" w:rsidRPr="00BE25AC" w:rsidRDefault="009D5508" w:rsidP="000615BE">
            <w:pPr>
              <w:pStyle w:val="naiskr"/>
              <w:spacing w:before="0" w:after="0"/>
              <w:rPr>
                <w:sz w:val="22"/>
              </w:rPr>
            </w:pPr>
            <w:r w:rsidRPr="00BE25AC">
              <w:rPr>
                <w:sz w:val="22"/>
              </w:rPr>
              <w:t>Datums</w:t>
            </w:r>
          </w:p>
        </w:tc>
        <w:tc>
          <w:tcPr>
            <w:tcW w:w="9781" w:type="dxa"/>
            <w:gridSpan w:val="2"/>
            <w:tcBorders>
              <w:top w:val="nil"/>
              <w:left w:val="nil"/>
              <w:bottom w:val="single" w:sz="8" w:space="0" w:color="000000"/>
              <w:right w:val="nil"/>
            </w:tcBorders>
          </w:tcPr>
          <w:p w14:paraId="3B021ECC" w14:textId="24E4A653" w:rsidR="009D5508" w:rsidRPr="00BE25AC" w:rsidRDefault="009D5508" w:rsidP="000615BE">
            <w:pPr>
              <w:pStyle w:val="naisf"/>
              <w:spacing w:before="0" w:after="0"/>
              <w:ind w:firstLine="0"/>
              <w:rPr>
                <w:sz w:val="22"/>
              </w:rPr>
            </w:pPr>
          </w:p>
        </w:tc>
      </w:tr>
      <w:tr w:rsidR="00BE25AC" w:rsidRPr="00BE25AC" w14:paraId="1E09B8AB" w14:textId="77777777" w:rsidTr="008E612C">
        <w:trPr>
          <w:tblCellSpacing w:w="0" w:type="dxa"/>
        </w:trPr>
        <w:tc>
          <w:tcPr>
            <w:tcW w:w="4678" w:type="dxa"/>
          </w:tcPr>
          <w:p w14:paraId="31837624" w14:textId="77777777" w:rsidR="009D5508" w:rsidRPr="00BE25AC" w:rsidRDefault="009D5508" w:rsidP="000615BE">
            <w:pPr>
              <w:pStyle w:val="naisf"/>
              <w:spacing w:before="0" w:after="0"/>
              <w:rPr>
                <w:sz w:val="22"/>
              </w:rPr>
            </w:pPr>
            <w:r w:rsidRPr="00BE25AC">
              <w:rPr>
                <w:sz w:val="22"/>
              </w:rPr>
              <w:t> </w:t>
            </w:r>
          </w:p>
        </w:tc>
        <w:tc>
          <w:tcPr>
            <w:tcW w:w="9781" w:type="dxa"/>
            <w:gridSpan w:val="2"/>
            <w:tcBorders>
              <w:top w:val="nil"/>
              <w:left w:val="nil"/>
              <w:bottom w:val="nil"/>
              <w:right w:val="nil"/>
            </w:tcBorders>
          </w:tcPr>
          <w:p w14:paraId="1B581AD2" w14:textId="008201BC" w:rsidR="009D5508" w:rsidRPr="00BE25AC" w:rsidRDefault="009D5508" w:rsidP="000615BE">
            <w:pPr>
              <w:pStyle w:val="naisf"/>
              <w:spacing w:before="0" w:after="0"/>
              <w:rPr>
                <w:sz w:val="22"/>
              </w:rPr>
            </w:pPr>
          </w:p>
        </w:tc>
      </w:tr>
      <w:tr w:rsidR="00BE25AC" w:rsidRPr="00BE25AC" w14:paraId="482EE939" w14:textId="77777777" w:rsidTr="008E612C">
        <w:trPr>
          <w:tblCellSpacing w:w="0" w:type="dxa"/>
        </w:trPr>
        <w:tc>
          <w:tcPr>
            <w:tcW w:w="4678" w:type="dxa"/>
            <w:vAlign w:val="center"/>
          </w:tcPr>
          <w:p w14:paraId="75FE2B72" w14:textId="77777777" w:rsidR="009D5508" w:rsidRPr="00BE25AC" w:rsidRDefault="009D5508" w:rsidP="000615BE">
            <w:pPr>
              <w:pStyle w:val="naiskr"/>
              <w:spacing w:before="0" w:after="0"/>
              <w:rPr>
                <w:sz w:val="22"/>
              </w:rPr>
            </w:pPr>
            <w:r w:rsidRPr="00BE25AC">
              <w:rPr>
                <w:sz w:val="22"/>
              </w:rPr>
              <w:t>Saskaņošanas dalībnieki</w:t>
            </w:r>
          </w:p>
        </w:tc>
        <w:tc>
          <w:tcPr>
            <w:tcW w:w="9781" w:type="dxa"/>
            <w:gridSpan w:val="2"/>
            <w:tcBorders>
              <w:bottom w:val="single" w:sz="4" w:space="0" w:color="auto"/>
            </w:tcBorders>
            <w:vAlign w:val="center"/>
          </w:tcPr>
          <w:p w14:paraId="32D59E83" w14:textId="01A185DF" w:rsidR="009D5508" w:rsidRPr="00BE25AC" w:rsidRDefault="00F70613" w:rsidP="000615BE">
            <w:pPr>
              <w:pStyle w:val="naisf"/>
              <w:spacing w:before="0" w:after="0"/>
              <w:ind w:firstLine="0"/>
              <w:rPr>
                <w:sz w:val="22"/>
              </w:rPr>
            </w:pPr>
            <w:r w:rsidRPr="00BE25AC">
              <w:rPr>
                <w:sz w:val="22"/>
              </w:rPr>
              <w:t xml:space="preserve">Aizsardzības ministrija, Ekonomikas ministrija, </w:t>
            </w:r>
            <w:proofErr w:type="spellStart"/>
            <w:r w:rsidRPr="00BE25AC">
              <w:rPr>
                <w:sz w:val="22"/>
              </w:rPr>
              <w:t>Iekšlietu</w:t>
            </w:r>
            <w:proofErr w:type="spellEnd"/>
            <w:r w:rsidRPr="00BE25AC">
              <w:rPr>
                <w:sz w:val="22"/>
              </w:rPr>
              <w:t xml:space="preserve"> ministrija, Izglītības un zinātnes ministrija, Labklājības ministrija, Satiksmes ministrija, Vides aizsardzības un reģionālās attīstības ministrija, Veselības ministrija, Zemkopības ministrija, Ārlietu ministrija, Tieslietu ministrija, Kultūras ministrija</w:t>
            </w:r>
            <w:r w:rsidR="0082746B">
              <w:rPr>
                <w:sz w:val="22"/>
              </w:rPr>
              <w:t>, Valsts kontrole</w:t>
            </w:r>
          </w:p>
        </w:tc>
      </w:tr>
      <w:tr w:rsidR="009D5508" w:rsidRPr="00BE25AC" w14:paraId="10B7DD6F" w14:textId="77777777" w:rsidTr="008E612C">
        <w:trPr>
          <w:tblCellSpacing w:w="0" w:type="dxa"/>
        </w:trPr>
        <w:tc>
          <w:tcPr>
            <w:tcW w:w="4678" w:type="dxa"/>
            <w:vAlign w:val="center"/>
          </w:tcPr>
          <w:p w14:paraId="516519E1" w14:textId="77777777" w:rsidR="009D5508" w:rsidRPr="00BE25AC" w:rsidRDefault="009D5508" w:rsidP="000615BE">
            <w:pPr>
              <w:pStyle w:val="naiskr"/>
              <w:spacing w:before="0" w:after="0"/>
              <w:rPr>
                <w:sz w:val="22"/>
              </w:rPr>
            </w:pPr>
            <w:r w:rsidRPr="00BE25AC">
              <w:rPr>
                <w:sz w:val="22"/>
              </w:rPr>
              <w:t> </w:t>
            </w:r>
          </w:p>
        </w:tc>
        <w:tc>
          <w:tcPr>
            <w:tcW w:w="4779" w:type="dxa"/>
            <w:vAlign w:val="center"/>
          </w:tcPr>
          <w:p w14:paraId="2E9E9E1D" w14:textId="77777777" w:rsidR="009D5508" w:rsidRPr="00BE25AC" w:rsidRDefault="009D5508" w:rsidP="000615BE">
            <w:pPr>
              <w:pStyle w:val="naiskr"/>
              <w:spacing w:before="0" w:after="0"/>
              <w:rPr>
                <w:sz w:val="22"/>
              </w:rPr>
            </w:pPr>
            <w:r w:rsidRPr="00BE25AC">
              <w:rPr>
                <w:sz w:val="22"/>
              </w:rPr>
              <w:t> </w:t>
            </w:r>
          </w:p>
        </w:tc>
        <w:tc>
          <w:tcPr>
            <w:tcW w:w="5002" w:type="dxa"/>
            <w:vAlign w:val="center"/>
          </w:tcPr>
          <w:p w14:paraId="16247C0E" w14:textId="77777777" w:rsidR="009D5508" w:rsidRPr="00BE25AC" w:rsidRDefault="009D5508" w:rsidP="000615BE">
            <w:pPr>
              <w:pStyle w:val="naiskr"/>
              <w:spacing w:before="0" w:after="0"/>
              <w:rPr>
                <w:sz w:val="22"/>
              </w:rPr>
            </w:pPr>
            <w:r w:rsidRPr="00BE25AC">
              <w:rPr>
                <w:sz w:val="22"/>
              </w:rPr>
              <w:t> </w:t>
            </w:r>
          </w:p>
        </w:tc>
      </w:tr>
    </w:tbl>
    <w:p w14:paraId="78B6B593" w14:textId="77777777" w:rsidR="009D5508" w:rsidRPr="00BE25AC" w:rsidRDefault="009D5508" w:rsidP="000615BE">
      <w:pPr>
        <w:rPr>
          <w:vanish/>
          <w:sz w:val="22"/>
        </w:rPr>
      </w:pPr>
    </w:p>
    <w:tbl>
      <w:tblPr>
        <w:tblW w:w="14479" w:type="dxa"/>
        <w:tblCellSpacing w:w="0" w:type="dxa"/>
        <w:tblCellMar>
          <w:left w:w="0" w:type="dxa"/>
          <w:right w:w="0" w:type="dxa"/>
        </w:tblCellMar>
        <w:tblLook w:val="0000" w:firstRow="0" w:lastRow="0" w:firstColumn="0" w:lastColumn="0" w:noHBand="0" w:noVBand="0"/>
      </w:tblPr>
      <w:tblGrid>
        <w:gridCol w:w="4668"/>
        <w:gridCol w:w="9756"/>
        <w:gridCol w:w="55"/>
      </w:tblGrid>
      <w:tr w:rsidR="00BE25AC" w:rsidRPr="00BE25AC" w14:paraId="5AFD0304" w14:textId="77777777" w:rsidTr="005272EB">
        <w:trPr>
          <w:tblCellSpacing w:w="0" w:type="dxa"/>
        </w:trPr>
        <w:tc>
          <w:tcPr>
            <w:tcW w:w="4678" w:type="dxa"/>
          </w:tcPr>
          <w:p w14:paraId="1460C8D5" w14:textId="1BA609B1" w:rsidR="009D5508" w:rsidRPr="00BE25AC" w:rsidRDefault="009D5508" w:rsidP="000615BE">
            <w:pPr>
              <w:pStyle w:val="naiskr"/>
              <w:spacing w:before="0" w:after="0"/>
              <w:rPr>
                <w:sz w:val="22"/>
              </w:rPr>
            </w:pPr>
            <w:r w:rsidRPr="00BE25AC">
              <w:rPr>
                <w:sz w:val="22"/>
              </w:rPr>
              <w:t>Saskaņošanas dalībnieki izskatīja šādu ministriju (citu</w:t>
            </w:r>
            <w:r w:rsidR="008E612C" w:rsidRPr="00BE25AC">
              <w:rPr>
                <w:sz w:val="22"/>
              </w:rPr>
              <w:t xml:space="preserve"> institūciju) iebildumus</w:t>
            </w:r>
          </w:p>
        </w:tc>
        <w:tc>
          <w:tcPr>
            <w:tcW w:w="9781" w:type="dxa"/>
            <w:tcBorders>
              <w:bottom w:val="single" w:sz="4" w:space="0" w:color="auto"/>
            </w:tcBorders>
          </w:tcPr>
          <w:p w14:paraId="600553BE" w14:textId="39FD3626" w:rsidR="009D5508" w:rsidRPr="00BE25AC" w:rsidRDefault="00C45A76" w:rsidP="00AA50DA">
            <w:pPr>
              <w:pStyle w:val="NormalWeb"/>
              <w:spacing w:before="0" w:beforeAutospacing="0" w:after="0" w:afterAutospacing="0"/>
              <w:jc w:val="both"/>
              <w:rPr>
                <w:sz w:val="22"/>
              </w:rPr>
            </w:pPr>
            <w:r w:rsidRPr="00BE25AC">
              <w:rPr>
                <w:sz w:val="22"/>
              </w:rPr>
              <w:t xml:space="preserve">Aizsardzības ministrija, </w:t>
            </w:r>
            <w:proofErr w:type="spellStart"/>
            <w:r w:rsidRPr="00BE25AC">
              <w:rPr>
                <w:sz w:val="22"/>
              </w:rPr>
              <w:t>Iekšlietu</w:t>
            </w:r>
            <w:proofErr w:type="spellEnd"/>
            <w:r w:rsidRPr="00BE25AC">
              <w:rPr>
                <w:sz w:val="22"/>
              </w:rPr>
              <w:t xml:space="preserve"> ministrija, Izglītības un zinātnes ministrija, Labklājības ministrija, Veselības ministrija, Zemkopības ministrija, Ārlietu ministrija, Tieslietu ministrija,</w:t>
            </w:r>
          </w:p>
        </w:tc>
        <w:tc>
          <w:tcPr>
            <w:tcW w:w="20" w:type="dxa"/>
          </w:tcPr>
          <w:p w14:paraId="476A7AFC" w14:textId="77777777" w:rsidR="009D5508" w:rsidRPr="00BE25AC" w:rsidRDefault="009D5508" w:rsidP="000615BE">
            <w:pPr>
              <w:pStyle w:val="naiskr"/>
              <w:spacing w:before="0" w:after="0"/>
              <w:rPr>
                <w:sz w:val="22"/>
              </w:rPr>
            </w:pPr>
            <w:r w:rsidRPr="00BE25AC">
              <w:rPr>
                <w:sz w:val="22"/>
              </w:rPr>
              <w:t> </w:t>
            </w:r>
          </w:p>
        </w:tc>
      </w:tr>
      <w:tr w:rsidR="00BE25AC" w:rsidRPr="00BE25AC" w14:paraId="4A44C125" w14:textId="77777777" w:rsidTr="005272EB">
        <w:trPr>
          <w:gridAfter w:val="1"/>
          <w:wAfter w:w="20" w:type="dxa"/>
          <w:tblCellSpacing w:w="0" w:type="dxa"/>
        </w:trPr>
        <w:tc>
          <w:tcPr>
            <w:tcW w:w="14459" w:type="dxa"/>
            <w:gridSpan w:val="2"/>
            <w:vAlign w:val="center"/>
          </w:tcPr>
          <w:p w14:paraId="5BA0FE33" w14:textId="77777777" w:rsidR="009D5508" w:rsidRPr="00BE25AC" w:rsidRDefault="009D5508" w:rsidP="000615BE">
            <w:pPr>
              <w:pStyle w:val="naislab"/>
              <w:spacing w:before="0" w:after="0"/>
              <w:rPr>
                <w:sz w:val="22"/>
              </w:rPr>
            </w:pPr>
            <w:r w:rsidRPr="00BE25AC">
              <w:rPr>
                <w:sz w:val="22"/>
              </w:rPr>
              <w:t> </w:t>
            </w:r>
          </w:p>
        </w:tc>
      </w:tr>
      <w:tr w:rsidR="00BE25AC" w:rsidRPr="00BE25AC" w14:paraId="369708B8" w14:textId="77777777" w:rsidTr="005272EB">
        <w:trPr>
          <w:gridAfter w:val="1"/>
          <w:wAfter w:w="20" w:type="dxa"/>
          <w:tblCellSpacing w:w="0" w:type="dxa"/>
        </w:trPr>
        <w:tc>
          <w:tcPr>
            <w:tcW w:w="4678" w:type="dxa"/>
            <w:vAlign w:val="center"/>
          </w:tcPr>
          <w:p w14:paraId="4AB28162" w14:textId="77777777" w:rsidR="009D5508" w:rsidRPr="00BE25AC" w:rsidRDefault="009D5508" w:rsidP="000615BE">
            <w:pPr>
              <w:pStyle w:val="naiskr"/>
              <w:spacing w:before="0" w:after="0"/>
              <w:rPr>
                <w:sz w:val="22"/>
              </w:rPr>
            </w:pPr>
            <w:r w:rsidRPr="00BE25AC">
              <w:rPr>
                <w:sz w:val="22"/>
              </w:rPr>
              <w:t>Ministrijas (citas institūcijas), kuras nav ieradušās uz sanāksmi vai kuras nav atbildējušas uz uzaicinājumu piedalīties elektroniskajā saskaņošanā</w:t>
            </w:r>
          </w:p>
        </w:tc>
        <w:tc>
          <w:tcPr>
            <w:tcW w:w="9781" w:type="dxa"/>
            <w:tcBorders>
              <w:bottom w:val="single" w:sz="4" w:space="0" w:color="auto"/>
            </w:tcBorders>
            <w:vAlign w:val="center"/>
          </w:tcPr>
          <w:p w14:paraId="3D1A5761" w14:textId="5F43DBA8" w:rsidR="009D5508" w:rsidRPr="00BE25AC" w:rsidRDefault="009D5508" w:rsidP="000615BE">
            <w:pPr>
              <w:pStyle w:val="naiskr"/>
              <w:spacing w:before="0" w:after="0"/>
              <w:rPr>
                <w:sz w:val="22"/>
              </w:rPr>
            </w:pPr>
            <w:r w:rsidRPr="00BE25AC">
              <w:rPr>
                <w:sz w:val="22"/>
              </w:rPr>
              <w:t> </w:t>
            </w:r>
          </w:p>
        </w:tc>
      </w:tr>
    </w:tbl>
    <w:p w14:paraId="46DF77C1" w14:textId="42F51F40" w:rsidR="007B53A6" w:rsidRPr="00BE25AC" w:rsidRDefault="009D5508" w:rsidP="000615BE">
      <w:pPr>
        <w:pStyle w:val="naisf"/>
        <w:spacing w:before="0" w:after="0"/>
      </w:pPr>
      <w:r w:rsidRPr="00BE25AC">
        <w:rPr>
          <w:sz w:val="22"/>
        </w:rPr>
        <w:lastRenderedPageBreak/>
        <w:t> </w:t>
      </w:r>
    </w:p>
    <w:p w14:paraId="6DDCE64B" w14:textId="0B1224C3" w:rsidR="009D5508" w:rsidRPr="00BE25AC" w:rsidRDefault="009D5508" w:rsidP="000615BE">
      <w:pPr>
        <w:pStyle w:val="naisnod"/>
        <w:spacing w:before="0" w:after="0"/>
      </w:pPr>
      <w:r w:rsidRPr="00BE25AC">
        <w:t>II. Jautājumi, par kuriem saskaņošanā vienošanās ir panākta</w:t>
      </w:r>
    </w:p>
    <w:p w14:paraId="4E7BAFF3" w14:textId="77777777" w:rsidR="00CA1DDF" w:rsidRPr="00BE25AC" w:rsidRDefault="00CA1DDF" w:rsidP="000615BE">
      <w:pPr>
        <w:pStyle w:val="naisnod"/>
        <w:spacing w:before="0" w:after="0"/>
      </w:pPr>
    </w:p>
    <w:tbl>
      <w:tblPr>
        <w:tblStyle w:val="TableGrid"/>
        <w:tblW w:w="0" w:type="auto"/>
        <w:tblLook w:val="04A0" w:firstRow="1" w:lastRow="0" w:firstColumn="1" w:lastColumn="0" w:noHBand="0" w:noVBand="1"/>
      </w:tblPr>
      <w:tblGrid>
        <w:gridCol w:w="676"/>
        <w:gridCol w:w="2134"/>
        <w:gridCol w:w="4273"/>
        <w:gridCol w:w="4720"/>
        <w:gridCol w:w="2189"/>
      </w:tblGrid>
      <w:tr w:rsidR="00BE25AC" w:rsidRPr="00BE25AC" w14:paraId="55D53E03" w14:textId="77777777" w:rsidTr="005D7AF7">
        <w:tc>
          <w:tcPr>
            <w:tcW w:w="676" w:type="dxa"/>
            <w:vAlign w:val="center"/>
          </w:tcPr>
          <w:p w14:paraId="7A19DBE9" w14:textId="77777777" w:rsidR="00CA1DDF" w:rsidRPr="00BE25AC" w:rsidRDefault="00CA1DDF" w:rsidP="002979D3">
            <w:pPr>
              <w:jc w:val="center"/>
              <w:rPr>
                <w:sz w:val="22"/>
                <w:szCs w:val="22"/>
              </w:rPr>
            </w:pPr>
            <w:r w:rsidRPr="00BE25AC">
              <w:rPr>
                <w:sz w:val="22"/>
                <w:szCs w:val="22"/>
              </w:rPr>
              <w:t>Nr. p.k.</w:t>
            </w:r>
          </w:p>
        </w:tc>
        <w:tc>
          <w:tcPr>
            <w:tcW w:w="2134" w:type="dxa"/>
            <w:vAlign w:val="center"/>
          </w:tcPr>
          <w:p w14:paraId="4D16634B" w14:textId="77777777" w:rsidR="00CA1DDF" w:rsidRPr="00BE25AC" w:rsidRDefault="00CA1DDF" w:rsidP="002979D3">
            <w:pPr>
              <w:jc w:val="center"/>
              <w:rPr>
                <w:sz w:val="22"/>
                <w:szCs w:val="22"/>
              </w:rPr>
            </w:pPr>
            <w:r w:rsidRPr="00BE25AC">
              <w:rPr>
                <w:sz w:val="22"/>
                <w:szCs w:val="22"/>
              </w:rPr>
              <w:t>Saskaņošanai nosūtītā projekta redakcija (konkrēta punkta (panta) redakcija)</w:t>
            </w:r>
          </w:p>
        </w:tc>
        <w:tc>
          <w:tcPr>
            <w:tcW w:w="4273" w:type="dxa"/>
            <w:vAlign w:val="center"/>
          </w:tcPr>
          <w:p w14:paraId="6EEC1294" w14:textId="77777777" w:rsidR="00CA1DDF" w:rsidRPr="00BE25AC" w:rsidRDefault="00CA1DDF" w:rsidP="002979D3">
            <w:pPr>
              <w:jc w:val="center"/>
              <w:rPr>
                <w:sz w:val="22"/>
                <w:szCs w:val="22"/>
              </w:rPr>
            </w:pPr>
            <w:r w:rsidRPr="00BE25AC">
              <w:rPr>
                <w:sz w:val="22"/>
                <w:szCs w:val="22"/>
              </w:rPr>
              <w:t>Atzinumā norādītais ministrijas (citas institūcijas) iebildums, kā arī saskaņošanā papildus izteiktais iebildums par projekta konkrēto punktu (pantu)</w:t>
            </w:r>
          </w:p>
        </w:tc>
        <w:tc>
          <w:tcPr>
            <w:tcW w:w="4720" w:type="dxa"/>
            <w:vAlign w:val="center"/>
          </w:tcPr>
          <w:p w14:paraId="7191ABE7" w14:textId="77777777" w:rsidR="00CA1DDF" w:rsidRPr="00BE25AC" w:rsidRDefault="00CA1DDF" w:rsidP="002979D3">
            <w:pPr>
              <w:jc w:val="center"/>
              <w:rPr>
                <w:sz w:val="22"/>
                <w:szCs w:val="22"/>
              </w:rPr>
            </w:pPr>
            <w:r w:rsidRPr="00BE25AC">
              <w:rPr>
                <w:sz w:val="22"/>
                <w:szCs w:val="22"/>
              </w:rPr>
              <w:t>Atbildīgās ministrijas norāde par to, ka iebildums ir ņemts vērā, vai informācija par saskaņošanā panākto alternatīvo risinājumu</w:t>
            </w:r>
          </w:p>
        </w:tc>
        <w:tc>
          <w:tcPr>
            <w:tcW w:w="2189" w:type="dxa"/>
            <w:vAlign w:val="center"/>
          </w:tcPr>
          <w:p w14:paraId="7C7CABBC" w14:textId="77777777" w:rsidR="00CA1DDF" w:rsidRPr="00BE25AC" w:rsidRDefault="00CA1DDF" w:rsidP="002979D3">
            <w:pPr>
              <w:jc w:val="center"/>
              <w:rPr>
                <w:sz w:val="22"/>
                <w:szCs w:val="22"/>
              </w:rPr>
            </w:pPr>
            <w:r w:rsidRPr="00BE25AC">
              <w:rPr>
                <w:sz w:val="22"/>
                <w:szCs w:val="22"/>
              </w:rPr>
              <w:t>Projekta attiecīgā punkta (panta) galīgā redakcija</w:t>
            </w:r>
          </w:p>
        </w:tc>
      </w:tr>
      <w:tr w:rsidR="00BE25AC" w:rsidRPr="00BE25AC" w14:paraId="47307904" w14:textId="77777777" w:rsidTr="005D7AF7">
        <w:tc>
          <w:tcPr>
            <w:tcW w:w="676" w:type="dxa"/>
          </w:tcPr>
          <w:p w14:paraId="70B8D686" w14:textId="77777777" w:rsidR="00CA1DDF" w:rsidRPr="00BE25AC" w:rsidRDefault="00CA1DDF" w:rsidP="002979D3">
            <w:pPr>
              <w:jc w:val="center"/>
              <w:rPr>
                <w:sz w:val="22"/>
                <w:szCs w:val="22"/>
              </w:rPr>
            </w:pPr>
            <w:r w:rsidRPr="00BE25AC">
              <w:rPr>
                <w:sz w:val="22"/>
                <w:szCs w:val="22"/>
              </w:rPr>
              <w:t>1</w:t>
            </w:r>
          </w:p>
        </w:tc>
        <w:tc>
          <w:tcPr>
            <w:tcW w:w="2134" w:type="dxa"/>
          </w:tcPr>
          <w:p w14:paraId="7E0ABFEC" w14:textId="77777777" w:rsidR="00CA1DDF" w:rsidRPr="00BE25AC" w:rsidRDefault="00CA1DDF" w:rsidP="002979D3">
            <w:pPr>
              <w:jc w:val="center"/>
              <w:rPr>
                <w:sz w:val="22"/>
                <w:szCs w:val="22"/>
              </w:rPr>
            </w:pPr>
            <w:r w:rsidRPr="00BE25AC">
              <w:rPr>
                <w:sz w:val="22"/>
                <w:szCs w:val="22"/>
              </w:rPr>
              <w:t>2</w:t>
            </w:r>
          </w:p>
        </w:tc>
        <w:tc>
          <w:tcPr>
            <w:tcW w:w="4273" w:type="dxa"/>
          </w:tcPr>
          <w:p w14:paraId="7D71BAA4" w14:textId="77777777" w:rsidR="00CA1DDF" w:rsidRPr="00BE25AC" w:rsidRDefault="00CA1DDF" w:rsidP="002979D3">
            <w:pPr>
              <w:jc w:val="center"/>
              <w:rPr>
                <w:sz w:val="22"/>
                <w:szCs w:val="22"/>
              </w:rPr>
            </w:pPr>
            <w:r w:rsidRPr="00BE25AC">
              <w:rPr>
                <w:sz w:val="22"/>
                <w:szCs w:val="22"/>
              </w:rPr>
              <w:t>3</w:t>
            </w:r>
          </w:p>
        </w:tc>
        <w:tc>
          <w:tcPr>
            <w:tcW w:w="4720" w:type="dxa"/>
          </w:tcPr>
          <w:p w14:paraId="0F1213CD" w14:textId="77777777" w:rsidR="00CA1DDF" w:rsidRPr="00BE25AC" w:rsidRDefault="00CA1DDF" w:rsidP="002979D3">
            <w:pPr>
              <w:jc w:val="center"/>
              <w:rPr>
                <w:sz w:val="22"/>
                <w:szCs w:val="22"/>
              </w:rPr>
            </w:pPr>
            <w:r w:rsidRPr="00BE25AC">
              <w:rPr>
                <w:sz w:val="22"/>
                <w:szCs w:val="22"/>
              </w:rPr>
              <w:t>4</w:t>
            </w:r>
          </w:p>
        </w:tc>
        <w:tc>
          <w:tcPr>
            <w:tcW w:w="2189" w:type="dxa"/>
          </w:tcPr>
          <w:p w14:paraId="438E5A71" w14:textId="77777777" w:rsidR="00CA1DDF" w:rsidRPr="00BE25AC" w:rsidRDefault="00CA1DDF" w:rsidP="002979D3">
            <w:pPr>
              <w:jc w:val="center"/>
              <w:rPr>
                <w:sz w:val="22"/>
                <w:szCs w:val="22"/>
              </w:rPr>
            </w:pPr>
            <w:r w:rsidRPr="00BE25AC">
              <w:rPr>
                <w:sz w:val="22"/>
                <w:szCs w:val="22"/>
              </w:rPr>
              <w:t>5</w:t>
            </w:r>
          </w:p>
        </w:tc>
      </w:tr>
      <w:tr w:rsidR="00BE25AC" w:rsidRPr="00BE25AC" w14:paraId="66D29607" w14:textId="77777777" w:rsidTr="005D7AF7">
        <w:tc>
          <w:tcPr>
            <w:tcW w:w="676" w:type="dxa"/>
          </w:tcPr>
          <w:p w14:paraId="03F3605D" w14:textId="7B0FA684" w:rsidR="005272EB" w:rsidRPr="00BE25AC" w:rsidRDefault="005272EB" w:rsidP="005272EB">
            <w:pPr>
              <w:jc w:val="both"/>
              <w:rPr>
                <w:sz w:val="22"/>
                <w:szCs w:val="22"/>
              </w:rPr>
            </w:pPr>
            <w:r w:rsidRPr="00BE25AC">
              <w:rPr>
                <w:sz w:val="22"/>
                <w:szCs w:val="22"/>
              </w:rPr>
              <w:t>1.</w:t>
            </w:r>
          </w:p>
        </w:tc>
        <w:tc>
          <w:tcPr>
            <w:tcW w:w="2134" w:type="dxa"/>
          </w:tcPr>
          <w:p w14:paraId="2AC48330" w14:textId="77777777" w:rsidR="005272EB" w:rsidRPr="00BE25AC" w:rsidRDefault="005272EB" w:rsidP="005272EB">
            <w:pPr>
              <w:jc w:val="both"/>
              <w:rPr>
                <w:sz w:val="22"/>
                <w:szCs w:val="22"/>
              </w:rPr>
            </w:pPr>
          </w:p>
        </w:tc>
        <w:tc>
          <w:tcPr>
            <w:tcW w:w="4273" w:type="dxa"/>
          </w:tcPr>
          <w:p w14:paraId="0F5D28F1" w14:textId="77777777" w:rsidR="005272EB" w:rsidRPr="00BE25AC" w:rsidRDefault="005272EB" w:rsidP="005272EB">
            <w:pPr>
              <w:jc w:val="both"/>
              <w:rPr>
                <w:b/>
                <w:sz w:val="22"/>
                <w:szCs w:val="22"/>
              </w:rPr>
            </w:pPr>
            <w:r w:rsidRPr="00BE25AC">
              <w:rPr>
                <w:b/>
                <w:sz w:val="22"/>
                <w:szCs w:val="22"/>
              </w:rPr>
              <w:t>Ārlietu ministrija</w:t>
            </w:r>
          </w:p>
          <w:p w14:paraId="03F8653E" w14:textId="77777777" w:rsidR="005272EB" w:rsidRPr="00BE25AC" w:rsidRDefault="005272EB" w:rsidP="005272EB">
            <w:pPr>
              <w:jc w:val="both"/>
              <w:rPr>
                <w:b/>
                <w:sz w:val="22"/>
                <w:szCs w:val="22"/>
              </w:rPr>
            </w:pPr>
          </w:p>
          <w:p w14:paraId="6B50BE22" w14:textId="77777777" w:rsidR="005272EB" w:rsidRPr="00BE25AC" w:rsidRDefault="005272EB" w:rsidP="005272EB">
            <w:pPr>
              <w:pStyle w:val="naisf"/>
              <w:spacing w:before="0" w:after="0"/>
              <w:ind w:firstLine="0"/>
              <w:rPr>
                <w:rFonts w:eastAsia="Calibri"/>
                <w:sz w:val="22"/>
                <w:szCs w:val="22"/>
              </w:rPr>
            </w:pPr>
            <w:r w:rsidRPr="00BE25AC">
              <w:rPr>
                <w:rFonts w:eastAsia="Calibri"/>
                <w:sz w:val="22"/>
                <w:szCs w:val="22"/>
              </w:rPr>
              <w:t>Ņemot vērā Noteikumu 36.punktā noteikto, kā arī to, ka Latvijas Republikas diplomātiskās un konsulārās pārstāvniecības daļu no pašu ieņēmumiem iekasē ārvalstīs, Ārlietu ministrija lūdz Noteikumu projekta 45.punktā noteikto neattiecināt uz Latvijas Republikas diplomātisko un konsulāro pārstāvniecību pašu ieņēmumiem.</w:t>
            </w:r>
          </w:p>
          <w:p w14:paraId="4FE99324" w14:textId="77777777" w:rsidR="005272EB" w:rsidRPr="00BE25AC" w:rsidRDefault="005272EB" w:rsidP="005272EB">
            <w:pPr>
              <w:jc w:val="both"/>
              <w:rPr>
                <w:b/>
                <w:sz w:val="22"/>
                <w:szCs w:val="22"/>
              </w:rPr>
            </w:pPr>
          </w:p>
        </w:tc>
        <w:tc>
          <w:tcPr>
            <w:tcW w:w="4720" w:type="dxa"/>
          </w:tcPr>
          <w:p w14:paraId="139B0A8D" w14:textId="7D829BA7" w:rsidR="005272EB" w:rsidRPr="00BE25AC" w:rsidRDefault="00A57DE8" w:rsidP="005272EB">
            <w:pPr>
              <w:pStyle w:val="naisc"/>
              <w:spacing w:before="0" w:after="0"/>
              <w:jc w:val="both"/>
              <w:rPr>
                <w:b/>
                <w:sz w:val="22"/>
                <w:szCs w:val="22"/>
              </w:rPr>
            </w:pPr>
            <w:r>
              <w:rPr>
                <w:b/>
                <w:sz w:val="22"/>
                <w:szCs w:val="22"/>
              </w:rPr>
              <w:t>Panākta vienošanās</w:t>
            </w:r>
          </w:p>
          <w:p w14:paraId="3DF081CA" w14:textId="77777777" w:rsidR="005272EB" w:rsidRPr="00BE25AC" w:rsidRDefault="005272EB" w:rsidP="005272EB">
            <w:pPr>
              <w:jc w:val="both"/>
              <w:rPr>
                <w:b/>
                <w:sz w:val="22"/>
                <w:szCs w:val="22"/>
              </w:rPr>
            </w:pPr>
          </w:p>
          <w:p w14:paraId="4EBEA997" w14:textId="1AF65DEE" w:rsidR="005272EB" w:rsidRPr="00BE25AC" w:rsidRDefault="005272EB" w:rsidP="0023606D">
            <w:pPr>
              <w:jc w:val="both"/>
              <w:rPr>
                <w:b/>
                <w:sz w:val="22"/>
                <w:szCs w:val="22"/>
              </w:rPr>
            </w:pPr>
            <w:r w:rsidRPr="00BE25AC">
              <w:rPr>
                <w:sz w:val="22"/>
                <w:szCs w:val="22"/>
              </w:rPr>
              <w:t xml:space="preserve">Iebildums nav ņemams vērā pēc būtības, jo saskaņā ar Likumu par budžetu un finanšu vadību 27.panta viens </w:t>
            </w:r>
            <w:proofErr w:type="spellStart"/>
            <w:r w:rsidRPr="00BE25AC">
              <w:rPr>
                <w:sz w:val="22"/>
                <w:szCs w:val="22"/>
              </w:rPr>
              <w:t>prim</w:t>
            </w:r>
            <w:proofErr w:type="spellEnd"/>
            <w:r w:rsidRPr="00BE25AC">
              <w:rPr>
                <w:sz w:val="22"/>
                <w:szCs w:val="22"/>
              </w:rPr>
              <w:t xml:space="preserve"> daļu, Latvijas Republikas diplomātiskās un konsulārās pārstāvniecības valsts budžeta līdzekļu saņemšanai un no tiem finansēto izdevumu veikšanai var atvērt kontu kredītiestādē pārstāvniecības valstī. Gada beigās kontā, kas atvērts kredītiestādē pārstāvniecības valstī, esošo līdzekļu atlikumu, kas radies no ieņēmumiem par sniegtajiem maksas pakalpojumiem un citiem pašu ieņēmumiem, var izmantot nākamajā saimnieciskajā gadā atbilstoši valsts budžeta likumā noteiktajai apropriācijai. Savukārt noteikumu 45.punkts gan esošā, gan jaunā redakcijā attiecas tikai uz valsts budže</w:t>
            </w:r>
            <w:r w:rsidR="0023606D" w:rsidRPr="00BE25AC">
              <w:rPr>
                <w:sz w:val="22"/>
                <w:szCs w:val="22"/>
              </w:rPr>
              <w:t>ta izdevumu kontiem Valsts kasē, līdz ar to tas neattiecas uz Latvijas Republikas diplomātisko un konsulāro pārstāvniecību kontiem kredītiestādē pārstāvniecības valstī.</w:t>
            </w:r>
          </w:p>
        </w:tc>
        <w:tc>
          <w:tcPr>
            <w:tcW w:w="2189" w:type="dxa"/>
          </w:tcPr>
          <w:p w14:paraId="037CD3B6" w14:textId="0FBE2697" w:rsidR="005272EB" w:rsidRPr="00BE25AC" w:rsidRDefault="005272EB" w:rsidP="005272EB">
            <w:pPr>
              <w:jc w:val="both"/>
              <w:rPr>
                <w:sz w:val="22"/>
                <w:szCs w:val="22"/>
              </w:rPr>
            </w:pPr>
          </w:p>
        </w:tc>
      </w:tr>
      <w:tr w:rsidR="00BE25AC" w:rsidRPr="00BE25AC" w14:paraId="632F37C0" w14:textId="77777777" w:rsidTr="005D7AF7">
        <w:tc>
          <w:tcPr>
            <w:tcW w:w="676" w:type="dxa"/>
          </w:tcPr>
          <w:p w14:paraId="63950D0F" w14:textId="0A34AFAB" w:rsidR="002979D3" w:rsidRPr="00BE25AC" w:rsidRDefault="005272EB" w:rsidP="002979D3">
            <w:pPr>
              <w:jc w:val="both"/>
              <w:rPr>
                <w:sz w:val="22"/>
                <w:szCs w:val="22"/>
              </w:rPr>
            </w:pPr>
            <w:r w:rsidRPr="00BE25AC">
              <w:rPr>
                <w:sz w:val="22"/>
                <w:szCs w:val="22"/>
              </w:rPr>
              <w:t>2</w:t>
            </w:r>
            <w:r w:rsidR="002979D3" w:rsidRPr="00BE25AC">
              <w:rPr>
                <w:sz w:val="22"/>
                <w:szCs w:val="22"/>
              </w:rPr>
              <w:t>.</w:t>
            </w:r>
          </w:p>
        </w:tc>
        <w:tc>
          <w:tcPr>
            <w:tcW w:w="2134" w:type="dxa"/>
          </w:tcPr>
          <w:p w14:paraId="6822E7F1" w14:textId="77777777" w:rsidR="002979D3" w:rsidRPr="00BE25AC" w:rsidRDefault="002979D3" w:rsidP="002979D3">
            <w:pPr>
              <w:jc w:val="both"/>
              <w:rPr>
                <w:sz w:val="22"/>
                <w:szCs w:val="22"/>
              </w:rPr>
            </w:pPr>
            <w:r w:rsidRPr="00BE25AC">
              <w:rPr>
                <w:sz w:val="22"/>
                <w:szCs w:val="22"/>
              </w:rPr>
              <w:t>1.3. izteikt 39.punktu šādā redakcijā:</w:t>
            </w:r>
          </w:p>
          <w:p w14:paraId="1E28ED2F" w14:textId="77777777" w:rsidR="002979D3" w:rsidRPr="00BE25AC" w:rsidRDefault="002979D3" w:rsidP="002979D3">
            <w:pPr>
              <w:shd w:val="clear" w:color="auto" w:fill="FFFFFF"/>
              <w:jc w:val="both"/>
              <w:rPr>
                <w:sz w:val="22"/>
                <w:szCs w:val="22"/>
                <w:lang w:eastAsia="lv-LV"/>
              </w:rPr>
            </w:pPr>
            <w:r w:rsidRPr="00BE25AC">
              <w:rPr>
                <w:sz w:val="22"/>
                <w:szCs w:val="22"/>
              </w:rPr>
              <w:t>“</w:t>
            </w:r>
            <w:r w:rsidRPr="00BE25AC">
              <w:rPr>
                <w:sz w:val="22"/>
                <w:szCs w:val="22"/>
                <w:lang w:eastAsia="lv-LV"/>
              </w:rPr>
              <w:t xml:space="preserve">39. Kopsavilkuma pārskatu par budžeta </w:t>
            </w:r>
            <w:r w:rsidRPr="00BE25AC">
              <w:rPr>
                <w:sz w:val="22"/>
                <w:szCs w:val="22"/>
                <w:lang w:eastAsia="lv-LV"/>
              </w:rPr>
              <w:lastRenderedPageBreak/>
              <w:t>izpildi iepriekšējā saimnieciskajā gadā (turpmāk – MKP) nodrošina šādā kārtībā:</w:t>
            </w:r>
          </w:p>
          <w:p w14:paraId="231FD561" w14:textId="77777777" w:rsidR="002979D3" w:rsidRPr="00BE25AC" w:rsidRDefault="002979D3" w:rsidP="002979D3">
            <w:pPr>
              <w:shd w:val="clear" w:color="auto" w:fill="FFFFFF"/>
              <w:jc w:val="both"/>
              <w:rPr>
                <w:sz w:val="22"/>
                <w:szCs w:val="22"/>
                <w:lang w:eastAsia="lv-LV"/>
              </w:rPr>
            </w:pPr>
            <w:r w:rsidRPr="00BE25AC">
              <w:rPr>
                <w:sz w:val="22"/>
                <w:szCs w:val="22"/>
                <w:lang w:eastAsia="lv-LV"/>
              </w:rPr>
              <w:t xml:space="preserve">39.1. Valsts kase līdz kārtējā saimnieciskā gada 5. janvārim nodrošina MKP </w:t>
            </w:r>
            <w:proofErr w:type="spellStart"/>
            <w:r w:rsidRPr="00BE25AC">
              <w:rPr>
                <w:sz w:val="22"/>
                <w:szCs w:val="22"/>
                <w:lang w:eastAsia="lv-LV"/>
              </w:rPr>
              <w:t>ePārskatos</w:t>
            </w:r>
            <w:proofErr w:type="spellEnd"/>
            <w:r w:rsidRPr="00BE25AC">
              <w:rPr>
                <w:sz w:val="22"/>
                <w:szCs w:val="22"/>
                <w:lang w:eastAsia="lv-LV"/>
              </w:rPr>
              <w:t>;</w:t>
            </w:r>
          </w:p>
          <w:p w14:paraId="1749B1A6" w14:textId="77777777" w:rsidR="002979D3" w:rsidRPr="00BE25AC" w:rsidRDefault="002979D3" w:rsidP="002979D3">
            <w:pPr>
              <w:shd w:val="clear" w:color="auto" w:fill="FFFFFF"/>
              <w:jc w:val="both"/>
              <w:rPr>
                <w:sz w:val="22"/>
                <w:szCs w:val="22"/>
              </w:rPr>
            </w:pPr>
            <w:r w:rsidRPr="00BE25AC">
              <w:rPr>
                <w:sz w:val="22"/>
                <w:szCs w:val="22"/>
                <w:lang w:eastAsia="lv-LV"/>
              </w:rPr>
              <w:t xml:space="preserve">39.2. ministrija līdz kārtējā saimnieciskā gada 15. janvārim nodrošina budžeta izpildes korekciju ievadi un paraksta MKP ar </w:t>
            </w:r>
            <w:proofErr w:type="spellStart"/>
            <w:r w:rsidRPr="00BE25AC">
              <w:rPr>
                <w:sz w:val="22"/>
                <w:szCs w:val="22"/>
                <w:lang w:eastAsia="lv-LV"/>
              </w:rPr>
              <w:t>ePārskatu</w:t>
            </w:r>
            <w:proofErr w:type="spellEnd"/>
            <w:r w:rsidRPr="00BE25AC">
              <w:rPr>
                <w:sz w:val="22"/>
                <w:szCs w:val="22"/>
                <w:lang w:eastAsia="lv-LV"/>
              </w:rPr>
              <w:t xml:space="preserve"> autentifikācijas rīkiem.</w:t>
            </w:r>
            <w:r w:rsidRPr="00BE25AC">
              <w:rPr>
                <w:sz w:val="22"/>
                <w:szCs w:val="22"/>
              </w:rPr>
              <w:t xml:space="preserve"> Budžeta izpildes korekcijas veic konta ietvaros ievērojot nosacījumu, ka tās nemaina slēgtās dotācijas apjomu un konta atlikumu uz iepriekšējā saimnieciskā gada beigām</w:t>
            </w:r>
            <w:r w:rsidRPr="00BE25AC">
              <w:rPr>
                <w:sz w:val="22"/>
                <w:szCs w:val="22"/>
                <w:lang w:eastAsia="lv-LV"/>
              </w:rPr>
              <w:t>.</w:t>
            </w:r>
            <w:r w:rsidRPr="00BE25AC">
              <w:rPr>
                <w:sz w:val="22"/>
                <w:szCs w:val="22"/>
              </w:rPr>
              <w:t>”;</w:t>
            </w:r>
          </w:p>
          <w:p w14:paraId="0130E4C1" w14:textId="77777777" w:rsidR="002979D3" w:rsidRPr="00BE25AC" w:rsidRDefault="002979D3" w:rsidP="002979D3">
            <w:pPr>
              <w:jc w:val="both"/>
              <w:rPr>
                <w:sz w:val="22"/>
                <w:szCs w:val="22"/>
              </w:rPr>
            </w:pPr>
          </w:p>
        </w:tc>
        <w:tc>
          <w:tcPr>
            <w:tcW w:w="4273" w:type="dxa"/>
          </w:tcPr>
          <w:p w14:paraId="4BC48379" w14:textId="77777777" w:rsidR="002979D3" w:rsidRPr="00BE25AC" w:rsidRDefault="002979D3" w:rsidP="002979D3">
            <w:pPr>
              <w:jc w:val="both"/>
              <w:rPr>
                <w:b/>
                <w:sz w:val="22"/>
                <w:szCs w:val="22"/>
              </w:rPr>
            </w:pPr>
            <w:r w:rsidRPr="00BE25AC">
              <w:rPr>
                <w:b/>
                <w:sz w:val="22"/>
                <w:szCs w:val="22"/>
              </w:rPr>
              <w:lastRenderedPageBreak/>
              <w:t>Tieslietu ministrija</w:t>
            </w:r>
          </w:p>
          <w:p w14:paraId="4CF49E1C" w14:textId="77777777" w:rsidR="002979D3" w:rsidRPr="00BE25AC" w:rsidRDefault="002979D3" w:rsidP="002979D3">
            <w:pPr>
              <w:jc w:val="both"/>
              <w:rPr>
                <w:sz w:val="22"/>
                <w:szCs w:val="22"/>
              </w:rPr>
            </w:pPr>
          </w:p>
          <w:p w14:paraId="5F6285B7" w14:textId="77777777" w:rsidR="002979D3" w:rsidRPr="00BE25AC" w:rsidRDefault="002979D3" w:rsidP="002979D3">
            <w:pPr>
              <w:tabs>
                <w:tab w:val="left" w:pos="0"/>
                <w:tab w:val="left" w:pos="993"/>
              </w:tabs>
              <w:suppressAutoHyphens/>
              <w:jc w:val="both"/>
              <w:rPr>
                <w:sz w:val="22"/>
                <w:szCs w:val="22"/>
                <w:shd w:val="clear" w:color="auto" w:fill="FFFFFF"/>
              </w:rPr>
            </w:pPr>
            <w:r w:rsidRPr="00BE25AC">
              <w:rPr>
                <w:bCs/>
                <w:iCs/>
                <w:sz w:val="22"/>
                <w:szCs w:val="22"/>
                <w:lang w:eastAsia="zh-CN"/>
              </w:rPr>
              <w:t xml:space="preserve">Lūdzam precizēt noteikumu projekta 1.3. apakšpunktā lietoto saīsinājumu un </w:t>
            </w:r>
            <w:r w:rsidRPr="00BE25AC">
              <w:rPr>
                <w:bCs/>
                <w:iCs/>
                <w:sz w:val="22"/>
                <w:szCs w:val="22"/>
                <w:lang w:eastAsia="zh-CN"/>
              </w:rPr>
              <w:lastRenderedPageBreak/>
              <w:t xml:space="preserve">abreviatūru </w:t>
            </w:r>
            <w:r w:rsidRPr="00BE25AC">
              <w:rPr>
                <w:bCs/>
                <w:sz w:val="22"/>
                <w:szCs w:val="22"/>
                <w:lang w:eastAsia="lv-LV"/>
              </w:rPr>
              <w:t xml:space="preserve">"MKP". Vēršam uzmanību, ka saskaņā ar </w:t>
            </w:r>
            <w:r w:rsidRPr="00BE25AC">
              <w:rPr>
                <w:sz w:val="22"/>
                <w:szCs w:val="22"/>
              </w:rPr>
              <w:t xml:space="preserve">Ministru kabineta 2009. gada 3. februāra noteikumu Nr. 108 </w:t>
            </w:r>
            <w:r w:rsidRPr="00BE25AC">
              <w:rPr>
                <w:sz w:val="22"/>
                <w:szCs w:val="22"/>
                <w:lang w:eastAsia="lv-LV"/>
              </w:rPr>
              <w:t>"</w:t>
            </w:r>
            <w:r w:rsidRPr="00BE25AC">
              <w:rPr>
                <w:sz w:val="22"/>
                <w:szCs w:val="22"/>
              </w:rPr>
              <w:t>Normatīvo aktu projektu sagatavošanas noteikumi</w:t>
            </w:r>
            <w:r w:rsidRPr="00BE25AC">
              <w:rPr>
                <w:sz w:val="22"/>
                <w:szCs w:val="22"/>
                <w:lang w:eastAsia="lv-LV"/>
              </w:rPr>
              <w:t xml:space="preserve">" 44. un 124. punktu </w:t>
            </w:r>
            <w:r w:rsidRPr="00BE25AC">
              <w:rPr>
                <w:sz w:val="22"/>
                <w:szCs w:val="22"/>
                <w:shd w:val="clear" w:color="auto" w:fill="FFFFFF"/>
              </w:rPr>
              <w:t>saīsinājumā abreviatūras neizmanto. Saīsinājumā pieļaujams izmantot vispārzināmas abreviatūras.</w:t>
            </w:r>
          </w:p>
          <w:p w14:paraId="61B0ACBF" w14:textId="77777777" w:rsidR="002979D3" w:rsidRPr="00BE25AC" w:rsidRDefault="002979D3" w:rsidP="002979D3">
            <w:pPr>
              <w:tabs>
                <w:tab w:val="left" w:pos="0"/>
                <w:tab w:val="left" w:pos="993"/>
              </w:tabs>
              <w:suppressAutoHyphens/>
              <w:jc w:val="both"/>
              <w:rPr>
                <w:sz w:val="22"/>
                <w:szCs w:val="22"/>
                <w:shd w:val="clear" w:color="auto" w:fill="FFFFFF"/>
              </w:rPr>
            </w:pPr>
          </w:p>
          <w:p w14:paraId="0AF3033D" w14:textId="77777777" w:rsidR="002979D3" w:rsidRPr="00BE25AC" w:rsidRDefault="002979D3" w:rsidP="002979D3">
            <w:pPr>
              <w:jc w:val="both"/>
              <w:rPr>
                <w:sz w:val="22"/>
                <w:szCs w:val="22"/>
              </w:rPr>
            </w:pPr>
          </w:p>
          <w:p w14:paraId="7C5FAA64" w14:textId="77777777" w:rsidR="002979D3" w:rsidRPr="00BE25AC" w:rsidRDefault="002979D3" w:rsidP="002979D3">
            <w:pPr>
              <w:jc w:val="both"/>
              <w:rPr>
                <w:b/>
                <w:sz w:val="22"/>
                <w:szCs w:val="22"/>
              </w:rPr>
            </w:pPr>
            <w:r w:rsidRPr="00BE25AC">
              <w:rPr>
                <w:b/>
                <w:sz w:val="22"/>
                <w:szCs w:val="22"/>
              </w:rPr>
              <w:t>Izglītības un zinātnes ministrija</w:t>
            </w:r>
          </w:p>
          <w:p w14:paraId="7D18AC05" w14:textId="77777777" w:rsidR="002979D3" w:rsidRPr="00BE25AC" w:rsidRDefault="002979D3" w:rsidP="002979D3">
            <w:pPr>
              <w:jc w:val="both"/>
              <w:rPr>
                <w:b/>
                <w:sz w:val="22"/>
                <w:szCs w:val="22"/>
              </w:rPr>
            </w:pPr>
          </w:p>
          <w:p w14:paraId="368C3906" w14:textId="77777777" w:rsidR="002979D3" w:rsidRPr="00BE25AC" w:rsidRDefault="002979D3" w:rsidP="002979D3">
            <w:pPr>
              <w:jc w:val="both"/>
              <w:rPr>
                <w:sz w:val="22"/>
                <w:szCs w:val="22"/>
              </w:rPr>
            </w:pPr>
            <w:r w:rsidRPr="00BE25AC">
              <w:rPr>
                <w:sz w:val="22"/>
                <w:szCs w:val="22"/>
              </w:rPr>
              <w:t>Ņemot vērā Izglītības un zinātnes nozares padotībā un pārraudzībā esošo iestāžu skaitu, Ministrija lūdz pārskatīt Projekta 39.2. punktā noteikto termiņu 15.janvāri uz 21.janvārim:</w:t>
            </w:r>
          </w:p>
          <w:p w14:paraId="3C7462BD" w14:textId="77777777" w:rsidR="002979D3" w:rsidRPr="00BE25AC" w:rsidRDefault="002979D3" w:rsidP="002979D3">
            <w:pPr>
              <w:jc w:val="both"/>
              <w:rPr>
                <w:sz w:val="22"/>
                <w:szCs w:val="22"/>
              </w:rPr>
            </w:pPr>
            <w:r w:rsidRPr="00BE25AC">
              <w:rPr>
                <w:sz w:val="22"/>
                <w:szCs w:val="22"/>
              </w:rPr>
              <w:t>1.1. aizstāt 39.2. punktā skaitli “15” ar skaitli “21”;</w:t>
            </w:r>
          </w:p>
          <w:p w14:paraId="27CFFB4D" w14:textId="77777777" w:rsidR="002979D3" w:rsidRPr="00BE25AC" w:rsidRDefault="002979D3" w:rsidP="002979D3">
            <w:pPr>
              <w:jc w:val="both"/>
              <w:rPr>
                <w:sz w:val="22"/>
                <w:szCs w:val="22"/>
              </w:rPr>
            </w:pPr>
          </w:p>
        </w:tc>
        <w:tc>
          <w:tcPr>
            <w:tcW w:w="4720" w:type="dxa"/>
          </w:tcPr>
          <w:p w14:paraId="70E87F07" w14:textId="77777777" w:rsidR="002979D3" w:rsidRPr="00BE25AC" w:rsidRDefault="002979D3" w:rsidP="002979D3">
            <w:pPr>
              <w:jc w:val="both"/>
              <w:rPr>
                <w:b/>
                <w:sz w:val="22"/>
                <w:szCs w:val="22"/>
              </w:rPr>
            </w:pPr>
            <w:r w:rsidRPr="00BE25AC">
              <w:rPr>
                <w:b/>
                <w:sz w:val="22"/>
                <w:szCs w:val="22"/>
              </w:rPr>
              <w:lastRenderedPageBreak/>
              <w:t>Ņemts vērā</w:t>
            </w:r>
          </w:p>
          <w:p w14:paraId="225E2961" w14:textId="77777777" w:rsidR="002979D3" w:rsidRPr="00BE25AC" w:rsidRDefault="002979D3" w:rsidP="002979D3">
            <w:pPr>
              <w:jc w:val="both"/>
              <w:rPr>
                <w:b/>
                <w:sz w:val="22"/>
                <w:szCs w:val="22"/>
              </w:rPr>
            </w:pPr>
          </w:p>
          <w:p w14:paraId="11662F34" w14:textId="77777777" w:rsidR="002979D3" w:rsidRPr="00BE25AC" w:rsidRDefault="002979D3" w:rsidP="002979D3">
            <w:pPr>
              <w:jc w:val="both"/>
              <w:rPr>
                <w:b/>
                <w:sz w:val="22"/>
                <w:szCs w:val="22"/>
              </w:rPr>
            </w:pPr>
          </w:p>
          <w:p w14:paraId="182DA3E0" w14:textId="77777777" w:rsidR="002979D3" w:rsidRPr="00BE25AC" w:rsidRDefault="002979D3" w:rsidP="002979D3">
            <w:pPr>
              <w:jc w:val="both"/>
              <w:rPr>
                <w:b/>
                <w:sz w:val="22"/>
                <w:szCs w:val="22"/>
              </w:rPr>
            </w:pPr>
          </w:p>
          <w:p w14:paraId="29F494E1" w14:textId="77777777" w:rsidR="002979D3" w:rsidRPr="00BE25AC" w:rsidRDefault="002979D3" w:rsidP="002979D3">
            <w:pPr>
              <w:jc w:val="both"/>
              <w:rPr>
                <w:b/>
                <w:sz w:val="22"/>
                <w:szCs w:val="22"/>
              </w:rPr>
            </w:pPr>
          </w:p>
          <w:p w14:paraId="270040AD" w14:textId="77777777" w:rsidR="002979D3" w:rsidRPr="00BE25AC" w:rsidRDefault="002979D3" w:rsidP="002979D3">
            <w:pPr>
              <w:jc w:val="both"/>
              <w:rPr>
                <w:b/>
                <w:sz w:val="22"/>
                <w:szCs w:val="22"/>
              </w:rPr>
            </w:pPr>
          </w:p>
          <w:p w14:paraId="4FBDE485" w14:textId="77777777" w:rsidR="002979D3" w:rsidRPr="00BE25AC" w:rsidRDefault="002979D3" w:rsidP="002979D3">
            <w:pPr>
              <w:jc w:val="both"/>
              <w:rPr>
                <w:b/>
                <w:sz w:val="22"/>
                <w:szCs w:val="22"/>
              </w:rPr>
            </w:pPr>
          </w:p>
          <w:p w14:paraId="42F49A95" w14:textId="77777777" w:rsidR="002979D3" w:rsidRPr="00BE25AC" w:rsidRDefault="002979D3" w:rsidP="002979D3">
            <w:pPr>
              <w:jc w:val="both"/>
              <w:rPr>
                <w:b/>
                <w:sz w:val="22"/>
                <w:szCs w:val="22"/>
              </w:rPr>
            </w:pPr>
          </w:p>
          <w:p w14:paraId="3CDB1EEB" w14:textId="77777777" w:rsidR="002979D3" w:rsidRPr="00BE25AC" w:rsidRDefault="002979D3" w:rsidP="002979D3">
            <w:pPr>
              <w:jc w:val="both"/>
              <w:rPr>
                <w:b/>
                <w:sz w:val="22"/>
                <w:szCs w:val="22"/>
              </w:rPr>
            </w:pPr>
          </w:p>
          <w:p w14:paraId="3D3E0094" w14:textId="77777777" w:rsidR="002979D3" w:rsidRPr="00BE25AC" w:rsidRDefault="002979D3" w:rsidP="002979D3">
            <w:pPr>
              <w:jc w:val="both"/>
              <w:rPr>
                <w:b/>
                <w:sz w:val="22"/>
                <w:szCs w:val="22"/>
              </w:rPr>
            </w:pPr>
          </w:p>
          <w:p w14:paraId="0EA8F420" w14:textId="77777777" w:rsidR="002979D3" w:rsidRPr="00BE25AC" w:rsidRDefault="002979D3" w:rsidP="002979D3">
            <w:pPr>
              <w:jc w:val="both"/>
              <w:rPr>
                <w:b/>
                <w:sz w:val="22"/>
                <w:szCs w:val="22"/>
              </w:rPr>
            </w:pPr>
          </w:p>
          <w:p w14:paraId="02AA389C" w14:textId="77777777" w:rsidR="002979D3" w:rsidRPr="00BE25AC" w:rsidRDefault="002979D3" w:rsidP="002979D3">
            <w:pPr>
              <w:jc w:val="both"/>
              <w:rPr>
                <w:b/>
                <w:sz w:val="22"/>
                <w:szCs w:val="22"/>
              </w:rPr>
            </w:pPr>
          </w:p>
          <w:p w14:paraId="5275E69B" w14:textId="77777777" w:rsidR="00C914C8" w:rsidRPr="00BE25AC" w:rsidRDefault="00C914C8" w:rsidP="002979D3">
            <w:pPr>
              <w:jc w:val="both"/>
              <w:rPr>
                <w:b/>
                <w:sz w:val="22"/>
                <w:szCs w:val="22"/>
              </w:rPr>
            </w:pPr>
          </w:p>
          <w:p w14:paraId="1ACE602F" w14:textId="79B1659C" w:rsidR="00E51A9A" w:rsidRPr="00BE25AC" w:rsidRDefault="00E51A9A" w:rsidP="00E51A9A">
            <w:pPr>
              <w:jc w:val="both"/>
              <w:rPr>
                <w:b/>
                <w:sz w:val="22"/>
                <w:szCs w:val="22"/>
              </w:rPr>
            </w:pPr>
            <w:r w:rsidRPr="00BE25AC">
              <w:rPr>
                <w:b/>
                <w:sz w:val="22"/>
                <w:szCs w:val="22"/>
              </w:rPr>
              <w:t>Ņemts vērā</w:t>
            </w:r>
          </w:p>
          <w:p w14:paraId="5EC29558" w14:textId="77777777" w:rsidR="00C914C8" w:rsidRPr="00BE25AC" w:rsidRDefault="00C914C8" w:rsidP="00E51A9A">
            <w:pPr>
              <w:jc w:val="both"/>
              <w:rPr>
                <w:b/>
                <w:sz w:val="22"/>
                <w:szCs w:val="22"/>
              </w:rPr>
            </w:pPr>
          </w:p>
          <w:p w14:paraId="5FBE8478" w14:textId="2864B20B" w:rsidR="00183DF0" w:rsidRPr="00BE25AC" w:rsidRDefault="00D4501A" w:rsidP="00183DF0">
            <w:pPr>
              <w:jc w:val="both"/>
              <w:rPr>
                <w:sz w:val="22"/>
                <w:szCs w:val="22"/>
              </w:rPr>
            </w:pPr>
            <w:r w:rsidRPr="00BE25AC">
              <w:rPr>
                <w:sz w:val="22"/>
                <w:szCs w:val="22"/>
              </w:rPr>
              <w:t xml:space="preserve">Noteikumu projektā </w:t>
            </w:r>
            <w:r w:rsidR="00E51A9A" w:rsidRPr="00BE25AC">
              <w:rPr>
                <w:sz w:val="22"/>
                <w:szCs w:val="22"/>
              </w:rPr>
              <w:t xml:space="preserve">pagarināts </w:t>
            </w:r>
            <w:r w:rsidR="00183DF0" w:rsidRPr="00BE25AC">
              <w:rPr>
                <w:sz w:val="22"/>
                <w:szCs w:val="22"/>
              </w:rPr>
              <w:t>2020.</w:t>
            </w:r>
            <w:r w:rsidR="009C22E3" w:rsidRPr="00BE25AC">
              <w:rPr>
                <w:sz w:val="22"/>
                <w:szCs w:val="22"/>
              </w:rPr>
              <w:t> </w:t>
            </w:r>
            <w:r w:rsidR="00183DF0" w:rsidRPr="00BE25AC">
              <w:rPr>
                <w:sz w:val="22"/>
                <w:szCs w:val="22"/>
              </w:rPr>
              <w:t xml:space="preserve">gada </w:t>
            </w:r>
            <w:r w:rsidR="00E51A9A" w:rsidRPr="00BE25AC">
              <w:rPr>
                <w:sz w:val="22"/>
                <w:szCs w:val="22"/>
              </w:rPr>
              <w:t>kopsavilkuma pārskata korekciju iesnieg</w:t>
            </w:r>
            <w:r w:rsidRPr="00BE25AC">
              <w:rPr>
                <w:sz w:val="22"/>
                <w:szCs w:val="22"/>
              </w:rPr>
              <w:t>šanas termiņš</w:t>
            </w:r>
            <w:r w:rsidR="00183DF0" w:rsidRPr="00BE25AC">
              <w:rPr>
                <w:sz w:val="22"/>
                <w:szCs w:val="22"/>
              </w:rPr>
              <w:t xml:space="preserve"> </w:t>
            </w:r>
            <w:r w:rsidR="009C22E3" w:rsidRPr="00BE25AC">
              <w:rPr>
                <w:sz w:val="22"/>
                <w:szCs w:val="22"/>
              </w:rPr>
              <w:t xml:space="preserve">no 15. janvāra uz 21. janvāri </w:t>
            </w:r>
            <w:r w:rsidR="00E51A9A" w:rsidRPr="00BE25AC">
              <w:rPr>
                <w:sz w:val="22"/>
                <w:szCs w:val="22"/>
              </w:rPr>
              <w:t xml:space="preserve">– skat. </w:t>
            </w:r>
            <w:r w:rsidR="00845D90" w:rsidRPr="00BE25AC">
              <w:rPr>
                <w:sz w:val="22"/>
                <w:szCs w:val="22"/>
              </w:rPr>
              <w:t>precizēto</w:t>
            </w:r>
            <w:r w:rsidR="00E51A9A" w:rsidRPr="00BE25AC">
              <w:rPr>
                <w:sz w:val="22"/>
                <w:szCs w:val="22"/>
              </w:rPr>
              <w:t xml:space="preserve"> noteikumu projekta 1.9.</w:t>
            </w:r>
            <w:r w:rsidR="009C22E3" w:rsidRPr="00BE25AC">
              <w:rPr>
                <w:sz w:val="22"/>
                <w:szCs w:val="22"/>
              </w:rPr>
              <w:t> </w:t>
            </w:r>
            <w:r w:rsidR="00E51A9A" w:rsidRPr="00BE25AC">
              <w:rPr>
                <w:sz w:val="22"/>
                <w:szCs w:val="22"/>
              </w:rPr>
              <w:t>apak</w:t>
            </w:r>
            <w:r w:rsidR="00183DF0" w:rsidRPr="00BE25AC">
              <w:rPr>
                <w:sz w:val="22"/>
                <w:szCs w:val="22"/>
              </w:rPr>
              <w:t>špunktu. T</w:t>
            </w:r>
            <w:r w:rsidRPr="00BE25AC">
              <w:rPr>
                <w:sz w:val="22"/>
                <w:szCs w:val="22"/>
              </w:rPr>
              <w:t xml:space="preserve">ādā veidā </w:t>
            </w:r>
            <w:r w:rsidR="00183DF0" w:rsidRPr="00BE25AC">
              <w:rPr>
                <w:sz w:val="22"/>
                <w:szCs w:val="22"/>
              </w:rPr>
              <w:t xml:space="preserve">tiek nodrošinātas </w:t>
            </w:r>
            <w:r w:rsidRPr="00BE25AC">
              <w:rPr>
                <w:sz w:val="22"/>
                <w:szCs w:val="22"/>
              </w:rPr>
              <w:t>10 kalendārās dien</w:t>
            </w:r>
            <w:r w:rsidR="00C914C8" w:rsidRPr="00BE25AC">
              <w:rPr>
                <w:sz w:val="22"/>
                <w:szCs w:val="22"/>
              </w:rPr>
              <w:t>as korekciju ievadei un pārskata</w:t>
            </w:r>
            <w:r w:rsidRPr="00BE25AC">
              <w:rPr>
                <w:sz w:val="22"/>
                <w:szCs w:val="22"/>
              </w:rPr>
              <w:t xml:space="preserve"> iesnieg</w:t>
            </w:r>
            <w:r w:rsidR="00183DF0" w:rsidRPr="00BE25AC">
              <w:rPr>
                <w:sz w:val="22"/>
                <w:szCs w:val="22"/>
              </w:rPr>
              <w:t>šanai</w:t>
            </w:r>
            <w:r w:rsidR="00E51A9A" w:rsidRPr="00BE25AC">
              <w:rPr>
                <w:sz w:val="22"/>
                <w:szCs w:val="22"/>
              </w:rPr>
              <w:t xml:space="preserve">. </w:t>
            </w:r>
          </w:p>
          <w:p w14:paraId="574A6900" w14:textId="52DF90AE" w:rsidR="002979D3" w:rsidRPr="00BE25AC" w:rsidRDefault="00E51A9A" w:rsidP="00E85CCB">
            <w:pPr>
              <w:jc w:val="both"/>
              <w:rPr>
                <w:b/>
                <w:sz w:val="22"/>
                <w:szCs w:val="22"/>
              </w:rPr>
            </w:pPr>
            <w:r w:rsidRPr="00BE25AC">
              <w:rPr>
                <w:sz w:val="22"/>
                <w:szCs w:val="22"/>
              </w:rPr>
              <w:t xml:space="preserve">Ņemot vērā, ka turpmākos gados tiks nodrošināts konta izrakstu un tā datu nemainīgums un kopsavilkuma pārskats būs pieejams korekciju ievadei līdz kārtējā saimnieciskā gada 5. janvārim, </w:t>
            </w:r>
            <w:r w:rsidR="00D4501A" w:rsidRPr="00BE25AC">
              <w:rPr>
                <w:sz w:val="22"/>
                <w:szCs w:val="22"/>
              </w:rPr>
              <w:t xml:space="preserve">nosakot termiņu 15.janvāris </w:t>
            </w:r>
            <w:r w:rsidRPr="00BE25AC">
              <w:rPr>
                <w:sz w:val="22"/>
                <w:szCs w:val="22"/>
              </w:rPr>
              <w:t xml:space="preserve">tiek nodrošināts samērīgs laiks korekciju ievadei (10 kalendārās dienas). </w:t>
            </w:r>
            <w:r w:rsidR="00E85CCB" w:rsidRPr="00BE25AC">
              <w:rPr>
                <w:sz w:val="22"/>
                <w:szCs w:val="22"/>
              </w:rPr>
              <w:t xml:space="preserve">Šāds termiņš ir nepieciešams, lai Valsts kase līdz kārtējā gada 20. janvārim sagatavotu decembra pārskatu “Konsolidētā kopbudžeta izpilde (ieskaitot ziedojumus un dāvinājumus, no valsts budžeta daļēji finansētu atvasinātu publisku personu un budžeta nefinansētu iestāžu budžeta izpildi) (saimnieciskais gads, pārskata periods)" jau ar visām budžeta izpildes  korekcijām. Decembra pārskatu izmanto arī Latvijas Banka un Centrālā Statistikas pārvalde, sagatavojot gada datus par budžeta izpildi Eiropas Savienības institūcijām Ekonomikas un finanšu padomei (ECOFIN) un </w:t>
            </w:r>
            <w:r w:rsidR="00E85CCB" w:rsidRPr="00BE25AC">
              <w:rPr>
                <w:sz w:val="22"/>
                <w:szCs w:val="22"/>
              </w:rPr>
              <w:lastRenderedPageBreak/>
              <w:t>Statistikas pārvaldei  (EUROSTAT), tāpēc datu kvalitāte  ir ļoti svarīga. Izmantojot decembra atskaiti par valsts budžeta izpildi, tiek gatavoti arī pārskati Starptautiskajam Valūtas fondam Starptautiskā datu izplatīšanas standarta Plus ietvaros, kuru publikācijas termiņš ir kārtējā gada 21. janvāris.</w:t>
            </w:r>
          </w:p>
        </w:tc>
        <w:tc>
          <w:tcPr>
            <w:tcW w:w="2189" w:type="dxa"/>
          </w:tcPr>
          <w:p w14:paraId="5CAB04E9" w14:textId="5DBA9950" w:rsidR="002979D3" w:rsidRPr="00BE25AC" w:rsidRDefault="006716C1" w:rsidP="002979D3">
            <w:pPr>
              <w:jc w:val="both"/>
              <w:rPr>
                <w:sz w:val="22"/>
                <w:szCs w:val="22"/>
              </w:rPr>
            </w:pPr>
            <w:r>
              <w:rPr>
                <w:sz w:val="22"/>
                <w:szCs w:val="22"/>
              </w:rPr>
              <w:lastRenderedPageBreak/>
              <w:t>1.4</w:t>
            </w:r>
            <w:r w:rsidR="002979D3" w:rsidRPr="00BE25AC">
              <w:rPr>
                <w:sz w:val="22"/>
                <w:szCs w:val="22"/>
              </w:rPr>
              <w:t>. izteikt 39.punktu šādā redakcijā:</w:t>
            </w:r>
          </w:p>
          <w:p w14:paraId="27E83C4F" w14:textId="29EB7D7E" w:rsidR="002979D3" w:rsidRPr="00BE25AC" w:rsidRDefault="002979D3" w:rsidP="002979D3">
            <w:pPr>
              <w:shd w:val="clear" w:color="auto" w:fill="FFFFFF"/>
              <w:jc w:val="both"/>
              <w:rPr>
                <w:sz w:val="22"/>
                <w:szCs w:val="22"/>
                <w:lang w:eastAsia="lv-LV"/>
              </w:rPr>
            </w:pPr>
            <w:r w:rsidRPr="00BE25AC">
              <w:rPr>
                <w:sz w:val="22"/>
                <w:szCs w:val="22"/>
              </w:rPr>
              <w:t>“</w:t>
            </w:r>
            <w:r w:rsidRPr="00BE25AC">
              <w:rPr>
                <w:sz w:val="22"/>
                <w:szCs w:val="22"/>
                <w:lang w:eastAsia="lv-LV"/>
              </w:rPr>
              <w:t xml:space="preserve">39. Kopsavilkuma pārskatu par budžeta </w:t>
            </w:r>
            <w:r w:rsidRPr="00BE25AC">
              <w:rPr>
                <w:sz w:val="22"/>
                <w:szCs w:val="22"/>
                <w:lang w:eastAsia="lv-LV"/>
              </w:rPr>
              <w:lastRenderedPageBreak/>
              <w:t xml:space="preserve">izpildi iepriekšējā saimnieciskajā gadā (turpmāk – </w:t>
            </w:r>
            <w:r w:rsidRPr="00BE25AC">
              <w:rPr>
                <w:b/>
                <w:sz w:val="22"/>
                <w:szCs w:val="22"/>
                <w:lang w:eastAsia="lv-LV"/>
              </w:rPr>
              <w:t>kopsavilkuma pārskats</w:t>
            </w:r>
            <w:r w:rsidRPr="00BE25AC">
              <w:rPr>
                <w:sz w:val="22"/>
                <w:szCs w:val="22"/>
                <w:lang w:eastAsia="lv-LV"/>
              </w:rPr>
              <w:t>) nodrošina šādā kārtībā:</w:t>
            </w:r>
          </w:p>
          <w:p w14:paraId="135E5820" w14:textId="15384FEC" w:rsidR="002979D3" w:rsidRPr="00BE25AC" w:rsidRDefault="002979D3" w:rsidP="002979D3">
            <w:pPr>
              <w:shd w:val="clear" w:color="auto" w:fill="FFFFFF"/>
              <w:jc w:val="both"/>
              <w:rPr>
                <w:sz w:val="22"/>
                <w:szCs w:val="22"/>
                <w:lang w:eastAsia="lv-LV"/>
              </w:rPr>
            </w:pPr>
            <w:r w:rsidRPr="00BE25AC">
              <w:rPr>
                <w:sz w:val="22"/>
                <w:szCs w:val="22"/>
                <w:lang w:eastAsia="lv-LV"/>
              </w:rPr>
              <w:t xml:space="preserve">39.1. Valsts kase līdz kārtējā saimnieciskā gada 5. janvārim nodrošina </w:t>
            </w:r>
            <w:r w:rsidRPr="00BE25AC">
              <w:rPr>
                <w:b/>
                <w:sz w:val="22"/>
                <w:szCs w:val="22"/>
                <w:lang w:eastAsia="lv-LV"/>
              </w:rPr>
              <w:t>kopsavilkuma pārskatu</w:t>
            </w:r>
            <w:r w:rsidRPr="00BE25AC">
              <w:rPr>
                <w:sz w:val="22"/>
                <w:szCs w:val="22"/>
                <w:lang w:eastAsia="lv-LV"/>
              </w:rPr>
              <w:t xml:space="preserve"> </w:t>
            </w:r>
            <w:proofErr w:type="spellStart"/>
            <w:r w:rsidRPr="00BE25AC">
              <w:rPr>
                <w:sz w:val="22"/>
                <w:szCs w:val="22"/>
                <w:lang w:eastAsia="lv-LV"/>
              </w:rPr>
              <w:t>ePārskatos</w:t>
            </w:r>
            <w:proofErr w:type="spellEnd"/>
            <w:r w:rsidRPr="00BE25AC">
              <w:rPr>
                <w:sz w:val="22"/>
                <w:szCs w:val="22"/>
                <w:lang w:eastAsia="lv-LV"/>
              </w:rPr>
              <w:t>;</w:t>
            </w:r>
          </w:p>
          <w:p w14:paraId="25678AA9" w14:textId="6374ECB1" w:rsidR="002979D3" w:rsidRPr="00BE25AC" w:rsidRDefault="002979D3" w:rsidP="002979D3">
            <w:pPr>
              <w:shd w:val="clear" w:color="auto" w:fill="FFFFFF"/>
              <w:jc w:val="both"/>
              <w:rPr>
                <w:sz w:val="22"/>
                <w:szCs w:val="22"/>
              </w:rPr>
            </w:pPr>
            <w:r w:rsidRPr="00BE25AC">
              <w:rPr>
                <w:sz w:val="22"/>
                <w:szCs w:val="22"/>
                <w:lang w:eastAsia="lv-LV"/>
              </w:rPr>
              <w:t xml:space="preserve">39.2. ministrija līdz kārtējā saimnieciskā gada 15. janvārim nodrošina budžeta izpildes korekciju ievadi un paraksta </w:t>
            </w:r>
            <w:r w:rsidRPr="00BE25AC">
              <w:rPr>
                <w:b/>
                <w:sz w:val="22"/>
                <w:szCs w:val="22"/>
                <w:lang w:eastAsia="lv-LV"/>
              </w:rPr>
              <w:t>kopsavilkuma pārskatu</w:t>
            </w:r>
            <w:r w:rsidRPr="00BE25AC">
              <w:rPr>
                <w:sz w:val="22"/>
                <w:szCs w:val="22"/>
                <w:lang w:eastAsia="lv-LV"/>
              </w:rPr>
              <w:t xml:space="preserve"> ar </w:t>
            </w:r>
            <w:proofErr w:type="spellStart"/>
            <w:r w:rsidRPr="00BE25AC">
              <w:rPr>
                <w:sz w:val="22"/>
                <w:szCs w:val="22"/>
                <w:lang w:eastAsia="lv-LV"/>
              </w:rPr>
              <w:t>ePārskatu</w:t>
            </w:r>
            <w:proofErr w:type="spellEnd"/>
            <w:r w:rsidRPr="00BE25AC">
              <w:rPr>
                <w:sz w:val="22"/>
                <w:szCs w:val="22"/>
                <w:lang w:eastAsia="lv-LV"/>
              </w:rPr>
              <w:t xml:space="preserve"> autentifikācijas rīkiem.</w:t>
            </w:r>
            <w:r w:rsidRPr="00BE25AC">
              <w:rPr>
                <w:sz w:val="22"/>
                <w:szCs w:val="22"/>
              </w:rPr>
              <w:t xml:space="preserve"> Budžeta izpildes korekcijas veic konta ietvaros ievērojot nosacījumu, ka tās nemaina slēgtās dotācijas apjomu un konta atlikumu uz iepriekšējā saimnieciskā gada beigām</w:t>
            </w:r>
            <w:r w:rsidRPr="00BE25AC">
              <w:rPr>
                <w:sz w:val="22"/>
                <w:szCs w:val="22"/>
                <w:lang w:eastAsia="lv-LV"/>
              </w:rPr>
              <w:t>.</w:t>
            </w:r>
            <w:r w:rsidRPr="00BE25AC">
              <w:rPr>
                <w:sz w:val="22"/>
                <w:szCs w:val="22"/>
              </w:rPr>
              <w:t>”;</w:t>
            </w:r>
          </w:p>
          <w:p w14:paraId="17A92D14" w14:textId="4E1A0D9E" w:rsidR="00D4501A" w:rsidRPr="00BE25AC" w:rsidRDefault="00D4501A" w:rsidP="002979D3">
            <w:pPr>
              <w:shd w:val="clear" w:color="auto" w:fill="FFFFFF"/>
              <w:jc w:val="both"/>
              <w:rPr>
                <w:sz w:val="22"/>
                <w:szCs w:val="22"/>
              </w:rPr>
            </w:pPr>
          </w:p>
          <w:p w14:paraId="5084909E" w14:textId="131F7BBD" w:rsidR="00D4501A" w:rsidRPr="00BE25AC" w:rsidRDefault="006716C1" w:rsidP="00D4501A">
            <w:pPr>
              <w:pStyle w:val="ListParagraph"/>
              <w:shd w:val="clear" w:color="auto" w:fill="FFFFFF"/>
              <w:spacing w:line="293" w:lineRule="atLeast"/>
              <w:ind w:left="0"/>
              <w:jc w:val="both"/>
              <w:rPr>
                <w:sz w:val="22"/>
                <w:szCs w:val="22"/>
                <w:lang w:val="lv-LV"/>
              </w:rPr>
            </w:pPr>
            <w:r>
              <w:rPr>
                <w:sz w:val="22"/>
                <w:szCs w:val="22"/>
                <w:lang w:val="lv-LV"/>
              </w:rPr>
              <w:t>1.10</w:t>
            </w:r>
            <w:r w:rsidR="00D4501A" w:rsidRPr="00BE25AC">
              <w:rPr>
                <w:sz w:val="22"/>
                <w:szCs w:val="22"/>
                <w:lang w:val="lv-LV"/>
              </w:rPr>
              <w:t xml:space="preserve">. papildināt noteikumus ar </w:t>
            </w:r>
            <w:r w:rsidR="00D4501A" w:rsidRPr="00BE25AC">
              <w:rPr>
                <w:sz w:val="22"/>
                <w:szCs w:val="22"/>
                <w:lang w:val="lv-LV" w:eastAsia="lv-LV"/>
              </w:rPr>
              <w:t>62.</w:t>
            </w:r>
            <w:r w:rsidR="00D4501A" w:rsidRPr="00BE25AC">
              <w:rPr>
                <w:sz w:val="22"/>
                <w:szCs w:val="22"/>
                <w:vertAlign w:val="superscript"/>
                <w:lang w:val="lv-LV" w:eastAsia="lv-LV"/>
              </w:rPr>
              <w:t>3</w:t>
            </w:r>
            <w:r w:rsidR="00D4501A" w:rsidRPr="00BE25AC">
              <w:rPr>
                <w:sz w:val="22"/>
                <w:szCs w:val="22"/>
                <w:lang w:val="lv-LV"/>
              </w:rPr>
              <w:t xml:space="preserve">, </w:t>
            </w:r>
            <w:r w:rsidR="00D4501A" w:rsidRPr="00BE25AC">
              <w:rPr>
                <w:sz w:val="22"/>
                <w:szCs w:val="22"/>
                <w:lang w:val="lv-LV" w:eastAsia="lv-LV"/>
              </w:rPr>
              <w:lastRenderedPageBreak/>
              <w:t>62.</w:t>
            </w:r>
            <w:r w:rsidR="00D4501A" w:rsidRPr="00BE25AC">
              <w:rPr>
                <w:sz w:val="22"/>
                <w:szCs w:val="22"/>
                <w:vertAlign w:val="superscript"/>
                <w:lang w:val="lv-LV" w:eastAsia="lv-LV"/>
              </w:rPr>
              <w:t>4</w:t>
            </w:r>
            <w:r w:rsidR="00D4501A" w:rsidRPr="00BE25AC">
              <w:rPr>
                <w:sz w:val="22"/>
                <w:szCs w:val="22"/>
                <w:lang w:val="lv-LV" w:eastAsia="lv-LV"/>
              </w:rPr>
              <w:t xml:space="preserve"> </w:t>
            </w:r>
            <w:r w:rsidR="00D4501A" w:rsidRPr="00BE25AC">
              <w:rPr>
                <w:sz w:val="22"/>
                <w:szCs w:val="22"/>
                <w:lang w:val="lv-LV"/>
              </w:rPr>
              <w:t xml:space="preserve">un </w:t>
            </w:r>
            <w:r w:rsidR="00D4501A" w:rsidRPr="00BE25AC">
              <w:rPr>
                <w:sz w:val="22"/>
                <w:szCs w:val="22"/>
                <w:lang w:val="lv-LV" w:eastAsia="lv-LV"/>
              </w:rPr>
              <w:t>62.</w:t>
            </w:r>
            <w:r w:rsidR="00D4501A" w:rsidRPr="00BE25AC">
              <w:rPr>
                <w:sz w:val="22"/>
                <w:szCs w:val="22"/>
                <w:vertAlign w:val="superscript"/>
                <w:lang w:val="lv-LV" w:eastAsia="lv-LV"/>
              </w:rPr>
              <w:t xml:space="preserve">5 </w:t>
            </w:r>
            <w:r w:rsidR="00D4501A" w:rsidRPr="00BE25AC">
              <w:rPr>
                <w:sz w:val="22"/>
                <w:szCs w:val="22"/>
                <w:lang w:val="lv-LV"/>
              </w:rPr>
              <w:t>punktu šādā redakcijā:</w:t>
            </w:r>
          </w:p>
          <w:p w14:paraId="14F00684" w14:textId="0C469152" w:rsidR="00D4501A" w:rsidRPr="00BE25AC" w:rsidRDefault="00D4501A" w:rsidP="002979D3">
            <w:pPr>
              <w:shd w:val="clear" w:color="auto" w:fill="FFFFFF"/>
              <w:jc w:val="both"/>
              <w:rPr>
                <w:sz w:val="22"/>
                <w:szCs w:val="22"/>
              </w:rPr>
            </w:pPr>
            <w:r w:rsidRPr="00BE25AC">
              <w:rPr>
                <w:sz w:val="22"/>
                <w:szCs w:val="22"/>
                <w:lang w:eastAsia="lv-LV"/>
              </w:rPr>
              <w:t>“62.</w:t>
            </w:r>
            <w:r w:rsidRPr="00BE25AC">
              <w:rPr>
                <w:sz w:val="22"/>
                <w:szCs w:val="22"/>
                <w:vertAlign w:val="superscript"/>
                <w:lang w:eastAsia="lv-LV"/>
              </w:rPr>
              <w:t>3</w:t>
            </w:r>
            <w:r w:rsidRPr="00BE25AC">
              <w:rPr>
                <w:sz w:val="22"/>
                <w:szCs w:val="22"/>
                <w:lang w:eastAsia="lv-LV"/>
              </w:rPr>
              <w:t xml:space="preserve"> Šo noteikumu </w:t>
            </w:r>
            <w:r w:rsidRPr="00BE25AC">
              <w:rPr>
                <w:b/>
                <w:sz w:val="22"/>
                <w:szCs w:val="22"/>
                <w:lang w:eastAsia="lv-LV"/>
              </w:rPr>
              <w:t>39.punktā noteiktie</w:t>
            </w:r>
            <w:r w:rsidRPr="00BE25AC">
              <w:rPr>
                <w:sz w:val="22"/>
                <w:szCs w:val="22"/>
                <w:lang w:eastAsia="lv-LV"/>
              </w:rPr>
              <w:t xml:space="preserve"> </w:t>
            </w:r>
            <w:r w:rsidRPr="00BE25AC">
              <w:rPr>
                <w:b/>
                <w:sz w:val="22"/>
                <w:szCs w:val="22"/>
                <w:lang w:eastAsia="lv-LV"/>
              </w:rPr>
              <w:t>termiņi</w:t>
            </w:r>
            <w:r w:rsidRPr="00BE25AC">
              <w:rPr>
                <w:sz w:val="22"/>
                <w:szCs w:val="22"/>
                <w:lang w:eastAsia="lv-LV"/>
              </w:rPr>
              <w:t xml:space="preserve"> 2021. gadā ir 11. janvāris</w:t>
            </w:r>
            <w:r w:rsidRPr="00BE25AC">
              <w:rPr>
                <w:b/>
                <w:sz w:val="22"/>
                <w:szCs w:val="22"/>
                <w:lang w:eastAsia="lv-LV"/>
              </w:rPr>
              <w:t xml:space="preserve"> un 21. janvāris</w:t>
            </w:r>
            <w:r w:rsidR="005B270E" w:rsidRPr="00BE25AC">
              <w:rPr>
                <w:b/>
                <w:sz w:val="22"/>
                <w:szCs w:val="22"/>
                <w:lang w:eastAsia="lv-LV"/>
              </w:rPr>
              <w:t>.</w:t>
            </w:r>
          </w:p>
          <w:p w14:paraId="103F305E" w14:textId="77777777" w:rsidR="002979D3" w:rsidRPr="00BE25AC" w:rsidRDefault="002979D3" w:rsidP="002979D3">
            <w:pPr>
              <w:jc w:val="both"/>
              <w:rPr>
                <w:sz w:val="22"/>
                <w:szCs w:val="22"/>
              </w:rPr>
            </w:pPr>
          </w:p>
        </w:tc>
      </w:tr>
      <w:tr w:rsidR="00BE25AC" w:rsidRPr="00BE25AC" w14:paraId="70B5A15B" w14:textId="77777777" w:rsidTr="005D7AF7">
        <w:tc>
          <w:tcPr>
            <w:tcW w:w="676" w:type="dxa"/>
          </w:tcPr>
          <w:p w14:paraId="4A8A5DD7" w14:textId="30534067" w:rsidR="000615BE" w:rsidRPr="00BE25AC" w:rsidRDefault="001D63EC" w:rsidP="002979D3">
            <w:pPr>
              <w:jc w:val="both"/>
              <w:rPr>
                <w:sz w:val="22"/>
                <w:szCs w:val="22"/>
              </w:rPr>
            </w:pPr>
            <w:r w:rsidRPr="00BE25AC">
              <w:rPr>
                <w:sz w:val="22"/>
                <w:szCs w:val="22"/>
              </w:rPr>
              <w:lastRenderedPageBreak/>
              <w:t>3</w:t>
            </w:r>
          </w:p>
        </w:tc>
        <w:tc>
          <w:tcPr>
            <w:tcW w:w="2134" w:type="dxa"/>
          </w:tcPr>
          <w:p w14:paraId="2B7F666D" w14:textId="77777777" w:rsidR="00183DF0" w:rsidRPr="00BE25AC" w:rsidRDefault="00183DF0" w:rsidP="00183DF0">
            <w:pPr>
              <w:shd w:val="clear" w:color="auto" w:fill="FFFFFF"/>
              <w:jc w:val="both"/>
              <w:rPr>
                <w:sz w:val="22"/>
                <w:szCs w:val="22"/>
                <w:lang w:eastAsia="lv-LV"/>
              </w:rPr>
            </w:pPr>
            <w:r w:rsidRPr="00BE25AC">
              <w:rPr>
                <w:sz w:val="22"/>
                <w:szCs w:val="22"/>
                <w:lang w:eastAsia="lv-LV"/>
              </w:rPr>
              <w:t>1.4.</w:t>
            </w:r>
            <w:r w:rsidRPr="00BE25AC">
              <w:rPr>
                <w:sz w:val="22"/>
                <w:szCs w:val="22"/>
                <w:lang w:eastAsia="lv-LV"/>
              </w:rPr>
              <w:tab/>
              <w:t>izteikt 45. punktu šādā redakcijā:</w:t>
            </w:r>
          </w:p>
          <w:p w14:paraId="51891EA4" w14:textId="77777777" w:rsidR="00183DF0" w:rsidRPr="00BE25AC" w:rsidRDefault="00183DF0" w:rsidP="00183DF0">
            <w:pPr>
              <w:shd w:val="clear" w:color="auto" w:fill="FFFFFF"/>
              <w:jc w:val="both"/>
              <w:rPr>
                <w:sz w:val="22"/>
                <w:szCs w:val="22"/>
                <w:lang w:eastAsia="lv-LV"/>
              </w:rPr>
            </w:pPr>
          </w:p>
          <w:p w14:paraId="14695884" w14:textId="77777777" w:rsidR="00183DF0" w:rsidRPr="00BE25AC" w:rsidRDefault="00183DF0" w:rsidP="00183DF0">
            <w:pPr>
              <w:shd w:val="clear" w:color="auto" w:fill="FFFFFF"/>
              <w:jc w:val="both"/>
              <w:rPr>
                <w:sz w:val="22"/>
                <w:szCs w:val="22"/>
                <w:lang w:eastAsia="lv-LV"/>
              </w:rPr>
            </w:pPr>
            <w:r w:rsidRPr="00BE25AC">
              <w:rPr>
                <w:sz w:val="22"/>
                <w:szCs w:val="22"/>
                <w:lang w:eastAsia="lv-LV"/>
              </w:rPr>
              <w:t>“45. Ja budžeta izpildītājiem valsts pamatbudžeta programmas vai apakšprogrammas kontā iepriekšējā gada beigās saglabājies līdzekļu atlikums, Valsts kase līdz kārtējā saimnieciskā gada 1. janvārim aprēķina uz nākamo saimniecisko gadu pārceļamo programmas vai apakšprogrammas atlikumu saskaņā ar šo noteikumu 45.</w:t>
            </w:r>
            <w:r w:rsidRPr="00BE25AC">
              <w:rPr>
                <w:sz w:val="22"/>
                <w:szCs w:val="22"/>
                <w:vertAlign w:val="superscript"/>
                <w:lang w:eastAsia="lv-LV"/>
              </w:rPr>
              <w:t>2</w:t>
            </w:r>
            <w:r w:rsidRPr="00BE25AC">
              <w:rPr>
                <w:sz w:val="22"/>
                <w:szCs w:val="22"/>
                <w:lang w:eastAsia="lv-LV"/>
              </w:rPr>
              <w:t xml:space="preserve"> punktā noteikto (turpmāk - programmas atlikums) un ieskaita </w:t>
            </w:r>
            <w:r w:rsidRPr="00BE25AC">
              <w:rPr>
                <w:sz w:val="22"/>
                <w:szCs w:val="22"/>
                <w:lang w:eastAsia="lv-LV"/>
              </w:rPr>
              <w:lastRenderedPageBreak/>
              <w:t>to deponēto līdzekļu kontā Valsts kasē, kas atvērts budžeta izpildītājam attiecīgās programmas vai apakšprogrammas atlikumu uzskaitei līdz to ieplānošanai budžetā. Pēc programmas atlikuma ieplānošanas budžetā budžeta izpildītājs veic līdzekļu pārgrāmatošanu uz valsts pamatbudžeta izdevumu kontu, piemērojot atbilstošo finansēšanas klasifikācijas kodu. Ja budžeta izpildītājam nav atvērts deponēto līdzekļu konts attiecīgās programmas vai apakšprogrammas atlikuma uzskaitei, Valsts kase ieskaita programmas atlikumu kārtējam saimnieciskajam gadam atvērtajā valsts pamatbudžeta izdevumu kontā.”;</w:t>
            </w:r>
          </w:p>
          <w:p w14:paraId="287578C0" w14:textId="77777777" w:rsidR="00183DF0" w:rsidRPr="00BE25AC" w:rsidRDefault="00183DF0" w:rsidP="00183DF0">
            <w:pPr>
              <w:shd w:val="clear" w:color="auto" w:fill="FFFFFF"/>
              <w:jc w:val="both"/>
              <w:rPr>
                <w:sz w:val="22"/>
                <w:szCs w:val="22"/>
                <w:lang w:eastAsia="lv-LV"/>
              </w:rPr>
            </w:pPr>
          </w:p>
          <w:p w14:paraId="3DA62B73" w14:textId="77777777" w:rsidR="00183DF0" w:rsidRPr="00BE25AC" w:rsidRDefault="00183DF0" w:rsidP="00183DF0">
            <w:pPr>
              <w:shd w:val="clear" w:color="auto" w:fill="FFFFFF"/>
              <w:jc w:val="both"/>
              <w:rPr>
                <w:sz w:val="22"/>
                <w:szCs w:val="22"/>
                <w:lang w:eastAsia="lv-LV"/>
              </w:rPr>
            </w:pPr>
            <w:r w:rsidRPr="00BE25AC">
              <w:rPr>
                <w:sz w:val="22"/>
                <w:szCs w:val="22"/>
                <w:lang w:eastAsia="lv-LV"/>
              </w:rPr>
              <w:t>1.5.</w:t>
            </w:r>
            <w:r w:rsidRPr="00BE25AC">
              <w:rPr>
                <w:sz w:val="22"/>
                <w:szCs w:val="22"/>
                <w:lang w:eastAsia="lv-LV"/>
              </w:rPr>
              <w:tab/>
              <w:t>svītrot 45.</w:t>
            </w:r>
            <w:r w:rsidRPr="00BE25AC">
              <w:rPr>
                <w:sz w:val="22"/>
                <w:szCs w:val="22"/>
                <w:vertAlign w:val="superscript"/>
                <w:lang w:eastAsia="lv-LV"/>
              </w:rPr>
              <w:t>1</w:t>
            </w:r>
            <w:r w:rsidRPr="00BE25AC">
              <w:rPr>
                <w:sz w:val="22"/>
                <w:szCs w:val="22"/>
                <w:lang w:eastAsia="lv-LV"/>
              </w:rPr>
              <w:t xml:space="preserve"> punktu;</w:t>
            </w:r>
          </w:p>
          <w:p w14:paraId="2ADDC27B" w14:textId="77777777" w:rsidR="00183DF0" w:rsidRPr="00BE25AC" w:rsidRDefault="00183DF0" w:rsidP="00183DF0">
            <w:pPr>
              <w:shd w:val="clear" w:color="auto" w:fill="FFFFFF"/>
              <w:jc w:val="both"/>
              <w:rPr>
                <w:sz w:val="22"/>
                <w:szCs w:val="22"/>
                <w:lang w:eastAsia="lv-LV"/>
              </w:rPr>
            </w:pPr>
          </w:p>
          <w:p w14:paraId="187AAB26" w14:textId="77777777" w:rsidR="00183DF0" w:rsidRPr="00BE25AC" w:rsidRDefault="00183DF0" w:rsidP="00183DF0">
            <w:pPr>
              <w:shd w:val="clear" w:color="auto" w:fill="FFFFFF"/>
              <w:jc w:val="both"/>
              <w:rPr>
                <w:sz w:val="22"/>
                <w:szCs w:val="22"/>
                <w:lang w:eastAsia="lv-LV"/>
              </w:rPr>
            </w:pPr>
            <w:r w:rsidRPr="00BE25AC">
              <w:rPr>
                <w:sz w:val="22"/>
                <w:szCs w:val="22"/>
                <w:lang w:eastAsia="lv-LV"/>
              </w:rPr>
              <w:t>1.6.</w:t>
            </w:r>
            <w:r w:rsidRPr="00BE25AC">
              <w:rPr>
                <w:sz w:val="22"/>
                <w:szCs w:val="22"/>
                <w:lang w:eastAsia="lv-LV"/>
              </w:rPr>
              <w:tab/>
              <w:t>papildināt noteikumus ar 45.</w:t>
            </w:r>
            <w:r w:rsidRPr="00BE25AC">
              <w:rPr>
                <w:sz w:val="22"/>
                <w:szCs w:val="22"/>
                <w:vertAlign w:val="superscript"/>
                <w:lang w:eastAsia="lv-LV"/>
              </w:rPr>
              <w:t>2</w:t>
            </w:r>
            <w:r w:rsidRPr="00BE25AC">
              <w:rPr>
                <w:sz w:val="22"/>
                <w:szCs w:val="22"/>
                <w:lang w:eastAsia="lv-LV"/>
              </w:rPr>
              <w:t xml:space="preserve"> punktu šādā redakcijā:</w:t>
            </w:r>
          </w:p>
          <w:p w14:paraId="350488B4" w14:textId="77777777" w:rsidR="00183DF0" w:rsidRPr="00BE25AC" w:rsidRDefault="00183DF0" w:rsidP="00183DF0">
            <w:pPr>
              <w:shd w:val="clear" w:color="auto" w:fill="FFFFFF"/>
              <w:jc w:val="both"/>
              <w:rPr>
                <w:sz w:val="22"/>
                <w:szCs w:val="22"/>
                <w:lang w:eastAsia="lv-LV"/>
              </w:rPr>
            </w:pPr>
          </w:p>
          <w:p w14:paraId="09FD2834" w14:textId="77777777" w:rsidR="00183DF0" w:rsidRPr="00BE25AC" w:rsidRDefault="00183DF0" w:rsidP="00183DF0">
            <w:pPr>
              <w:shd w:val="clear" w:color="auto" w:fill="FFFFFF"/>
              <w:jc w:val="both"/>
              <w:rPr>
                <w:sz w:val="22"/>
                <w:szCs w:val="22"/>
                <w:lang w:eastAsia="lv-LV"/>
              </w:rPr>
            </w:pPr>
            <w:r w:rsidRPr="00BE25AC">
              <w:rPr>
                <w:sz w:val="22"/>
                <w:szCs w:val="22"/>
                <w:lang w:eastAsia="lv-LV"/>
              </w:rPr>
              <w:t>“45.</w:t>
            </w:r>
            <w:r w:rsidRPr="00BE25AC">
              <w:rPr>
                <w:sz w:val="22"/>
                <w:szCs w:val="22"/>
                <w:vertAlign w:val="superscript"/>
                <w:lang w:eastAsia="lv-LV"/>
              </w:rPr>
              <w:t>2</w:t>
            </w:r>
            <w:r w:rsidRPr="00BE25AC">
              <w:rPr>
                <w:sz w:val="22"/>
                <w:szCs w:val="22"/>
                <w:lang w:eastAsia="lv-LV"/>
              </w:rPr>
              <w:t xml:space="preserve"> Šo noteikumu 45. punktā minēto programmas atlikumu aprēķina:</w:t>
            </w:r>
          </w:p>
          <w:p w14:paraId="4FFBF8F4" w14:textId="77777777" w:rsidR="00183DF0" w:rsidRPr="00BE25AC" w:rsidRDefault="00183DF0" w:rsidP="00183DF0">
            <w:pPr>
              <w:shd w:val="clear" w:color="auto" w:fill="FFFFFF"/>
              <w:jc w:val="both"/>
              <w:rPr>
                <w:sz w:val="22"/>
                <w:szCs w:val="22"/>
                <w:lang w:eastAsia="lv-LV"/>
              </w:rPr>
            </w:pPr>
            <w:r w:rsidRPr="00BE25AC">
              <w:rPr>
                <w:sz w:val="22"/>
                <w:szCs w:val="22"/>
                <w:lang w:eastAsia="lv-LV"/>
              </w:rPr>
              <w:t>45.</w:t>
            </w:r>
            <w:r w:rsidRPr="00BE25AC">
              <w:rPr>
                <w:sz w:val="22"/>
                <w:szCs w:val="22"/>
                <w:vertAlign w:val="superscript"/>
                <w:lang w:eastAsia="lv-LV"/>
              </w:rPr>
              <w:t>2</w:t>
            </w:r>
            <w:r w:rsidRPr="00BE25AC">
              <w:rPr>
                <w:sz w:val="22"/>
                <w:szCs w:val="22"/>
                <w:lang w:eastAsia="lv-LV"/>
              </w:rPr>
              <w:t>1. ja līdzekļu atlikuma resursu avots ir maksas pakalpojumi un citi pašu ieņēmumi vai ārvalstu finanšu palīdzība, tad programmas atlikums ir vienāds ar līdzekļu atlikumu kontā;</w:t>
            </w:r>
          </w:p>
          <w:p w14:paraId="108A8CF9" w14:textId="77777777" w:rsidR="00183DF0" w:rsidRPr="00BE25AC" w:rsidRDefault="00183DF0" w:rsidP="00183DF0">
            <w:pPr>
              <w:shd w:val="clear" w:color="auto" w:fill="FFFFFF"/>
              <w:jc w:val="both"/>
              <w:rPr>
                <w:sz w:val="22"/>
                <w:szCs w:val="22"/>
                <w:lang w:eastAsia="lv-LV"/>
              </w:rPr>
            </w:pPr>
            <w:r w:rsidRPr="00BE25AC">
              <w:rPr>
                <w:sz w:val="22"/>
                <w:szCs w:val="22"/>
                <w:lang w:eastAsia="lv-LV"/>
              </w:rPr>
              <w:t>45.</w:t>
            </w:r>
            <w:r w:rsidRPr="00BE25AC">
              <w:rPr>
                <w:sz w:val="22"/>
                <w:szCs w:val="22"/>
                <w:vertAlign w:val="superscript"/>
                <w:lang w:eastAsia="lv-LV"/>
              </w:rPr>
              <w:t>2</w:t>
            </w:r>
            <w:r w:rsidRPr="00BE25AC">
              <w:rPr>
                <w:sz w:val="22"/>
                <w:szCs w:val="22"/>
                <w:lang w:eastAsia="lv-LV"/>
              </w:rPr>
              <w:t xml:space="preserve">2. ja līdzekļu atlikuma resursu avots ir dotācija no vispārējiem ieņēmumiem, tad programmas atlikums ir vienāds ar nulli un Valsts kase līdzekļu atlikumu kontā slēdz kā saimnieciskajā gadā neizmantotos valsts budžeta </w:t>
            </w:r>
            <w:r w:rsidRPr="00BE25AC">
              <w:rPr>
                <w:sz w:val="22"/>
                <w:szCs w:val="22"/>
                <w:lang w:eastAsia="lv-LV"/>
              </w:rPr>
              <w:lastRenderedPageBreak/>
              <w:t>asignējumus saskaņā ar šo noteikumu 50. punktu;</w:t>
            </w:r>
          </w:p>
          <w:p w14:paraId="393EE00A" w14:textId="782970D3" w:rsidR="000615BE" w:rsidRPr="00BE25AC" w:rsidRDefault="00183DF0" w:rsidP="00183DF0">
            <w:pPr>
              <w:shd w:val="clear" w:color="auto" w:fill="FFFFFF"/>
              <w:jc w:val="both"/>
              <w:rPr>
                <w:sz w:val="22"/>
                <w:szCs w:val="22"/>
                <w:lang w:eastAsia="lv-LV"/>
              </w:rPr>
            </w:pPr>
            <w:r w:rsidRPr="00BE25AC">
              <w:rPr>
                <w:sz w:val="22"/>
                <w:szCs w:val="22"/>
                <w:lang w:eastAsia="lv-LV"/>
              </w:rPr>
              <w:t>45.</w:t>
            </w:r>
            <w:r w:rsidRPr="00BE25AC">
              <w:rPr>
                <w:sz w:val="22"/>
                <w:szCs w:val="22"/>
                <w:vertAlign w:val="superscript"/>
                <w:lang w:eastAsia="lv-LV"/>
              </w:rPr>
              <w:t>2</w:t>
            </w:r>
            <w:r w:rsidRPr="00BE25AC">
              <w:rPr>
                <w:sz w:val="22"/>
                <w:szCs w:val="22"/>
                <w:lang w:eastAsia="lv-LV"/>
              </w:rPr>
              <w:t>3. ja līdzekļu atlikuma resursu avots ir gan maksas pakalpojumi un citi pašu ieņēmumi, gan dotācija no vispārējiem ieņēmumiem, tad programmas atlikums ir vienāds ar faktiski saņemto maksas pakalpojumu un citu pašu ieņēmumu summu, kas pārsniedz plānoto maksas pakalpojumu un citu pašu ieņēmumu summu kontā. Ja faktiski saņemtā maksas pakalpojumu un citu pašu ieņēmumu summa ir vienāda vai mazāka par plānoto, Valsts kase līdzekļu atlikumu kontā slēdz kā saimnieciskajā gadā neizmantotos valsts budžeta asignējumus saskaņā ar šo noteikumu 50. punktu.”</w:t>
            </w:r>
            <w:r w:rsidR="00FA4740" w:rsidRPr="00BE25AC">
              <w:rPr>
                <w:sz w:val="22"/>
                <w:szCs w:val="22"/>
                <w:lang w:eastAsia="lv-LV"/>
              </w:rPr>
              <w:t>.</w:t>
            </w:r>
          </w:p>
        </w:tc>
        <w:tc>
          <w:tcPr>
            <w:tcW w:w="4273" w:type="dxa"/>
          </w:tcPr>
          <w:p w14:paraId="1F05FB8F" w14:textId="77777777" w:rsidR="00183DF0" w:rsidRPr="00BE25AC" w:rsidRDefault="00183DF0" w:rsidP="00183DF0">
            <w:pPr>
              <w:jc w:val="both"/>
              <w:rPr>
                <w:b/>
                <w:sz w:val="22"/>
                <w:szCs w:val="22"/>
              </w:rPr>
            </w:pPr>
            <w:r w:rsidRPr="00BE25AC">
              <w:rPr>
                <w:b/>
                <w:sz w:val="22"/>
                <w:szCs w:val="22"/>
              </w:rPr>
              <w:lastRenderedPageBreak/>
              <w:t>Zemkopības ministrija</w:t>
            </w:r>
          </w:p>
          <w:p w14:paraId="43907165" w14:textId="77777777" w:rsidR="00183DF0" w:rsidRPr="00BE25AC" w:rsidRDefault="00183DF0" w:rsidP="00183DF0">
            <w:pPr>
              <w:jc w:val="both"/>
              <w:rPr>
                <w:sz w:val="22"/>
                <w:szCs w:val="22"/>
              </w:rPr>
            </w:pPr>
          </w:p>
          <w:p w14:paraId="175AFE5E" w14:textId="77777777" w:rsidR="00183DF0" w:rsidRPr="00BE25AC" w:rsidRDefault="00183DF0" w:rsidP="00183DF0">
            <w:pPr>
              <w:pStyle w:val="PlainText"/>
              <w:ind w:firstLine="0"/>
              <w:rPr>
                <w:rFonts w:eastAsiaTheme="minorHAnsi"/>
                <w:sz w:val="22"/>
                <w:szCs w:val="22"/>
                <w:lang w:eastAsia="lv-LV"/>
              </w:rPr>
            </w:pPr>
            <w:r w:rsidRPr="00BE25AC">
              <w:rPr>
                <w:rFonts w:eastAsiaTheme="minorHAnsi"/>
                <w:sz w:val="22"/>
                <w:szCs w:val="22"/>
                <w:lang w:eastAsia="lv-LV"/>
              </w:rPr>
              <w:t>Iebilstam pret 45.punkta grozījumiem un i</w:t>
            </w:r>
            <w:r w:rsidRPr="00BE25AC">
              <w:rPr>
                <w:sz w:val="22"/>
                <w:szCs w:val="22"/>
              </w:rPr>
              <w:t>erosinām esošo kārtību pieteikuma par atlikuma uz iepriekšējā saimnieciskā gada beigām pārgrāmatošanu sagatavošanā un iesniegšanā nemainīt.</w:t>
            </w:r>
            <w:r w:rsidRPr="00BE25AC">
              <w:rPr>
                <w:b/>
                <w:bCs/>
                <w:sz w:val="22"/>
                <w:szCs w:val="22"/>
              </w:rPr>
              <w:t xml:space="preserve"> </w:t>
            </w:r>
            <w:r w:rsidRPr="00BE25AC">
              <w:rPr>
                <w:rFonts w:eastAsiaTheme="minorHAnsi"/>
                <w:sz w:val="22"/>
                <w:szCs w:val="22"/>
                <w:lang w:eastAsia="lv-LV"/>
              </w:rPr>
              <w:t xml:space="preserve"> </w:t>
            </w:r>
          </w:p>
          <w:p w14:paraId="18DD2B5A" w14:textId="77777777" w:rsidR="00183DF0" w:rsidRPr="00BE25AC" w:rsidRDefault="00183DF0" w:rsidP="00183DF0">
            <w:pPr>
              <w:pStyle w:val="PlainText"/>
              <w:ind w:firstLine="0"/>
              <w:rPr>
                <w:sz w:val="22"/>
                <w:szCs w:val="22"/>
              </w:rPr>
            </w:pPr>
            <w:r w:rsidRPr="00BE25AC">
              <w:rPr>
                <w:rFonts w:eastAsiaTheme="minorHAnsi"/>
                <w:sz w:val="22"/>
                <w:szCs w:val="22"/>
                <w:lang w:eastAsia="lv-LV"/>
              </w:rPr>
              <w:t>Mūsuprāt, nedrīkst ieviest standartizētu, automātisku algoritmu pārceļamā atlikuma uz 31.decembri aprēķināšanai, jo ne iestādes virsplāna ieņēmumi, ne ieņēmumu neizpilde, neatspoguļo faktisko situāciju iestādes naudas līdzekļu atlikumā uz 31.decembri, ir nepieciešama atlikuma veidojošās summas analīze. Uzskatām, ka šādas izmaiņas noteikumos parāda, ka netiek ievērots vienlīdzības princips starp iestādēm, kurām ir tikai maksas pakalpojumi un citi pašu ieņēmumi un iestādēm, kurām ir gan dotācija, gan maksas pakalpojumi un citi pašu ieņēmumi. Piemēram, ja iestādei noteikumu 45.</w:t>
            </w:r>
            <w:r w:rsidRPr="00BE25AC">
              <w:rPr>
                <w:rFonts w:eastAsiaTheme="minorHAnsi"/>
                <w:sz w:val="22"/>
                <w:szCs w:val="22"/>
                <w:vertAlign w:val="superscript"/>
                <w:lang w:eastAsia="lv-LV"/>
              </w:rPr>
              <w:t>2</w:t>
            </w:r>
            <w:r w:rsidRPr="00BE25AC">
              <w:rPr>
                <w:rFonts w:eastAsiaTheme="minorHAnsi"/>
                <w:sz w:val="22"/>
                <w:szCs w:val="22"/>
                <w:lang w:eastAsia="lv-LV"/>
              </w:rPr>
              <w:t xml:space="preserve"> 1.punkta gadījumā ir konta  atlikums, to automātiski ieskaita kontā nākamajā gadā, neskatoties uz to vai iestādei ir virsplāna ieņēmumi, vai ir neizpilde. Savukārt, 45.</w:t>
            </w:r>
            <w:r w:rsidRPr="00BE25AC">
              <w:rPr>
                <w:rFonts w:eastAsiaTheme="minorHAnsi"/>
                <w:sz w:val="22"/>
                <w:szCs w:val="22"/>
                <w:vertAlign w:val="superscript"/>
                <w:lang w:eastAsia="lv-LV"/>
              </w:rPr>
              <w:t>2</w:t>
            </w:r>
            <w:r w:rsidRPr="00BE25AC">
              <w:rPr>
                <w:rFonts w:eastAsiaTheme="minorHAnsi"/>
                <w:sz w:val="22"/>
                <w:szCs w:val="22"/>
                <w:lang w:eastAsia="lv-LV"/>
              </w:rPr>
              <w:t xml:space="preserve"> 3.punkts paredz, ka automātiski tiks slēgti </w:t>
            </w:r>
            <w:r w:rsidRPr="00BE25AC">
              <w:rPr>
                <w:rFonts w:eastAsiaTheme="minorHAnsi"/>
                <w:sz w:val="22"/>
                <w:szCs w:val="22"/>
                <w:lang w:eastAsia="lv-LV"/>
              </w:rPr>
              <w:lastRenderedPageBreak/>
              <w:t xml:space="preserve">asignējumi, kaut gan dotācija būs izmantota 100% un piemēram pašu ieņēmumi izpildīti tikai 85% apmērā, bet kontā ir atlikums, lai segtu izdevumus nākamā gada sākumā. </w:t>
            </w:r>
          </w:p>
          <w:p w14:paraId="77D4CEF1" w14:textId="77777777" w:rsidR="00183DF0" w:rsidRPr="00BE25AC" w:rsidRDefault="00183DF0" w:rsidP="00183DF0">
            <w:pPr>
              <w:pStyle w:val="PlainText"/>
              <w:ind w:firstLine="0"/>
              <w:rPr>
                <w:rFonts w:eastAsiaTheme="minorHAnsi"/>
                <w:sz w:val="22"/>
                <w:szCs w:val="22"/>
                <w:lang w:eastAsia="lv-LV"/>
              </w:rPr>
            </w:pPr>
            <w:r w:rsidRPr="00BE25AC">
              <w:rPr>
                <w:rFonts w:eastAsiaTheme="minorHAnsi"/>
                <w:sz w:val="22"/>
                <w:szCs w:val="22"/>
                <w:lang w:eastAsia="lv-LV"/>
              </w:rPr>
              <w:t xml:space="preserve">Piemērs: </w:t>
            </w:r>
            <w:r w:rsidRPr="00BE25AC">
              <w:rPr>
                <w:rFonts w:eastAsiaTheme="minorHAnsi"/>
                <w:iCs/>
                <w:sz w:val="22"/>
                <w:szCs w:val="22"/>
                <w:lang w:eastAsia="lv-LV"/>
              </w:rPr>
              <w:t>Augu aizsardzības likums nosaka, ka Valsts augu aizsardzības dienestam (turpmāk – VAAD) 48 stundu laikā pēc iesnieguma saņemšanas par fitosanitāro pārbaudi augu un augu produktu eksportam jānodrošina pārbaudes veikšana, fitosanitārā sertifikāta izsniegšana, šīs pārbaudes tiek nodrošinātas arī brīvdienās un svētku dienās. Par decembrī sniegtajiem pakalpojumiem komersanti norēķinās gada beigās. Tā kā  nav neiespējams tik īsos termiņos izsludināt attiecīgus iepirkumus un veikt iegādes un saņemt pakalpojumus, VAAD nākamā gada budžeta izdevumos ir iestrādāts iespējamais konta atlikums par ieņēmumiem no sniegtajiem maksas pakalpojumiem, tātad iestādei ir būtiski saglabāt neizmantoto resursu atlikumu.</w:t>
            </w:r>
          </w:p>
          <w:p w14:paraId="3A13FD0B" w14:textId="77777777" w:rsidR="00183DF0" w:rsidRPr="00BE25AC" w:rsidRDefault="00183DF0" w:rsidP="00183DF0">
            <w:pPr>
              <w:pStyle w:val="PlainText"/>
              <w:ind w:firstLine="0"/>
              <w:rPr>
                <w:sz w:val="22"/>
                <w:szCs w:val="22"/>
              </w:rPr>
            </w:pPr>
            <w:r w:rsidRPr="00BE25AC">
              <w:rPr>
                <w:sz w:val="22"/>
                <w:szCs w:val="22"/>
              </w:rPr>
              <w:t>Universāls vienkāršots algoritms nevar tikt piemērots visām situācijām, kādas ir iespējamas valsts budžeta iestādēm.</w:t>
            </w:r>
          </w:p>
          <w:p w14:paraId="702CA54A" w14:textId="2E3F8CF1" w:rsidR="00183DF0" w:rsidRPr="00BE25AC" w:rsidRDefault="00183DF0" w:rsidP="00183DF0">
            <w:pPr>
              <w:jc w:val="both"/>
              <w:rPr>
                <w:rFonts w:eastAsiaTheme="minorHAnsi"/>
                <w:sz w:val="22"/>
                <w:szCs w:val="22"/>
                <w:lang w:eastAsia="lv-LV"/>
              </w:rPr>
            </w:pPr>
            <w:r w:rsidRPr="00BE25AC">
              <w:rPr>
                <w:rFonts w:eastAsiaTheme="minorHAnsi"/>
                <w:sz w:val="22"/>
                <w:szCs w:val="22"/>
                <w:lang w:eastAsia="lv-LV"/>
              </w:rPr>
              <w:t>Uzskatām, n</w:t>
            </w:r>
            <w:r w:rsidRPr="00BE25AC">
              <w:rPr>
                <w:sz w:val="22"/>
                <w:szCs w:val="22"/>
              </w:rPr>
              <w:t xml:space="preserve">oteikumu grozījumu viens no galvenajiem mērķiem ir administratīvā procesa atvieglošana iestādēm saistībā ar pieteikuma par atlikuma uz iepriekšējā saimnieciskā gada beigām pārgrāmatošanu sagatavošanu un iesniegšanu saimnieciskā gada sākumā, taču ar plānotajiem grozījumiem administratīvais process </w:t>
            </w:r>
            <w:r w:rsidRPr="00BE25AC">
              <w:rPr>
                <w:rFonts w:eastAsiaTheme="minorHAnsi"/>
                <w:sz w:val="22"/>
                <w:szCs w:val="22"/>
                <w:lang w:eastAsia="lv-LV"/>
              </w:rPr>
              <w:t xml:space="preserve">tiks sarežģīts, jo, lai īstenotu ideju par maksas pakalpojumu un citu pašu ieņēmumu nodalīšanu un administrēšanu atsevišķā finansēšanas plānā, kā tas ir </w:t>
            </w:r>
            <w:r w:rsidRPr="00BE25AC">
              <w:rPr>
                <w:rFonts w:eastAsiaTheme="minorHAnsi"/>
                <w:sz w:val="22"/>
                <w:szCs w:val="22"/>
                <w:lang w:eastAsia="lv-LV"/>
              </w:rPr>
              <w:lastRenderedPageBreak/>
              <w:t>paskaidrots sākotnējās ietekmes novērtējuma ziņojumā (anotācijā), pirmkārt, būs nepieciešami papildus cilvēkresursi un tiem atbilstoši izdevumi. Otrkārt, lai nodrošinātu atsevišķu šo izdevumu daļas uzskaiti tiks veicināta grāmatvedības uzskaites sadrumstalotība un palielināts risks grāmatvedības uzskaitē kļūdīties.</w:t>
            </w:r>
          </w:p>
          <w:p w14:paraId="45CB46D4" w14:textId="77777777" w:rsidR="002E7A91" w:rsidRPr="00BE25AC" w:rsidRDefault="002E7A91" w:rsidP="002E7A91">
            <w:pPr>
              <w:jc w:val="both"/>
              <w:rPr>
                <w:rFonts w:eastAsiaTheme="minorHAnsi"/>
                <w:sz w:val="22"/>
                <w:szCs w:val="22"/>
                <w:lang w:eastAsia="lv-LV"/>
              </w:rPr>
            </w:pPr>
            <w:r w:rsidRPr="00BE25AC">
              <w:rPr>
                <w:rFonts w:eastAsiaTheme="minorHAnsi"/>
                <w:sz w:val="22"/>
                <w:szCs w:val="22"/>
                <w:lang w:eastAsia="lv-LV"/>
              </w:rPr>
              <w:t>Vienlaikus, ja netiek ņemti vērā iepriekšminētie iebildumi, Zemkopības ministrija ierosina papildināt noteikumu 7. punktu, nodalot dotāciju un maksas pakalpojumu un citu pašu ieņēmumus atsevišķos kontos.</w:t>
            </w:r>
          </w:p>
          <w:p w14:paraId="570ED21D" w14:textId="22690A16" w:rsidR="002E7A91" w:rsidRPr="00BE25AC" w:rsidRDefault="002E7A91" w:rsidP="002E7A91">
            <w:pPr>
              <w:jc w:val="both"/>
              <w:rPr>
                <w:rFonts w:eastAsiaTheme="minorHAnsi"/>
                <w:sz w:val="22"/>
                <w:szCs w:val="22"/>
                <w:lang w:eastAsia="lv-LV"/>
              </w:rPr>
            </w:pPr>
            <w:r w:rsidRPr="00BE25AC">
              <w:rPr>
                <w:rFonts w:eastAsiaTheme="minorHAnsi"/>
                <w:sz w:val="22"/>
                <w:szCs w:val="22"/>
                <w:lang w:eastAsia="lv-LV"/>
              </w:rPr>
              <w:t>Vēršam uzmanību, ka Ministru kabineta noteikumu Nr.1220 “Asignējumu piešķiršanas un izpildes kārtība” esošā redakcija neparedz  gadījumus, ka resursus var nodalīt atsevišķos finansēšanas plānos, ja budžeta izpildītāja resursi ir gan dotācija, gan maksas pakalpojumi un citi pašu ieņēmumi, kā arī noteikumu projekta grozījumos šādas izmaiņas nav ierosinātas.</w:t>
            </w:r>
          </w:p>
          <w:p w14:paraId="2D33DCBA" w14:textId="085EF303" w:rsidR="00C914C8" w:rsidRPr="00BE25AC" w:rsidRDefault="00C914C8" w:rsidP="00183DF0">
            <w:pPr>
              <w:jc w:val="both"/>
              <w:rPr>
                <w:rFonts w:eastAsiaTheme="minorHAnsi"/>
                <w:sz w:val="22"/>
                <w:szCs w:val="22"/>
                <w:lang w:eastAsia="lv-LV"/>
              </w:rPr>
            </w:pPr>
          </w:p>
          <w:p w14:paraId="3D9D63E6" w14:textId="22C25EC3" w:rsidR="00C914C8" w:rsidRPr="00BE25AC" w:rsidRDefault="00C914C8" w:rsidP="00183DF0">
            <w:pPr>
              <w:jc w:val="both"/>
              <w:rPr>
                <w:rFonts w:eastAsiaTheme="minorHAnsi"/>
                <w:sz w:val="22"/>
                <w:szCs w:val="22"/>
                <w:lang w:eastAsia="lv-LV"/>
              </w:rPr>
            </w:pPr>
          </w:p>
          <w:p w14:paraId="1312A887" w14:textId="77777777" w:rsidR="00C914C8" w:rsidRPr="00BE25AC" w:rsidRDefault="00C914C8" w:rsidP="00C914C8">
            <w:pPr>
              <w:jc w:val="both"/>
              <w:rPr>
                <w:b/>
                <w:sz w:val="22"/>
                <w:szCs w:val="22"/>
              </w:rPr>
            </w:pPr>
            <w:r w:rsidRPr="00BE25AC">
              <w:rPr>
                <w:b/>
                <w:sz w:val="22"/>
                <w:szCs w:val="22"/>
              </w:rPr>
              <w:t>Veselības ministrija</w:t>
            </w:r>
          </w:p>
          <w:p w14:paraId="4DD7FFF6" w14:textId="77777777" w:rsidR="00C914C8" w:rsidRPr="00BE25AC" w:rsidRDefault="00C914C8" w:rsidP="00C914C8">
            <w:pPr>
              <w:jc w:val="both"/>
              <w:rPr>
                <w:b/>
                <w:sz w:val="22"/>
                <w:szCs w:val="22"/>
              </w:rPr>
            </w:pPr>
          </w:p>
          <w:p w14:paraId="32486A86" w14:textId="35DD3C66" w:rsidR="00C914C8" w:rsidRPr="00BE25AC" w:rsidRDefault="00C914C8" w:rsidP="00C914C8">
            <w:pPr>
              <w:jc w:val="both"/>
              <w:rPr>
                <w:sz w:val="22"/>
                <w:szCs w:val="22"/>
              </w:rPr>
            </w:pPr>
            <w:r w:rsidRPr="00BE25AC">
              <w:rPr>
                <w:sz w:val="22"/>
                <w:szCs w:val="22"/>
              </w:rPr>
              <w:t xml:space="preserve">Noteikumu projekta 45.punkts paredz jaunu kārtību par valsts pamatbudžeta programmas vai apakšprogrammas kontā iepriekšējā gada beigās  esošajiem līdzekļu atlikumiem, tā izmantošanas iespējām. Noteikumu projektā iekļautā kārtība radīs apjomīgu papildus administratīvo slogu iestādēm, jo katram resursu avotu veidam būs nepieciešams atvērt </w:t>
            </w:r>
            <w:r w:rsidRPr="00BE25AC">
              <w:rPr>
                <w:sz w:val="22"/>
                <w:szCs w:val="22"/>
              </w:rPr>
              <w:lastRenderedPageBreak/>
              <w:t>savu kontu Valsts kasē, lai netiktu zaudēti uz nākamo gadu pārceļamie pašu ieņēmumu atlikumu, tai skaitā, kuri radušies no saņemtajiem maksājumiem decembra pēdējās dienās.  Tādejādi iepriekš minētais ir pretrunā ar Finanšu ministrijas sagatavoto likumprojektu “Grozījumi Likumā par budžetu un finanšu vadību” ar kuru tiek paredzēts samazināt Valsts kasē apkalpojošo kontu skaitu kapitālsabiedrībām un no valsts budžeta daļēji finansētām atvasinātām publiskām personām pamatojot to ar administratīvu slogu gan Valsts kasei, gan klientam. Šī noteikumu projekta 45.punkta redakcija palielinās administratīvo slogu gan Valsts kasei, gan klientiem (papildus kontu atvēršana maksas pakalpojumiem un citiem pašu ieņēmumiem, attiecīgi to uzturēšana, finanšu līdzekļu plānošana, tai skaitā izdevumu un maksājumu veikšana).</w:t>
            </w:r>
          </w:p>
          <w:p w14:paraId="0362EE73" w14:textId="72CF6F84" w:rsidR="00C914C8" w:rsidRPr="00BE25AC" w:rsidRDefault="00C914C8" w:rsidP="00C914C8">
            <w:pPr>
              <w:jc w:val="both"/>
              <w:rPr>
                <w:sz w:val="22"/>
                <w:szCs w:val="22"/>
              </w:rPr>
            </w:pPr>
          </w:p>
          <w:p w14:paraId="490C2E94" w14:textId="77777777" w:rsidR="00C914C8" w:rsidRPr="00BE25AC" w:rsidRDefault="00C914C8" w:rsidP="00C914C8">
            <w:pPr>
              <w:jc w:val="both"/>
              <w:rPr>
                <w:b/>
                <w:sz w:val="22"/>
                <w:szCs w:val="22"/>
              </w:rPr>
            </w:pPr>
            <w:proofErr w:type="spellStart"/>
            <w:r w:rsidRPr="00BE25AC">
              <w:rPr>
                <w:b/>
                <w:sz w:val="22"/>
                <w:szCs w:val="22"/>
              </w:rPr>
              <w:t>Iekšlietu</w:t>
            </w:r>
            <w:proofErr w:type="spellEnd"/>
            <w:r w:rsidRPr="00BE25AC">
              <w:rPr>
                <w:b/>
                <w:sz w:val="22"/>
                <w:szCs w:val="22"/>
              </w:rPr>
              <w:t xml:space="preserve"> ministrija</w:t>
            </w:r>
          </w:p>
          <w:p w14:paraId="7363BD01" w14:textId="77777777" w:rsidR="00C914C8" w:rsidRPr="00BE25AC" w:rsidRDefault="00C914C8" w:rsidP="00C914C8">
            <w:pPr>
              <w:jc w:val="both"/>
              <w:rPr>
                <w:b/>
                <w:sz w:val="22"/>
                <w:szCs w:val="22"/>
              </w:rPr>
            </w:pPr>
          </w:p>
          <w:p w14:paraId="1D918B9A" w14:textId="54111BE6" w:rsidR="00C914C8" w:rsidRPr="00BE25AC" w:rsidRDefault="00C914C8" w:rsidP="00C914C8">
            <w:pPr>
              <w:jc w:val="both"/>
              <w:rPr>
                <w:sz w:val="22"/>
                <w:szCs w:val="22"/>
              </w:rPr>
            </w:pPr>
            <w:r w:rsidRPr="00BE25AC">
              <w:rPr>
                <w:sz w:val="22"/>
                <w:szCs w:val="22"/>
              </w:rPr>
              <w:t>Noteikumu projekta 1.6.apakšpunktā ietvertais 45.</w:t>
            </w:r>
            <w:r w:rsidRPr="00BE25AC">
              <w:rPr>
                <w:sz w:val="22"/>
                <w:szCs w:val="22"/>
                <w:vertAlign w:val="superscript"/>
              </w:rPr>
              <w:t xml:space="preserve">2 </w:t>
            </w:r>
            <w:r w:rsidRPr="00BE25AC">
              <w:rPr>
                <w:sz w:val="22"/>
                <w:szCs w:val="22"/>
              </w:rPr>
              <w:t xml:space="preserve">punkts paredz kārtību, kādā valsts pamatbudžeta programmas vai apakšprogrammas kontu atlikumi tiek slēgti pārskata gada beigās. Paredzēts, ka gadījumos, kad kontam ir viens resursu avots, piemēram, tikai ieņēmumi no maksas pakalpojumiem un citiem pašu ieņēmumiem, konta atlikums gada beigās tiek pārnests pilnībā, bet kontos, kuros līdzekļu resursu avots ir jaukts – gan maksas pakalpojumi un citi pašu ieņēmumi (tai skaitā </w:t>
            </w:r>
            <w:proofErr w:type="spellStart"/>
            <w:r w:rsidRPr="00BE25AC">
              <w:rPr>
                <w:sz w:val="22"/>
                <w:szCs w:val="22"/>
              </w:rPr>
              <w:t>transferta</w:t>
            </w:r>
            <w:proofErr w:type="spellEnd"/>
            <w:r w:rsidRPr="00BE25AC">
              <w:rPr>
                <w:sz w:val="22"/>
                <w:szCs w:val="22"/>
              </w:rPr>
              <w:t xml:space="preserve"> ieņēmumi), gan dotācija no </w:t>
            </w:r>
            <w:r w:rsidRPr="00BE25AC">
              <w:rPr>
                <w:sz w:val="22"/>
                <w:szCs w:val="22"/>
              </w:rPr>
              <w:lastRenderedPageBreak/>
              <w:t>vispārējiem ieņēmumiem, uz nākamo gadu tiek pārnests tikai līdzekļu atlikums no virsplāna ieņēmumiem no maksas pakalpojumiem un citiem pašu ieņēmumiem. Vienlaikus, ja faktiski saņemtā maksas pakalpojumu un citu pašu ieņēmumu summa būs vienāda vai mazāka par plānoto, Valsts kase līdzekļu atlikumu kontā slēgs kā saimnieciskajā gadā neizmantotos valsts budžeta asignējumus.</w:t>
            </w:r>
          </w:p>
          <w:p w14:paraId="73A545BE" w14:textId="77777777" w:rsidR="00C914C8" w:rsidRPr="00BE25AC" w:rsidRDefault="00C914C8" w:rsidP="00C914C8">
            <w:pPr>
              <w:jc w:val="both"/>
              <w:rPr>
                <w:sz w:val="22"/>
                <w:szCs w:val="22"/>
              </w:rPr>
            </w:pPr>
            <w:r w:rsidRPr="00BE25AC">
              <w:rPr>
                <w:sz w:val="22"/>
                <w:szCs w:val="22"/>
              </w:rPr>
              <w:t xml:space="preserve">Šāda kārtība piespiež iestādes katram resursu avotu veidam atvērt savu kontu Valsts kasē, kas palielina administratīvo slogu iestādēm, jo apgrūtina ikdienas maksājumu veikšanu, piemēram, veicot apmaksu par pakalpojumiem, kas daļēji sedzami no valsts budžeta dotācijas, bet daļēji no citiem resursu avotiem, turpmāk būs jāgatavo vairāki maksājuma uzdevumi no katra resursu avota konta. </w:t>
            </w:r>
          </w:p>
          <w:p w14:paraId="26719012" w14:textId="77777777" w:rsidR="00C914C8" w:rsidRPr="00BE25AC" w:rsidRDefault="00C914C8" w:rsidP="00C914C8">
            <w:pPr>
              <w:jc w:val="both"/>
              <w:rPr>
                <w:sz w:val="22"/>
                <w:szCs w:val="22"/>
              </w:rPr>
            </w:pPr>
            <w:r w:rsidRPr="00BE25AC">
              <w:rPr>
                <w:sz w:val="22"/>
                <w:szCs w:val="22"/>
              </w:rPr>
              <w:t xml:space="preserve">         Savukārt, saglabājot līdzšinējo kārtību, kad visi iestādes resursi atrodas vienā iestādes kontā Valsts kasē, gada pēdējās dienās saņemtie maksājumi par iestādes sniegtajiem maksas pakalpojumiem, tiks slēgti un ieskaitīti valsts budžetā, lai gan nākamā gada sākumā tie būtu nepieciešami maksājumu veikšanai par izdevumiem, kas saistīti ar maksas pakalpojumu sniegšanu, piemēram, telpu uzkopšanu, apsardzi un tamlīdzīgiem pakalpojumiem, par kuriem saskaņā ar līgumu rēķini tiek piestādīti nākamajā kalendārajā mēnesī par faktiski sniegto pakalpojumu apjomu. Vēršam uzmanību, ka Ministru kabineta 2011. gada 3. maija noteikumi </w:t>
            </w:r>
            <w:r w:rsidRPr="00BE25AC">
              <w:rPr>
                <w:sz w:val="22"/>
                <w:szCs w:val="22"/>
              </w:rPr>
              <w:lastRenderedPageBreak/>
              <w:t>Nr.333 “Kārtība, kādā plānojami un uzskaitāmi ieņēmumi no maksas pakalpojumiem un ar šo pakalpojumu sniegšanu saistītie izdevumi, kā arī maksas pakalpojumu izcenojumu noteikšanas metodika un izcenojumu apstiprināšanas kārtība”8 punkts nosaka, ka “Iestādes ar maksas pakalpojumu sniegšanu saistīto izdevumu apjomu plāno tādā pašā apmērā kā ieņēmumus no sniegtajiem maksas pakalpojumiem”, savukārt, 10.punkts nosaka, ka “Maksas pakalpojuma izcenojums ietver visas izmaksas, kuras rodas, sniedzot maksas pakalpojumu”.</w:t>
            </w:r>
          </w:p>
          <w:p w14:paraId="6DB0DABA" w14:textId="77777777" w:rsidR="00C914C8" w:rsidRPr="00BE25AC" w:rsidRDefault="00C914C8" w:rsidP="00C914C8">
            <w:pPr>
              <w:jc w:val="both"/>
              <w:rPr>
                <w:sz w:val="22"/>
                <w:szCs w:val="22"/>
              </w:rPr>
            </w:pPr>
            <w:r w:rsidRPr="00BE25AC">
              <w:rPr>
                <w:sz w:val="22"/>
                <w:szCs w:val="22"/>
              </w:rPr>
              <w:t xml:space="preserve">     Iestādēm būs sarežģīti kontrolēt naudas ieskaitīšanu kontā gada beigās, lai neveidotos līdzekļu atlikums no maksas pakalpojumiem vai citiem pašu ieņēmumiem, jo daudzas komercbankas jau šobrīd ir ieviesušas </w:t>
            </w:r>
            <w:proofErr w:type="spellStart"/>
            <w:r w:rsidRPr="00BE25AC">
              <w:rPr>
                <w:sz w:val="22"/>
                <w:szCs w:val="22"/>
              </w:rPr>
              <w:t>zibmaksājumus</w:t>
            </w:r>
            <w:proofErr w:type="spellEnd"/>
            <w:r w:rsidRPr="00BE25AC">
              <w:rPr>
                <w:sz w:val="22"/>
                <w:szCs w:val="22"/>
              </w:rPr>
              <w:t>, kas tiek izpildīti tajā paša dienā un to internetbankām nav darba laika ierobežojuma, tādēļ pakalpojuma saņēmējs var veikt maksājumu 30. vai 31.decembrī, kas neizbēgami veidos līdzekļu atlikumu iestādes kontā un saskaņā ar projektā paredzēto kārtību tiks ieskaitīts valsts budžetā.</w:t>
            </w:r>
          </w:p>
          <w:p w14:paraId="34C409C2" w14:textId="77777777" w:rsidR="00C914C8" w:rsidRPr="00BE25AC" w:rsidRDefault="00C914C8" w:rsidP="00C914C8">
            <w:pPr>
              <w:jc w:val="both"/>
              <w:rPr>
                <w:sz w:val="22"/>
                <w:szCs w:val="22"/>
              </w:rPr>
            </w:pPr>
            <w:r w:rsidRPr="00BE25AC">
              <w:rPr>
                <w:sz w:val="22"/>
                <w:szCs w:val="22"/>
              </w:rPr>
              <w:t xml:space="preserve">   Tādējādi, projekta ieviešanas rezultātā iestādes būs spiestas vai nu uzturēt vairākus kontus vai mākslīgi plānot mazākus ieņēmumus no maksas pakalpojumiem un citiem ieņēmumiem, lai gada beigās nezaudētu līdzekļus, kas faktiski ir mērķfinansējums konkrētu izdevumu segšanai.</w:t>
            </w:r>
          </w:p>
          <w:p w14:paraId="5FB71870" w14:textId="77777777" w:rsidR="00C914C8" w:rsidRPr="00BE25AC" w:rsidRDefault="00C914C8" w:rsidP="00C914C8">
            <w:pPr>
              <w:jc w:val="both"/>
              <w:rPr>
                <w:sz w:val="22"/>
                <w:szCs w:val="22"/>
              </w:rPr>
            </w:pPr>
            <w:r w:rsidRPr="00BE25AC">
              <w:rPr>
                <w:sz w:val="22"/>
                <w:szCs w:val="22"/>
              </w:rPr>
              <w:t xml:space="preserve">     Vēršam uzmanību arī uz Valsts materiālo rezervju likuma 6.panta trešajā daļā noteikto, </w:t>
            </w:r>
            <w:r w:rsidRPr="00BE25AC">
              <w:rPr>
                <w:sz w:val="22"/>
                <w:szCs w:val="22"/>
              </w:rPr>
              <w:lastRenderedPageBreak/>
              <w:t>ka “Finanšu līdzekļu atlikumu saimnieciskā gada beigās, kas radies no valsts materiālo rezervju atsavināšanas un citiem pašu ieņēmumiem, nozares ministrija izlieto valsts materiālo rezervju veidošanai un pārvaldīšanai nākamajos saimnieciskajos gados.”</w:t>
            </w:r>
          </w:p>
          <w:p w14:paraId="6E742664" w14:textId="08DE3A19" w:rsidR="000615BE" w:rsidRPr="00BE25AC" w:rsidRDefault="000615BE" w:rsidP="00C914C8">
            <w:pPr>
              <w:jc w:val="both"/>
              <w:rPr>
                <w:sz w:val="22"/>
                <w:szCs w:val="22"/>
              </w:rPr>
            </w:pPr>
          </w:p>
          <w:p w14:paraId="709E7A19" w14:textId="77777777" w:rsidR="00C914C8" w:rsidRPr="00BE25AC" w:rsidRDefault="00C914C8" w:rsidP="00C914C8">
            <w:pPr>
              <w:jc w:val="both"/>
              <w:rPr>
                <w:sz w:val="22"/>
                <w:szCs w:val="22"/>
              </w:rPr>
            </w:pPr>
          </w:p>
          <w:p w14:paraId="1010FCAD" w14:textId="77777777" w:rsidR="00C914C8" w:rsidRPr="00BE25AC" w:rsidRDefault="00C914C8" w:rsidP="00C914C8">
            <w:pPr>
              <w:jc w:val="both"/>
              <w:rPr>
                <w:b/>
                <w:sz w:val="22"/>
                <w:szCs w:val="22"/>
              </w:rPr>
            </w:pPr>
            <w:r w:rsidRPr="00BE25AC">
              <w:rPr>
                <w:b/>
                <w:sz w:val="22"/>
                <w:szCs w:val="22"/>
              </w:rPr>
              <w:t>Tieslietu ministrija</w:t>
            </w:r>
          </w:p>
          <w:p w14:paraId="76BA3E3A" w14:textId="77777777" w:rsidR="00C914C8" w:rsidRPr="00BE25AC" w:rsidRDefault="00C914C8" w:rsidP="00C914C8">
            <w:pPr>
              <w:jc w:val="both"/>
              <w:rPr>
                <w:sz w:val="22"/>
                <w:szCs w:val="22"/>
              </w:rPr>
            </w:pPr>
          </w:p>
          <w:p w14:paraId="61F23EEA" w14:textId="2C33AAD8" w:rsidR="00C914C8" w:rsidRPr="00BE25AC" w:rsidRDefault="00C914C8" w:rsidP="00C914C8">
            <w:pPr>
              <w:tabs>
                <w:tab w:val="left" w:pos="1276"/>
              </w:tabs>
              <w:jc w:val="both"/>
              <w:rPr>
                <w:sz w:val="22"/>
                <w:szCs w:val="22"/>
              </w:rPr>
            </w:pPr>
            <w:r w:rsidRPr="00BE25AC">
              <w:rPr>
                <w:sz w:val="22"/>
                <w:szCs w:val="22"/>
              </w:rPr>
              <w:t xml:space="preserve">Noteikumu projekta 1.6. apakšpunkts paredz papildināt </w:t>
            </w:r>
            <w:r w:rsidRPr="00BE25AC">
              <w:rPr>
                <w:iCs/>
                <w:sz w:val="22"/>
                <w:szCs w:val="22"/>
                <w:shd w:val="clear" w:color="auto" w:fill="FDFCFD"/>
              </w:rPr>
              <w:t>Ministru kabineta 2010. gada 28. decembra noteikumus Nr. 1220 "Asignējumu piešķiršanas un izpildes kārtība</w:t>
            </w:r>
            <w:r w:rsidRPr="00BE25AC">
              <w:rPr>
                <w:bCs/>
                <w:sz w:val="22"/>
                <w:szCs w:val="22"/>
                <w:lang w:eastAsia="lv-LV"/>
              </w:rPr>
              <w:t>"</w:t>
            </w:r>
            <w:r w:rsidRPr="00BE25AC">
              <w:rPr>
                <w:sz w:val="22"/>
                <w:szCs w:val="22"/>
              </w:rPr>
              <w:t xml:space="preserve"> ar 45.2</w:t>
            </w:r>
            <w:r w:rsidRPr="00BE25AC">
              <w:rPr>
                <w:sz w:val="22"/>
                <w:szCs w:val="22"/>
                <w:vertAlign w:val="superscript"/>
              </w:rPr>
              <w:t>3</w:t>
            </w:r>
            <w:r w:rsidRPr="00BE25AC">
              <w:rPr>
                <w:sz w:val="22"/>
                <w:szCs w:val="22"/>
              </w:rPr>
              <w:t>. apakšpunktu, kurā noteikts, ja līdzekļu atlikuma resursu avots ir gan maksas pakalpojumi un citi pašu ieņēmumi, gan dotācija no vispārējiem ieņēmumiem, tad programmas atlikums ir vienāds ar faktiski saņemto maksas pakalpojumu un citu pašu ieņēmumu summu, kas pārsniedz plānoto maksas pakalpojumu un citu pašu ieņēmumu summu kontā. Ja faktiski saņemtā maksas pakalpojumu un citu pašu ieņēmumu summa ir vienāda vai mazāka par plānoto, Valsts kase līdzekļu atlikumu kontā slēdz kā saimnieciskajā gadā neizmantotos valsts budžeta asignējumus saskaņā ar šo noteikumu 50. punktu.</w:t>
            </w:r>
          </w:p>
          <w:p w14:paraId="25647CFD" w14:textId="2064460B" w:rsidR="00C914C8" w:rsidRPr="00BE25AC" w:rsidRDefault="00C914C8" w:rsidP="000F5887">
            <w:pPr>
              <w:jc w:val="both"/>
              <w:rPr>
                <w:sz w:val="22"/>
                <w:szCs w:val="22"/>
              </w:rPr>
            </w:pPr>
            <w:r w:rsidRPr="00BE25AC">
              <w:rPr>
                <w:sz w:val="22"/>
                <w:szCs w:val="22"/>
              </w:rPr>
              <w:t xml:space="preserve">Tieslietu ministrija neatbalsta šāda veida formulas pielietošanu slēgto asignējumu identificēšanai. Vēršam uzmanību, ka Tieslietu ministrijas resorā ir iestādes, kuru budžetā pašu ieņēmumu apmērs sastāda aptuveni 60% no kopējā budžeta, līdz ar to </w:t>
            </w:r>
            <w:r w:rsidRPr="00BE25AC">
              <w:rPr>
                <w:sz w:val="22"/>
                <w:szCs w:val="22"/>
              </w:rPr>
              <w:lastRenderedPageBreak/>
              <w:t xml:space="preserve">uzskaitīt visus neiztērētos līdzekļus kā neizlietoto budžeta dotāciju nav pamata. Papildus budžetā tiek iestrādāts arī neizlietotais iepriekšējo periodu pašu ieņēmumu atlikums, kas saskaņā ar piedāvāto formulu arī tiktu slēgts kā neizlietotā dotācija, ja kādu iemeslu dēļ netiktu iztērēts. Anotācijā piedāvātais variants nodalīt pašu ieņēmumus atsevišķā finansēšanas plānā Tieslietu ministrijas gadījumā radītu papildu slogu, jo lielākā daļa maksājumu būtu jāveic no diviem dažādiem kontiem, kā arī prasītu papildu resursu tieslietu resora budžeta plānošanas un izpildes kontroles sistēmas pielāgošanai. </w:t>
            </w:r>
          </w:p>
          <w:p w14:paraId="41DFE8BC" w14:textId="4C053BB5" w:rsidR="00C914C8" w:rsidRPr="00BE25AC" w:rsidRDefault="00C914C8" w:rsidP="00C914C8">
            <w:pPr>
              <w:ind w:firstLine="851"/>
              <w:jc w:val="both"/>
              <w:rPr>
                <w:sz w:val="22"/>
                <w:szCs w:val="22"/>
              </w:rPr>
            </w:pPr>
          </w:p>
          <w:p w14:paraId="468E4102" w14:textId="77777777" w:rsidR="00C914C8" w:rsidRPr="00BE25AC" w:rsidRDefault="00C914C8" w:rsidP="00C914C8">
            <w:pPr>
              <w:jc w:val="both"/>
              <w:rPr>
                <w:b/>
                <w:sz w:val="22"/>
                <w:szCs w:val="22"/>
              </w:rPr>
            </w:pPr>
            <w:r w:rsidRPr="00BE25AC">
              <w:rPr>
                <w:b/>
                <w:sz w:val="22"/>
                <w:szCs w:val="22"/>
              </w:rPr>
              <w:t>Aizsardzības ministrija</w:t>
            </w:r>
          </w:p>
          <w:p w14:paraId="5A60B46E" w14:textId="77777777" w:rsidR="00C914C8" w:rsidRPr="00BE25AC" w:rsidRDefault="00C914C8" w:rsidP="00C914C8">
            <w:pPr>
              <w:jc w:val="both"/>
              <w:rPr>
                <w:b/>
                <w:sz w:val="22"/>
                <w:szCs w:val="22"/>
              </w:rPr>
            </w:pPr>
          </w:p>
          <w:p w14:paraId="4AF6BD79" w14:textId="77777777" w:rsidR="00C914C8" w:rsidRPr="00BE25AC" w:rsidRDefault="00C914C8" w:rsidP="00C914C8">
            <w:pPr>
              <w:widowControl w:val="0"/>
              <w:jc w:val="both"/>
              <w:rPr>
                <w:sz w:val="22"/>
                <w:szCs w:val="22"/>
              </w:rPr>
            </w:pPr>
            <w:r w:rsidRPr="00BE25AC">
              <w:rPr>
                <w:sz w:val="22"/>
                <w:szCs w:val="22"/>
              </w:rPr>
              <w:t>Neatbalstām piedāvātā 45.</w:t>
            </w:r>
            <w:r w:rsidRPr="00BE25AC">
              <w:rPr>
                <w:sz w:val="22"/>
                <w:szCs w:val="22"/>
                <w:vertAlign w:val="superscript"/>
              </w:rPr>
              <w:t>2</w:t>
            </w:r>
            <w:r w:rsidRPr="00BE25AC">
              <w:rPr>
                <w:sz w:val="22"/>
                <w:szCs w:val="22"/>
              </w:rPr>
              <w:t>3. apakšpunkta redakciju (</w:t>
            </w:r>
            <w:proofErr w:type="spellStart"/>
            <w:r w:rsidRPr="00BE25AC">
              <w:rPr>
                <w:sz w:val="22"/>
                <w:szCs w:val="22"/>
              </w:rPr>
              <w:t>skat.noteikumu</w:t>
            </w:r>
            <w:proofErr w:type="spellEnd"/>
            <w:r w:rsidRPr="00BE25AC">
              <w:rPr>
                <w:sz w:val="22"/>
                <w:szCs w:val="22"/>
              </w:rPr>
              <w:t xml:space="preserve"> projekta 1.6. apakšpunktu), jo:</w:t>
            </w:r>
          </w:p>
          <w:p w14:paraId="76CF98CE" w14:textId="77777777" w:rsidR="00C914C8" w:rsidRPr="00BE25AC" w:rsidRDefault="00C914C8" w:rsidP="00C914C8">
            <w:pPr>
              <w:widowControl w:val="0"/>
              <w:jc w:val="both"/>
              <w:rPr>
                <w:sz w:val="22"/>
                <w:szCs w:val="22"/>
              </w:rPr>
            </w:pPr>
            <w:r w:rsidRPr="00BE25AC">
              <w:rPr>
                <w:sz w:val="22"/>
                <w:szCs w:val="22"/>
              </w:rPr>
              <w:t>1) Plānotie pašu ieņēmumi par maksas pakalpojumiem un citiem pašu ieņēmumiem tiek saņemti arī saimnieciskā gada pēdējās dienās, un līdz ar to tos nav iespējams izlietot. Ņemot vērā iepriekš minēto, nav pieļaujams, ka plānotos pašu ieņēmumus, kuri saņemti gada pēdējās dienās, Valsts kase tos slēdz kā saimnieciskā gadā neizmantotos valsts budžeta asignējumus.</w:t>
            </w:r>
          </w:p>
          <w:p w14:paraId="15260C7A" w14:textId="77777777" w:rsidR="00C914C8" w:rsidRPr="00BE25AC" w:rsidRDefault="00C914C8" w:rsidP="00C914C8">
            <w:pPr>
              <w:widowControl w:val="0"/>
              <w:jc w:val="both"/>
              <w:rPr>
                <w:sz w:val="22"/>
                <w:szCs w:val="22"/>
              </w:rPr>
            </w:pPr>
            <w:r w:rsidRPr="00BE25AC">
              <w:rPr>
                <w:sz w:val="22"/>
                <w:szCs w:val="22"/>
              </w:rPr>
              <w:t xml:space="preserve">2) Norādām, ka Aizsardzības ministrijai tiek ieskaitīti līdzekļi ieņēmumu ekonomiskās klasifikācijas kodā 21.4.2.6 “NATO dalībvalstu </w:t>
            </w:r>
            <w:proofErr w:type="spellStart"/>
            <w:r w:rsidRPr="00BE25AC">
              <w:rPr>
                <w:sz w:val="22"/>
                <w:szCs w:val="22"/>
              </w:rPr>
              <w:t>līdzmaksājumi</w:t>
            </w:r>
            <w:proofErr w:type="spellEnd"/>
            <w:r w:rsidRPr="00BE25AC">
              <w:rPr>
                <w:sz w:val="22"/>
                <w:szCs w:val="22"/>
              </w:rPr>
              <w:t xml:space="preserve"> par aktivitātēm Latvijas Republikas teritorijā”, no kuriem tiek veikti maksājumi ēdināšanas izdevumiem, </w:t>
            </w:r>
            <w:r w:rsidRPr="00BE25AC">
              <w:rPr>
                <w:sz w:val="22"/>
                <w:szCs w:val="22"/>
              </w:rPr>
              <w:lastRenderedPageBreak/>
              <w:t>degvielas izdevumiem un smērvielām, lai nodrošinātu NATO Kaujas grupas klātbūtni Latvijas Republikas teritorijā. Nav iespējams nodalīt ēdināšanas un iegāžu izdevumus NATO Kaujas grupai un Latvijas karavīriem dažādos kontos, jo ikdienas sadzīvē to nav iespējams nodalīt, attiecīgi, ja Valsts kase līdzekļu atlikumu kontā slēgs kā saimnieciskajā gadā neizmantotos valsts budžeta asignējumus, būs problēmas nākamajā saimnieciskajā gadā nodrošināt apmaksas piegādātājiem. Attiecīgi aicinām saglabāt esošo kārtību, kad iestādes pašu ieņēmumu atlikumus bija tiesīgas pārcelt deponēto līdzekļu kontā un izmantot nākamā gadā.</w:t>
            </w:r>
          </w:p>
          <w:p w14:paraId="6FB95EB0" w14:textId="4A13330E" w:rsidR="00C914C8" w:rsidRPr="00BE25AC" w:rsidRDefault="00766BFE" w:rsidP="00C914C8">
            <w:pPr>
              <w:widowControl w:val="0"/>
              <w:jc w:val="both"/>
              <w:rPr>
                <w:sz w:val="22"/>
                <w:szCs w:val="22"/>
              </w:rPr>
            </w:pPr>
            <w:r w:rsidRPr="00BE25AC">
              <w:rPr>
                <w:sz w:val="22"/>
                <w:szCs w:val="22"/>
              </w:rPr>
              <w:t xml:space="preserve">3) </w:t>
            </w:r>
            <w:r w:rsidR="00C914C8" w:rsidRPr="00BE25AC">
              <w:rPr>
                <w:sz w:val="22"/>
                <w:szCs w:val="22"/>
              </w:rPr>
              <w:t xml:space="preserve">Atsevišķos gadījumos debitori maksu par pakalpojumiem ieskaita izdevumu ekonomiskās klasifikācijas kodā. Saskaņā ar noteikumu projektu, ja tas notiks gada beigās, Valsts kase automātiski tos slēgs kā saimnieciskajā gadā neizmantotos valsts budžeta asignējumus, kaut arī tie ir pašu ieņēmumi, kurus plānots izlietot. Pārskata gada beigās, slēdzot budžeta asignējumus, veiktie maksājumi un ieņēmumi neatbildīs 27.12.2005. Ministru kabineta noteikumos Nr.1032 “Noteikumi par budžetu ieņēmumu klasifikāciju” noteiktajai ekonomiskajai būtībai, kā arī grāmatvedībā netiks patiesi atspoguļoti uzņēmuma saimnieciskie darījumi. </w:t>
            </w:r>
          </w:p>
          <w:p w14:paraId="357272E2" w14:textId="48A81F92" w:rsidR="00C914C8" w:rsidRPr="00BE25AC" w:rsidRDefault="00766BFE" w:rsidP="00C914C8">
            <w:pPr>
              <w:widowControl w:val="0"/>
              <w:jc w:val="both"/>
              <w:rPr>
                <w:sz w:val="22"/>
                <w:szCs w:val="22"/>
              </w:rPr>
            </w:pPr>
            <w:r w:rsidRPr="00BE25AC">
              <w:rPr>
                <w:sz w:val="22"/>
                <w:szCs w:val="22"/>
              </w:rPr>
              <w:t xml:space="preserve">4) </w:t>
            </w:r>
            <w:r w:rsidR="00C914C8" w:rsidRPr="00BE25AC">
              <w:rPr>
                <w:sz w:val="22"/>
                <w:szCs w:val="22"/>
              </w:rPr>
              <w:t xml:space="preserve">Lai saglabātu neizmantoto resursu atlikumu un lai turpinātu finansēt izdevumus nākamajā saimnieciskajā gadā, Valsts kase piedāvā </w:t>
            </w:r>
            <w:r w:rsidR="00C914C8" w:rsidRPr="00BE25AC">
              <w:rPr>
                <w:sz w:val="22"/>
                <w:szCs w:val="22"/>
              </w:rPr>
              <w:lastRenderedPageBreak/>
              <w:t>nodalīt atsevišķā finansēšanas plānā izdevumus, kurus paredzēts segt no iestāžu pašu ieņēmumiem. Iestādēm būs nepieciešams atvērt jaunus kontus maksas pakalpojumiem un citiem pašu ieņēmumiem, kas palielinās administratīvo slogu iestādei, veicot maksājumus no dažādiem kontiem par vienu maksājuma mērķi un nodrošinātu grāmatvedības uzskaiti, kā arī noslēgtajos līgumos par pakalpojumu sniegšanu būs jāveic grozījumi par norēķinu rekvizītiem.</w:t>
            </w:r>
          </w:p>
          <w:p w14:paraId="02AE2624" w14:textId="77777777" w:rsidR="00C914C8" w:rsidRPr="00BE25AC" w:rsidRDefault="00C914C8" w:rsidP="00C914C8">
            <w:pPr>
              <w:pStyle w:val="ListParagraph"/>
              <w:ind w:left="0"/>
              <w:jc w:val="both"/>
              <w:rPr>
                <w:sz w:val="22"/>
                <w:szCs w:val="22"/>
                <w:lang w:val="lv-LV"/>
              </w:rPr>
            </w:pPr>
            <w:r w:rsidRPr="00BE25AC">
              <w:rPr>
                <w:sz w:val="22"/>
                <w:szCs w:val="22"/>
                <w:lang w:val="lv-LV"/>
              </w:rPr>
              <w:t>Lai izvairītos no pašu ieņēmumu zaudēšanas, ņemot vērā iepriekš minēto, lūdzam saglabāt spēkā esošo kārtību attiecībā uz līdzekļu atlikuma (kura resursu avots ir gan maksas pakalpojumi un citi pašu ieņēmumi, gan dotācija no vispārējiem ieņēmumiem) uz iepriekšējā saimnieciskā gada beigām pārgrāmatošanu.</w:t>
            </w:r>
          </w:p>
          <w:p w14:paraId="6DF9E4FA" w14:textId="77777777" w:rsidR="00C914C8" w:rsidRPr="00BE25AC" w:rsidRDefault="00C914C8" w:rsidP="00C914C8">
            <w:pPr>
              <w:pStyle w:val="ListParagraph"/>
              <w:ind w:left="0" w:firstLine="720"/>
              <w:jc w:val="both"/>
              <w:rPr>
                <w:sz w:val="22"/>
                <w:szCs w:val="22"/>
                <w:lang w:val="lv-LV"/>
              </w:rPr>
            </w:pPr>
          </w:p>
          <w:p w14:paraId="26D249FA" w14:textId="77777777" w:rsidR="00C914C8" w:rsidRPr="00BE25AC" w:rsidRDefault="00C914C8" w:rsidP="00C914C8">
            <w:pPr>
              <w:pStyle w:val="ListParagraph"/>
              <w:ind w:left="0" w:firstLine="720"/>
              <w:jc w:val="both"/>
              <w:rPr>
                <w:sz w:val="22"/>
                <w:szCs w:val="22"/>
                <w:lang w:val="lv-LV"/>
              </w:rPr>
            </w:pPr>
          </w:p>
          <w:p w14:paraId="6C6CCFAA" w14:textId="77777777" w:rsidR="00C914C8" w:rsidRPr="00BE25AC" w:rsidRDefault="00C914C8" w:rsidP="00C914C8">
            <w:pPr>
              <w:jc w:val="both"/>
              <w:rPr>
                <w:b/>
                <w:sz w:val="22"/>
                <w:szCs w:val="22"/>
              </w:rPr>
            </w:pPr>
            <w:r w:rsidRPr="00BE25AC">
              <w:rPr>
                <w:b/>
                <w:sz w:val="22"/>
                <w:szCs w:val="22"/>
              </w:rPr>
              <w:t>Labklājības ministrija</w:t>
            </w:r>
          </w:p>
          <w:p w14:paraId="2567906A" w14:textId="77777777" w:rsidR="00C914C8" w:rsidRPr="00BE25AC" w:rsidRDefault="00C914C8" w:rsidP="00C914C8">
            <w:pPr>
              <w:pStyle w:val="ListParagraph"/>
              <w:ind w:left="0" w:firstLine="720"/>
              <w:jc w:val="both"/>
              <w:rPr>
                <w:sz w:val="22"/>
                <w:szCs w:val="22"/>
                <w:lang w:val="lv-LV"/>
              </w:rPr>
            </w:pPr>
          </w:p>
          <w:p w14:paraId="111BFC77" w14:textId="77777777" w:rsidR="00C914C8" w:rsidRPr="00BE25AC" w:rsidRDefault="00C914C8" w:rsidP="00C914C8">
            <w:pPr>
              <w:shd w:val="clear" w:color="auto" w:fill="FFFFFF"/>
              <w:jc w:val="both"/>
              <w:rPr>
                <w:sz w:val="22"/>
                <w:szCs w:val="22"/>
              </w:rPr>
            </w:pPr>
            <w:r w:rsidRPr="00BE25AC">
              <w:rPr>
                <w:sz w:val="22"/>
                <w:szCs w:val="22"/>
              </w:rPr>
              <w:t>Lūdzam precizēt MK noteikumu projekta 45.</w:t>
            </w:r>
            <w:r w:rsidRPr="00BE25AC">
              <w:rPr>
                <w:sz w:val="22"/>
                <w:szCs w:val="22"/>
                <w:vertAlign w:val="superscript"/>
              </w:rPr>
              <w:t>2</w:t>
            </w:r>
            <w:r w:rsidRPr="00BE25AC">
              <w:rPr>
                <w:sz w:val="22"/>
                <w:szCs w:val="22"/>
              </w:rPr>
              <w:t>3.apakšpunktu, nosakot kā izņēmumu par gada pēdējās darba dienās iekasēto, bet neizmantoto finansējumu, kam resursu avots ir maksas pakalpojumi un citi pašu ieņēmumi, ja faktiski saņemtā maksas pakalpojumu un citu pašu ieņēmumu summa ir vienāda vai mazāka par valsts budžetā plānoto maksas pakalpojumu un citu pašu ieņēmumu apmēru, papildinot  45.</w:t>
            </w:r>
            <w:r w:rsidRPr="00BE25AC">
              <w:rPr>
                <w:sz w:val="22"/>
                <w:szCs w:val="22"/>
                <w:vertAlign w:val="superscript"/>
              </w:rPr>
              <w:t>2</w:t>
            </w:r>
            <w:r w:rsidRPr="00BE25AC">
              <w:rPr>
                <w:sz w:val="22"/>
                <w:szCs w:val="22"/>
              </w:rPr>
              <w:t>3.apakšpunkta pēdējo rindkopu šādā redakcijā: “</w:t>
            </w:r>
            <w:r w:rsidRPr="00BE25AC">
              <w:rPr>
                <w:sz w:val="22"/>
                <w:szCs w:val="22"/>
                <w:lang w:eastAsia="lv-LV"/>
              </w:rPr>
              <w:t xml:space="preserve">Ja faktiski saņemtā maksas pakalpojumu un citu pašu ieņēmumu summa </w:t>
            </w:r>
            <w:r w:rsidRPr="00BE25AC">
              <w:rPr>
                <w:sz w:val="22"/>
                <w:szCs w:val="22"/>
                <w:lang w:eastAsia="lv-LV"/>
              </w:rPr>
              <w:lastRenderedPageBreak/>
              <w:t xml:space="preserve">ir vienāda vai mazāka par plānoto, Valsts kase līdzekļu atlikumu kontā slēdz kā saimnieciskajā gadā neizmantotos valsts budžeta asignējumus saskaņā ar šo noteikumu 50. punktu, </w:t>
            </w:r>
            <w:r w:rsidRPr="00BE25AC">
              <w:rPr>
                <w:sz w:val="22"/>
                <w:szCs w:val="22"/>
              </w:rPr>
              <w:t>izņemot par trīs pēdējās darba dienās iekasēto, bet neizmantoto finansējumu, kam resursu avots ir maksas pakalpojumi un citi pašu ieņēmumi”.</w:t>
            </w:r>
          </w:p>
          <w:p w14:paraId="79B11F6B" w14:textId="77777777" w:rsidR="00C914C8" w:rsidRPr="00BE25AC" w:rsidRDefault="00C914C8" w:rsidP="00C914C8">
            <w:pPr>
              <w:pStyle w:val="Header"/>
              <w:ind w:firstLine="601"/>
              <w:rPr>
                <w:sz w:val="22"/>
                <w:szCs w:val="22"/>
                <w:lang w:val="lv-LV"/>
              </w:rPr>
            </w:pPr>
            <w:r w:rsidRPr="00BE25AC">
              <w:rPr>
                <w:sz w:val="22"/>
                <w:szCs w:val="22"/>
                <w:lang w:val="lv-LV"/>
              </w:rPr>
              <w:t>Ne visos gadījumos ir piemērojams MK noteikumu projekta 45.</w:t>
            </w:r>
            <w:r w:rsidRPr="00BE25AC">
              <w:rPr>
                <w:sz w:val="22"/>
                <w:szCs w:val="22"/>
                <w:vertAlign w:val="superscript"/>
                <w:lang w:val="lv-LV"/>
              </w:rPr>
              <w:t>2</w:t>
            </w:r>
            <w:r w:rsidRPr="00BE25AC">
              <w:rPr>
                <w:sz w:val="22"/>
                <w:szCs w:val="22"/>
                <w:lang w:val="lv-LV"/>
              </w:rPr>
              <w:t>3.apakšpunktā norādītais algoritms konta atlikuma uz gada beigām aprēķināšanai atbilstoši resursu avotam.</w:t>
            </w:r>
          </w:p>
          <w:p w14:paraId="1B0F42EF" w14:textId="77777777" w:rsidR="00C914C8" w:rsidRPr="00BE25AC" w:rsidRDefault="00C914C8" w:rsidP="00C914C8">
            <w:pPr>
              <w:ind w:firstLine="601"/>
              <w:jc w:val="both"/>
              <w:rPr>
                <w:sz w:val="22"/>
                <w:szCs w:val="22"/>
              </w:rPr>
            </w:pPr>
            <w:r w:rsidRPr="00BE25AC">
              <w:rPr>
                <w:sz w:val="22"/>
                <w:szCs w:val="22"/>
              </w:rPr>
              <w:t>Ne visos gadījumos maksas pakalpojumu un citu pašu ieņēmumu atlikums neveidojas, ja faktiski saņemtā maksas pakalpojumu un citu pašu ieņēmumu summa ir vienāda vai mazāka par plānoto. Maksas pakalpojumu un citu pašu ieņēmumu atlikums uz gada beigām var veidoties ne tikai no virsplāna ieņēmumiem, bet arī no pēdējās darba dienās iekasētajiem maksas pakalpojumiem un citiem pašu ieņēmumiem, kas neviedo virsplāna ieņēmumus, bet, kā resursu avots (maksas pakalpojumi un citi pašu ieņēmumi),  plānots kārtējā gada budžetā.</w:t>
            </w:r>
          </w:p>
          <w:p w14:paraId="3387966E" w14:textId="77777777" w:rsidR="00C914C8" w:rsidRPr="00BE25AC" w:rsidRDefault="00C914C8" w:rsidP="00C914C8">
            <w:pPr>
              <w:pStyle w:val="CommentText"/>
              <w:jc w:val="both"/>
              <w:rPr>
                <w:sz w:val="22"/>
                <w:szCs w:val="22"/>
              </w:rPr>
            </w:pPr>
            <w:r w:rsidRPr="00BE25AC">
              <w:rPr>
                <w:sz w:val="22"/>
                <w:szCs w:val="22"/>
              </w:rPr>
              <w:t xml:space="preserve">Piemēram, Sociālās integrācijas valsts aģentūra gada pēdējās darba dienās saņem no klientiem maksājumus par sniegtajiem sociālās un profesionālās rehabilitācijas pakalpojumiem, savukārt, gada pēdējās darba dienās no resursu avota, kas ir iekasētie maksas pakalpojumi un citi pašu ieņēmumi, ne vienmēr var pagūt veikt norēķinus ar piegādātājiem, pakalpojumu sniedzējiem, it </w:t>
            </w:r>
            <w:r w:rsidRPr="00BE25AC">
              <w:rPr>
                <w:sz w:val="22"/>
                <w:szCs w:val="22"/>
              </w:rPr>
              <w:lastRenderedPageBreak/>
              <w:t xml:space="preserve">īpaši, ja līdzekļi kontā ir ieskaitīti gada pēdējā darba dienā, kā rezultātā veidojas atlikums norēķinu kontā. Tāpat arī Valsts sociālās aprūpes iestāžu kontos (VSAC) pēdējās darba dienās no Valsts sociālās apdrošināšanas aģentūras  tiek ieskaitītas valsts sociālās aprūpes iestāžu klientu pensijas, kā rezultātā iestāžu norēķinu kontos var veidoties līdzekļu atlikums, kura resursu avots ir maksas pakalpojumi un citi pašu ieņēmumi. Atzīmējam arī, ka atsevišķi VSAC sniedz komunālos pakalpojumus, kur pakalpojuma saņēmēji pamatā ir fiziskas personas, kuru mājokļi ir pieslēgti VSAC ūdensapgādes un kanalizācijas sistēmu infrastruktūrai, kā rezultātā arī maksājumi par komunālajiem pakalpojumiem iestāžu kontos bieži vien ienāk gada pēdējās darba dienās, attiecīgi tālāk veikt norēķinus ar komunālo pakalpojumu sniedzējiem nevar pagūt.  Ņemot vērā, ka šie no mājsaimniecībām saņemtie līdzekļi tiek izmantoti tālāku norēķinu veikšanai ar komunālo pakalpojumu sniedzēju, situācijā, ja šāda veida maksas pakalpojumi un citi pašu ieņēmumi kontā ienāk gada pēdējās darba dienās un tie neklasificēsies kā atlikums no iekasētajiem maksas pakalpojumiem un citiem pašu ieņēmumiem, VSAC var veidoties zaudējumi, jo iepriekšējā saimnieciskajā gadā neizmantotie valsts budžeta asignējumi tiks slēgti attiecinot kontā esošos līdzekļus uz dotāciju no vispārējiem ieņēmumiem un norēķiniem par komunālajiem pakalpojumiem būs jāiegulda līdzekļi no nākamajam </w:t>
            </w:r>
            <w:r w:rsidRPr="00BE25AC">
              <w:rPr>
                <w:sz w:val="22"/>
                <w:szCs w:val="22"/>
              </w:rPr>
              <w:lastRenderedPageBreak/>
              <w:t>saimnieciskajam gadam piešķirtajiem valsts budžeta līdzekļiem.</w:t>
            </w:r>
          </w:p>
          <w:p w14:paraId="7FD07434" w14:textId="44257901" w:rsidR="00C914C8" w:rsidRPr="00BE25AC" w:rsidRDefault="00C914C8" w:rsidP="00BC1877">
            <w:pPr>
              <w:pStyle w:val="Header"/>
              <w:ind w:firstLine="601"/>
              <w:rPr>
                <w:sz w:val="22"/>
                <w:szCs w:val="22"/>
              </w:rPr>
            </w:pPr>
            <w:r w:rsidRPr="00BE25AC">
              <w:rPr>
                <w:sz w:val="22"/>
                <w:szCs w:val="22"/>
                <w:lang w:val="lv-LV"/>
              </w:rPr>
              <w:t xml:space="preserve">Balstoties uz iepriekšminētajiem praktiskajiem piemēriem par gada pēdējās darba dienās norēķinu kontos ieskaitītajiem ieņēmumiem no maksas pakalpojumiem un citiem pašu ieņēmumiem, lūdzam izvērtēt vai Valsts kase var ieviest praktiskajā dzīvē pāreju uz automatizētu procesu programmu/apakšprogrammu kontu atlikumu uz gada beigām aprēķināšanā, pārcelšanā un neizmantoto asignējumu slēgšanā. </w:t>
            </w:r>
          </w:p>
          <w:p w14:paraId="3C25BECB" w14:textId="39A456B0" w:rsidR="00C914C8" w:rsidRPr="00BE25AC" w:rsidRDefault="00C914C8" w:rsidP="00C914C8">
            <w:pPr>
              <w:jc w:val="both"/>
              <w:rPr>
                <w:b/>
                <w:sz w:val="22"/>
                <w:szCs w:val="22"/>
              </w:rPr>
            </w:pPr>
          </w:p>
        </w:tc>
        <w:tc>
          <w:tcPr>
            <w:tcW w:w="4720" w:type="dxa"/>
          </w:tcPr>
          <w:p w14:paraId="051E5952" w14:textId="2C93F765" w:rsidR="009B3EE1" w:rsidRPr="00BE25AC" w:rsidRDefault="009B3500" w:rsidP="009B3EE1">
            <w:pPr>
              <w:jc w:val="both"/>
              <w:rPr>
                <w:b/>
                <w:sz w:val="22"/>
                <w:szCs w:val="22"/>
              </w:rPr>
            </w:pPr>
            <w:r w:rsidRPr="00BE25AC">
              <w:rPr>
                <w:b/>
                <w:sz w:val="22"/>
                <w:szCs w:val="22"/>
              </w:rPr>
              <w:lastRenderedPageBreak/>
              <w:t>Ņemts vērā</w:t>
            </w:r>
          </w:p>
          <w:p w14:paraId="538F8C9F" w14:textId="391A7D79" w:rsidR="009C22E3" w:rsidRPr="00BE25AC" w:rsidRDefault="009C22E3" w:rsidP="009B3EE1">
            <w:pPr>
              <w:jc w:val="both"/>
              <w:rPr>
                <w:sz w:val="22"/>
                <w:szCs w:val="22"/>
              </w:rPr>
            </w:pPr>
          </w:p>
          <w:p w14:paraId="5D620240" w14:textId="663E579F" w:rsidR="00946146" w:rsidRPr="00BE25AC" w:rsidRDefault="00946146" w:rsidP="00946146">
            <w:pPr>
              <w:jc w:val="both"/>
              <w:rPr>
                <w:sz w:val="22"/>
                <w:szCs w:val="22"/>
              </w:rPr>
            </w:pPr>
            <w:r w:rsidRPr="00BE25AC">
              <w:rPr>
                <w:sz w:val="22"/>
                <w:szCs w:val="22"/>
              </w:rPr>
              <w:t xml:space="preserve">Izskatot ministriju iebildumu pamatojumu, piekrītam, ka </w:t>
            </w:r>
            <w:r w:rsidR="005D7AF7">
              <w:rPr>
                <w:sz w:val="22"/>
                <w:szCs w:val="22"/>
              </w:rPr>
              <w:t xml:space="preserve">piemērojot sākotnēji iestrādāto programmas atlikuma aprēķināšanas algoritmu vairāku resursu kontos, tas nebūs piemērojams iebildumos minētajām dzīves situācijām, kā arī pašu ieņēmumu nodalīšana no dotācijas var palielināt </w:t>
            </w:r>
            <w:r w:rsidR="005D7AF7" w:rsidRPr="005D7AF7">
              <w:rPr>
                <w:sz w:val="22"/>
                <w:szCs w:val="22"/>
              </w:rPr>
              <w:t>ikdienas administratīv</w:t>
            </w:r>
            <w:r w:rsidR="005D7AF7">
              <w:rPr>
                <w:sz w:val="22"/>
                <w:szCs w:val="22"/>
              </w:rPr>
              <w:t>o slogu</w:t>
            </w:r>
            <w:r w:rsidR="005D7AF7" w:rsidRPr="005D7AF7">
              <w:rPr>
                <w:sz w:val="22"/>
                <w:szCs w:val="22"/>
              </w:rPr>
              <w:t xml:space="preserve"> attiecībā uz grāmatvedīb</w:t>
            </w:r>
            <w:r w:rsidR="005D7AF7">
              <w:rPr>
                <w:sz w:val="22"/>
                <w:szCs w:val="22"/>
              </w:rPr>
              <w:t xml:space="preserve">as uzskaiti atsevišķās iestādēs. Tādēļ </w:t>
            </w:r>
            <w:r w:rsidR="005D7AF7" w:rsidRPr="005D7AF7">
              <w:rPr>
                <w:sz w:val="22"/>
                <w:szCs w:val="22"/>
              </w:rPr>
              <w:t>Valsts kase sadarbībā ar Finanšu ministriju ir precizējusi atlikuma uz gada beigām aprēķināšanas algoritmu, kas nosaka</w:t>
            </w:r>
            <w:r w:rsidR="005D7AF7">
              <w:rPr>
                <w:sz w:val="22"/>
                <w:szCs w:val="22"/>
              </w:rPr>
              <w:t xml:space="preserve">, ka </w:t>
            </w:r>
            <w:r w:rsidRPr="00BE25AC">
              <w:rPr>
                <w:sz w:val="22"/>
                <w:szCs w:val="22"/>
              </w:rPr>
              <w:t xml:space="preserve">ja līdzekļu atlikuma resursu avots ir gan maksas pakalpojumi un citi pašu ieņēmumi, gan dotācija no vispārējiem ieņēmumiem, programmas atlikums ir ne vairāk kā 25 procenti no kārtējā gadā faktiski saņemto ieņēmumu summas, kas nepārsniedz plānoto katrā budžeta rādītājā, un neplānoto un virsplāna maksas pakalpojumu un citu pašu ieņēmumu summa pilnā apmērā (anotācija papildināta ar aprēķināšanas algoritma </w:t>
            </w:r>
            <w:r w:rsidR="006716C1">
              <w:rPr>
                <w:sz w:val="22"/>
                <w:szCs w:val="22"/>
              </w:rPr>
              <w:t xml:space="preserve">detalizētu </w:t>
            </w:r>
            <w:r w:rsidRPr="00BE25AC">
              <w:rPr>
                <w:sz w:val="22"/>
                <w:szCs w:val="22"/>
              </w:rPr>
              <w:t>aprakstu un piemēriem).</w:t>
            </w:r>
          </w:p>
          <w:p w14:paraId="684C4913" w14:textId="081E8D79" w:rsidR="00FA4740" w:rsidRPr="00BE25AC" w:rsidRDefault="00946146" w:rsidP="009B3EE1">
            <w:pPr>
              <w:jc w:val="both"/>
              <w:rPr>
                <w:sz w:val="22"/>
                <w:szCs w:val="22"/>
              </w:rPr>
            </w:pPr>
            <w:r w:rsidRPr="00BE25AC">
              <w:rPr>
                <w:sz w:val="22"/>
                <w:szCs w:val="22"/>
              </w:rPr>
              <w:t xml:space="preserve">Ieviešot </w:t>
            </w:r>
            <w:r w:rsidR="002A62D3">
              <w:rPr>
                <w:sz w:val="22"/>
                <w:szCs w:val="22"/>
              </w:rPr>
              <w:t>minēto</w:t>
            </w:r>
            <w:r w:rsidR="002A62D3" w:rsidRPr="00BE25AC">
              <w:rPr>
                <w:sz w:val="22"/>
                <w:szCs w:val="22"/>
              </w:rPr>
              <w:t xml:space="preserve"> </w:t>
            </w:r>
            <w:r w:rsidR="003932A2" w:rsidRPr="00BE25AC">
              <w:rPr>
                <w:sz w:val="22"/>
                <w:szCs w:val="22"/>
              </w:rPr>
              <w:t xml:space="preserve">variantu, </w:t>
            </w:r>
            <w:r w:rsidRPr="00BE25AC">
              <w:rPr>
                <w:sz w:val="22"/>
                <w:szCs w:val="22"/>
              </w:rPr>
              <w:t xml:space="preserve">vienlaikus tiek ieviesta atlikumu pārcelšanas automatizācija jau 2020.gada programmu un apakšprogrammu atlikumiem, jo nav jānodrošina pārejas posms budžeta izpildes </w:t>
            </w:r>
            <w:r w:rsidRPr="00BE25AC">
              <w:rPr>
                <w:sz w:val="22"/>
                <w:szCs w:val="22"/>
              </w:rPr>
              <w:lastRenderedPageBreak/>
              <w:t xml:space="preserve">procesa pielāgošanai, kā arī nodrošināta iespēja </w:t>
            </w:r>
            <w:r w:rsidR="006716C1">
              <w:rPr>
                <w:sz w:val="22"/>
                <w:szCs w:val="22"/>
              </w:rPr>
              <w:t xml:space="preserve">budžeta izpildītājam </w:t>
            </w:r>
            <w:r w:rsidRPr="00BE25AC">
              <w:rPr>
                <w:sz w:val="22"/>
                <w:szCs w:val="22"/>
              </w:rPr>
              <w:t xml:space="preserve">precizēt </w:t>
            </w:r>
            <w:r w:rsidR="006716C1">
              <w:rPr>
                <w:sz w:val="22"/>
                <w:szCs w:val="22"/>
              </w:rPr>
              <w:t xml:space="preserve">uz 2021.gadu </w:t>
            </w:r>
            <w:r w:rsidRPr="00BE25AC">
              <w:rPr>
                <w:sz w:val="22"/>
                <w:szCs w:val="22"/>
              </w:rPr>
              <w:t>pārceļamo atlikuma summu</w:t>
            </w:r>
            <w:r w:rsidR="006716C1">
              <w:rPr>
                <w:sz w:val="22"/>
                <w:szCs w:val="22"/>
              </w:rPr>
              <w:t xml:space="preserve"> un kontu</w:t>
            </w:r>
            <w:r w:rsidRPr="00BE25AC">
              <w:rPr>
                <w:sz w:val="22"/>
                <w:szCs w:val="22"/>
              </w:rPr>
              <w:t>.</w:t>
            </w:r>
          </w:p>
          <w:p w14:paraId="0D664F57" w14:textId="299FEE86" w:rsidR="00BE25AC" w:rsidRDefault="00BE25AC" w:rsidP="009B3EE1">
            <w:pPr>
              <w:jc w:val="both"/>
              <w:rPr>
                <w:sz w:val="22"/>
                <w:szCs w:val="22"/>
              </w:rPr>
            </w:pPr>
            <w:r>
              <w:rPr>
                <w:sz w:val="22"/>
                <w:szCs w:val="22"/>
              </w:rPr>
              <w:t xml:space="preserve">Skaidrojam, ka </w:t>
            </w:r>
            <w:r w:rsidRPr="00BE25AC">
              <w:rPr>
                <w:sz w:val="22"/>
                <w:szCs w:val="22"/>
              </w:rPr>
              <w:t>MK noteikumu Nr.1220 7.punkts nosaka atsevišķa finansēšanas plāna obligātos nosacījumus, un viennozīmīgai izpratnei noteikumu projekts paredz papildināt noteikumus ar jaunu 7.</w:t>
            </w:r>
            <w:r w:rsidRPr="00BE25AC">
              <w:rPr>
                <w:sz w:val="22"/>
                <w:szCs w:val="22"/>
                <w:vertAlign w:val="superscript"/>
              </w:rPr>
              <w:t>1</w:t>
            </w:r>
            <w:r w:rsidRPr="00BE25AC">
              <w:rPr>
                <w:sz w:val="22"/>
                <w:szCs w:val="22"/>
              </w:rPr>
              <w:t xml:space="preserve"> punktu, kas nosaka, ka budžeta izpildītāji var sagatavot atsevišķus finansēšanas plānu projektus pēc nepieciešamības ievērojot šo noteikumu 7.punktā noteikto.</w:t>
            </w:r>
            <w:r>
              <w:rPr>
                <w:sz w:val="22"/>
                <w:szCs w:val="22"/>
              </w:rPr>
              <w:t xml:space="preserve"> Minētais paredzēts tajos gadījumos, kad </w:t>
            </w:r>
            <w:r w:rsidRPr="00BE25AC">
              <w:rPr>
                <w:sz w:val="22"/>
                <w:szCs w:val="22"/>
              </w:rPr>
              <w:t xml:space="preserve">noteikumu projektā paredzētais programmas atlikuma aprēķina algoritms nav piemērots konkrētā dzīves situācijā, </w:t>
            </w:r>
            <w:r>
              <w:rPr>
                <w:sz w:val="22"/>
                <w:szCs w:val="22"/>
              </w:rPr>
              <w:t xml:space="preserve">līdz ar to </w:t>
            </w:r>
            <w:r w:rsidRPr="00BE25AC">
              <w:rPr>
                <w:sz w:val="22"/>
                <w:szCs w:val="22"/>
              </w:rPr>
              <w:t>budžeta izpildītāji ir tiesīgi nodalīt resursus un izdevumus atsevišķā finansēšanas plānā</w:t>
            </w:r>
            <w:r>
              <w:rPr>
                <w:sz w:val="22"/>
                <w:szCs w:val="22"/>
              </w:rPr>
              <w:t xml:space="preserve"> pēc nepieciešamības.</w:t>
            </w:r>
          </w:p>
          <w:p w14:paraId="563AB13B" w14:textId="5DBB4A34" w:rsidR="00BE25AC" w:rsidRPr="00EA3524" w:rsidRDefault="00BE25AC" w:rsidP="009B3EE1">
            <w:pPr>
              <w:jc w:val="both"/>
              <w:rPr>
                <w:b/>
                <w:sz w:val="22"/>
                <w:szCs w:val="22"/>
              </w:rPr>
            </w:pPr>
          </w:p>
          <w:p w14:paraId="42E2B188" w14:textId="2EA504FC" w:rsidR="00C8314C" w:rsidRPr="00BE25AC" w:rsidRDefault="00C8314C" w:rsidP="009B3EE1">
            <w:pPr>
              <w:jc w:val="both"/>
              <w:rPr>
                <w:sz w:val="22"/>
                <w:szCs w:val="22"/>
              </w:rPr>
            </w:pPr>
          </w:p>
          <w:p w14:paraId="0BBCF2E5" w14:textId="56B4B11A" w:rsidR="00195446" w:rsidRPr="00BE25AC" w:rsidRDefault="00195446" w:rsidP="009B3EE1">
            <w:pPr>
              <w:jc w:val="both"/>
              <w:rPr>
                <w:sz w:val="22"/>
                <w:szCs w:val="22"/>
              </w:rPr>
            </w:pPr>
          </w:p>
          <w:p w14:paraId="6CFB181F" w14:textId="6A33324B" w:rsidR="00195446" w:rsidRPr="00BE25AC" w:rsidRDefault="00195446" w:rsidP="009B3EE1">
            <w:pPr>
              <w:jc w:val="both"/>
              <w:rPr>
                <w:sz w:val="22"/>
                <w:szCs w:val="22"/>
              </w:rPr>
            </w:pPr>
          </w:p>
          <w:p w14:paraId="0F153F73" w14:textId="5326769F" w:rsidR="000615BE" w:rsidRPr="00BE25AC" w:rsidRDefault="000615BE" w:rsidP="00183DF0">
            <w:pPr>
              <w:jc w:val="both"/>
              <w:rPr>
                <w:sz w:val="22"/>
                <w:szCs w:val="22"/>
              </w:rPr>
            </w:pPr>
          </w:p>
        </w:tc>
        <w:tc>
          <w:tcPr>
            <w:tcW w:w="2189" w:type="dxa"/>
          </w:tcPr>
          <w:p w14:paraId="19BE5D3E" w14:textId="77777777" w:rsidR="006716C1" w:rsidRPr="006716C1" w:rsidRDefault="006716C1" w:rsidP="006716C1">
            <w:pPr>
              <w:jc w:val="both"/>
              <w:rPr>
                <w:b/>
                <w:sz w:val="22"/>
                <w:szCs w:val="22"/>
              </w:rPr>
            </w:pPr>
            <w:r w:rsidRPr="006716C1">
              <w:rPr>
                <w:b/>
                <w:sz w:val="22"/>
                <w:szCs w:val="22"/>
              </w:rPr>
              <w:lastRenderedPageBreak/>
              <w:t>1.1.</w:t>
            </w:r>
            <w:r w:rsidRPr="006716C1">
              <w:rPr>
                <w:b/>
                <w:sz w:val="22"/>
                <w:szCs w:val="22"/>
              </w:rPr>
              <w:tab/>
              <w:t>papildināt noteikumus ar 7.</w:t>
            </w:r>
            <w:r w:rsidRPr="006716C1">
              <w:rPr>
                <w:b/>
                <w:sz w:val="22"/>
                <w:szCs w:val="22"/>
                <w:vertAlign w:val="superscript"/>
              </w:rPr>
              <w:t>1</w:t>
            </w:r>
            <w:r w:rsidRPr="006716C1">
              <w:rPr>
                <w:b/>
                <w:sz w:val="22"/>
                <w:szCs w:val="22"/>
              </w:rPr>
              <w:t xml:space="preserve"> punktu šādā redakcijā:</w:t>
            </w:r>
          </w:p>
          <w:p w14:paraId="370BDA08" w14:textId="77777777" w:rsidR="006716C1" w:rsidRPr="006716C1" w:rsidRDefault="006716C1" w:rsidP="006716C1">
            <w:pPr>
              <w:jc w:val="both"/>
              <w:rPr>
                <w:b/>
                <w:sz w:val="22"/>
                <w:szCs w:val="22"/>
              </w:rPr>
            </w:pPr>
          </w:p>
          <w:p w14:paraId="4F9FB09D" w14:textId="5CB83BD2" w:rsidR="006716C1" w:rsidRPr="006716C1" w:rsidRDefault="006716C1" w:rsidP="006716C1">
            <w:pPr>
              <w:pStyle w:val="ListParagraph"/>
              <w:ind w:left="-88"/>
              <w:jc w:val="both"/>
              <w:rPr>
                <w:b/>
                <w:sz w:val="22"/>
                <w:szCs w:val="22"/>
                <w:lang w:val="lv-LV"/>
              </w:rPr>
            </w:pPr>
            <w:r w:rsidRPr="006716C1">
              <w:rPr>
                <w:b/>
                <w:sz w:val="22"/>
                <w:szCs w:val="22"/>
                <w:lang w:val="lv-LV"/>
              </w:rPr>
              <w:t>“7.1 Budžeta izpildītāji var sagatavot atsevišķus finansēšanas plānu projektus pēc nepieciešamības ievērojot šo noteikumu 7.punktā noteikto.”;</w:t>
            </w:r>
          </w:p>
          <w:p w14:paraId="52FA66F9" w14:textId="77777777" w:rsidR="006716C1" w:rsidRPr="006716C1" w:rsidRDefault="006716C1" w:rsidP="00622C96">
            <w:pPr>
              <w:pStyle w:val="ListParagraph"/>
              <w:ind w:left="-88"/>
              <w:jc w:val="both"/>
              <w:rPr>
                <w:sz w:val="22"/>
                <w:szCs w:val="22"/>
                <w:lang w:val="lv-LV"/>
              </w:rPr>
            </w:pPr>
          </w:p>
          <w:p w14:paraId="07186908" w14:textId="4CDCF045" w:rsidR="00622C96" w:rsidRPr="006716C1" w:rsidRDefault="00622C96" w:rsidP="00622C96">
            <w:pPr>
              <w:pStyle w:val="ListParagraph"/>
              <w:ind w:left="-88"/>
              <w:jc w:val="both"/>
              <w:rPr>
                <w:sz w:val="22"/>
                <w:szCs w:val="22"/>
                <w:lang w:val="lv-LV"/>
              </w:rPr>
            </w:pPr>
            <w:r w:rsidRPr="006716C1">
              <w:rPr>
                <w:sz w:val="22"/>
                <w:szCs w:val="22"/>
                <w:lang w:val="lv-LV"/>
              </w:rPr>
              <w:t>1.4.</w:t>
            </w:r>
            <w:r w:rsidRPr="006716C1">
              <w:rPr>
                <w:sz w:val="22"/>
                <w:szCs w:val="22"/>
                <w:lang w:val="lv-LV"/>
              </w:rPr>
              <w:tab/>
              <w:t>izteikt 45. punktu šādā redakcijā:</w:t>
            </w:r>
          </w:p>
          <w:p w14:paraId="4E81F9D9" w14:textId="77777777" w:rsidR="00622C96" w:rsidRPr="006716C1" w:rsidRDefault="00622C96" w:rsidP="00622C96">
            <w:pPr>
              <w:pStyle w:val="ListParagraph"/>
              <w:ind w:left="-88"/>
              <w:jc w:val="both"/>
              <w:rPr>
                <w:sz w:val="22"/>
                <w:szCs w:val="22"/>
                <w:lang w:val="lv-LV"/>
              </w:rPr>
            </w:pPr>
          </w:p>
          <w:p w14:paraId="6B5ADE89" w14:textId="159EC7A7" w:rsidR="00622C96" w:rsidRPr="006716C1" w:rsidRDefault="00622C96" w:rsidP="00622C96">
            <w:pPr>
              <w:pStyle w:val="ListParagraph"/>
              <w:ind w:left="-88"/>
              <w:jc w:val="both"/>
              <w:rPr>
                <w:sz w:val="22"/>
                <w:szCs w:val="22"/>
                <w:lang w:val="lv-LV"/>
              </w:rPr>
            </w:pPr>
            <w:r w:rsidRPr="006716C1">
              <w:rPr>
                <w:sz w:val="22"/>
                <w:szCs w:val="22"/>
                <w:lang w:val="lv-LV"/>
              </w:rPr>
              <w:t xml:space="preserve">“45. </w:t>
            </w:r>
            <w:r w:rsidR="006716C1" w:rsidRPr="006716C1">
              <w:rPr>
                <w:sz w:val="22"/>
                <w:szCs w:val="22"/>
                <w:lang w:val="lv-LV" w:eastAsia="lv-LV"/>
              </w:rPr>
              <w:t xml:space="preserve">Ja budžeta izpildītājiem valsts pamatbudžeta programmas vai apakšprogrammas kontā iepriekšējā gada beigās saglabājies līdzekļu atlikums </w:t>
            </w:r>
            <w:r w:rsidR="006716C1" w:rsidRPr="006716C1">
              <w:rPr>
                <w:b/>
                <w:sz w:val="22"/>
                <w:szCs w:val="22"/>
                <w:lang w:val="lv-LV" w:eastAsia="lv-LV"/>
              </w:rPr>
              <w:t xml:space="preserve">no </w:t>
            </w:r>
            <w:r w:rsidR="006716C1" w:rsidRPr="006716C1">
              <w:rPr>
                <w:b/>
                <w:sz w:val="22"/>
                <w:szCs w:val="22"/>
                <w:lang w:val="lv-LV" w:eastAsia="lv-LV"/>
              </w:rPr>
              <w:lastRenderedPageBreak/>
              <w:t xml:space="preserve">maksas pakalpojumiem un citiem pašu ieņēmumiem, tai skaitā </w:t>
            </w:r>
            <w:proofErr w:type="spellStart"/>
            <w:r w:rsidR="006716C1" w:rsidRPr="006716C1">
              <w:rPr>
                <w:b/>
                <w:sz w:val="22"/>
                <w:szCs w:val="22"/>
                <w:lang w:val="lv-LV" w:eastAsia="lv-LV"/>
              </w:rPr>
              <w:t>transferta</w:t>
            </w:r>
            <w:proofErr w:type="spellEnd"/>
            <w:r w:rsidR="006716C1" w:rsidRPr="006716C1">
              <w:rPr>
                <w:b/>
                <w:sz w:val="22"/>
                <w:szCs w:val="22"/>
                <w:lang w:val="lv-LV" w:eastAsia="lv-LV"/>
              </w:rPr>
              <w:t xml:space="preserve">, vai ārvalstu finanšu palīdzības, tai skaitā </w:t>
            </w:r>
            <w:proofErr w:type="spellStart"/>
            <w:r w:rsidR="006716C1" w:rsidRPr="006716C1">
              <w:rPr>
                <w:b/>
                <w:sz w:val="22"/>
                <w:szCs w:val="22"/>
                <w:lang w:val="lv-LV" w:eastAsia="lv-LV"/>
              </w:rPr>
              <w:t>transferta</w:t>
            </w:r>
            <w:proofErr w:type="spellEnd"/>
            <w:r w:rsidR="006716C1" w:rsidRPr="006716C1">
              <w:rPr>
                <w:sz w:val="22"/>
                <w:szCs w:val="22"/>
                <w:lang w:val="lv-LV" w:eastAsia="lv-LV"/>
              </w:rPr>
              <w:t>, Valsts kase</w:t>
            </w:r>
            <w:r w:rsidRPr="006716C1">
              <w:rPr>
                <w:sz w:val="22"/>
                <w:szCs w:val="22"/>
                <w:lang w:val="lv-LV"/>
              </w:rPr>
              <w:t xml:space="preserve"> līdz kārtējā saimnieciskā gada 1. janvārim aprēķina uz nākamo saimniecisko gadu pārceļamo programmas vai apakšprogrammas atlikumu saskaņā ar šo noteikumu 45.</w:t>
            </w:r>
            <w:r w:rsidRPr="006716C1">
              <w:rPr>
                <w:sz w:val="22"/>
                <w:szCs w:val="22"/>
                <w:vertAlign w:val="superscript"/>
                <w:lang w:val="lv-LV"/>
              </w:rPr>
              <w:t>2</w:t>
            </w:r>
            <w:r w:rsidRPr="006716C1">
              <w:rPr>
                <w:sz w:val="22"/>
                <w:szCs w:val="22"/>
                <w:lang w:val="lv-LV"/>
              </w:rPr>
              <w:t xml:space="preserve"> punktā noteikto (turpmāk - programmas atlikums) un ieskaita to deponēto līdzekļu kontā Valsts kasē, kas atvērts budžeta izpildītājam attiecīgās programmas vai apakšprogrammas atlikumu uzskaitei līdz to ieplānošanai budžetā. Pēc programmas atlikuma ieplānošanas budžetā budžeta izpildītājs veic līdzekļu pārgrāmatošanu uz valsts pamatbudžeta izdevumu kontu, </w:t>
            </w:r>
            <w:r w:rsidRPr="006716C1">
              <w:rPr>
                <w:sz w:val="22"/>
                <w:szCs w:val="22"/>
                <w:lang w:val="lv-LV"/>
              </w:rPr>
              <w:lastRenderedPageBreak/>
              <w:t>piemērojot atbilstošo finansēšanas klasifikācijas kodu. Ja budžeta izpildītājam nav atvērts deponēto līdzekļu konts attiecīgās programmas vai apakšprogrammas atlikuma uzskaitei, Valsts kase ieskaita programmas atlikumu kārtējam saimnieciskajam gadam atvērtajā valsts pamatbudžeta izdevumu kontā.”;</w:t>
            </w:r>
          </w:p>
          <w:p w14:paraId="18180C68" w14:textId="77777777" w:rsidR="00622C96" w:rsidRPr="006716C1" w:rsidRDefault="00622C96" w:rsidP="00622C96">
            <w:pPr>
              <w:pStyle w:val="ListParagraph"/>
              <w:ind w:left="-88"/>
              <w:jc w:val="both"/>
              <w:rPr>
                <w:sz w:val="22"/>
                <w:szCs w:val="22"/>
                <w:lang w:val="lv-LV"/>
              </w:rPr>
            </w:pPr>
          </w:p>
          <w:p w14:paraId="6DA0B524" w14:textId="77777777" w:rsidR="00622C96" w:rsidRPr="006716C1" w:rsidRDefault="00622C96" w:rsidP="00622C96">
            <w:pPr>
              <w:pStyle w:val="ListParagraph"/>
              <w:ind w:left="-88"/>
              <w:jc w:val="both"/>
              <w:rPr>
                <w:sz w:val="22"/>
                <w:szCs w:val="22"/>
                <w:lang w:val="lv-LV"/>
              </w:rPr>
            </w:pPr>
            <w:r w:rsidRPr="006716C1">
              <w:rPr>
                <w:sz w:val="22"/>
                <w:szCs w:val="22"/>
                <w:lang w:val="lv-LV"/>
              </w:rPr>
              <w:t>1.5.</w:t>
            </w:r>
            <w:r w:rsidRPr="006716C1">
              <w:rPr>
                <w:sz w:val="22"/>
                <w:szCs w:val="22"/>
                <w:lang w:val="lv-LV"/>
              </w:rPr>
              <w:tab/>
              <w:t>svītrot 45.</w:t>
            </w:r>
            <w:r w:rsidRPr="006716C1">
              <w:rPr>
                <w:sz w:val="22"/>
                <w:szCs w:val="22"/>
                <w:vertAlign w:val="superscript"/>
                <w:lang w:val="lv-LV"/>
              </w:rPr>
              <w:t>1</w:t>
            </w:r>
            <w:r w:rsidRPr="006716C1">
              <w:rPr>
                <w:sz w:val="22"/>
                <w:szCs w:val="22"/>
                <w:lang w:val="lv-LV"/>
              </w:rPr>
              <w:t xml:space="preserve"> punktu;</w:t>
            </w:r>
          </w:p>
          <w:p w14:paraId="49520B3B" w14:textId="77777777" w:rsidR="00622C96" w:rsidRPr="006716C1" w:rsidRDefault="00622C96" w:rsidP="00622C96">
            <w:pPr>
              <w:pStyle w:val="ListParagraph"/>
              <w:ind w:left="-88"/>
              <w:jc w:val="both"/>
              <w:rPr>
                <w:sz w:val="22"/>
                <w:szCs w:val="22"/>
                <w:lang w:val="lv-LV"/>
              </w:rPr>
            </w:pPr>
          </w:p>
          <w:p w14:paraId="6B85B8AA" w14:textId="77777777" w:rsidR="00622C96" w:rsidRPr="006716C1" w:rsidRDefault="00622C96" w:rsidP="00622C96">
            <w:pPr>
              <w:pStyle w:val="ListParagraph"/>
              <w:ind w:left="-88"/>
              <w:jc w:val="both"/>
              <w:rPr>
                <w:sz w:val="22"/>
                <w:szCs w:val="22"/>
                <w:lang w:val="lv-LV"/>
              </w:rPr>
            </w:pPr>
            <w:r w:rsidRPr="006716C1">
              <w:rPr>
                <w:sz w:val="22"/>
                <w:szCs w:val="22"/>
                <w:lang w:val="lv-LV"/>
              </w:rPr>
              <w:t>1.6.</w:t>
            </w:r>
            <w:r w:rsidRPr="006716C1">
              <w:rPr>
                <w:sz w:val="22"/>
                <w:szCs w:val="22"/>
                <w:lang w:val="lv-LV"/>
              </w:rPr>
              <w:tab/>
              <w:t>papildināt noteikumus ar 45.</w:t>
            </w:r>
            <w:r w:rsidRPr="006716C1">
              <w:rPr>
                <w:sz w:val="22"/>
                <w:szCs w:val="22"/>
                <w:vertAlign w:val="superscript"/>
                <w:lang w:val="lv-LV"/>
              </w:rPr>
              <w:t>2</w:t>
            </w:r>
            <w:r w:rsidRPr="006716C1">
              <w:rPr>
                <w:sz w:val="22"/>
                <w:szCs w:val="22"/>
                <w:lang w:val="lv-LV"/>
              </w:rPr>
              <w:t xml:space="preserve"> punktu šādā redakcijā:</w:t>
            </w:r>
          </w:p>
          <w:p w14:paraId="040A309F" w14:textId="77777777" w:rsidR="00622C96" w:rsidRPr="006716C1" w:rsidRDefault="00622C96" w:rsidP="00622C96">
            <w:pPr>
              <w:pStyle w:val="ListParagraph"/>
              <w:ind w:left="-88"/>
              <w:jc w:val="both"/>
              <w:rPr>
                <w:sz w:val="22"/>
                <w:szCs w:val="22"/>
                <w:lang w:val="lv-LV"/>
              </w:rPr>
            </w:pPr>
          </w:p>
          <w:p w14:paraId="15F7F5BE" w14:textId="77777777" w:rsidR="00622C96" w:rsidRPr="006716C1" w:rsidRDefault="00622C96" w:rsidP="00622C96">
            <w:pPr>
              <w:pStyle w:val="ListParagraph"/>
              <w:ind w:left="-88"/>
              <w:jc w:val="both"/>
              <w:rPr>
                <w:sz w:val="22"/>
                <w:szCs w:val="22"/>
                <w:lang w:val="lv-LV"/>
              </w:rPr>
            </w:pPr>
            <w:r w:rsidRPr="006716C1">
              <w:rPr>
                <w:sz w:val="22"/>
                <w:szCs w:val="22"/>
                <w:lang w:val="lv-LV"/>
              </w:rPr>
              <w:t>“45.</w:t>
            </w:r>
            <w:r w:rsidRPr="006716C1">
              <w:rPr>
                <w:sz w:val="22"/>
                <w:szCs w:val="22"/>
                <w:vertAlign w:val="superscript"/>
                <w:lang w:val="lv-LV"/>
              </w:rPr>
              <w:t>2</w:t>
            </w:r>
            <w:r w:rsidRPr="006716C1">
              <w:rPr>
                <w:sz w:val="22"/>
                <w:szCs w:val="22"/>
                <w:lang w:val="lv-LV"/>
              </w:rPr>
              <w:t xml:space="preserve"> Šo noteikumu 45. punktā minēto programmas atlikumu aprēķina:</w:t>
            </w:r>
          </w:p>
          <w:p w14:paraId="649B336B" w14:textId="77777777" w:rsidR="00622C96" w:rsidRPr="006716C1" w:rsidRDefault="00622C96" w:rsidP="00622C96">
            <w:pPr>
              <w:pStyle w:val="ListParagraph"/>
              <w:ind w:left="-88"/>
              <w:jc w:val="both"/>
              <w:rPr>
                <w:sz w:val="22"/>
                <w:szCs w:val="22"/>
                <w:lang w:val="lv-LV"/>
              </w:rPr>
            </w:pPr>
            <w:r w:rsidRPr="006716C1">
              <w:rPr>
                <w:sz w:val="22"/>
                <w:szCs w:val="22"/>
                <w:lang w:val="lv-LV"/>
              </w:rPr>
              <w:t>45.</w:t>
            </w:r>
            <w:r w:rsidRPr="006716C1">
              <w:rPr>
                <w:sz w:val="22"/>
                <w:szCs w:val="22"/>
                <w:vertAlign w:val="superscript"/>
                <w:lang w:val="lv-LV"/>
              </w:rPr>
              <w:t>2</w:t>
            </w:r>
            <w:r w:rsidRPr="006716C1">
              <w:rPr>
                <w:sz w:val="22"/>
                <w:szCs w:val="22"/>
                <w:lang w:val="lv-LV"/>
              </w:rPr>
              <w:t xml:space="preserve">1. ja līdzekļu atlikuma resursu avots ir maksas pakalpojumi un citi pašu ieņēmumi vai ārvalstu finanšu palīdzība, tad programmas atlikums </w:t>
            </w:r>
            <w:r w:rsidRPr="006716C1">
              <w:rPr>
                <w:sz w:val="22"/>
                <w:szCs w:val="22"/>
                <w:lang w:val="lv-LV"/>
              </w:rPr>
              <w:lastRenderedPageBreak/>
              <w:t>ir vienāds ar līdzekļu atlikumu kontā;</w:t>
            </w:r>
          </w:p>
          <w:p w14:paraId="31106EF5" w14:textId="77777777" w:rsidR="00622C96" w:rsidRPr="006716C1" w:rsidRDefault="00622C96" w:rsidP="00622C96">
            <w:pPr>
              <w:pStyle w:val="ListParagraph"/>
              <w:ind w:left="-88"/>
              <w:jc w:val="both"/>
              <w:rPr>
                <w:sz w:val="22"/>
                <w:szCs w:val="22"/>
                <w:lang w:val="lv-LV"/>
              </w:rPr>
            </w:pPr>
            <w:r w:rsidRPr="006716C1">
              <w:rPr>
                <w:sz w:val="22"/>
                <w:szCs w:val="22"/>
                <w:lang w:val="lv-LV"/>
              </w:rPr>
              <w:t>45.</w:t>
            </w:r>
            <w:r w:rsidRPr="006716C1">
              <w:rPr>
                <w:sz w:val="22"/>
                <w:szCs w:val="22"/>
                <w:vertAlign w:val="superscript"/>
                <w:lang w:val="lv-LV"/>
              </w:rPr>
              <w:t>2</w:t>
            </w:r>
            <w:r w:rsidRPr="006716C1">
              <w:rPr>
                <w:sz w:val="22"/>
                <w:szCs w:val="22"/>
                <w:lang w:val="lv-LV"/>
              </w:rPr>
              <w:t>2. ja līdzekļu atlikuma resursu avots ir dotācija no vispārējiem ieņēmumiem, tad programmas atlikums ir vienāds ar nulli un Valsts kase līdzekļu atlikumu kontā slēdz kā saimnieciskajā gadā neizmantotos valsts budžeta asignējumus saskaņā ar šo noteikumu 50. punktu;</w:t>
            </w:r>
          </w:p>
          <w:p w14:paraId="5BFE1B20" w14:textId="62BCA76D" w:rsidR="000615BE" w:rsidRPr="006716C1" w:rsidRDefault="00622C96" w:rsidP="00622C96">
            <w:pPr>
              <w:pStyle w:val="ListParagraph"/>
              <w:ind w:left="-88"/>
              <w:jc w:val="both"/>
              <w:rPr>
                <w:b/>
                <w:sz w:val="22"/>
                <w:szCs w:val="22"/>
                <w:lang w:val="lv-LV"/>
              </w:rPr>
            </w:pPr>
            <w:r w:rsidRPr="006716C1">
              <w:rPr>
                <w:b/>
                <w:sz w:val="22"/>
                <w:szCs w:val="22"/>
                <w:lang w:val="lv-LV"/>
              </w:rPr>
              <w:t>45.</w:t>
            </w:r>
            <w:r w:rsidRPr="006716C1">
              <w:rPr>
                <w:b/>
                <w:sz w:val="22"/>
                <w:szCs w:val="22"/>
                <w:vertAlign w:val="superscript"/>
                <w:lang w:val="lv-LV"/>
              </w:rPr>
              <w:t>2</w:t>
            </w:r>
            <w:r w:rsidRPr="006716C1">
              <w:rPr>
                <w:b/>
                <w:sz w:val="22"/>
                <w:szCs w:val="22"/>
                <w:lang w:val="lv-LV"/>
              </w:rPr>
              <w:t>3.</w:t>
            </w:r>
            <w:r w:rsidR="006716C1" w:rsidRPr="006716C1">
              <w:rPr>
                <w:b/>
                <w:sz w:val="22"/>
                <w:szCs w:val="22"/>
                <w:lang w:val="lv-LV" w:eastAsia="lv-LV"/>
              </w:rPr>
              <w:t xml:space="preserve"> ja līdzekļu atlikuma resursu avots ir gan maksas pakalpojumi un citi pašu ieņēmumi, gan dotācija no vispārējiem ieņēmumiem, programmas atlikums ir ne vairāk kā 25 procenti no kārtējā gadā faktiski saņemto ieņēmumu summas, kas nepārsniedz plānoto katrā budžeta rādītājā, un neplānoto un virsplāna maksas </w:t>
            </w:r>
            <w:r w:rsidR="006716C1" w:rsidRPr="006716C1">
              <w:rPr>
                <w:b/>
                <w:sz w:val="22"/>
                <w:szCs w:val="22"/>
                <w:lang w:val="lv-LV" w:eastAsia="lv-LV"/>
              </w:rPr>
              <w:lastRenderedPageBreak/>
              <w:t>pakalpojumu un citu pašu ieņēmumu summa pilnā apmērā, vai vienāds ar plānoto maksas pakalpojumu un citu pašu ieņēmumu naudas līdzekļu atlikuma palielinājumu, nepārsniedzot kārtējā gadā faktisko saņemto maksas pakalpojumu un citu pašu ieņēmumu summu. Programmas atlikumu palielina par starpību starp aprēķināto slēdzamo un faktiski piešķirto dotācijas no vispārējiem ieņēmumiem apmēru. Valsts kase līdzekļu atlikumu, kas pārsniedz aprēķināto programmas atlikumu, slēdz kā saimnieciskajā gadā neizmantotos valsts budžeta asignējumus saskaņā ar šo noteikumu 50. punktu.</w:t>
            </w:r>
            <w:r w:rsidRPr="006716C1">
              <w:rPr>
                <w:b/>
                <w:sz w:val="22"/>
                <w:szCs w:val="22"/>
                <w:lang w:val="lv-LV"/>
              </w:rPr>
              <w:t>”</w:t>
            </w:r>
            <w:r w:rsidR="00B17ECF" w:rsidRPr="006716C1">
              <w:rPr>
                <w:b/>
                <w:sz w:val="22"/>
                <w:szCs w:val="22"/>
                <w:lang w:val="lv-LV"/>
              </w:rPr>
              <w:t>.</w:t>
            </w:r>
          </w:p>
          <w:p w14:paraId="7E6A2160" w14:textId="77777777" w:rsidR="00FA4740" w:rsidRPr="006716C1" w:rsidRDefault="00FA4740" w:rsidP="00622C96">
            <w:pPr>
              <w:pStyle w:val="ListParagraph"/>
              <w:ind w:left="-88"/>
              <w:jc w:val="both"/>
              <w:rPr>
                <w:b/>
                <w:sz w:val="22"/>
                <w:szCs w:val="22"/>
                <w:lang w:val="lv-LV"/>
              </w:rPr>
            </w:pPr>
          </w:p>
          <w:p w14:paraId="3D2FE01E" w14:textId="31D61ED8" w:rsidR="00FA4740" w:rsidRPr="006716C1" w:rsidRDefault="00FA4740" w:rsidP="00622C96">
            <w:pPr>
              <w:pStyle w:val="ListParagraph"/>
              <w:ind w:left="-88"/>
              <w:jc w:val="both"/>
              <w:rPr>
                <w:b/>
                <w:sz w:val="22"/>
                <w:szCs w:val="22"/>
                <w:lang w:val="lv-LV"/>
              </w:rPr>
            </w:pPr>
          </w:p>
        </w:tc>
      </w:tr>
      <w:tr w:rsidR="00BE25AC" w:rsidRPr="00BE25AC" w14:paraId="43103780" w14:textId="77777777" w:rsidTr="005D7AF7">
        <w:tc>
          <w:tcPr>
            <w:tcW w:w="676" w:type="dxa"/>
          </w:tcPr>
          <w:p w14:paraId="1D8EFD17" w14:textId="17BE2978" w:rsidR="00B44CAB" w:rsidRPr="00BE25AC" w:rsidRDefault="001D63EC" w:rsidP="00B44CAB">
            <w:pPr>
              <w:jc w:val="both"/>
              <w:rPr>
                <w:sz w:val="22"/>
                <w:szCs w:val="22"/>
              </w:rPr>
            </w:pPr>
            <w:r w:rsidRPr="00BE25AC">
              <w:rPr>
                <w:sz w:val="22"/>
                <w:szCs w:val="22"/>
              </w:rPr>
              <w:lastRenderedPageBreak/>
              <w:t>4.</w:t>
            </w:r>
          </w:p>
        </w:tc>
        <w:tc>
          <w:tcPr>
            <w:tcW w:w="2134" w:type="dxa"/>
          </w:tcPr>
          <w:p w14:paraId="11902C0E" w14:textId="77777777" w:rsidR="00B44CAB" w:rsidRPr="00BE25AC" w:rsidRDefault="00B44CAB" w:rsidP="00B44CAB">
            <w:pPr>
              <w:pStyle w:val="ListParagraph"/>
              <w:shd w:val="clear" w:color="auto" w:fill="FFFFFF"/>
              <w:ind w:left="0"/>
              <w:jc w:val="both"/>
              <w:rPr>
                <w:sz w:val="22"/>
                <w:szCs w:val="22"/>
                <w:lang w:val="lv-LV"/>
              </w:rPr>
            </w:pPr>
          </w:p>
        </w:tc>
        <w:tc>
          <w:tcPr>
            <w:tcW w:w="4273" w:type="dxa"/>
          </w:tcPr>
          <w:p w14:paraId="5F23D9B3" w14:textId="77777777" w:rsidR="00B44CAB" w:rsidRPr="00BE25AC" w:rsidRDefault="00B44CAB" w:rsidP="00B44CAB">
            <w:pPr>
              <w:pStyle w:val="Header"/>
              <w:rPr>
                <w:b/>
                <w:sz w:val="22"/>
                <w:szCs w:val="22"/>
                <w:lang w:val="lv-LV"/>
              </w:rPr>
            </w:pPr>
            <w:r w:rsidRPr="00BE25AC">
              <w:rPr>
                <w:b/>
                <w:sz w:val="22"/>
                <w:szCs w:val="22"/>
                <w:lang w:val="lv-LV"/>
              </w:rPr>
              <w:t>Aizsardzības ministrija</w:t>
            </w:r>
          </w:p>
          <w:p w14:paraId="7D639425" w14:textId="77777777" w:rsidR="00B44CAB" w:rsidRPr="00BE25AC" w:rsidRDefault="00B44CAB" w:rsidP="00B44CAB">
            <w:pPr>
              <w:pStyle w:val="Header"/>
              <w:rPr>
                <w:sz w:val="22"/>
                <w:szCs w:val="22"/>
                <w:lang w:val="lv-LV"/>
              </w:rPr>
            </w:pPr>
          </w:p>
          <w:p w14:paraId="703753C3" w14:textId="77777777" w:rsidR="00B44CAB" w:rsidRPr="00BE25AC" w:rsidRDefault="00B44CAB" w:rsidP="00B44CAB">
            <w:pPr>
              <w:pStyle w:val="Header"/>
              <w:rPr>
                <w:sz w:val="22"/>
                <w:szCs w:val="22"/>
                <w:lang w:val="lv-LV"/>
              </w:rPr>
            </w:pPr>
            <w:r w:rsidRPr="00BE25AC">
              <w:rPr>
                <w:sz w:val="22"/>
                <w:szCs w:val="22"/>
                <w:lang w:val="lv-LV"/>
              </w:rPr>
              <w:t>Atzīmējam, ka saskaņā ar 28.12.2010. Ministru kabineta noteikumu Nr.1220 “Asignējumu piešķiršanas un izpildes kārtība” 47.</w:t>
            </w:r>
            <w:r w:rsidRPr="00BE25AC">
              <w:rPr>
                <w:sz w:val="22"/>
                <w:szCs w:val="22"/>
                <w:vertAlign w:val="superscript"/>
                <w:lang w:val="lv-LV"/>
              </w:rPr>
              <w:t>1</w:t>
            </w:r>
            <w:r w:rsidRPr="00BE25AC">
              <w:rPr>
                <w:sz w:val="22"/>
                <w:szCs w:val="22"/>
                <w:lang w:val="lv-LV"/>
              </w:rPr>
              <w:t xml:space="preserve"> punktu, valsts budžeta izpildītāji, kuri saimnieciskā gada laikā ir saņēmuši vai ieturējuši līgumsodu vai procentu maksājumus par saistību neizpildi kārtējā saimnieciskajā gadā, vai iepriekšējos saimnieciskajos gados, uzskaita saņemto vai ieturēto līgumsodu vai procentu maksājumus valsts budžeta izdevumu kontā, piemērojot budžetu ieņēmumu klasifikācijas kodu, kā arī līdz saimnieciskā gada beigām pārskaita līgumsoda vai procentu maksājumus valsts pamatbudžeta ieņēmumos, ja tiesību aktos nav noteikts citādi. Lūdzam sniegt skaidrojumu par piedāvātā 45.</w:t>
            </w:r>
            <w:r w:rsidRPr="00BE25AC">
              <w:rPr>
                <w:sz w:val="22"/>
                <w:szCs w:val="22"/>
                <w:vertAlign w:val="superscript"/>
                <w:lang w:val="lv-LV"/>
              </w:rPr>
              <w:t>2</w:t>
            </w:r>
            <w:r w:rsidRPr="00BE25AC">
              <w:rPr>
                <w:sz w:val="22"/>
                <w:szCs w:val="22"/>
                <w:lang w:val="lv-LV"/>
              </w:rPr>
              <w:t xml:space="preserve">3. apakšpunkta (skat noteikumu projekta 1.6.apakšpunktu) īstenošanu attiecībā uz iestāžu līgumsodiem vai procentu maksājumiem, kas saņemti </w:t>
            </w:r>
            <w:r w:rsidRPr="00BE25AC">
              <w:rPr>
                <w:sz w:val="22"/>
                <w:szCs w:val="22"/>
                <w:lang w:val="lv-LV"/>
              </w:rPr>
              <w:lastRenderedPageBreak/>
              <w:t>saimnieciskā gada pēdējās dienās šādās situācijās:</w:t>
            </w:r>
          </w:p>
          <w:p w14:paraId="159557A7" w14:textId="77777777" w:rsidR="00B44CAB" w:rsidRPr="00BE25AC" w:rsidRDefault="00B44CAB" w:rsidP="00B44CAB">
            <w:pPr>
              <w:pStyle w:val="Header"/>
              <w:rPr>
                <w:sz w:val="22"/>
                <w:szCs w:val="22"/>
                <w:lang w:val="lv-LV"/>
              </w:rPr>
            </w:pPr>
            <w:r w:rsidRPr="00BE25AC">
              <w:rPr>
                <w:sz w:val="22"/>
                <w:szCs w:val="22"/>
                <w:lang w:val="lv-LV"/>
              </w:rPr>
              <w:t>2.1.</w:t>
            </w:r>
            <w:r w:rsidRPr="00BE25AC">
              <w:rPr>
                <w:sz w:val="22"/>
                <w:szCs w:val="22"/>
                <w:lang w:val="lv-LV"/>
              </w:rPr>
              <w:tab/>
              <w:t xml:space="preserve">Ja līgumsods tiek ieskaitīts nepareizā izdevumu ekonomiskās klasifikācijas kodā, tas ir slēgtais asignējums, un saskaņā ar noteikumu projektu 1.3. apakšpunktu iestādes līdz kārtējā saimnieciskā gada 15.janvārim Valsts kases kopsavilkuma pārskatā par budžeta izpildi iepriekšējā saimnieciskā gadā (turpmāk – MKP)  nevar veikt budžeta izpildes korekciju, jo tas ietekmēs automātiski slēgtās dotācijas apjomu. Ja iepriekš minētajā gadījumā saņemtais līgumsods būs kā slēgtais asignējums, nav saprotams, </w:t>
            </w:r>
          </w:p>
          <w:p w14:paraId="1D50663B" w14:textId="77777777" w:rsidR="00B44CAB" w:rsidRPr="00BE25AC" w:rsidRDefault="00B44CAB" w:rsidP="00B44CAB">
            <w:pPr>
              <w:pStyle w:val="Header"/>
              <w:rPr>
                <w:sz w:val="22"/>
                <w:szCs w:val="22"/>
                <w:lang w:val="lv-LV"/>
              </w:rPr>
            </w:pPr>
            <w:r w:rsidRPr="00BE25AC">
              <w:rPr>
                <w:sz w:val="22"/>
                <w:szCs w:val="22"/>
                <w:lang w:val="lv-LV"/>
              </w:rPr>
              <w:t xml:space="preserve">2.1.1. kā tiks uzskaitītas iestādes saistības pret budžetu; </w:t>
            </w:r>
          </w:p>
          <w:p w14:paraId="306EA0A1" w14:textId="77777777" w:rsidR="00B44CAB" w:rsidRPr="00BE25AC" w:rsidRDefault="00B44CAB" w:rsidP="00B44CAB">
            <w:pPr>
              <w:pStyle w:val="Header"/>
              <w:rPr>
                <w:sz w:val="22"/>
                <w:szCs w:val="22"/>
                <w:lang w:val="lv-LV"/>
              </w:rPr>
            </w:pPr>
            <w:r w:rsidRPr="00BE25AC">
              <w:rPr>
                <w:sz w:val="22"/>
                <w:szCs w:val="22"/>
                <w:lang w:val="lv-LV"/>
              </w:rPr>
              <w:t>2.1.2. kā iestāde nodrošinās savas saistības pret budžetu, jo saskaņā ar noteikumu 47.</w:t>
            </w:r>
            <w:r w:rsidRPr="00BE25AC">
              <w:rPr>
                <w:sz w:val="22"/>
                <w:szCs w:val="22"/>
                <w:vertAlign w:val="superscript"/>
                <w:lang w:val="lv-LV"/>
              </w:rPr>
              <w:t>1</w:t>
            </w:r>
            <w:r w:rsidRPr="00BE25AC">
              <w:rPr>
                <w:sz w:val="22"/>
                <w:szCs w:val="22"/>
                <w:lang w:val="lv-LV"/>
              </w:rPr>
              <w:t xml:space="preserve"> punktā minēto, līgumsodi līdz saimnieciskā gada beigām ir jāpārskaita valsts pamatbudžeta ieņēmumos. </w:t>
            </w:r>
          </w:p>
          <w:p w14:paraId="0A378573" w14:textId="77777777" w:rsidR="00B44CAB" w:rsidRPr="00BE25AC" w:rsidRDefault="00B44CAB" w:rsidP="00B44CAB">
            <w:pPr>
              <w:jc w:val="both"/>
              <w:rPr>
                <w:sz w:val="22"/>
                <w:szCs w:val="22"/>
              </w:rPr>
            </w:pPr>
            <w:r w:rsidRPr="00BE25AC">
              <w:rPr>
                <w:sz w:val="22"/>
                <w:szCs w:val="22"/>
              </w:rPr>
              <w:t>2.2.</w:t>
            </w:r>
            <w:r w:rsidRPr="00BE25AC">
              <w:rPr>
                <w:sz w:val="22"/>
                <w:szCs w:val="22"/>
              </w:rPr>
              <w:tab/>
              <w:t xml:space="preserve"> Ja līgumsods tiek ieskaitīts ieņēmumu ekonomiskās klasifikācijas kodā, atlikums automātiski tiks pārcelts uz deponēto kontu, un saskaņā ar noteikumu projektu 1.3. apakšpunktu iestādes līdz kārtējā saimnieciskā gada 15.janvārim MKP var veikt budžeta izpildes korekciju, ja ir nepareizs ieņēmumu ekonomiskās klasifikācijas kods, jo tas neietekmēs slēgtās dotācijas apjomu. Saskaņā ar 13.02.2018. Ministru kabineta noteikumos Nr.87 “Grāmatvedības uzskaites kārtība budžeta iestādēs” noteikto saņemtie līgumsodi tiek uzskaitīti kontā 5815. Saskaņā ar noteikumu 47.</w:t>
            </w:r>
            <w:r w:rsidRPr="00BE25AC">
              <w:rPr>
                <w:sz w:val="22"/>
                <w:szCs w:val="22"/>
                <w:vertAlign w:val="superscript"/>
              </w:rPr>
              <w:t>1</w:t>
            </w:r>
            <w:r w:rsidRPr="00BE25AC">
              <w:rPr>
                <w:sz w:val="22"/>
                <w:szCs w:val="22"/>
              </w:rPr>
              <w:t xml:space="preserve"> punktā minēto, līgumsodi līdz </w:t>
            </w:r>
            <w:r w:rsidRPr="00BE25AC">
              <w:rPr>
                <w:sz w:val="22"/>
                <w:szCs w:val="22"/>
              </w:rPr>
              <w:lastRenderedPageBreak/>
              <w:t>saimnieciskā gada beigām ir jāpārskaita valsts pamatbudžeta ieņēmumos, līdz ar to arī šajā gadījumā nav saprotams kā iestāde nodrošinās savas saistības pret budžetu, jo pastāv varbūtība, ka līgumsodi, kuri saņemti saimnieciskā gada pēdējās dienās tiks automātiski pārcelti uz deponēto kontu. Ņemot vērā iepriekš minēto, lai nodrošinātu noteikumu 47.</w:t>
            </w:r>
            <w:r w:rsidRPr="00BE25AC">
              <w:rPr>
                <w:sz w:val="22"/>
                <w:szCs w:val="22"/>
                <w:vertAlign w:val="superscript"/>
              </w:rPr>
              <w:t>1</w:t>
            </w:r>
            <w:r w:rsidRPr="00BE25AC">
              <w:rPr>
                <w:sz w:val="22"/>
                <w:szCs w:val="22"/>
              </w:rPr>
              <w:t xml:space="preserve"> punktā noteikto, lūdzam, iestādēm dot iespēju izskatīt, kurus pašu ieņēmumus nevajag automātiski pārcelt uz deponēto kontu saimnieciskā gada beigās. </w:t>
            </w:r>
          </w:p>
          <w:p w14:paraId="62F6E09D" w14:textId="728C44C7" w:rsidR="005B270E" w:rsidRPr="00BE25AC" w:rsidRDefault="005B270E" w:rsidP="00B44CAB">
            <w:pPr>
              <w:jc w:val="both"/>
              <w:rPr>
                <w:b/>
                <w:sz w:val="22"/>
                <w:szCs w:val="22"/>
              </w:rPr>
            </w:pPr>
          </w:p>
        </w:tc>
        <w:tc>
          <w:tcPr>
            <w:tcW w:w="4720" w:type="dxa"/>
          </w:tcPr>
          <w:p w14:paraId="778B8508" w14:textId="27DE3F74" w:rsidR="00B44CAB" w:rsidRPr="00BE25AC" w:rsidRDefault="008C3CE5" w:rsidP="00B44CAB">
            <w:pPr>
              <w:pStyle w:val="naisc"/>
              <w:spacing w:before="0" w:after="0"/>
              <w:jc w:val="both"/>
              <w:rPr>
                <w:b/>
                <w:sz w:val="22"/>
                <w:szCs w:val="22"/>
              </w:rPr>
            </w:pPr>
            <w:r w:rsidRPr="00BE25AC">
              <w:rPr>
                <w:b/>
                <w:sz w:val="22"/>
                <w:szCs w:val="22"/>
              </w:rPr>
              <w:lastRenderedPageBreak/>
              <w:t>Ņemts vērā</w:t>
            </w:r>
          </w:p>
          <w:p w14:paraId="7BBC2E88" w14:textId="77777777" w:rsidR="00BC1877" w:rsidRPr="00BE25AC" w:rsidRDefault="00BC1877" w:rsidP="00B44CAB">
            <w:pPr>
              <w:pStyle w:val="naisc"/>
              <w:spacing w:before="0" w:after="0"/>
              <w:jc w:val="both"/>
              <w:rPr>
                <w:sz w:val="22"/>
                <w:szCs w:val="22"/>
              </w:rPr>
            </w:pPr>
          </w:p>
          <w:p w14:paraId="233DBAC2" w14:textId="77777777" w:rsidR="00EA3524" w:rsidRDefault="00EA3524" w:rsidP="00EA3524">
            <w:pPr>
              <w:jc w:val="both"/>
              <w:rPr>
                <w:sz w:val="22"/>
                <w:szCs w:val="22"/>
              </w:rPr>
            </w:pPr>
            <w:r>
              <w:rPr>
                <w:sz w:val="22"/>
                <w:szCs w:val="22"/>
              </w:rPr>
              <w:t>Papildināta anotācija ar s</w:t>
            </w:r>
            <w:r w:rsidRPr="00BE25AC">
              <w:rPr>
                <w:sz w:val="22"/>
                <w:szCs w:val="22"/>
              </w:rPr>
              <w:t>kaidroj</w:t>
            </w:r>
            <w:r>
              <w:rPr>
                <w:sz w:val="22"/>
                <w:szCs w:val="22"/>
              </w:rPr>
              <w:t>umu</w:t>
            </w:r>
            <w:r w:rsidRPr="00BE25AC">
              <w:rPr>
                <w:sz w:val="22"/>
                <w:szCs w:val="22"/>
              </w:rPr>
              <w:t xml:space="preserve">, ka neplānoti (vai kļūdaini) pašu ieņēmumi, var veidoties, piemēram, ja budžeta izpildītājs gada pēdējās dienās saņem pārmaksas vai prasību atmaksas, kas novirzāmas izdevumu atjaunošanai (piemēram, komandējuma avansa norēķins) vai skaitāmas budžetā (piemēram, līgumsods), taču </w:t>
            </w:r>
            <w:r>
              <w:rPr>
                <w:sz w:val="22"/>
                <w:szCs w:val="22"/>
              </w:rPr>
              <w:t xml:space="preserve">ja budžeta izpildītājs </w:t>
            </w:r>
            <w:r w:rsidRPr="00BE25AC">
              <w:rPr>
                <w:sz w:val="22"/>
                <w:szCs w:val="22"/>
              </w:rPr>
              <w:t>nepagūst veikt atbilstošas korekcijas vai maksājumu</w:t>
            </w:r>
            <w:r>
              <w:rPr>
                <w:sz w:val="22"/>
                <w:szCs w:val="22"/>
              </w:rPr>
              <w:t xml:space="preserve">, </w:t>
            </w:r>
            <w:r w:rsidRPr="00BE25AC">
              <w:rPr>
                <w:sz w:val="22"/>
                <w:szCs w:val="22"/>
              </w:rPr>
              <w:t xml:space="preserve">neplānotie ieņēmumi tiks pārcelti uz nākamo </w:t>
            </w:r>
            <w:r>
              <w:rPr>
                <w:sz w:val="22"/>
                <w:szCs w:val="22"/>
              </w:rPr>
              <w:t xml:space="preserve">saimniecisko </w:t>
            </w:r>
            <w:r w:rsidRPr="00BE25AC">
              <w:rPr>
                <w:sz w:val="22"/>
                <w:szCs w:val="22"/>
              </w:rPr>
              <w:t>gadu un budžeta izpildītājs varēs rīkoties ar pārcelto summu atbilstoši situācijai, tai skaitā pārskaitīt to budž</w:t>
            </w:r>
            <w:r>
              <w:rPr>
                <w:sz w:val="22"/>
                <w:szCs w:val="22"/>
              </w:rPr>
              <w:t xml:space="preserve">etā. </w:t>
            </w:r>
          </w:p>
          <w:p w14:paraId="3413C479" w14:textId="5A9DBCFB" w:rsidR="00274BB1" w:rsidRPr="00BE25AC" w:rsidRDefault="00EA3524" w:rsidP="00EA3524">
            <w:pPr>
              <w:jc w:val="both"/>
              <w:rPr>
                <w:sz w:val="22"/>
                <w:szCs w:val="22"/>
              </w:rPr>
            </w:pPr>
            <w:proofErr w:type="spellStart"/>
            <w:r>
              <w:rPr>
                <w:sz w:val="22"/>
                <w:szCs w:val="22"/>
              </w:rPr>
              <w:t>AizM</w:t>
            </w:r>
            <w:proofErr w:type="spellEnd"/>
            <w:r>
              <w:rPr>
                <w:sz w:val="22"/>
                <w:szCs w:val="22"/>
              </w:rPr>
              <w:t xml:space="preserve"> minētais</w:t>
            </w:r>
            <w:r w:rsidRPr="00BE25AC">
              <w:rPr>
                <w:sz w:val="22"/>
                <w:szCs w:val="22"/>
              </w:rPr>
              <w:t xml:space="preserve"> gadījum</w:t>
            </w:r>
            <w:r>
              <w:rPr>
                <w:sz w:val="22"/>
                <w:szCs w:val="22"/>
              </w:rPr>
              <w:t>s</w:t>
            </w:r>
            <w:r w:rsidRPr="00BE25AC">
              <w:rPr>
                <w:sz w:val="22"/>
                <w:szCs w:val="22"/>
              </w:rPr>
              <w:t xml:space="preserve">, kad </w:t>
            </w:r>
            <w:r w:rsidRPr="00467EB8">
              <w:rPr>
                <w:sz w:val="22"/>
                <w:szCs w:val="22"/>
              </w:rPr>
              <w:t>debitori maksu par pakalpojumiem ieskaita izdevumu ekonomiskās klasifikācijas kodā</w:t>
            </w:r>
            <w:r w:rsidRPr="00BE25AC">
              <w:rPr>
                <w:sz w:val="22"/>
                <w:szCs w:val="22"/>
              </w:rPr>
              <w:t xml:space="preserve">, </w:t>
            </w:r>
            <w:r>
              <w:rPr>
                <w:sz w:val="22"/>
                <w:szCs w:val="22"/>
              </w:rPr>
              <w:t>varētu būt ļoti netipisks, tai skaitā attiecībā uz saņemtā līgumsoda uzskaiti, jo saskaņā ar MK 27.12.2005. noteikumiem</w:t>
            </w:r>
            <w:r w:rsidRPr="00EA3524">
              <w:rPr>
                <w:sz w:val="22"/>
                <w:szCs w:val="22"/>
              </w:rPr>
              <w:t xml:space="preserve"> Nr.1032 “Noteikumi par budžetu ieņēmumu klasifikāciju” līgumsodi un procentu maksājumi par saistību neizpildi līdz to tālākai pārskaitīšanai vispārējos </w:t>
            </w:r>
            <w:r w:rsidRPr="00EA3524">
              <w:rPr>
                <w:sz w:val="22"/>
                <w:szCs w:val="22"/>
              </w:rPr>
              <w:lastRenderedPageBreak/>
              <w:t>valsts budžeta ieņēmumos tiek uzskaitīti ar ieņēmumu klasifikācijas kodu 21.4.9.9. “Pārējie iepriekš neklasificētie pašu ieņēmumi”</w:t>
            </w:r>
            <w:r w:rsidRPr="00BE25AC">
              <w:rPr>
                <w:sz w:val="22"/>
                <w:szCs w:val="22"/>
              </w:rPr>
              <w:t xml:space="preserve">. </w:t>
            </w:r>
            <w:r>
              <w:rPr>
                <w:sz w:val="22"/>
                <w:szCs w:val="22"/>
              </w:rPr>
              <w:t xml:space="preserve">Taču ja tomēr izveidojusies šāda situācija, </w:t>
            </w:r>
            <w:r w:rsidRPr="00BE25AC">
              <w:rPr>
                <w:sz w:val="22"/>
                <w:szCs w:val="22"/>
              </w:rPr>
              <w:t>budžeta izpildītājs neatzīst saistības pret valsts budžetu par līgumsoda vai procentu maksājumu par saistību neizpildi budžetā nepārskaitītās summas apmērā, kas ir atzīta kā saimnieciskajā gadā neizmantotais valsts budžeta asignējums.</w:t>
            </w:r>
          </w:p>
        </w:tc>
        <w:tc>
          <w:tcPr>
            <w:tcW w:w="2189" w:type="dxa"/>
          </w:tcPr>
          <w:p w14:paraId="75651CD6" w14:textId="00035824" w:rsidR="00B44CAB" w:rsidRPr="00BE25AC" w:rsidRDefault="00EA3524" w:rsidP="00B44CAB">
            <w:pPr>
              <w:jc w:val="both"/>
              <w:rPr>
                <w:sz w:val="22"/>
                <w:szCs w:val="22"/>
              </w:rPr>
            </w:pPr>
            <w:r>
              <w:rPr>
                <w:sz w:val="22"/>
                <w:szCs w:val="22"/>
              </w:rPr>
              <w:lastRenderedPageBreak/>
              <w:t>Papildināta anotācija</w:t>
            </w:r>
          </w:p>
        </w:tc>
      </w:tr>
      <w:tr w:rsidR="00BE25AC" w:rsidRPr="00BE25AC" w14:paraId="386BF984" w14:textId="77777777" w:rsidTr="005D7AF7">
        <w:tc>
          <w:tcPr>
            <w:tcW w:w="676" w:type="dxa"/>
          </w:tcPr>
          <w:p w14:paraId="55EF399F" w14:textId="3268C986" w:rsidR="000615BE" w:rsidRPr="00BE25AC" w:rsidRDefault="001D63EC" w:rsidP="002979D3">
            <w:pPr>
              <w:jc w:val="both"/>
              <w:rPr>
                <w:sz w:val="22"/>
                <w:szCs w:val="22"/>
              </w:rPr>
            </w:pPr>
            <w:r w:rsidRPr="00BE25AC">
              <w:rPr>
                <w:sz w:val="22"/>
                <w:szCs w:val="22"/>
              </w:rPr>
              <w:lastRenderedPageBreak/>
              <w:t>5.</w:t>
            </w:r>
          </w:p>
        </w:tc>
        <w:tc>
          <w:tcPr>
            <w:tcW w:w="2134" w:type="dxa"/>
          </w:tcPr>
          <w:p w14:paraId="034B3748" w14:textId="5CA5E50E" w:rsidR="000615BE" w:rsidRPr="00BE25AC" w:rsidRDefault="000615BE" w:rsidP="002979D3">
            <w:pPr>
              <w:pStyle w:val="ListParagraph"/>
              <w:shd w:val="clear" w:color="auto" w:fill="FFFFFF"/>
              <w:ind w:left="0"/>
              <w:jc w:val="both"/>
              <w:rPr>
                <w:sz w:val="22"/>
                <w:szCs w:val="22"/>
                <w:lang w:val="lv-LV"/>
              </w:rPr>
            </w:pPr>
            <w:r w:rsidRPr="00BE25AC">
              <w:rPr>
                <w:sz w:val="22"/>
                <w:szCs w:val="22"/>
                <w:lang w:val="lv-LV"/>
              </w:rPr>
              <w:t xml:space="preserve">1.9.papildināt noteikumus ar </w:t>
            </w:r>
            <w:r w:rsidRPr="00BE25AC">
              <w:rPr>
                <w:sz w:val="22"/>
                <w:szCs w:val="22"/>
                <w:lang w:val="lv-LV" w:eastAsia="lv-LV"/>
              </w:rPr>
              <w:t>62.</w:t>
            </w:r>
            <w:r w:rsidRPr="00BE25AC">
              <w:rPr>
                <w:sz w:val="22"/>
                <w:szCs w:val="22"/>
                <w:vertAlign w:val="superscript"/>
                <w:lang w:val="lv-LV" w:eastAsia="lv-LV"/>
              </w:rPr>
              <w:t>3</w:t>
            </w:r>
            <w:r w:rsidRPr="00BE25AC">
              <w:rPr>
                <w:sz w:val="22"/>
                <w:szCs w:val="22"/>
                <w:lang w:val="lv-LV"/>
              </w:rPr>
              <w:t xml:space="preserve">, </w:t>
            </w:r>
            <w:r w:rsidRPr="00BE25AC">
              <w:rPr>
                <w:sz w:val="22"/>
                <w:szCs w:val="22"/>
                <w:lang w:val="lv-LV" w:eastAsia="lv-LV"/>
              </w:rPr>
              <w:t>62.</w:t>
            </w:r>
            <w:r w:rsidRPr="00BE25AC">
              <w:rPr>
                <w:sz w:val="22"/>
                <w:szCs w:val="22"/>
                <w:vertAlign w:val="superscript"/>
                <w:lang w:val="lv-LV" w:eastAsia="lv-LV"/>
              </w:rPr>
              <w:t>4</w:t>
            </w:r>
            <w:r w:rsidRPr="00BE25AC">
              <w:rPr>
                <w:sz w:val="22"/>
                <w:szCs w:val="22"/>
                <w:lang w:val="lv-LV" w:eastAsia="lv-LV"/>
              </w:rPr>
              <w:t xml:space="preserve"> </w:t>
            </w:r>
            <w:r w:rsidRPr="00BE25AC">
              <w:rPr>
                <w:sz w:val="22"/>
                <w:szCs w:val="22"/>
                <w:lang w:val="lv-LV"/>
              </w:rPr>
              <w:t xml:space="preserve">un </w:t>
            </w:r>
            <w:r w:rsidRPr="00BE25AC">
              <w:rPr>
                <w:sz w:val="22"/>
                <w:szCs w:val="22"/>
                <w:lang w:val="lv-LV" w:eastAsia="lv-LV"/>
              </w:rPr>
              <w:t>62.</w:t>
            </w:r>
            <w:r w:rsidRPr="00BE25AC">
              <w:rPr>
                <w:sz w:val="22"/>
                <w:szCs w:val="22"/>
                <w:vertAlign w:val="superscript"/>
                <w:lang w:val="lv-LV" w:eastAsia="lv-LV"/>
              </w:rPr>
              <w:t xml:space="preserve">5 </w:t>
            </w:r>
            <w:r w:rsidRPr="00BE25AC">
              <w:rPr>
                <w:sz w:val="22"/>
                <w:szCs w:val="22"/>
                <w:lang w:val="lv-LV"/>
              </w:rPr>
              <w:t>punktu šādā redakcijā:</w:t>
            </w:r>
          </w:p>
          <w:p w14:paraId="6A1EF467" w14:textId="3AD897F5" w:rsidR="000615BE" w:rsidRPr="00BE25AC" w:rsidRDefault="000615BE" w:rsidP="002979D3">
            <w:pPr>
              <w:shd w:val="clear" w:color="auto" w:fill="FFFFFF"/>
              <w:jc w:val="both"/>
              <w:rPr>
                <w:sz w:val="22"/>
                <w:szCs w:val="22"/>
                <w:lang w:eastAsia="lv-LV"/>
              </w:rPr>
            </w:pPr>
            <w:r w:rsidRPr="00BE25AC">
              <w:rPr>
                <w:sz w:val="22"/>
                <w:szCs w:val="22"/>
                <w:lang w:eastAsia="lv-LV"/>
              </w:rPr>
              <w:t>“62.</w:t>
            </w:r>
            <w:r w:rsidRPr="00BE25AC">
              <w:rPr>
                <w:sz w:val="22"/>
                <w:szCs w:val="22"/>
                <w:vertAlign w:val="superscript"/>
                <w:lang w:eastAsia="lv-LV"/>
              </w:rPr>
              <w:t>3</w:t>
            </w:r>
            <w:r w:rsidRPr="00BE25AC">
              <w:rPr>
                <w:sz w:val="22"/>
                <w:szCs w:val="22"/>
                <w:lang w:eastAsia="lv-LV"/>
              </w:rPr>
              <w:t xml:space="preserve"> Šo noteikumu 39.1. apakšpunktā noteiktais termiņš 2021. gadā ir 11. janvāri</w:t>
            </w:r>
            <w:r w:rsidR="005B5CA8" w:rsidRPr="00BE25AC">
              <w:rPr>
                <w:sz w:val="22"/>
                <w:szCs w:val="22"/>
                <w:lang w:eastAsia="lv-LV"/>
              </w:rPr>
              <w:t>s.</w:t>
            </w:r>
          </w:p>
          <w:p w14:paraId="64AF9950" w14:textId="77777777" w:rsidR="005B5CA8" w:rsidRPr="00BE25AC" w:rsidRDefault="005B5CA8" w:rsidP="005B5CA8">
            <w:pPr>
              <w:shd w:val="clear" w:color="auto" w:fill="FFFFFF"/>
              <w:jc w:val="both"/>
              <w:rPr>
                <w:sz w:val="22"/>
                <w:szCs w:val="22"/>
                <w:lang w:eastAsia="lv-LV"/>
              </w:rPr>
            </w:pPr>
            <w:r w:rsidRPr="00BE25AC">
              <w:rPr>
                <w:sz w:val="22"/>
                <w:szCs w:val="22"/>
                <w:lang w:eastAsia="lv-LV"/>
              </w:rPr>
              <w:t>62.</w:t>
            </w:r>
            <w:r w:rsidRPr="00BE25AC">
              <w:rPr>
                <w:sz w:val="22"/>
                <w:szCs w:val="22"/>
                <w:vertAlign w:val="superscript"/>
                <w:lang w:eastAsia="lv-LV"/>
              </w:rPr>
              <w:t>4</w:t>
            </w:r>
            <w:r w:rsidRPr="00BE25AC">
              <w:rPr>
                <w:sz w:val="22"/>
                <w:szCs w:val="22"/>
                <w:lang w:eastAsia="lv-LV"/>
              </w:rPr>
              <w:t xml:space="preserve"> Šo noteikumu 45.</w:t>
            </w:r>
            <w:r w:rsidRPr="00BE25AC">
              <w:rPr>
                <w:sz w:val="22"/>
                <w:szCs w:val="22"/>
                <w:vertAlign w:val="superscript"/>
                <w:lang w:eastAsia="lv-LV"/>
              </w:rPr>
              <w:t>2</w:t>
            </w:r>
            <w:r w:rsidRPr="00BE25AC">
              <w:rPr>
                <w:sz w:val="22"/>
                <w:szCs w:val="22"/>
                <w:lang w:eastAsia="lv-LV"/>
              </w:rPr>
              <w:t xml:space="preserve">3. apakšpunktu piemēro no 2021. gada 6. janvāra. Ja budžeta izpildītājam valsts pamatbudžeta kontā 2020. gada beigās saglabājies līdzekļu atlikums un resursu avots ir gan dotācija no vispārējiem ieņēmumiem, gan </w:t>
            </w:r>
            <w:r w:rsidRPr="00BE25AC">
              <w:rPr>
                <w:sz w:val="22"/>
                <w:szCs w:val="22"/>
                <w:lang w:eastAsia="lv-LV"/>
              </w:rPr>
              <w:lastRenderedPageBreak/>
              <w:t xml:space="preserve">maksas pakalpojumi un citi pašu ieņēmumi, tai skaitā </w:t>
            </w:r>
            <w:proofErr w:type="spellStart"/>
            <w:r w:rsidRPr="00BE25AC">
              <w:rPr>
                <w:sz w:val="22"/>
                <w:szCs w:val="22"/>
                <w:lang w:eastAsia="lv-LV"/>
              </w:rPr>
              <w:t>transferti</w:t>
            </w:r>
            <w:proofErr w:type="spellEnd"/>
            <w:r w:rsidRPr="00BE25AC">
              <w:rPr>
                <w:sz w:val="22"/>
                <w:szCs w:val="22"/>
                <w:lang w:eastAsia="lv-LV"/>
              </w:rPr>
              <w:t xml:space="preserve">, kas saņemti no citas ministrijas, pašvaldības, no valsts budžeta daļēji finansētas atvasinātas publiskas personas vai budžeta nefinansētas iestādes, budžeta izpildītājs līdz 2021. gada 5. janvārim sagatavo datorrakstā aizpildītu pieteikumu par atlikuma uz iepriekšējā saimnieciskā gada beigām pārgrāmatošanu (4. pielikums) elektroniska dokumenta veidā, kurš apliecināts ar drošu elektronisko parakstu atbilstoši normatīvajiem aktiem elektronisko dokumentu noformēšanas un aprites jomā, un </w:t>
            </w:r>
            <w:proofErr w:type="spellStart"/>
            <w:r w:rsidRPr="00BE25AC">
              <w:rPr>
                <w:sz w:val="22"/>
                <w:szCs w:val="22"/>
                <w:lang w:eastAsia="lv-LV"/>
              </w:rPr>
              <w:t>nosūta</w:t>
            </w:r>
            <w:proofErr w:type="spellEnd"/>
            <w:r w:rsidRPr="00BE25AC">
              <w:rPr>
                <w:sz w:val="22"/>
                <w:szCs w:val="22"/>
                <w:lang w:eastAsia="lv-LV"/>
              </w:rPr>
              <w:t xml:space="preserve"> uz Valsts kases oficiālo elektronisko adresi. </w:t>
            </w:r>
            <w:r w:rsidRPr="00BE25AC">
              <w:rPr>
                <w:sz w:val="22"/>
                <w:szCs w:val="22"/>
                <w:lang w:eastAsia="lv-LV"/>
              </w:rPr>
              <w:lastRenderedPageBreak/>
              <w:t>Ja budžeta izpildītājs nav iesniedzis šajā punktā minēto pieteikumu par atlikuma uz iepriekšējā saimnieciskā gada beigām pārgrāmatošanu, Valsts kase līdz 2021. gada 8. janvārim slēdz iepriekšējā saimnieciskajā gadā neizmantotos valsts budžeta asignējumus saskaņā ar šo noteikumu 50. punktu un ieskaita līdzekļu atlikumu valsts budžeta ieņēmumos.</w:t>
            </w:r>
          </w:p>
          <w:p w14:paraId="558267B2" w14:textId="3F998F0B" w:rsidR="000615BE" w:rsidRPr="00BE25AC" w:rsidRDefault="005B5CA8" w:rsidP="005B5CA8">
            <w:pPr>
              <w:jc w:val="both"/>
              <w:rPr>
                <w:sz w:val="22"/>
                <w:szCs w:val="22"/>
              </w:rPr>
            </w:pPr>
            <w:r w:rsidRPr="00BE25AC">
              <w:rPr>
                <w:sz w:val="22"/>
                <w:szCs w:val="22"/>
                <w:lang w:eastAsia="lv-LV"/>
              </w:rPr>
              <w:t>62.</w:t>
            </w:r>
            <w:r w:rsidRPr="00BE25AC">
              <w:rPr>
                <w:sz w:val="22"/>
                <w:szCs w:val="22"/>
                <w:vertAlign w:val="superscript"/>
                <w:lang w:eastAsia="lv-LV"/>
              </w:rPr>
              <w:t>5</w:t>
            </w:r>
            <w:r w:rsidRPr="00BE25AC">
              <w:rPr>
                <w:sz w:val="22"/>
                <w:szCs w:val="22"/>
                <w:lang w:eastAsia="lv-LV"/>
              </w:rPr>
              <w:t xml:space="preserve"> Šo noteikumu 50. punktā noteiktais termiņš 2021. gadā ir 8. janvāris.”;</w:t>
            </w:r>
          </w:p>
        </w:tc>
        <w:tc>
          <w:tcPr>
            <w:tcW w:w="4273" w:type="dxa"/>
          </w:tcPr>
          <w:p w14:paraId="3A410FBA" w14:textId="477C1B96" w:rsidR="000615BE" w:rsidRPr="00BE25AC" w:rsidRDefault="000615BE" w:rsidP="002979D3">
            <w:pPr>
              <w:jc w:val="both"/>
              <w:rPr>
                <w:b/>
                <w:sz w:val="22"/>
                <w:szCs w:val="22"/>
              </w:rPr>
            </w:pPr>
            <w:r w:rsidRPr="00BE25AC">
              <w:rPr>
                <w:b/>
                <w:sz w:val="22"/>
                <w:szCs w:val="22"/>
              </w:rPr>
              <w:lastRenderedPageBreak/>
              <w:t>Tieslietu ministrija</w:t>
            </w:r>
          </w:p>
          <w:p w14:paraId="7F3B1DDC" w14:textId="77777777" w:rsidR="005B270E" w:rsidRPr="00BE25AC" w:rsidRDefault="005B270E" w:rsidP="002979D3">
            <w:pPr>
              <w:jc w:val="both"/>
              <w:rPr>
                <w:b/>
                <w:sz w:val="22"/>
                <w:szCs w:val="22"/>
              </w:rPr>
            </w:pPr>
          </w:p>
          <w:p w14:paraId="5E61A9B7" w14:textId="77777777" w:rsidR="000615BE" w:rsidRPr="00BE25AC" w:rsidRDefault="000615BE" w:rsidP="002979D3">
            <w:pPr>
              <w:tabs>
                <w:tab w:val="left" w:pos="851"/>
                <w:tab w:val="left" w:pos="1276"/>
                <w:tab w:val="center" w:pos="4677"/>
              </w:tabs>
              <w:suppressAutoHyphens/>
              <w:jc w:val="both"/>
              <w:rPr>
                <w:sz w:val="22"/>
                <w:szCs w:val="22"/>
                <w:lang w:eastAsia="zh-CN"/>
              </w:rPr>
            </w:pPr>
            <w:r w:rsidRPr="00BE25AC">
              <w:rPr>
                <w:sz w:val="22"/>
                <w:szCs w:val="22"/>
                <w:lang w:eastAsia="zh-CN"/>
              </w:rPr>
              <w:t xml:space="preserve">Noteikumu projekta 1.9. apakšpunkts paredz, ka </w:t>
            </w:r>
            <w:r w:rsidRPr="00BE25AC">
              <w:rPr>
                <w:sz w:val="22"/>
                <w:szCs w:val="22"/>
                <w:lang w:eastAsia="lv-LV"/>
              </w:rPr>
              <w:t>šo noteikumu 39.1. apakšpunktā noteiktais termiņš 2021. gadā ir 11. janvāris. Lūdzam izvērtēt, vai 2021. gadā nav jāparedz arī cits termiņš noteikumu projekta 1.3. apakšpunktā jaunā redakcijā izteiktajā 39.2. apakšpunktā, proti, vai tas ir pietiekams budžeta korekciju ievadei.</w:t>
            </w:r>
          </w:p>
          <w:p w14:paraId="1DF8757A" w14:textId="77777777" w:rsidR="000615BE" w:rsidRPr="00BE25AC" w:rsidRDefault="000615BE" w:rsidP="002979D3">
            <w:pPr>
              <w:jc w:val="both"/>
              <w:rPr>
                <w:sz w:val="22"/>
                <w:szCs w:val="22"/>
              </w:rPr>
            </w:pPr>
          </w:p>
          <w:p w14:paraId="20E88AF4" w14:textId="77777777" w:rsidR="005B5CA8" w:rsidRPr="00BE25AC" w:rsidRDefault="005B5CA8" w:rsidP="005B5CA8">
            <w:pPr>
              <w:pStyle w:val="naisf"/>
              <w:spacing w:before="0" w:after="0"/>
              <w:ind w:firstLine="0"/>
              <w:rPr>
                <w:b/>
                <w:sz w:val="22"/>
                <w:szCs w:val="22"/>
              </w:rPr>
            </w:pPr>
            <w:r w:rsidRPr="00BE25AC">
              <w:rPr>
                <w:b/>
                <w:sz w:val="22"/>
                <w:szCs w:val="22"/>
              </w:rPr>
              <w:t>Izglītības un zinātnes ministrija</w:t>
            </w:r>
          </w:p>
          <w:p w14:paraId="1427758E" w14:textId="77777777" w:rsidR="005B5CA8" w:rsidRPr="00BE25AC" w:rsidRDefault="005B5CA8" w:rsidP="005B5CA8">
            <w:pPr>
              <w:pStyle w:val="naisf"/>
              <w:spacing w:before="0" w:after="0"/>
              <w:ind w:firstLine="0"/>
              <w:rPr>
                <w:b/>
                <w:sz w:val="22"/>
                <w:szCs w:val="22"/>
              </w:rPr>
            </w:pPr>
          </w:p>
          <w:p w14:paraId="48D583EE" w14:textId="77777777" w:rsidR="005B5CA8" w:rsidRPr="00BE25AC" w:rsidRDefault="005B5CA8" w:rsidP="005B5CA8">
            <w:pPr>
              <w:jc w:val="both"/>
              <w:rPr>
                <w:sz w:val="22"/>
                <w:szCs w:val="22"/>
              </w:rPr>
            </w:pPr>
            <w:r w:rsidRPr="00BE25AC">
              <w:rPr>
                <w:sz w:val="22"/>
                <w:szCs w:val="22"/>
              </w:rPr>
              <w:t xml:space="preserve">Vēršam uzmanību, ka Projektā norādītā kārtība, kādā veidā tiek pārcelti maksas pakalpojumu un citi pašu ieņēmumu atlikumi uz gada beigām, un, kādā veidā slēdzas neizmantotie valsts budžeta asignējumi, būtiski maina Ministrijas budžeta plānošanas procesu. Turklāt, šīs izmaiņas plānotas jau ar 2021.gadu, kas nozīmētu, ka Ministrijai jau tagad būtu jānodala maksas pakalpojumi un </w:t>
            </w:r>
            <w:r w:rsidRPr="00BE25AC">
              <w:rPr>
                <w:sz w:val="22"/>
                <w:szCs w:val="22"/>
              </w:rPr>
              <w:lastRenderedPageBreak/>
              <w:t>citi pašu ieņēmumi atsevišķos finansēšanas plānos un kontos. Ministrijas resorā ir liels padotībā un pārraudzībā esošo iestāžu skaits, līdz ar to, palielinātos administratīvais slogs, veicot jaunu kontu atvēršanu, apkalpošanu un administrēšanu izdevumiem no maksas pakalpojumus un citi pašu ieņēmumiem, atdalot tos no izdevumiem, kas tiek segti no dotācijas no vispārējiem ieņēmumiem. Ministrijas ieskatā, šādas izmaiņas, kas maina budžeta plānošanas procesu, būtu jāievieš savlaicīgāk – pirms ir uzsākts budžeta sagatavošanas process. Tādējādi, lūdzam mainīt Projekta 62.</w:t>
            </w:r>
            <w:r w:rsidRPr="00BE25AC">
              <w:rPr>
                <w:sz w:val="22"/>
                <w:szCs w:val="22"/>
                <w:vertAlign w:val="superscript"/>
              </w:rPr>
              <w:t>4</w:t>
            </w:r>
            <w:r w:rsidRPr="00BE25AC">
              <w:rPr>
                <w:sz w:val="22"/>
                <w:szCs w:val="22"/>
              </w:rPr>
              <w:t xml:space="preserve"> punktā noteikto termiņu 2021.gada 6.janvāri uz 2022.gada 6.janvāri, vienlaikus saglabājot normu „Ja budžeta izpildītājam valsts pamatbudžeta kontā 2021. gada beigās saglabājies līdzekļu atlikums un resursu avots ir gan dotācija no vispārējiem ieņēmumiem, gan maksas pakalpojumi un citi pašu ieņēmumi, tai skaitā </w:t>
            </w:r>
            <w:proofErr w:type="spellStart"/>
            <w:r w:rsidRPr="00BE25AC">
              <w:rPr>
                <w:sz w:val="22"/>
                <w:szCs w:val="22"/>
              </w:rPr>
              <w:t>transferti</w:t>
            </w:r>
            <w:proofErr w:type="spellEnd"/>
            <w:r w:rsidRPr="00BE25AC">
              <w:rPr>
                <w:sz w:val="22"/>
                <w:szCs w:val="22"/>
              </w:rPr>
              <w:t xml:space="preserve">, kas saņemti no citas ministrijas, pašvaldības, no valsts budžeta daļēji finansētas atvasinātas publiskas personas vai budžeta nefinansētas iestādes, budžeta izpildītājs līdz 2022. gada 8. janvārim sagatavo datorrakstā aizpildītu pieteikumu par atlikuma uz iepriekšējā saimnieciskā gada beigām pārgrāmatošanu (4. pielikums) elektroniska dokumenta veidā, kurš apliecināts ar drošu elektronisko parakstu atbilstoši normatīvajiem aktiem elektronisko dokumentu noformēšanas un aprites jomā, un </w:t>
            </w:r>
            <w:proofErr w:type="spellStart"/>
            <w:r w:rsidRPr="00BE25AC">
              <w:rPr>
                <w:sz w:val="22"/>
                <w:szCs w:val="22"/>
              </w:rPr>
              <w:t>nosūta</w:t>
            </w:r>
            <w:proofErr w:type="spellEnd"/>
            <w:r w:rsidRPr="00BE25AC">
              <w:rPr>
                <w:sz w:val="22"/>
                <w:szCs w:val="22"/>
              </w:rPr>
              <w:t xml:space="preserve"> uz Valsts kases oficiālo elektronisko adresi. Ja budžeta izpildītājs nav iesniedzis šajā punktā minēto pieteikumu par atlikuma uz </w:t>
            </w:r>
            <w:r w:rsidRPr="00BE25AC">
              <w:rPr>
                <w:sz w:val="22"/>
                <w:szCs w:val="22"/>
              </w:rPr>
              <w:lastRenderedPageBreak/>
              <w:t>iepriekšējā saimnieciskā gada beigām pārgrāmatošanu, Valsts kase līdz 2022. gada 11. janvārim slēdz iepriekšējā saimnieciskajā gadā neizmantotos valsts budžeta asignējumus saskaņā ar šo noteikumu 50. punktu un ieskaita līdzekļu atlikumu valsts budžeta ieņēmumos.”:</w:t>
            </w:r>
          </w:p>
          <w:p w14:paraId="423315E8" w14:textId="77777777" w:rsidR="005B5CA8" w:rsidRPr="00BE25AC" w:rsidRDefault="005B5CA8" w:rsidP="005B5CA8">
            <w:pPr>
              <w:ind w:firstLine="851"/>
              <w:jc w:val="both"/>
              <w:rPr>
                <w:sz w:val="22"/>
                <w:szCs w:val="22"/>
              </w:rPr>
            </w:pPr>
            <w:r w:rsidRPr="00BE25AC">
              <w:rPr>
                <w:sz w:val="22"/>
                <w:szCs w:val="22"/>
              </w:rPr>
              <w:t xml:space="preserve">2.1. aizstāt </w:t>
            </w:r>
            <w:r w:rsidRPr="00BE25AC">
              <w:rPr>
                <w:sz w:val="22"/>
                <w:szCs w:val="22"/>
                <w:lang w:eastAsia="lv-LV"/>
              </w:rPr>
              <w:t>62.</w:t>
            </w:r>
            <w:r w:rsidRPr="00BE25AC">
              <w:rPr>
                <w:sz w:val="22"/>
                <w:szCs w:val="22"/>
                <w:vertAlign w:val="superscript"/>
                <w:lang w:eastAsia="lv-LV"/>
              </w:rPr>
              <w:t>4</w:t>
            </w:r>
            <w:r w:rsidRPr="00BE25AC">
              <w:rPr>
                <w:sz w:val="22"/>
                <w:szCs w:val="22"/>
                <w:lang w:eastAsia="lv-LV"/>
              </w:rPr>
              <w:t xml:space="preserve"> </w:t>
            </w:r>
            <w:r w:rsidRPr="00BE25AC">
              <w:rPr>
                <w:sz w:val="22"/>
                <w:szCs w:val="22"/>
              </w:rPr>
              <w:t>punktā skaitli “2021” ar skaitli “2022”.</w:t>
            </w:r>
          </w:p>
          <w:p w14:paraId="06D0F6D4" w14:textId="09E47F68" w:rsidR="005B5CA8" w:rsidRPr="00BE25AC" w:rsidRDefault="005B5CA8" w:rsidP="002979D3">
            <w:pPr>
              <w:jc w:val="both"/>
              <w:rPr>
                <w:sz w:val="22"/>
                <w:szCs w:val="22"/>
              </w:rPr>
            </w:pPr>
          </w:p>
        </w:tc>
        <w:tc>
          <w:tcPr>
            <w:tcW w:w="4720" w:type="dxa"/>
          </w:tcPr>
          <w:p w14:paraId="0744577B" w14:textId="77777777" w:rsidR="000615BE" w:rsidRPr="00BE25AC" w:rsidRDefault="005B270E" w:rsidP="002979D3">
            <w:pPr>
              <w:jc w:val="both"/>
              <w:rPr>
                <w:b/>
                <w:sz w:val="22"/>
                <w:szCs w:val="22"/>
              </w:rPr>
            </w:pPr>
            <w:r w:rsidRPr="00BE25AC">
              <w:rPr>
                <w:b/>
                <w:sz w:val="22"/>
                <w:szCs w:val="22"/>
              </w:rPr>
              <w:lastRenderedPageBreak/>
              <w:t>Ņemts vērā</w:t>
            </w:r>
          </w:p>
          <w:p w14:paraId="795BAEAC" w14:textId="77777777" w:rsidR="005B270E" w:rsidRPr="00BE25AC" w:rsidRDefault="005B270E" w:rsidP="002979D3">
            <w:pPr>
              <w:jc w:val="both"/>
              <w:rPr>
                <w:b/>
                <w:sz w:val="22"/>
                <w:szCs w:val="22"/>
              </w:rPr>
            </w:pPr>
          </w:p>
          <w:p w14:paraId="63307349" w14:textId="77777777" w:rsidR="005B270E" w:rsidRPr="00BE25AC" w:rsidRDefault="005B270E" w:rsidP="005B270E">
            <w:pPr>
              <w:jc w:val="both"/>
              <w:rPr>
                <w:sz w:val="22"/>
                <w:szCs w:val="22"/>
              </w:rPr>
            </w:pPr>
            <w:r w:rsidRPr="00BE25AC">
              <w:rPr>
                <w:sz w:val="22"/>
                <w:szCs w:val="22"/>
              </w:rPr>
              <w:t>Noteikumu projektā pagarināts 2020. gada kopsavilkuma pārskata korekciju iesniegšanas termiņš no 15. janvāra uz 21. janvāri. Tādā veidā tiek nodrošinātas 10 kalendārās dienas korekciju ievadei un pārskata iesniegšanai.</w:t>
            </w:r>
          </w:p>
          <w:p w14:paraId="04A64A38" w14:textId="77777777" w:rsidR="00EE1A50" w:rsidRPr="00BE25AC" w:rsidRDefault="00EE1A50" w:rsidP="005B270E">
            <w:pPr>
              <w:jc w:val="both"/>
              <w:rPr>
                <w:sz w:val="22"/>
                <w:szCs w:val="22"/>
              </w:rPr>
            </w:pPr>
          </w:p>
          <w:p w14:paraId="52ACCD42" w14:textId="77777777" w:rsidR="00EE1A50" w:rsidRPr="00BE25AC" w:rsidRDefault="00EE1A50" w:rsidP="005B270E">
            <w:pPr>
              <w:jc w:val="both"/>
              <w:rPr>
                <w:sz w:val="22"/>
                <w:szCs w:val="22"/>
              </w:rPr>
            </w:pPr>
          </w:p>
          <w:p w14:paraId="38D374E2" w14:textId="77777777" w:rsidR="00EE1A50" w:rsidRPr="00BE25AC" w:rsidRDefault="00EE1A50" w:rsidP="005B270E">
            <w:pPr>
              <w:jc w:val="both"/>
              <w:rPr>
                <w:sz w:val="22"/>
                <w:szCs w:val="22"/>
              </w:rPr>
            </w:pPr>
          </w:p>
          <w:p w14:paraId="68AF8561" w14:textId="77777777" w:rsidR="00EE1A50" w:rsidRPr="00BE25AC" w:rsidRDefault="00EE1A50" w:rsidP="005B270E">
            <w:pPr>
              <w:jc w:val="both"/>
              <w:rPr>
                <w:sz w:val="22"/>
                <w:szCs w:val="22"/>
              </w:rPr>
            </w:pPr>
          </w:p>
          <w:p w14:paraId="79D1FD77" w14:textId="6FF9AF99" w:rsidR="00EE1A50" w:rsidRPr="00BE25AC" w:rsidRDefault="0050487B" w:rsidP="00EE1A50">
            <w:pPr>
              <w:pStyle w:val="naisc"/>
              <w:spacing w:before="0" w:after="0"/>
              <w:jc w:val="both"/>
              <w:rPr>
                <w:b/>
                <w:sz w:val="22"/>
                <w:szCs w:val="22"/>
              </w:rPr>
            </w:pPr>
            <w:r>
              <w:rPr>
                <w:b/>
                <w:sz w:val="22"/>
                <w:szCs w:val="22"/>
              </w:rPr>
              <w:t>Daļēji ņ</w:t>
            </w:r>
            <w:r w:rsidR="00471568" w:rsidRPr="00BE25AC">
              <w:rPr>
                <w:b/>
                <w:sz w:val="22"/>
                <w:szCs w:val="22"/>
              </w:rPr>
              <w:t>emts vērā</w:t>
            </w:r>
          </w:p>
          <w:p w14:paraId="07F5BEE3" w14:textId="77777777" w:rsidR="00EE1A50" w:rsidRPr="00BE25AC" w:rsidRDefault="00EE1A50" w:rsidP="00EE1A50">
            <w:pPr>
              <w:pStyle w:val="naisc"/>
              <w:spacing w:before="0" w:after="0"/>
              <w:jc w:val="both"/>
              <w:rPr>
                <w:sz w:val="22"/>
                <w:szCs w:val="22"/>
              </w:rPr>
            </w:pPr>
          </w:p>
          <w:p w14:paraId="1999CA5B" w14:textId="5F5B32F1" w:rsidR="00EE1A50" w:rsidRPr="00BE25AC" w:rsidRDefault="00471568" w:rsidP="00B53CB8">
            <w:pPr>
              <w:pStyle w:val="naisc"/>
              <w:spacing w:before="0" w:after="0"/>
              <w:jc w:val="both"/>
              <w:rPr>
                <w:sz w:val="22"/>
                <w:szCs w:val="22"/>
              </w:rPr>
            </w:pPr>
            <w:r w:rsidRPr="00BE25AC">
              <w:rPr>
                <w:sz w:val="22"/>
                <w:szCs w:val="22"/>
              </w:rPr>
              <w:t>Precizēts noteikumu projekta 1.6.apakšpunkts, nosakot alternatīvu veidu atlikuma aprēķināšanai kontos ar vairākiem resursu avotiem (precizēta 45.</w:t>
            </w:r>
            <w:r w:rsidRPr="00BE25AC">
              <w:rPr>
                <w:sz w:val="22"/>
                <w:szCs w:val="22"/>
                <w:vertAlign w:val="superscript"/>
              </w:rPr>
              <w:t>2</w:t>
            </w:r>
            <w:r w:rsidRPr="00BE25AC">
              <w:rPr>
                <w:sz w:val="22"/>
                <w:szCs w:val="22"/>
              </w:rPr>
              <w:t xml:space="preserve">3 apakšpunkta redakcija), kā arī automātiskā atlikuma pārcelšana piemērojama par 2020.gadu, vienlaikus paredzot iestādēm </w:t>
            </w:r>
            <w:r w:rsidR="00B53CB8">
              <w:rPr>
                <w:sz w:val="22"/>
                <w:szCs w:val="22"/>
              </w:rPr>
              <w:t xml:space="preserve">iespēju </w:t>
            </w:r>
            <w:r w:rsidRPr="00BE25AC">
              <w:rPr>
                <w:sz w:val="22"/>
                <w:szCs w:val="22"/>
              </w:rPr>
              <w:t>precizēt automātiski aprēķināto un pārcelto pašu ieņēmumu summu un kontu (precizēt</w:t>
            </w:r>
            <w:r w:rsidR="00B53CB8">
              <w:rPr>
                <w:sz w:val="22"/>
                <w:szCs w:val="22"/>
              </w:rPr>
              <w:t>s</w:t>
            </w:r>
            <w:r w:rsidRPr="00BE25AC">
              <w:rPr>
                <w:sz w:val="22"/>
                <w:szCs w:val="22"/>
              </w:rPr>
              <w:t xml:space="preserve"> 62.</w:t>
            </w:r>
            <w:r w:rsidRPr="00BE25AC">
              <w:rPr>
                <w:sz w:val="22"/>
                <w:szCs w:val="22"/>
                <w:vertAlign w:val="superscript"/>
              </w:rPr>
              <w:t>4</w:t>
            </w:r>
            <w:r w:rsidRPr="00BE25AC">
              <w:rPr>
                <w:sz w:val="22"/>
                <w:szCs w:val="22"/>
              </w:rPr>
              <w:t xml:space="preserve"> punkts).</w:t>
            </w:r>
          </w:p>
        </w:tc>
        <w:tc>
          <w:tcPr>
            <w:tcW w:w="2189" w:type="dxa"/>
          </w:tcPr>
          <w:p w14:paraId="5694B6E5" w14:textId="77777777" w:rsidR="005B270E" w:rsidRPr="00BE25AC" w:rsidRDefault="005B270E" w:rsidP="005B270E">
            <w:pPr>
              <w:pStyle w:val="ListParagraph"/>
              <w:shd w:val="clear" w:color="auto" w:fill="FFFFFF"/>
              <w:spacing w:line="293" w:lineRule="atLeast"/>
              <w:ind w:left="0"/>
              <w:jc w:val="both"/>
              <w:rPr>
                <w:sz w:val="22"/>
                <w:szCs w:val="22"/>
                <w:lang w:val="lv-LV"/>
              </w:rPr>
            </w:pPr>
            <w:r w:rsidRPr="00BE25AC">
              <w:rPr>
                <w:sz w:val="22"/>
                <w:szCs w:val="22"/>
                <w:lang w:val="lv-LV"/>
              </w:rPr>
              <w:t xml:space="preserve">1.9. papildināt noteikumus ar </w:t>
            </w:r>
            <w:r w:rsidRPr="00BE25AC">
              <w:rPr>
                <w:sz w:val="22"/>
                <w:szCs w:val="22"/>
                <w:lang w:val="lv-LV" w:eastAsia="lv-LV"/>
              </w:rPr>
              <w:t>62.</w:t>
            </w:r>
            <w:r w:rsidRPr="00BE25AC">
              <w:rPr>
                <w:sz w:val="22"/>
                <w:szCs w:val="22"/>
                <w:vertAlign w:val="superscript"/>
                <w:lang w:val="lv-LV" w:eastAsia="lv-LV"/>
              </w:rPr>
              <w:t>3</w:t>
            </w:r>
            <w:r w:rsidRPr="00BE25AC">
              <w:rPr>
                <w:sz w:val="22"/>
                <w:szCs w:val="22"/>
                <w:lang w:val="lv-LV"/>
              </w:rPr>
              <w:t xml:space="preserve">, </w:t>
            </w:r>
            <w:r w:rsidRPr="00BE25AC">
              <w:rPr>
                <w:sz w:val="22"/>
                <w:szCs w:val="22"/>
                <w:lang w:val="lv-LV" w:eastAsia="lv-LV"/>
              </w:rPr>
              <w:t>62.</w:t>
            </w:r>
            <w:r w:rsidRPr="00BE25AC">
              <w:rPr>
                <w:sz w:val="22"/>
                <w:szCs w:val="22"/>
                <w:vertAlign w:val="superscript"/>
                <w:lang w:val="lv-LV" w:eastAsia="lv-LV"/>
              </w:rPr>
              <w:t>4</w:t>
            </w:r>
            <w:r w:rsidRPr="00BE25AC">
              <w:rPr>
                <w:sz w:val="22"/>
                <w:szCs w:val="22"/>
                <w:lang w:val="lv-LV" w:eastAsia="lv-LV"/>
              </w:rPr>
              <w:t xml:space="preserve"> </w:t>
            </w:r>
            <w:r w:rsidRPr="00BE25AC">
              <w:rPr>
                <w:sz w:val="22"/>
                <w:szCs w:val="22"/>
                <w:lang w:val="lv-LV"/>
              </w:rPr>
              <w:t xml:space="preserve">un </w:t>
            </w:r>
            <w:r w:rsidRPr="00BE25AC">
              <w:rPr>
                <w:sz w:val="22"/>
                <w:szCs w:val="22"/>
                <w:lang w:val="lv-LV" w:eastAsia="lv-LV"/>
              </w:rPr>
              <w:t>62.</w:t>
            </w:r>
            <w:r w:rsidRPr="00BE25AC">
              <w:rPr>
                <w:sz w:val="22"/>
                <w:szCs w:val="22"/>
                <w:vertAlign w:val="superscript"/>
                <w:lang w:val="lv-LV" w:eastAsia="lv-LV"/>
              </w:rPr>
              <w:t xml:space="preserve">5 </w:t>
            </w:r>
            <w:r w:rsidRPr="00BE25AC">
              <w:rPr>
                <w:sz w:val="22"/>
                <w:szCs w:val="22"/>
                <w:lang w:val="lv-LV"/>
              </w:rPr>
              <w:t>punktu šādā redakcijā:</w:t>
            </w:r>
          </w:p>
          <w:p w14:paraId="36692B12" w14:textId="63E45C8B" w:rsidR="005B5CA8" w:rsidRPr="00BE25AC" w:rsidRDefault="005B270E" w:rsidP="005B270E">
            <w:pPr>
              <w:shd w:val="clear" w:color="auto" w:fill="FFFFFF"/>
              <w:jc w:val="both"/>
              <w:rPr>
                <w:b/>
                <w:sz w:val="22"/>
                <w:szCs w:val="22"/>
                <w:lang w:eastAsia="lv-LV"/>
              </w:rPr>
            </w:pPr>
            <w:r w:rsidRPr="00BE25AC">
              <w:rPr>
                <w:sz w:val="22"/>
                <w:szCs w:val="22"/>
                <w:lang w:eastAsia="lv-LV"/>
              </w:rPr>
              <w:t>“62.</w:t>
            </w:r>
            <w:r w:rsidRPr="00BE25AC">
              <w:rPr>
                <w:sz w:val="22"/>
                <w:szCs w:val="22"/>
                <w:vertAlign w:val="superscript"/>
                <w:lang w:eastAsia="lv-LV"/>
              </w:rPr>
              <w:t>3</w:t>
            </w:r>
            <w:r w:rsidRPr="00BE25AC">
              <w:rPr>
                <w:sz w:val="22"/>
                <w:szCs w:val="22"/>
                <w:lang w:eastAsia="lv-LV"/>
              </w:rPr>
              <w:t xml:space="preserve"> Šo noteikumu </w:t>
            </w:r>
            <w:r w:rsidRPr="00BE25AC">
              <w:rPr>
                <w:b/>
                <w:sz w:val="22"/>
                <w:szCs w:val="22"/>
                <w:lang w:eastAsia="lv-LV"/>
              </w:rPr>
              <w:t>39.punktā noteiktie termiņi</w:t>
            </w:r>
            <w:r w:rsidRPr="00BE25AC">
              <w:rPr>
                <w:sz w:val="22"/>
                <w:szCs w:val="22"/>
                <w:lang w:eastAsia="lv-LV"/>
              </w:rPr>
              <w:t xml:space="preserve"> 2021. gadā ir 11. janvāris</w:t>
            </w:r>
            <w:r w:rsidRPr="00BE25AC">
              <w:rPr>
                <w:b/>
                <w:sz w:val="22"/>
                <w:szCs w:val="22"/>
                <w:lang w:eastAsia="lv-LV"/>
              </w:rPr>
              <w:t xml:space="preserve"> un 21. janvāri</w:t>
            </w:r>
            <w:r w:rsidR="00C05FD2" w:rsidRPr="00BE25AC">
              <w:rPr>
                <w:b/>
                <w:sz w:val="22"/>
                <w:szCs w:val="22"/>
                <w:lang w:eastAsia="lv-LV"/>
              </w:rPr>
              <w:t>s</w:t>
            </w:r>
            <w:r w:rsidR="005B5CA8" w:rsidRPr="00BE25AC">
              <w:rPr>
                <w:b/>
                <w:sz w:val="22"/>
                <w:szCs w:val="22"/>
                <w:lang w:eastAsia="lv-LV"/>
              </w:rPr>
              <w:t>.</w:t>
            </w:r>
          </w:p>
          <w:p w14:paraId="412E5BF4" w14:textId="77777777" w:rsidR="00471568" w:rsidRPr="00BE25AC" w:rsidRDefault="00471568" w:rsidP="005B5CA8">
            <w:pPr>
              <w:shd w:val="clear" w:color="auto" w:fill="FFFFFF"/>
              <w:jc w:val="both"/>
              <w:rPr>
                <w:sz w:val="22"/>
                <w:szCs w:val="22"/>
                <w:lang w:eastAsia="lv-LV"/>
              </w:rPr>
            </w:pPr>
            <w:r w:rsidRPr="00BE25AC">
              <w:rPr>
                <w:sz w:val="22"/>
                <w:szCs w:val="22"/>
                <w:lang w:eastAsia="lv-LV"/>
              </w:rPr>
              <w:t>62.</w:t>
            </w:r>
            <w:r w:rsidRPr="00BE25AC">
              <w:rPr>
                <w:sz w:val="22"/>
                <w:szCs w:val="22"/>
                <w:vertAlign w:val="superscript"/>
                <w:lang w:eastAsia="lv-LV"/>
              </w:rPr>
              <w:t>4</w:t>
            </w:r>
            <w:r w:rsidRPr="00BE25AC">
              <w:rPr>
                <w:sz w:val="22"/>
                <w:szCs w:val="22"/>
                <w:lang w:eastAsia="lv-LV"/>
              </w:rPr>
              <w:t xml:space="preserve"> </w:t>
            </w:r>
            <w:r w:rsidRPr="00BE25AC">
              <w:rPr>
                <w:b/>
                <w:sz w:val="22"/>
                <w:szCs w:val="22"/>
                <w:lang w:eastAsia="lv-LV"/>
              </w:rPr>
              <w:t>Lai precizētu saskaņā ar šo noteikumu 45.</w:t>
            </w:r>
            <w:r w:rsidRPr="00BE25AC">
              <w:rPr>
                <w:b/>
                <w:sz w:val="22"/>
                <w:szCs w:val="22"/>
                <w:vertAlign w:val="superscript"/>
                <w:lang w:eastAsia="lv-LV"/>
              </w:rPr>
              <w:t>2</w:t>
            </w:r>
            <w:r w:rsidRPr="00BE25AC">
              <w:rPr>
                <w:b/>
                <w:sz w:val="22"/>
                <w:szCs w:val="22"/>
                <w:lang w:eastAsia="lv-LV"/>
              </w:rPr>
              <w:t>3. apakšpunktu uz 2021.gadu pārcelto līdzekļu atlikuma summu un kontu,</w:t>
            </w:r>
            <w:r w:rsidRPr="00BE25AC">
              <w:rPr>
                <w:sz w:val="22"/>
                <w:szCs w:val="22"/>
                <w:lang w:eastAsia="lv-LV"/>
              </w:rPr>
              <w:t xml:space="preserve"> budžeta izpildītājs līdz 2021. gada 5. janvārim </w:t>
            </w:r>
            <w:r w:rsidRPr="00BE25AC">
              <w:rPr>
                <w:b/>
                <w:sz w:val="22"/>
                <w:szCs w:val="22"/>
                <w:lang w:eastAsia="lv-LV"/>
              </w:rPr>
              <w:t>var sagatavot</w:t>
            </w:r>
            <w:r w:rsidRPr="00BE25AC">
              <w:rPr>
                <w:sz w:val="22"/>
                <w:szCs w:val="22"/>
                <w:lang w:eastAsia="lv-LV"/>
              </w:rPr>
              <w:t xml:space="preserve"> datorrakstā aizpildītu pieteikumu </w:t>
            </w:r>
            <w:r w:rsidRPr="00BE25AC">
              <w:rPr>
                <w:sz w:val="22"/>
                <w:szCs w:val="22"/>
                <w:lang w:eastAsia="lv-LV"/>
              </w:rPr>
              <w:lastRenderedPageBreak/>
              <w:t xml:space="preserve">par atlikuma uz iepriekšējā saimnieciskā gada beigām pārgrāmatošanu (4. pielikums) elektroniska dokumenta veidā, kurš apliecināts ar drošu elektronisko parakstu atbilstoši normatīvajiem aktiem elektronisko dokumentu noformēšanas un aprites jomā, </w:t>
            </w:r>
            <w:r w:rsidRPr="00BE25AC">
              <w:rPr>
                <w:b/>
                <w:sz w:val="22"/>
                <w:szCs w:val="22"/>
                <w:lang w:eastAsia="lv-LV"/>
              </w:rPr>
              <w:t>un nosūtīt</w:t>
            </w:r>
            <w:r w:rsidRPr="00BE25AC">
              <w:rPr>
                <w:sz w:val="22"/>
                <w:szCs w:val="22"/>
                <w:lang w:eastAsia="lv-LV"/>
              </w:rPr>
              <w:t xml:space="preserve"> uz Valsts kases oficiālo elektronisko adresi.</w:t>
            </w:r>
          </w:p>
          <w:p w14:paraId="22394AFB" w14:textId="2AFCD970" w:rsidR="005B270E" w:rsidRPr="00BE25AC" w:rsidRDefault="005B5CA8" w:rsidP="005B5CA8">
            <w:pPr>
              <w:shd w:val="clear" w:color="auto" w:fill="FFFFFF"/>
              <w:jc w:val="both"/>
              <w:rPr>
                <w:sz w:val="22"/>
                <w:szCs w:val="22"/>
                <w:lang w:eastAsia="lv-LV"/>
              </w:rPr>
            </w:pPr>
            <w:r w:rsidRPr="00BE25AC">
              <w:rPr>
                <w:sz w:val="22"/>
                <w:szCs w:val="22"/>
                <w:lang w:eastAsia="lv-LV"/>
              </w:rPr>
              <w:t>62.</w:t>
            </w:r>
            <w:r w:rsidRPr="00BE25AC">
              <w:rPr>
                <w:sz w:val="22"/>
                <w:szCs w:val="22"/>
                <w:vertAlign w:val="superscript"/>
                <w:lang w:eastAsia="lv-LV"/>
              </w:rPr>
              <w:t>5</w:t>
            </w:r>
            <w:r w:rsidRPr="00BE25AC">
              <w:rPr>
                <w:sz w:val="22"/>
                <w:szCs w:val="22"/>
                <w:lang w:eastAsia="lv-LV"/>
              </w:rPr>
              <w:t xml:space="preserve"> Šo noteikumu 50. punktā noteiktais termiņš 2021. gadā ir 8. janvāris.”;</w:t>
            </w:r>
          </w:p>
          <w:p w14:paraId="3BF4C666" w14:textId="6821F9B7" w:rsidR="000615BE" w:rsidRPr="00BE25AC" w:rsidRDefault="000615BE" w:rsidP="002979D3">
            <w:pPr>
              <w:jc w:val="both"/>
              <w:rPr>
                <w:sz w:val="22"/>
                <w:szCs w:val="22"/>
              </w:rPr>
            </w:pPr>
          </w:p>
        </w:tc>
      </w:tr>
      <w:tr w:rsidR="00BE25AC" w:rsidRPr="00BE25AC" w14:paraId="2BBE6F2A" w14:textId="77777777" w:rsidTr="005D7AF7">
        <w:tc>
          <w:tcPr>
            <w:tcW w:w="676" w:type="dxa"/>
          </w:tcPr>
          <w:p w14:paraId="771A9EF7" w14:textId="4C9EB161" w:rsidR="00832DF1" w:rsidRPr="00BE25AC" w:rsidRDefault="001D63EC" w:rsidP="00832DF1">
            <w:pPr>
              <w:jc w:val="both"/>
              <w:rPr>
                <w:sz w:val="22"/>
                <w:szCs w:val="22"/>
              </w:rPr>
            </w:pPr>
            <w:r w:rsidRPr="00BE25AC">
              <w:rPr>
                <w:sz w:val="22"/>
                <w:szCs w:val="22"/>
              </w:rPr>
              <w:lastRenderedPageBreak/>
              <w:t>6.</w:t>
            </w:r>
          </w:p>
        </w:tc>
        <w:tc>
          <w:tcPr>
            <w:tcW w:w="2134" w:type="dxa"/>
          </w:tcPr>
          <w:p w14:paraId="6DA692C4" w14:textId="77777777" w:rsidR="00832DF1" w:rsidRPr="00BE25AC" w:rsidRDefault="00832DF1" w:rsidP="00832DF1">
            <w:pPr>
              <w:jc w:val="both"/>
              <w:rPr>
                <w:sz w:val="22"/>
                <w:szCs w:val="22"/>
              </w:rPr>
            </w:pPr>
            <w:r w:rsidRPr="00BE25AC">
              <w:rPr>
                <w:sz w:val="22"/>
                <w:szCs w:val="22"/>
              </w:rPr>
              <w:t>Tiesiskais regulējums nemaina institūciju tiesības, pienākumus un veicamās darbības.</w:t>
            </w:r>
          </w:p>
          <w:p w14:paraId="53515C4C" w14:textId="2A595DA5" w:rsidR="00832DF1" w:rsidRPr="00BE25AC" w:rsidRDefault="00832DF1" w:rsidP="00832DF1">
            <w:pPr>
              <w:jc w:val="both"/>
              <w:rPr>
                <w:sz w:val="22"/>
                <w:szCs w:val="22"/>
              </w:rPr>
            </w:pPr>
            <w:r w:rsidRPr="00BE25AC">
              <w:rPr>
                <w:sz w:val="22"/>
                <w:szCs w:val="22"/>
              </w:rPr>
              <w:t xml:space="preserve">Noteikumu projekts tieši neietekmēs tautsaimniecību un budžeta iestāžu administratīvo vidi, jo saskaņā ar spēkā </w:t>
            </w:r>
            <w:r w:rsidRPr="00BE25AC">
              <w:rPr>
                <w:sz w:val="22"/>
                <w:szCs w:val="22"/>
              </w:rPr>
              <w:lastRenderedPageBreak/>
              <w:t>esošā Likuma par budžetu un finanšu vadību prasībām arī pašlaik budžeta izpildītājiem ir jāveic noteiktas administratīvās procedūras gada slēguma procesā. Noteikumu projekts nodrošinās šo procedūru vienkāršošanu un darbību pakāpenisku automatizāciju.</w:t>
            </w:r>
          </w:p>
        </w:tc>
        <w:tc>
          <w:tcPr>
            <w:tcW w:w="4273" w:type="dxa"/>
          </w:tcPr>
          <w:p w14:paraId="734E9F1B" w14:textId="77777777" w:rsidR="00832DF1" w:rsidRPr="00BE25AC" w:rsidRDefault="00832DF1" w:rsidP="00832DF1">
            <w:pPr>
              <w:jc w:val="both"/>
              <w:rPr>
                <w:b/>
                <w:sz w:val="22"/>
                <w:szCs w:val="22"/>
              </w:rPr>
            </w:pPr>
            <w:r w:rsidRPr="00BE25AC">
              <w:rPr>
                <w:b/>
                <w:sz w:val="22"/>
                <w:szCs w:val="22"/>
              </w:rPr>
              <w:lastRenderedPageBreak/>
              <w:t>Tieslietu ministrija</w:t>
            </w:r>
          </w:p>
          <w:p w14:paraId="2A3AC44C" w14:textId="77777777" w:rsidR="00832DF1" w:rsidRPr="00BE25AC" w:rsidRDefault="00832DF1" w:rsidP="00832DF1">
            <w:pPr>
              <w:jc w:val="both"/>
              <w:rPr>
                <w:sz w:val="22"/>
                <w:szCs w:val="22"/>
              </w:rPr>
            </w:pPr>
          </w:p>
          <w:p w14:paraId="2B896A42" w14:textId="77777777" w:rsidR="00832DF1" w:rsidRPr="00BE25AC" w:rsidRDefault="00832DF1" w:rsidP="00832DF1">
            <w:pPr>
              <w:tabs>
                <w:tab w:val="left" w:pos="851"/>
                <w:tab w:val="left" w:pos="1276"/>
                <w:tab w:val="center" w:pos="4677"/>
              </w:tabs>
              <w:suppressAutoHyphens/>
              <w:jc w:val="both"/>
              <w:rPr>
                <w:sz w:val="22"/>
                <w:szCs w:val="22"/>
                <w:lang w:eastAsia="zh-CN"/>
              </w:rPr>
            </w:pPr>
            <w:r w:rsidRPr="00BE25AC">
              <w:rPr>
                <w:bCs/>
                <w:iCs/>
                <w:sz w:val="22"/>
                <w:szCs w:val="22"/>
                <w:lang w:eastAsia="zh-CN"/>
              </w:rPr>
              <w:t xml:space="preserve">Anotācijas II sadaļas 2. punktā ir sniegta informācija, ka </w:t>
            </w:r>
            <w:r w:rsidRPr="00BE25AC">
              <w:rPr>
                <w:sz w:val="22"/>
                <w:szCs w:val="22"/>
                <w:lang w:eastAsia="lv-LV"/>
              </w:rPr>
              <w:t>tiesiskais regulējums nemaina institūciju tiesības, pienākumus un veicamās darbības. Lūdzam precizēt minēto informāciju, jo noteikumu projekts paredz izmaiņas noteiktām veicamajām darbībām.</w:t>
            </w:r>
          </w:p>
          <w:p w14:paraId="51BE26DD" w14:textId="77777777" w:rsidR="00832DF1" w:rsidRPr="00BE25AC" w:rsidRDefault="00832DF1" w:rsidP="00832DF1">
            <w:pPr>
              <w:jc w:val="both"/>
              <w:rPr>
                <w:sz w:val="22"/>
                <w:szCs w:val="22"/>
              </w:rPr>
            </w:pPr>
          </w:p>
        </w:tc>
        <w:tc>
          <w:tcPr>
            <w:tcW w:w="4720" w:type="dxa"/>
          </w:tcPr>
          <w:p w14:paraId="06E5D1AB" w14:textId="38230249" w:rsidR="00832DF1" w:rsidRPr="00BE25AC" w:rsidRDefault="00832DF1" w:rsidP="00832DF1">
            <w:pPr>
              <w:jc w:val="both"/>
              <w:rPr>
                <w:b/>
                <w:sz w:val="22"/>
                <w:szCs w:val="22"/>
              </w:rPr>
            </w:pPr>
            <w:r w:rsidRPr="00BE25AC">
              <w:rPr>
                <w:b/>
                <w:sz w:val="22"/>
                <w:szCs w:val="22"/>
              </w:rPr>
              <w:t>Ņemts vērā</w:t>
            </w:r>
          </w:p>
        </w:tc>
        <w:tc>
          <w:tcPr>
            <w:tcW w:w="2189" w:type="dxa"/>
          </w:tcPr>
          <w:p w14:paraId="7B9D1FF4" w14:textId="77777777" w:rsidR="00832DF1" w:rsidRPr="00BE25AC" w:rsidRDefault="00832DF1" w:rsidP="00832DF1">
            <w:pPr>
              <w:jc w:val="both"/>
              <w:rPr>
                <w:b/>
                <w:sz w:val="22"/>
                <w:szCs w:val="22"/>
              </w:rPr>
            </w:pPr>
            <w:r w:rsidRPr="00BE25AC">
              <w:rPr>
                <w:b/>
                <w:sz w:val="22"/>
                <w:szCs w:val="22"/>
              </w:rPr>
              <w:t>Precizēta anotācija</w:t>
            </w:r>
          </w:p>
          <w:p w14:paraId="433C8F49" w14:textId="77777777" w:rsidR="00C84175" w:rsidRPr="00BE25AC" w:rsidRDefault="00C84175" w:rsidP="00C84175">
            <w:pPr>
              <w:jc w:val="both"/>
              <w:rPr>
                <w:sz w:val="22"/>
                <w:szCs w:val="22"/>
              </w:rPr>
            </w:pPr>
          </w:p>
          <w:p w14:paraId="609470AB" w14:textId="54767AC2" w:rsidR="00C84175" w:rsidRPr="00BE25AC" w:rsidRDefault="00C84175" w:rsidP="00C84175">
            <w:pPr>
              <w:jc w:val="both"/>
              <w:rPr>
                <w:sz w:val="22"/>
                <w:szCs w:val="22"/>
              </w:rPr>
            </w:pPr>
            <w:r w:rsidRPr="00BE25AC">
              <w:rPr>
                <w:sz w:val="22"/>
                <w:szCs w:val="22"/>
              </w:rPr>
              <w:t xml:space="preserve">Noteikumu projekts neietekmē tautsaimniecību un neparedz administratīvā sloga palielināšanos. </w:t>
            </w:r>
          </w:p>
          <w:p w14:paraId="39A93762" w14:textId="6B306D47" w:rsidR="00832DF1" w:rsidRPr="00BE25AC" w:rsidRDefault="00C84175" w:rsidP="00471568">
            <w:pPr>
              <w:jc w:val="both"/>
              <w:rPr>
                <w:sz w:val="22"/>
                <w:szCs w:val="22"/>
              </w:rPr>
            </w:pPr>
            <w:r w:rsidRPr="00BE25AC">
              <w:rPr>
                <w:sz w:val="22"/>
                <w:szCs w:val="22"/>
              </w:rPr>
              <w:t xml:space="preserve">Tiesiskais regulējums nemaina kopumā institūciju tiesības un </w:t>
            </w:r>
            <w:r w:rsidRPr="00BE25AC">
              <w:rPr>
                <w:sz w:val="22"/>
                <w:szCs w:val="22"/>
              </w:rPr>
              <w:lastRenderedPageBreak/>
              <w:t>pienākumus</w:t>
            </w:r>
            <w:r w:rsidR="00471568" w:rsidRPr="00BE25AC">
              <w:rPr>
                <w:sz w:val="22"/>
                <w:szCs w:val="22"/>
              </w:rPr>
              <w:t>. N</w:t>
            </w:r>
            <w:r w:rsidRPr="00BE25AC">
              <w:rPr>
                <w:sz w:val="22"/>
                <w:szCs w:val="22"/>
              </w:rPr>
              <w:t>oteikumu projekts</w:t>
            </w:r>
            <w:r w:rsidR="00F4113D" w:rsidRPr="00BE25AC">
              <w:rPr>
                <w:sz w:val="22"/>
                <w:szCs w:val="22"/>
              </w:rPr>
              <w:t xml:space="preserve"> turpmāk</w:t>
            </w:r>
            <w:r w:rsidRPr="00BE25AC">
              <w:rPr>
                <w:sz w:val="22"/>
                <w:szCs w:val="22"/>
              </w:rPr>
              <w:t xml:space="preserve"> neparedz iesniegt pieteikumu par atlikuma uz iepriekšējā saimnieciskā gada beigām pārgrāmatošanu, bet nosaka jaunu kārtību kopsavilkuma pārskata sagatavošanai un iesniegšanai.</w:t>
            </w:r>
          </w:p>
        </w:tc>
      </w:tr>
      <w:tr w:rsidR="005272EB" w:rsidRPr="00BE25AC" w14:paraId="52DD6840" w14:textId="77777777" w:rsidTr="005D7AF7">
        <w:tc>
          <w:tcPr>
            <w:tcW w:w="676" w:type="dxa"/>
          </w:tcPr>
          <w:p w14:paraId="6A646282" w14:textId="2D23343D" w:rsidR="005272EB" w:rsidRPr="00BE25AC" w:rsidRDefault="001D63EC" w:rsidP="005272EB">
            <w:pPr>
              <w:jc w:val="both"/>
              <w:rPr>
                <w:sz w:val="22"/>
                <w:szCs w:val="22"/>
              </w:rPr>
            </w:pPr>
            <w:r w:rsidRPr="00BE25AC">
              <w:rPr>
                <w:sz w:val="22"/>
                <w:szCs w:val="22"/>
              </w:rPr>
              <w:lastRenderedPageBreak/>
              <w:t>7.</w:t>
            </w:r>
          </w:p>
        </w:tc>
        <w:tc>
          <w:tcPr>
            <w:tcW w:w="2134" w:type="dxa"/>
          </w:tcPr>
          <w:p w14:paraId="282408FE" w14:textId="1011228C" w:rsidR="005272EB" w:rsidRPr="00BE25AC" w:rsidRDefault="005272EB" w:rsidP="005272EB">
            <w:pPr>
              <w:jc w:val="both"/>
              <w:rPr>
                <w:sz w:val="22"/>
                <w:szCs w:val="22"/>
              </w:rPr>
            </w:pPr>
            <w:r w:rsidRPr="00BE25AC">
              <w:rPr>
                <w:sz w:val="22"/>
                <w:szCs w:val="22"/>
              </w:rPr>
              <w:t>Noteikumu projektā nav iekļauts</w:t>
            </w:r>
          </w:p>
        </w:tc>
        <w:tc>
          <w:tcPr>
            <w:tcW w:w="4273" w:type="dxa"/>
          </w:tcPr>
          <w:p w14:paraId="7C670C61" w14:textId="72509773" w:rsidR="005272EB" w:rsidRPr="00BE25AC" w:rsidRDefault="005272EB" w:rsidP="005272EB">
            <w:pPr>
              <w:jc w:val="both"/>
              <w:rPr>
                <w:b/>
                <w:sz w:val="22"/>
                <w:szCs w:val="22"/>
              </w:rPr>
            </w:pPr>
            <w:proofErr w:type="spellStart"/>
            <w:r w:rsidRPr="00BE25AC">
              <w:rPr>
                <w:b/>
                <w:sz w:val="22"/>
                <w:szCs w:val="22"/>
              </w:rPr>
              <w:t>Iekšlietu</w:t>
            </w:r>
            <w:proofErr w:type="spellEnd"/>
            <w:r w:rsidRPr="00BE25AC">
              <w:rPr>
                <w:b/>
                <w:sz w:val="22"/>
                <w:szCs w:val="22"/>
              </w:rPr>
              <w:t xml:space="preserve"> ministrija</w:t>
            </w:r>
          </w:p>
          <w:p w14:paraId="1852D5EF" w14:textId="77777777" w:rsidR="005272EB" w:rsidRPr="00BE25AC" w:rsidRDefault="005272EB" w:rsidP="005272EB">
            <w:pPr>
              <w:jc w:val="both"/>
              <w:rPr>
                <w:b/>
                <w:sz w:val="22"/>
                <w:szCs w:val="22"/>
              </w:rPr>
            </w:pPr>
          </w:p>
          <w:p w14:paraId="3CE5EC7E" w14:textId="77777777" w:rsidR="005272EB" w:rsidRPr="00BE25AC" w:rsidRDefault="005272EB" w:rsidP="005272EB">
            <w:pPr>
              <w:jc w:val="both"/>
              <w:rPr>
                <w:sz w:val="22"/>
                <w:szCs w:val="22"/>
              </w:rPr>
            </w:pPr>
            <w:r w:rsidRPr="00BE25AC">
              <w:rPr>
                <w:sz w:val="22"/>
                <w:szCs w:val="22"/>
              </w:rPr>
              <w:t>Ministru kabineta 2010. gada 28. decembra noteikumu Nr. 1220 “Asignējumu piešķiršanas kārtība” (turpmāk – Noteikumi Nr.1220) 41.punkts nosaka:</w:t>
            </w:r>
          </w:p>
          <w:p w14:paraId="5BAE803A" w14:textId="77777777" w:rsidR="005272EB" w:rsidRPr="00BE25AC" w:rsidRDefault="005272EB" w:rsidP="005272EB">
            <w:pPr>
              <w:jc w:val="both"/>
              <w:rPr>
                <w:sz w:val="22"/>
                <w:szCs w:val="22"/>
              </w:rPr>
            </w:pPr>
            <w:r w:rsidRPr="00BE25AC">
              <w:rPr>
                <w:sz w:val="22"/>
                <w:szCs w:val="22"/>
              </w:rPr>
              <w:t>“41. Pārmaksas un prasību atmaksas, kas veidojušās iepriekšējos saimnieciskajos gados, ieskaita budžeta izpildītāja atvērtajā kontā Valsts kasē.”</w:t>
            </w:r>
          </w:p>
          <w:p w14:paraId="507A24D5" w14:textId="77777777" w:rsidR="005272EB" w:rsidRPr="00BE25AC" w:rsidRDefault="005272EB" w:rsidP="005272EB">
            <w:pPr>
              <w:jc w:val="both"/>
              <w:rPr>
                <w:sz w:val="22"/>
                <w:szCs w:val="22"/>
              </w:rPr>
            </w:pPr>
            <w:r w:rsidRPr="00BE25AC">
              <w:rPr>
                <w:sz w:val="22"/>
                <w:szCs w:val="22"/>
              </w:rPr>
              <w:t xml:space="preserve">Vēršam uzmanību, ka ir gadījumi, kad pārmaksas vai prasības par iepriekšējo gadu nav ieskaitāmas budžeta izpildītāja kontā Valsts kasē, piemēram, atlīdzības pārrēķins par iepriekšējo gadu, saskaņā ar līguma nosacījumiem saņemtais kredītrēķins no komersanta par nesaņemto pakalpojumu (piemēram, veselības apdrošināšana, atceltais komandējums). Saskaņā ar līguma </w:t>
            </w:r>
            <w:r w:rsidRPr="00BE25AC">
              <w:rPr>
                <w:sz w:val="22"/>
                <w:szCs w:val="22"/>
              </w:rPr>
              <w:lastRenderedPageBreak/>
              <w:t>nosacījumiem kredītrēķins dod tiesības samazināt nākamo maksājumu komersantam.</w:t>
            </w:r>
          </w:p>
          <w:p w14:paraId="78E3F191" w14:textId="77777777" w:rsidR="005272EB" w:rsidRPr="00BE25AC" w:rsidRDefault="005272EB" w:rsidP="005272EB">
            <w:pPr>
              <w:jc w:val="both"/>
              <w:rPr>
                <w:sz w:val="22"/>
                <w:szCs w:val="22"/>
              </w:rPr>
            </w:pPr>
            <w:r w:rsidRPr="00BE25AC">
              <w:rPr>
                <w:sz w:val="22"/>
                <w:szCs w:val="22"/>
              </w:rPr>
              <w:t>Ievērojot minēto un lai būtu skaidri un viennozīmīgi saprotama Noteikumu Nr.1220 41.punktā noteiktā regulējuma piemērošana, ierosinām papildināt noteikumu projektu ar jauniem punktiem, kas paredz:</w:t>
            </w:r>
          </w:p>
          <w:p w14:paraId="5BB740FC" w14:textId="77777777" w:rsidR="005272EB" w:rsidRPr="00BE25AC" w:rsidRDefault="005272EB" w:rsidP="005272EB">
            <w:pPr>
              <w:jc w:val="both"/>
              <w:rPr>
                <w:sz w:val="22"/>
                <w:szCs w:val="22"/>
              </w:rPr>
            </w:pPr>
            <w:r w:rsidRPr="00BE25AC">
              <w:rPr>
                <w:sz w:val="22"/>
                <w:szCs w:val="22"/>
              </w:rPr>
              <w:t>1.1.svītrot 41.punktu;</w:t>
            </w:r>
          </w:p>
          <w:p w14:paraId="2044E063" w14:textId="77777777" w:rsidR="005272EB" w:rsidRPr="00BE25AC" w:rsidRDefault="005272EB" w:rsidP="005272EB">
            <w:pPr>
              <w:jc w:val="both"/>
              <w:rPr>
                <w:sz w:val="22"/>
                <w:szCs w:val="22"/>
              </w:rPr>
            </w:pPr>
            <w:r w:rsidRPr="00BE25AC">
              <w:rPr>
                <w:sz w:val="22"/>
                <w:szCs w:val="22"/>
              </w:rPr>
              <w:t>1.2. izteikt 43.punkta pirmo teikumu šādā redakcijā:</w:t>
            </w:r>
          </w:p>
          <w:p w14:paraId="0D60EB78" w14:textId="77777777" w:rsidR="005272EB" w:rsidRPr="00BE25AC" w:rsidRDefault="005272EB" w:rsidP="005272EB">
            <w:pPr>
              <w:jc w:val="both"/>
              <w:rPr>
                <w:sz w:val="22"/>
                <w:szCs w:val="22"/>
              </w:rPr>
            </w:pPr>
            <w:r w:rsidRPr="00BE25AC">
              <w:rPr>
                <w:sz w:val="22"/>
                <w:szCs w:val="22"/>
              </w:rPr>
              <w:t xml:space="preserve">“Pārmaksas un prasību atmaksas, kas veidojušās iepriekšējos saimnieciskajos gados un ieskaitītas budžeta izpildītāja atvērtajā kontā Valsts kasē, un šo noteikumu 42.punktā minētās summas uzskaita budžeta izpildītāja atvērtajā kontā Valsts kasē, piemērojot budžeta ieņēmumu klasifikācijas kodu.” </w:t>
            </w:r>
          </w:p>
          <w:p w14:paraId="0979C41B" w14:textId="77777777" w:rsidR="005272EB" w:rsidRPr="00BE25AC" w:rsidRDefault="005272EB" w:rsidP="005272EB">
            <w:pPr>
              <w:jc w:val="both"/>
              <w:rPr>
                <w:b/>
                <w:sz w:val="22"/>
                <w:szCs w:val="22"/>
              </w:rPr>
            </w:pPr>
          </w:p>
        </w:tc>
        <w:tc>
          <w:tcPr>
            <w:tcW w:w="4720" w:type="dxa"/>
          </w:tcPr>
          <w:p w14:paraId="5A36023B" w14:textId="42B99523" w:rsidR="005272EB" w:rsidRPr="00BE25AC" w:rsidRDefault="00A57DE8" w:rsidP="005272EB">
            <w:pPr>
              <w:pStyle w:val="naisc"/>
              <w:spacing w:before="0" w:after="0"/>
              <w:jc w:val="both"/>
              <w:rPr>
                <w:b/>
                <w:sz w:val="22"/>
                <w:szCs w:val="22"/>
              </w:rPr>
            </w:pPr>
            <w:r>
              <w:rPr>
                <w:b/>
                <w:sz w:val="22"/>
                <w:szCs w:val="22"/>
              </w:rPr>
              <w:lastRenderedPageBreak/>
              <w:t>Panākta vienošanās</w:t>
            </w:r>
          </w:p>
          <w:p w14:paraId="65006EA4" w14:textId="77777777" w:rsidR="005272EB" w:rsidRPr="00BE25AC" w:rsidRDefault="005272EB" w:rsidP="005272EB">
            <w:pPr>
              <w:pStyle w:val="naisc"/>
              <w:spacing w:before="0" w:after="0"/>
              <w:jc w:val="both"/>
              <w:rPr>
                <w:sz w:val="22"/>
                <w:szCs w:val="22"/>
              </w:rPr>
            </w:pPr>
          </w:p>
          <w:p w14:paraId="5CA18848" w14:textId="5AB07FD5" w:rsidR="005272EB" w:rsidRPr="00BE25AC" w:rsidRDefault="005272EB" w:rsidP="005272EB">
            <w:pPr>
              <w:pStyle w:val="naisc"/>
              <w:spacing w:before="0" w:after="0"/>
              <w:jc w:val="both"/>
              <w:rPr>
                <w:sz w:val="22"/>
                <w:szCs w:val="22"/>
              </w:rPr>
            </w:pPr>
            <w:r w:rsidRPr="00BE25AC">
              <w:rPr>
                <w:sz w:val="22"/>
                <w:szCs w:val="22"/>
              </w:rPr>
              <w:t>Saņemtais iebildums ir jauns priekš</w:t>
            </w:r>
            <w:r w:rsidR="00B53CB8">
              <w:rPr>
                <w:sz w:val="22"/>
                <w:szCs w:val="22"/>
              </w:rPr>
              <w:t>likums esošo normu precizēšanai</w:t>
            </w:r>
            <w:r w:rsidRPr="00BE25AC">
              <w:rPr>
                <w:sz w:val="22"/>
                <w:szCs w:val="22"/>
              </w:rPr>
              <w:t xml:space="preserve"> un neattiecas uz noteikumu projektā iekļautajiem grozījumiem pēc būtības. Saņemtais priekšlikums tiks izvērtēts un nepieciešamības gadījumā iekļauts nākamajos normatīvā akta grozījumos. </w:t>
            </w:r>
          </w:p>
          <w:p w14:paraId="1F64EC65" w14:textId="77777777" w:rsidR="005272EB" w:rsidRPr="00BE25AC" w:rsidRDefault="005272EB" w:rsidP="005272EB">
            <w:pPr>
              <w:jc w:val="both"/>
              <w:rPr>
                <w:b/>
                <w:sz w:val="22"/>
                <w:szCs w:val="22"/>
              </w:rPr>
            </w:pPr>
            <w:bookmarkStart w:id="0" w:name="_GoBack"/>
            <w:bookmarkEnd w:id="0"/>
          </w:p>
        </w:tc>
        <w:tc>
          <w:tcPr>
            <w:tcW w:w="2189" w:type="dxa"/>
          </w:tcPr>
          <w:p w14:paraId="7DCD9516" w14:textId="06DAE874" w:rsidR="005272EB" w:rsidRPr="00BE25AC" w:rsidRDefault="005272EB" w:rsidP="005272EB">
            <w:pPr>
              <w:jc w:val="both"/>
              <w:rPr>
                <w:b/>
                <w:sz w:val="22"/>
                <w:szCs w:val="22"/>
              </w:rPr>
            </w:pPr>
          </w:p>
        </w:tc>
      </w:tr>
    </w:tbl>
    <w:p w14:paraId="2EBD171C" w14:textId="77777777" w:rsidR="00CA1DDF" w:rsidRPr="00BE25AC" w:rsidRDefault="00CA1DDF" w:rsidP="000615BE">
      <w:pPr>
        <w:pStyle w:val="naisnod"/>
        <w:spacing w:before="0" w:after="0"/>
      </w:pPr>
    </w:p>
    <w:p w14:paraId="56571FBC" w14:textId="77777777" w:rsidR="009D5508" w:rsidRPr="00BE25AC" w:rsidRDefault="009D5508" w:rsidP="000615BE">
      <w:pPr>
        <w:pStyle w:val="naisf"/>
        <w:spacing w:before="0" w:after="0"/>
      </w:pPr>
      <w:r w:rsidRPr="00BE25AC">
        <w:t> </w:t>
      </w:r>
    </w:p>
    <w:p w14:paraId="6769525A" w14:textId="77777777" w:rsidR="009D5508" w:rsidRPr="00BE25AC" w:rsidRDefault="009D5508" w:rsidP="000615BE">
      <w:pPr>
        <w:pStyle w:val="naisf"/>
        <w:spacing w:before="0" w:after="0"/>
        <w:rPr>
          <w:sz w:val="20"/>
          <w:szCs w:val="20"/>
        </w:rPr>
      </w:pPr>
      <w:r w:rsidRPr="00BE25AC">
        <w:rPr>
          <w:sz w:val="20"/>
          <w:szCs w:val="20"/>
        </w:rPr>
        <w:t>Piezīme. * Dokumenta rekvizītu "paraksts" neaizpilda, ja elektroniskais dokuments ir sagatavots atbilstoši normatīvajiem aktiem par elektronisko dokumentu noformēšanu.</w:t>
      </w:r>
    </w:p>
    <w:tbl>
      <w:tblPr>
        <w:tblW w:w="0" w:type="auto"/>
        <w:tblCellSpacing w:w="0" w:type="dxa"/>
        <w:tblCellMar>
          <w:left w:w="0" w:type="dxa"/>
          <w:right w:w="0" w:type="dxa"/>
        </w:tblCellMar>
        <w:tblLook w:val="0000" w:firstRow="0" w:lastRow="0" w:firstColumn="0" w:lastColumn="0" w:noHBand="0" w:noVBand="0"/>
      </w:tblPr>
      <w:tblGrid>
        <w:gridCol w:w="8265"/>
      </w:tblGrid>
      <w:tr w:rsidR="00BE25AC" w:rsidRPr="00BE25AC" w14:paraId="4D7963C5" w14:textId="77777777" w:rsidTr="009D5508">
        <w:trPr>
          <w:tblCellSpacing w:w="0" w:type="dxa"/>
        </w:trPr>
        <w:tc>
          <w:tcPr>
            <w:tcW w:w="8265" w:type="dxa"/>
            <w:tcBorders>
              <w:top w:val="nil"/>
              <w:left w:val="nil"/>
              <w:bottom w:val="single" w:sz="8" w:space="0" w:color="000000"/>
              <w:right w:val="nil"/>
            </w:tcBorders>
          </w:tcPr>
          <w:p w14:paraId="16DD93BC" w14:textId="54E282B4" w:rsidR="009D5508" w:rsidRPr="00BE25AC" w:rsidRDefault="00065A7C" w:rsidP="000615BE">
            <w:pPr>
              <w:pStyle w:val="naisf"/>
              <w:spacing w:before="0" w:after="0"/>
              <w:jc w:val="center"/>
            </w:pPr>
            <w:r w:rsidRPr="00BE25AC">
              <w:t>Anita Popova</w:t>
            </w:r>
          </w:p>
        </w:tc>
      </w:tr>
      <w:tr w:rsidR="00BE25AC" w:rsidRPr="00BE25AC" w14:paraId="13796006" w14:textId="77777777" w:rsidTr="009D5508">
        <w:trPr>
          <w:tblCellSpacing w:w="0" w:type="dxa"/>
        </w:trPr>
        <w:tc>
          <w:tcPr>
            <w:tcW w:w="0" w:type="auto"/>
            <w:tcBorders>
              <w:top w:val="nil"/>
              <w:left w:val="nil"/>
              <w:bottom w:val="nil"/>
              <w:right w:val="nil"/>
            </w:tcBorders>
            <w:vAlign w:val="center"/>
          </w:tcPr>
          <w:p w14:paraId="44F5598D" w14:textId="2FEED1B6" w:rsidR="009D5508" w:rsidRPr="00BE25AC" w:rsidRDefault="00065A7C" w:rsidP="000615BE">
            <w:pPr>
              <w:pStyle w:val="naisc"/>
              <w:spacing w:before="0" w:after="0"/>
            </w:pPr>
            <w:r w:rsidRPr="00BE25AC">
              <w:t>Valsts kases Budžeta izpildes un uzraudzības departamenta direktore</w:t>
            </w:r>
          </w:p>
        </w:tc>
      </w:tr>
      <w:tr w:rsidR="00BE25AC" w:rsidRPr="00BE25AC" w14:paraId="7CB65425" w14:textId="77777777" w:rsidTr="009D5508">
        <w:trPr>
          <w:tblCellSpacing w:w="0" w:type="dxa"/>
        </w:trPr>
        <w:tc>
          <w:tcPr>
            <w:tcW w:w="0" w:type="auto"/>
            <w:tcBorders>
              <w:top w:val="nil"/>
              <w:left w:val="nil"/>
              <w:bottom w:val="single" w:sz="8" w:space="0" w:color="000000"/>
              <w:right w:val="nil"/>
            </w:tcBorders>
            <w:vAlign w:val="center"/>
          </w:tcPr>
          <w:p w14:paraId="32658BF0" w14:textId="77777777" w:rsidR="009D5508" w:rsidRPr="00BE25AC" w:rsidRDefault="009D5508" w:rsidP="000615BE">
            <w:pPr>
              <w:pStyle w:val="naisf"/>
              <w:spacing w:before="0" w:after="0"/>
            </w:pPr>
            <w:r w:rsidRPr="00BE25AC">
              <w:t> </w:t>
            </w:r>
          </w:p>
        </w:tc>
      </w:tr>
      <w:tr w:rsidR="00BE25AC" w:rsidRPr="00BE25AC" w14:paraId="63684D6E" w14:textId="77777777" w:rsidTr="009D5508">
        <w:trPr>
          <w:tblCellSpacing w:w="0" w:type="dxa"/>
        </w:trPr>
        <w:tc>
          <w:tcPr>
            <w:tcW w:w="0" w:type="auto"/>
            <w:tcBorders>
              <w:top w:val="nil"/>
              <w:left w:val="nil"/>
              <w:bottom w:val="nil"/>
              <w:right w:val="nil"/>
            </w:tcBorders>
            <w:vAlign w:val="center"/>
          </w:tcPr>
          <w:p w14:paraId="79C70719" w14:textId="1BCC4133" w:rsidR="009D5508" w:rsidRPr="00BE25AC" w:rsidRDefault="00065A7C" w:rsidP="000615BE">
            <w:pPr>
              <w:pStyle w:val="naisc"/>
              <w:spacing w:before="0" w:after="0"/>
            </w:pPr>
            <w:r w:rsidRPr="00BE25AC">
              <w:t>67094246</w:t>
            </w:r>
          </w:p>
        </w:tc>
      </w:tr>
      <w:tr w:rsidR="00BE25AC" w:rsidRPr="00BE25AC" w14:paraId="52960478" w14:textId="77777777" w:rsidTr="00984394">
        <w:trPr>
          <w:trHeight w:val="64"/>
          <w:tblCellSpacing w:w="0" w:type="dxa"/>
        </w:trPr>
        <w:tc>
          <w:tcPr>
            <w:tcW w:w="0" w:type="auto"/>
            <w:tcBorders>
              <w:top w:val="nil"/>
              <w:left w:val="nil"/>
              <w:bottom w:val="single" w:sz="8" w:space="0" w:color="000000"/>
              <w:right w:val="nil"/>
            </w:tcBorders>
            <w:vAlign w:val="center"/>
          </w:tcPr>
          <w:p w14:paraId="336F5ED6" w14:textId="538CA097" w:rsidR="009D5508" w:rsidRPr="00BE25AC" w:rsidRDefault="009D5508" w:rsidP="000615BE">
            <w:pPr>
              <w:pStyle w:val="naisf"/>
              <w:spacing w:before="0" w:after="0"/>
              <w:ind w:firstLine="0"/>
            </w:pPr>
          </w:p>
        </w:tc>
      </w:tr>
      <w:tr w:rsidR="009D5508" w:rsidRPr="00BE25AC" w14:paraId="1DABF900" w14:textId="77777777" w:rsidTr="009D5508">
        <w:trPr>
          <w:tblCellSpacing w:w="0" w:type="dxa"/>
        </w:trPr>
        <w:tc>
          <w:tcPr>
            <w:tcW w:w="0" w:type="auto"/>
            <w:tcBorders>
              <w:top w:val="nil"/>
              <w:left w:val="nil"/>
              <w:bottom w:val="nil"/>
              <w:right w:val="nil"/>
            </w:tcBorders>
            <w:vAlign w:val="center"/>
          </w:tcPr>
          <w:p w14:paraId="6036496E" w14:textId="45602321" w:rsidR="00065A7C" w:rsidRPr="00BE25AC" w:rsidRDefault="00A57DE8" w:rsidP="000615BE">
            <w:pPr>
              <w:pStyle w:val="naisc"/>
              <w:spacing w:before="0" w:after="0"/>
            </w:pPr>
            <w:hyperlink r:id="rId11" w:history="1">
              <w:r w:rsidR="00065A7C" w:rsidRPr="00BE25AC">
                <w:rPr>
                  <w:rStyle w:val="Hyperlink"/>
                  <w:color w:val="auto"/>
                </w:rPr>
                <w:t>Anita.Popova@kase.gov.lv</w:t>
              </w:r>
            </w:hyperlink>
          </w:p>
        </w:tc>
      </w:tr>
    </w:tbl>
    <w:p w14:paraId="697C2806" w14:textId="77777777" w:rsidR="009D5508" w:rsidRPr="00BE25AC" w:rsidRDefault="009D5508" w:rsidP="000615BE">
      <w:pPr>
        <w:pStyle w:val="naiskr"/>
        <w:spacing w:before="0" w:after="0"/>
      </w:pPr>
    </w:p>
    <w:sectPr w:rsidR="009D5508" w:rsidRPr="00BE25AC" w:rsidSect="00BA3622">
      <w:footerReference w:type="even" r:id="rId12"/>
      <w:footerReference w:type="default" r:id="rId13"/>
      <w:footerReference w:type="first" r:id="rId14"/>
      <w:pgSz w:w="16838" w:h="11906" w:orient="landscape"/>
      <w:pgMar w:top="17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1E959" w14:textId="77777777" w:rsidR="00BE25CB" w:rsidRDefault="00BE25CB" w:rsidP="00893393">
      <w:r>
        <w:separator/>
      </w:r>
    </w:p>
  </w:endnote>
  <w:endnote w:type="continuationSeparator" w:id="0">
    <w:p w14:paraId="3F7A872E" w14:textId="77777777" w:rsidR="00BE25CB" w:rsidRDefault="00BE25CB" w:rsidP="00893393">
      <w:r>
        <w:continuationSeparator/>
      </w:r>
    </w:p>
  </w:endnote>
  <w:endnote w:type="continuationNotice" w:id="1">
    <w:p w14:paraId="7BA977E2" w14:textId="77777777" w:rsidR="00E7697A" w:rsidRDefault="00E7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8DEF" w14:textId="77777777" w:rsidR="00BE25CB" w:rsidRDefault="00BE25CB" w:rsidP="00EE0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7FB7D" w14:textId="77777777" w:rsidR="00BE25CB" w:rsidRDefault="00BE2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3874" w14:textId="110C712D" w:rsidR="00BE25CB" w:rsidRDefault="00BE25CB" w:rsidP="00EE0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7DE8">
      <w:rPr>
        <w:rStyle w:val="PageNumber"/>
        <w:noProof/>
      </w:rPr>
      <w:t>21</w:t>
    </w:r>
    <w:r>
      <w:rPr>
        <w:rStyle w:val="PageNumber"/>
      </w:rPr>
      <w:fldChar w:fldCharType="end"/>
    </w:r>
  </w:p>
  <w:p w14:paraId="4091884B" w14:textId="63946368" w:rsidR="00BE25CB" w:rsidRDefault="00A57DE8">
    <w:pPr>
      <w:pStyle w:val="Footer"/>
    </w:pPr>
    <w:r>
      <w:fldChar w:fldCharType="begin"/>
    </w:r>
    <w:r>
      <w:instrText xml:space="preserve"> FILENAME   \* MERGEFORMAT </w:instrText>
    </w:r>
    <w:r>
      <w:fldChar w:fldCharType="separate"/>
    </w:r>
    <w:r w:rsidR="0050487B">
      <w:rPr>
        <w:noProof/>
      </w:rPr>
      <w:t>FMizz_27</w:t>
    </w:r>
    <w:r w:rsidR="00A60E90">
      <w:rPr>
        <w:noProof/>
      </w:rPr>
      <w:t>1020</w:t>
    </w:r>
    <w:r w:rsidR="008C70AC">
      <w:rPr>
        <w:noProof/>
      </w:rPr>
      <w:t>_asign_groz</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4A7D" w14:textId="797EA07B" w:rsidR="00BE25CB" w:rsidRDefault="00A57DE8">
    <w:pPr>
      <w:pStyle w:val="Footer"/>
    </w:pPr>
    <w:r>
      <w:fldChar w:fldCharType="begin"/>
    </w:r>
    <w:r>
      <w:instrText xml:space="preserve"> FILENAME   \* MERGEFORMAT </w:instrText>
    </w:r>
    <w:r>
      <w:fldChar w:fldCharType="separate"/>
    </w:r>
    <w:r w:rsidR="0050487B">
      <w:rPr>
        <w:noProof/>
      </w:rPr>
      <w:t>FMizz_27</w:t>
    </w:r>
    <w:r w:rsidR="00A60E90">
      <w:rPr>
        <w:noProof/>
      </w:rPr>
      <w:t>1020</w:t>
    </w:r>
    <w:r w:rsidR="008C70AC">
      <w:rPr>
        <w:noProof/>
      </w:rPr>
      <w:t>_asign_groz</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CA65" w14:textId="77777777" w:rsidR="00BE25CB" w:rsidRDefault="00BE25CB" w:rsidP="00893393">
      <w:r>
        <w:separator/>
      </w:r>
    </w:p>
  </w:footnote>
  <w:footnote w:type="continuationSeparator" w:id="0">
    <w:p w14:paraId="66C24BA0" w14:textId="77777777" w:rsidR="00BE25CB" w:rsidRDefault="00BE25CB" w:rsidP="00893393">
      <w:r>
        <w:continuationSeparator/>
      </w:r>
    </w:p>
  </w:footnote>
  <w:footnote w:type="continuationNotice" w:id="1">
    <w:p w14:paraId="32B45F7C" w14:textId="77777777" w:rsidR="00E7697A" w:rsidRDefault="00E769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506"/>
    <w:multiLevelType w:val="hybridMultilevel"/>
    <w:tmpl w:val="510EF1A2"/>
    <w:lvl w:ilvl="0" w:tplc="9A007202">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1">
    <w:nsid w:val="05596008"/>
    <w:multiLevelType w:val="hybridMultilevel"/>
    <w:tmpl w:val="F524FD44"/>
    <w:lvl w:ilvl="0" w:tplc="698CAF1E">
      <w:start w:val="1"/>
      <w:numFmt w:val="decimal"/>
      <w:lvlText w:val="%1)"/>
      <w:lvlJc w:val="left"/>
      <w:pPr>
        <w:ind w:left="927" w:hanging="360"/>
      </w:pPr>
      <w:rPr>
        <w:rFonts w:hint="default"/>
      </w:rPr>
    </w:lvl>
    <w:lvl w:ilvl="1" w:tplc="BFB2B7D0" w:tentative="1">
      <w:start w:val="1"/>
      <w:numFmt w:val="lowerLetter"/>
      <w:lvlText w:val="%2."/>
      <w:lvlJc w:val="left"/>
      <w:pPr>
        <w:ind w:left="1647" w:hanging="360"/>
      </w:pPr>
    </w:lvl>
    <w:lvl w:ilvl="2" w:tplc="1BCE095C" w:tentative="1">
      <w:start w:val="1"/>
      <w:numFmt w:val="lowerRoman"/>
      <w:lvlText w:val="%3."/>
      <w:lvlJc w:val="right"/>
      <w:pPr>
        <w:ind w:left="2367" w:hanging="180"/>
      </w:pPr>
    </w:lvl>
    <w:lvl w:ilvl="3" w:tplc="801E787A" w:tentative="1">
      <w:start w:val="1"/>
      <w:numFmt w:val="decimal"/>
      <w:lvlText w:val="%4."/>
      <w:lvlJc w:val="left"/>
      <w:pPr>
        <w:ind w:left="3087" w:hanging="360"/>
      </w:pPr>
    </w:lvl>
    <w:lvl w:ilvl="4" w:tplc="85DCA9F0" w:tentative="1">
      <w:start w:val="1"/>
      <w:numFmt w:val="lowerLetter"/>
      <w:lvlText w:val="%5."/>
      <w:lvlJc w:val="left"/>
      <w:pPr>
        <w:ind w:left="3807" w:hanging="360"/>
      </w:pPr>
    </w:lvl>
    <w:lvl w:ilvl="5" w:tplc="E2DA70EA" w:tentative="1">
      <w:start w:val="1"/>
      <w:numFmt w:val="lowerRoman"/>
      <w:lvlText w:val="%6."/>
      <w:lvlJc w:val="right"/>
      <w:pPr>
        <w:ind w:left="4527" w:hanging="180"/>
      </w:pPr>
    </w:lvl>
    <w:lvl w:ilvl="6" w:tplc="5740B26C" w:tentative="1">
      <w:start w:val="1"/>
      <w:numFmt w:val="decimal"/>
      <w:lvlText w:val="%7."/>
      <w:lvlJc w:val="left"/>
      <w:pPr>
        <w:ind w:left="5247" w:hanging="360"/>
      </w:pPr>
    </w:lvl>
    <w:lvl w:ilvl="7" w:tplc="76C28672" w:tentative="1">
      <w:start w:val="1"/>
      <w:numFmt w:val="lowerLetter"/>
      <w:lvlText w:val="%8."/>
      <w:lvlJc w:val="left"/>
      <w:pPr>
        <w:ind w:left="5967" w:hanging="360"/>
      </w:pPr>
    </w:lvl>
    <w:lvl w:ilvl="8" w:tplc="44B68532" w:tentative="1">
      <w:start w:val="1"/>
      <w:numFmt w:val="lowerRoman"/>
      <w:lvlText w:val="%9."/>
      <w:lvlJc w:val="right"/>
      <w:pPr>
        <w:ind w:left="6687" w:hanging="180"/>
      </w:pPr>
    </w:lvl>
  </w:abstractNum>
  <w:abstractNum w:abstractNumId="3" w15:restartNumberingAfterBreak="1">
    <w:nsid w:val="1E696731"/>
    <w:multiLevelType w:val="multilevel"/>
    <w:tmpl w:val="FD52C5C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3B321F"/>
    <w:multiLevelType w:val="hybridMultilevel"/>
    <w:tmpl w:val="31A4B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790B49"/>
    <w:multiLevelType w:val="hybridMultilevel"/>
    <w:tmpl w:val="B8702028"/>
    <w:lvl w:ilvl="0" w:tplc="061259D6">
      <w:start w:val="3"/>
      <w:numFmt w:val="decimal"/>
      <w:lvlText w:val="%1)"/>
      <w:lvlJc w:val="left"/>
      <w:pPr>
        <w:ind w:left="688" w:hanging="360"/>
      </w:pPr>
      <w:rPr>
        <w:rFonts w:hint="default"/>
      </w:rPr>
    </w:lvl>
    <w:lvl w:ilvl="1" w:tplc="04260019" w:tentative="1">
      <w:start w:val="1"/>
      <w:numFmt w:val="lowerLetter"/>
      <w:lvlText w:val="%2."/>
      <w:lvlJc w:val="left"/>
      <w:pPr>
        <w:ind w:left="1408" w:hanging="360"/>
      </w:pPr>
    </w:lvl>
    <w:lvl w:ilvl="2" w:tplc="0426001B" w:tentative="1">
      <w:start w:val="1"/>
      <w:numFmt w:val="lowerRoman"/>
      <w:lvlText w:val="%3."/>
      <w:lvlJc w:val="right"/>
      <w:pPr>
        <w:ind w:left="2128" w:hanging="180"/>
      </w:pPr>
    </w:lvl>
    <w:lvl w:ilvl="3" w:tplc="0426000F" w:tentative="1">
      <w:start w:val="1"/>
      <w:numFmt w:val="decimal"/>
      <w:lvlText w:val="%4."/>
      <w:lvlJc w:val="left"/>
      <w:pPr>
        <w:ind w:left="2848" w:hanging="360"/>
      </w:pPr>
    </w:lvl>
    <w:lvl w:ilvl="4" w:tplc="04260019" w:tentative="1">
      <w:start w:val="1"/>
      <w:numFmt w:val="lowerLetter"/>
      <w:lvlText w:val="%5."/>
      <w:lvlJc w:val="left"/>
      <w:pPr>
        <w:ind w:left="3568" w:hanging="360"/>
      </w:pPr>
    </w:lvl>
    <w:lvl w:ilvl="5" w:tplc="0426001B" w:tentative="1">
      <w:start w:val="1"/>
      <w:numFmt w:val="lowerRoman"/>
      <w:lvlText w:val="%6."/>
      <w:lvlJc w:val="right"/>
      <w:pPr>
        <w:ind w:left="4288" w:hanging="180"/>
      </w:pPr>
    </w:lvl>
    <w:lvl w:ilvl="6" w:tplc="0426000F" w:tentative="1">
      <w:start w:val="1"/>
      <w:numFmt w:val="decimal"/>
      <w:lvlText w:val="%7."/>
      <w:lvlJc w:val="left"/>
      <w:pPr>
        <w:ind w:left="5008" w:hanging="360"/>
      </w:pPr>
    </w:lvl>
    <w:lvl w:ilvl="7" w:tplc="04260019" w:tentative="1">
      <w:start w:val="1"/>
      <w:numFmt w:val="lowerLetter"/>
      <w:lvlText w:val="%8."/>
      <w:lvlJc w:val="left"/>
      <w:pPr>
        <w:ind w:left="5728" w:hanging="360"/>
      </w:pPr>
    </w:lvl>
    <w:lvl w:ilvl="8" w:tplc="0426001B" w:tentative="1">
      <w:start w:val="1"/>
      <w:numFmt w:val="lowerRoman"/>
      <w:lvlText w:val="%9."/>
      <w:lvlJc w:val="right"/>
      <w:pPr>
        <w:ind w:left="6448" w:hanging="180"/>
      </w:pPr>
    </w:lvl>
  </w:abstractNum>
  <w:abstractNum w:abstractNumId="6" w15:restartNumberingAfterBreak="0">
    <w:nsid w:val="28E0472B"/>
    <w:multiLevelType w:val="hybridMultilevel"/>
    <w:tmpl w:val="510EF1A2"/>
    <w:lvl w:ilvl="0" w:tplc="9A007202">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3DD83843"/>
    <w:multiLevelType w:val="hybridMultilevel"/>
    <w:tmpl w:val="AA061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CE3822"/>
    <w:multiLevelType w:val="hybridMultilevel"/>
    <w:tmpl w:val="510EF1A2"/>
    <w:lvl w:ilvl="0" w:tplc="9A007202">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1">
    <w:nsid w:val="43014F4A"/>
    <w:multiLevelType w:val="hybridMultilevel"/>
    <w:tmpl w:val="FD008F4C"/>
    <w:lvl w:ilvl="0" w:tplc="99B2CC50">
      <w:numFmt w:val="bullet"/>
      <w:lvlText w:val="-"/>
      <w:lvlJc w:val="left"/>
      <w:pPr>
        <w:ind w:left="720" w:hanging="360"/>
      </w:pPr>
      <w:rPr>
        <w:rFonts w:ascii="Times New Roman" w:eastAsia="Calibri" w:hAnsi="Times New Roman" w:cs="Times New Roman" w:hint="default"/>
        <w:color w:val="FF0000"/>
      </w:rPr>
    </w:lvl>
    <w:lvl w:ilvl="1" w:tplc="BFEE8522" w:tentative="1">
      <w:start w:val="1"/>
      <w:numFmt w:val="bullet"/>
      <w:lvlText w:val="o"/>
      <w:lvlJc w:val="left"/>
      <w:pPr>
        <w:ind w:left="1440" w:hanging="360"/>
      </w:pPr>
      <w:rPr>
        <w:rFonts w:ascii="Courier New" w:hAnsi="Courier New" w:cs="Courier New" w:hint="default"/>
      </w:rPr>
    </w:lvl>
    <w:lvl w:ilvl="2" w:tplc="FF10ACDE" w:tentative="1">
      <w:start w:val="1"/>
      <w:numFmt w:val="bullet"/>
      <w:lvlText w:val=""/>
      <w:lvlJc w:val="left"/>
      <w:pPr>
        <w:ind w:left="2160" w:hanging="360"/>
      </w:pPr>
      <w:rPr>
        <w:rFonts w:ascii="Wingdings" w:hAnsi="Wingdings" w:hint="default"/>
      </w:rPr>
    </w:lvl>
    <w:lvl w:ilvl="3" w:tplc="593A74EC" w:tentative="1">
      <w:start w:val="1"/>
      <w:numFmt w:val="bullet"/>
      <w:lvlText w:val=""/>
      <w:lvlJc w:val="left"/>
      <w:pPr>
        <w:ind w:left="2880" w:hanging="360"/>
      </w:pPr>
      <w:rPr>
        <w:rFonts w:ascii="Symbol" w:hAnsi="Symbol" w:hint="default"/>
      </w:rPr>
    </w:lvl>
    <w:lvl w:ilvl="4" w:tplc="EADEC662" w:tentative="1">
      <w:start w:val="1"/>
      <w:numFmt w:val="bullet"/>
      <w:lvlText w:val="o"/>
      <w:lvlJc w:val="left"/>
      <w:pPr>
        <w:ind w:left="3600" w:hanging="360"/>
      </w:pPr>
      <w:rPr>
        <w:rFonts w:ascii="Courier New" w:hAnsi="Courier New" w:cs="Courier New" w:hint="default"/>
      </w:rPr>
    </w:lvl>
    <w:lvl w:ilvl="5" w:tplc="20CEC7EC" w:tentative="1">
      <w:start w:val="1"/>
      <w:numFmt w:val="bullet"/>
      <w:lvlText w:val=""/>
      <w:lvlJc w:val="left"/>
      <w:pPr>
        <w:ind w:left="4320" w:hanging="360"/>
      </w:pPr>
      <w:rPr>
        <w:rFonts w:ascii="Wingdings" w:hAnsi="Wingdings" w:hint="default"/>
      </w:rPr>
    </w:lvl>
    <w:lvl w:ilvl="6" w:tplc="457AC9BE" w:tentative="1">
      <w:start w:val="1"/>
      <w:numFmt w:val="bullet"/>
      <w:lvlText w:val=""/>
      <w:lvlJc w:val="left"/>
      <w:pPr>
        <w:ind w:left="5040" w:hanging="360"/>
      </w:pPr>
      <w:rPr>
        <w:rFonts w:ascii="Symbol" w:hAnsi="Symbol" w:hint="default"/>
      </w:rPr>
    </w:lvl>
    <w:lvl w:ilvl="7" w:tplc="FB0824FC" w:tentative="1">
      <w:start w:val="1"/>
      <w:numFmt w:val="bullet"/>
      <w:lvlText w:val="o"/>
      <w:lvlJc w:val="left"/>
      <w:pPr>
        <w:ind w:left="5760" w:hanging="360"/>
      </w:pPr>
      <w:rPr>
        <w:rFonts w:ascii="Courier New" w:hAnsi="Courier New" w:cs="Courier New" w:hint="default"/>
      </w:rPr>
    </w:lvl>
    <w:lvl w:ilvl="8" w:tplc="4BA2F624" w:tentative="1">
      <w:start w:val="1"/>
      <w:numFmt w:val="bullet"/>
      <w:lvlText w:val=""/>
      <w:lvlJc w:val="left"/>
      <w:pPr>
        <w:ind w:left="6480" w:hanging="360"/>
      </w:pPr>
      <w:rPr>
        <w:rFonts w:ascii="Wingdings" w:hAnsi="Wingdings" w:hint="default"/>
      </w:rPr>
    </w:lvl>
  </w:abstractNum>
  <w:abstractNum w:abstractNumId="10" w15:restartNumberingAfterBreak="0">
    <w:nsid w:val="51A332FB"/>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CC964EE"/>
    <w:multiLevelType w:val="hybridMultilevel"/>
    <w:tmpl w:val="B882D212"/>
    <w:lvl w:ilvl="0" w:tplc="E632AE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F25517D"/>
    <w:multiLevelType w:val="hybridMultilevel"/>
    <w:tmpl w:val="9BEC3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CA57CE"/>
    <w:multiLevelType w:val="hybridMultilevel"/>
    <w:tmpl w:val="9BEC3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6A2729"/>
    <w:multiLevelType w:val="hybridMultilevel"/>
    <w:tmpl w:val="C7C68242"/>
    <w:lvl w:ilvl="0" w:tplc="21A4D80C">
      <w:start w:val="2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615F3D"/>
    <w:multiLevelType w:val="hybridMultilevel"/>
    <w:tmpl w:val="0990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4"/>
  </w:num>
  <w:num w:numId="4">
    <w:abstractNumId w:val="11"/>
  </w:num>
  <w:num w:numId="5">
    <w:abstractNumId w:val="13"/>
  </w:num>
  <w:num w:numId="6">
    <w:abstractNumId w:val="12"/>
  </w:num>
  <w:num w:numId="7">
    <w:abstractNumId w:val="2"/>
  </w:num>
  <w:num w:numId="8">
    <w:abstractNumId w:val="15"/>
  </w:num>
  <w:num w:numId="9">
    <w:abstractNumId w:val="5"/>
  </w:num>
  <w:num w:numId="10">
    <w:abstractNumId w:val="7"/>
  </w:num>
  <w:num w:numId="11">
    <w:abstractNumId w:val="10"/>
  </w:num>
  <w:num w:numId="12">
    <w:abstractNumId w:val="0"/>
  </w:num>
  <w:num w:numId="13">
    <w:abstractNumId w:val="6"/>
  </w:num>
  <w:num w:numId="14">
    <w:abstractNumId w:val="8"/>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08"/>
    <w:rsid w:val="000002C5"/>
    <w:rsid w:val="00004069"/>
    <w:rsid w:val="00031193"/>
    <w:rsid w:val="000562CB"/>
    <w:rsid w:val="000615BE"/>
    <w:rsid w:val="0006179A"/>
    <w:rsid w:val="00065A7C"/>
    <w:rsid w:val="00071F6C"/>
    <w:rsid w:val="000755EB"/>
    <w:rsid w:val="000810FF"/>
    <w:rsid w:val="00091108"/>
    <w:rsid w:val="00093847"/>
    <w:rsid w:val="000A05C3"/>
    <w:rsid w:val="000B0934"/>
    <w:rsid w:val="000C5B6F"/>
    <w:rsid w:val="000E0840"/>
    <w:rsid w:val="000E1497"/>
    <w:rsid w:val="000F30FB"/>
    <w:rsid w:val="000F3108"/>
    <w:rsid w:val="000F5887"/>
    <w:rsid w:val="00102D5B"/>
    <w:rsid w:val="001053AE"/>
    <w:rsid w:val="0010680D"/>
    <w:rsid w:val="00106F4D"/>
    <w:rsid w:val="00113CD4"/>
    <w:rsid w:val="001300DE"/>
    <w:rsid w:val="00130F2C"/>
    <w:rsid w:val="00141816"/>
    <w:rsid w:val="00144A3D"/>
    <w:rsid w:val="00145DF2"/>
    <w:rsid w:val="001556BF"/>
    <w:rsid w:val="0015668B"/>
    <w:rsid w:val="00162275"/>
    <w:rsid w:val="00162BF5"/>
    <w:rsid w:val="00172C00"/>
    <w:rsid w:val="00181B49"/>
    <w:rsid w:val="00183533"/>
    <w:rsid w:val="00183DF0"/>
    <w:rsid w:val="00183E9F"/>
    <w:rsid w:val="00185109"/>
    <w:rsid w:val="0019029D"/>
    <w:rsid w:val="00195446"/>
    <w:rsid w:val="001A074E"/>
    <w:rsid w:val="001B07AF"/>
    <w:rsid w:val="001B3A80"/>
    <w:rsid w:val="001B5A33"/>
    <w:rsid w:val="001B5FEE"/>
    <w:rsid w:val="001B7672"/>
    <w:rsid w:val="001C08B3"/>
    <w:rsid w:val="001D4408"/>
    <w:rsid w:val="001D4543"/>
    <w:rsid w:val="001D63EC"/>
    <w:rsid w:val="001E25A7"/>
    <w:rsid w:val="001F76B8"/>
    <w:rsid w:val="00216A9E"/>
    <w:rsid w:val="00232994"/>
    <w:rsid w:val="0023606D"/>
    <w:rsid w:val="0024281F"/>
    <w:rsid w:val="002464E4"/>
    <w:rsid w:val="002515C5"/>
    <w:rsid w:val="00255B90"/>
    <w:rsid w:val="002645CB"/>
    <w:rsid w:val="00273311"/>
    <w:rsid w:val="00274BB1"/>
    <w:rsid w:val="002979D3"/>
    <w:rsid w:val="002A432A"/>
    <w:rsid w:val="002A62D3"/>
    <w:rsid w:val="002B38E5"/>
    <w:rsid w:val="002B62E4"/>
    <w:rsid w:val="002C32BA"/>
    <w:rsid w:val="002C418A"/>
    <w:rsid w:val="002C730B"/>
    <w:rsid w:val="002D0C9A"/>
    <w:rsid w:val="002D789D"/>
    <w:rsid w:val="002E073A"/>
    <w:rsid w:val="002E1FE7"/>
    <w:rsid w:val="002E29C2"/>
    <w:rsid w:val="002E5A9B"/>
    <w:rsid w:val="002E7A91"/>
    <w:rsid w:val="002F0EF3"/>
    <w:rsid w:val="002F2E5B"/>
    <w:rsid w:val="002F2ED1"/>
    <w:rsid w:val="002F45F1"/>
    <w:rsid w:val="00301571"/>
    <w:rsid w:val="0030743D"/>
    <w:rsid w:val="0033087D"/>
    <w:rsid w:val="00346C21"/>
    <w:rsid w:val="003665E2"/>
    <w:rsid w:val="0038167E"/>
    <w:rsid w:val="00381776"/>
    <w:rsid w:val="00384E08"/>
    <w:rsid w:val="003857E0"/>
    <w:rsid w:val="0038679A"/>
    <w:rsid w:val="003932A2"/>
    <w:rsid w:val="00397284"/>
    <w:rsid w:val="00397497"/>
    <w:rsid w:val="00397839"/>
    <w:rsid w:val="003A053C"/>
    <w:rsid w:val="003A521E"/>
    <w:rsid w:val="003A5579"/>
    <w:rsid w:val="003A7980"/>
    <w:rsid w:val="003B3B47"/>
    <w:rsid w:val="003C4D61"/>
    <w:rsid w:val="003C59B8"/>
    <w:rsid w:val="003C6784"/>
    <w:rsid w:val="003C72C2"/>
    <w:rsid w:val="003E6E31"/>
    <w:rsid w:val="0040498B"/>
    <w:rsid w:val="0042112D"/>
    <w:rsid w:val="00426A82"/>
    <w:rsid w:val="004324ED"/>
    <w:rsid w:val="004457F0"/>
    <w:rsid w:val="00450206"/>
    <w:rsid w:val="004527E3"/>
    <w:rsid w:val="004560FD"/>
    <w:rsid w:val="00456881"/>
    <w:rsid w:val="00464330"/>
    <w:rsid w:val="00467EB8"/>
    <w:rsid w:val="00471568"/>
    <w:rsid w:val="00472D3F"/>
    <w:rsid w:val="00477463"/>
    <w:rsid w:val="004916DF"/>
    <w:rsid w:val="004921F2"/>
    <w:rsid w:val="004B2AFE"/>
    <w:rsid w:val="004C5D91"/>
    <w:rsid w:val="004C5EBC"/>
    <w:rsid w:val="004C70BA"/>
    <w:rsid w:val="0050487B"/>
    <w:rsid w:val="00513935"/>
    <w:rsid w:val="00526771"/>
    <w:rsid w:val="005272EB"/>
    <w:rsid w:val="00534ECE"/>
    <w:rsid w:val="00540647"/>
    <w:rsid w:val="0055028F"/>
    <w:rsid w:val="00565D0D"/>
    <w:rsid w:val="00571004"/>
    <w:rsid w:val="0057146F"/>
    <w:rsid w:val="0057749E"/>
    <w:rsid w:val="00583655"/>
    <w:rsid w:val="005873F3"/>
    <w:rsid w:val="00587FE6"/>
    <w:rsid w:val="00593054"/>
    <w:rsid w:val="005B270E"/>
    <w:rsid w:val="005B2D2F"/>
    <w:rsid w:val="005B5CA8"/>
    <w:rsid w:val="005B6DC8"/>
    <w:rsid w:val="005D1E01"/>
    <w:rsid w:val="005D2AFB"/>
    <w:rsid w:val="005D2F47"/>
    <w:rsid w:val="005D7AF7"/>
    <w:rsid w:val="005F46D9"/>
    <w:rsid w:val="005F7B9D"/>
    <w:rsid w:val="0061242A"/>
    <w:rsid w:val="006224E5"/>
    <w:rsid w:val="00622640"/>
    <w:rsid w:val="00622C96"/>
    <w:rsid w:val="00633C4F"/>
    <w:rsid w:val="006511CE"/>
    <w:rsid w:val="00651D0A"/>
    <w:rsid w:val="006532EC"/>
    <w:rsid w:val="006716C1"/>
    <w:rsid w:val="00673073"/>
    <w:rsid w:val="006752C0"/>
    <w:rsid w:val="00682870"/>
    <w:rsid w:val="006851C2"/>
    <w:rsid w:val="00686E61"/>
    <w:rsid w:val="00693B1E"/>
    <w:rsid w:val="00694D87"/>
    <w:rsid w:val="006B039A"/>
    <w:rsid w:val="006B279E"/>
    <w:rsid w:val="006C114B"/>
    <w:rsid w:val="006D3B3B"/>
    <w:rsid w:val="006D66D7"/>
    <w:rsid w:val="006D72BF"/>
    <w:rsid w:val="00700142"/>
    <w:rsid w:val="00703E54"/>
    <w:rsid w:val="00712AF7"/>
    <w:rsid w:val="00712F02"/>
    <w:rsid w:val="00721B79"/>
    <w:rsid w:val="00733BB8"/>
    <w:rsid w:val="00744E1B"/>
    <w:rsid w:val="00751044"/>
    <w:rsid w:val="0076250D"/>
    <w:rsid w:val="00766BFE"/>
    <w:rsid w:val="00767BA0"/>
    <w:rsid w:val="00773DD9"/>
    <w:rsid w:val="00776127"/>
    <w:rsid w:val="007934C6"/>
    <w:rsid w:val="007A0BBE"/>
    <w:rsid w:val="007B1E12"/>
    <w:rsid w:val="007B53A6"/>
    <w:rsid w:val="007C05C5"/>
    <w:rsid w:val="007C4D18"/>
    <w:rsid w:val="007D34B1"/>
    <w:rsid w:val="007E1437"/>
    <w:rsid w:val="007E3ED4"/>
    <w:rsid w:val="007E4EBC"/>
    <w:rsid w:val="007F08E6"/>
    <w:rsid w:val="007F3E60"/>
    <w:rsid w:val="00805B06"/>
    <w:rsid w:val="00812CF9"/>
    <w:rsid w:val="00814A36"/>
    <w:rsid w:val="00815899"/>
    <w:rsid w:val="00816DF9"/>
    <w:rsid w:val="0082746B"/>
    <w:rsid w:val="00831C09"/>
    <w:rsid w:val="00832DF1"/>
    <w:rsid w:val="0083579E"/>
    <w:rsid w:val="00845D90"/>
    <w:rsid w:val="00856074"/>
    <w:rsid w:val="00866A9D"/>
    <w:rsid w:val="008801CC"/>
    <w:rsid w:val="00890DC1"/>
    <w:rsid w:val="00893393"/>
    <w:rsid w:val="008A6179"/>
    <w:rsid w:val="008B0147"/>
    <w:rsid w:val="008B34A9"/>
    <w:rsid w:val="008B6B8E"/>
    <w:rsid w:val="008C3AD9"/>
    <w:rsid w:val="008C3CE5"/>
    <w:rsid w:val="008C70AC"/>
    <w:rsid w:val="008D2684"/>
    <w:rsid w:val="008D5D53"/>
    <w:rsid w:val="008E385C"/>
    <w:rsid w:val="008E612C"/>
    <w:rsid w:val="008F0AA7"/>
    <w:rsid w:val="009076D4"/>
    <w:rsid w:val="009173AE"/>
    <w:rsid w:val="00923D75"/>
    <w:rsid w:val="00925D1F"/>
    <w:rsid w:val="009268F9"/>
    <w:rsid w:val="009342FE"/>
    <w:rsid w:val="00946146"/>
    <w:rsid w:val="0095191C"/>
    <w:rsid w:val="00952323"/>
    <w:rsid w:val="00953602"/>
    <w:rsid w:val="00961AF5"/>
    <w:rsid w:val="00967E6B"/>
    <w:rsid w:val="00975E8A"/>
    <w:rsid w:val="009765FB"/>
    <w:rsid w:val="00984394"/>
    <w:rsid w:val="00992374"/>
    <w:rsid w:val="00993C6E"/>
    <w:rsid w:val="009B290F"/>
    <w:rsid w:val="009B2D41"/>
    <w:rsid w:val="009B3500"/>
    <w:rsid w:val="009B3DAB"/>
    <w:rsid w:val="009B3EE1"/>
    <w:rsid w:val="009C22E3"/>
    <w:rsid w:val="009C318F"/>
    <w:rsid w:val="009C6125"/>
    <w:rsid w:val="009D5508"/>
    <w:rsid w:val="009D6B8C"/>
    <w:rsid w:val="009D7BC8"/>
    <w:rsid w:val="009D7E25"/>
    <w:rsid w:val="009E154A"/>
    <w:rsid w:val="009E21AD"/>
    <w:rsid w:val="009E26F9"/>
    <w:rsid w:val="009F54E2"/>
    <w:rsid w:val="00A0149D"/>
    <w:rsid w:val="00A116D7"/>
    <w:rsid w:val="00A233CD"/>
    <w:rsid w:val="00A57DE8"/>
    <w:rsid w:val="00A60E90"/>
    <w:rsid w:val="00A723AD"/>
    <w:rsid w:val="00A74CFB"/>
    <w:rsid w:val="00A77EEA"/>
    <w:rsid w:val="00A85079"/>
    <w:rsid w:val="00A8546C"/>
    <w:rsid w:val="00A87873"/>
    <w:rsid w:val="00AA3797"/>
    <w:rsid w:val="00AA4EBA"/>
    <w:rsid w:val="00AA50DA"/>
    <w:rsid w:val="00AA7199"/>
    <w:rsid w:val="00AB046C"/>
    <w:rsid w:val="00AD06B6"/>
    <w:rsid w:val="00AD7512"/>
    <w:rsid w:val="00AD7C6E"/>
    <w:rsid w:val="00AF1C47"/>
    <w:rsid w:val="00AF367C"/>
    <w:rsid w:val="00B06A76"/>
    <w:rsid w:val="00B06C53"/>
    <w:rsid w:val="00B1286B"/>
    <w:rsid w:val="00B17ECF"/>
    <w:rsid w:val="00B3112A"/>
    <w:rsid w:val="00B34257"/>
    <w:rsid w:val="00B35C35"/>
    <w:rsid w:val="00B36227"/>
    <w:rsid w:val="00B41098"/>
    <w:rsid w:val="00B44CAB"/>
    <w:rsid w:val="00B531D9"/>
    <w:rsid w:val="00B53CB8"/>
    <w:rsid w:val="00B560B0"/>
    <w:rsid w:val="00B75209"/>
    <w:rsid w:val="00B80A7A"/>
    <w:rsid w:val="00B85F78"/>
    <w:rsid w:val="00B862BF"/>
    <w:rsid w:val="00B8651C"/>
    <w:rsid w:val="00BA3622"/>
    <w:rsid w:val="00BB4B16"/>
    <w:rsid w:val="00BC1134"/>
    <w:rsid w:val="00BC1877"/>
    <w:rsid w:val="00BC673D"/>
    <w:rsid w:val="00BE25AC"/>
    <w:rsid w:val="00BE25CB"/>
    <w:rsid w:val="00BE6BE8"/>
    <w:rsid w:val="00BF14DA"/>
    <w:rsid w:val="00C004A7"/>
    <w:rsid w:val="00C05FD2"/>
    <w:rsid w:val="00C26A97"/>
    <w:rsid w:val="00C45A76"/>
    <w:rsid w:val="00C5357E"/>
    <w:rsid w:val="00C54E01"/>
    <w:rsid w:val="00C57C5A"/>
    <w:rsid w:val="00C8314C"/>
    <w:rsid w:val="00C84175"/>
    <w:rsid w:val="00C8644B"/>
    <w:rsid w:val="00C914C8"/>
    <w:rsid w:val="00C94BB5"/>
    <w:rsid w:val="00C96A2E"/>
    <w:rsid w:val="00CA1DDF"/>
    <w:rsid w:val="00CA2CC4"/>
    <w:rsid w:val="00CB2674"/>
    <w:rsid w:val="00CC49C8"/>
    <w:rsid w:val="00CD05FC"/>
    <w:rsid w:val="00CE0B1C"/>
    <w:rsid w:val="00CE5125"/>
    <w:rsid w:val="00CE74E1"/>
    <w:rsid w:val="00D00537"/>
    <w:rsid w:val="00D04CE4"/>
    <w:rsid w:val="00D13A02"/>
    <w:rsid w:val="00D3180D"/>
    <w:rsid w:val="00D4501A"/>
    <w:rsid w:val="00D50787"/>
    <w:rsid w:val="00D52071"/>
    <w:rsid w:val="00D54112"/>
    <w:rsid w:val="00D664F2"/>
    <w:rsid w:val="00D67061"/>
    <w:rsid w:val="00D86DD9"/>
    <w:rsid w:val="00DA1BEF"/>
    <w:rsid w:val="00DC44F4"/>
    <w:rsid w:val="00DC5083"/>
    <w:rsid w:val="00DD6A18"/>
    <w:rsid w:val="00DD7CBA"/>
    <w:rsid w:val="00DE33E1"/>
    <w:rsid w:val="00DF6D8D"/>
    <w:rsid w:val="00E03EF0"/>
    <w:rsid w:val="00E17B40"/>
    <w:rsid w:val="00E21C05"/>
    <w:rsid w:val="00E233A1"/>
    <w:rsid w:val="00E300ED"/>
    <w:rsid w:val="00E36373"/>
    <w:rsid w:val="00E36B07"/>
    <w:rsid w:val="00E513FA"/>
    <w:rsid w:val="00E51A9A"/>
    <w:rsid w:val="00E6116E"/>
    <w:rsid w:val="00E716E7"/>
    <w:rsid w:val="00E7697A"/>
    <w:rsid w:val="00E84847"/>
    <w:rsid w:val="00E85AEE"/>
    <w:rsid w:val="00E85CCB"/>
    <w:rsid w:val="00EA11A9"/>
    <w:rsid w:val="00EA3524"/>
    <w:rsid w:val="00EB1175"/>
    <w:rsid w:val="00EB718E"/>
    <w:rsid w:val="00EC08E1"/>
    <w:rsid w:val="00ED0961"/>
    <w:rsid w:val="00EE070B"/>
    <w:rsid w:val="00EE1A50"/>
    <w:rsid w:val="00EE32D1"/>
    <w:rsid w:val="00EF4E36"/>
    <w:rsid w:val="00F04133"/>
    <w:rsid w:val="00F32B0B"/>
    <w:rsid w:val="00F36CB2"/>
    <w:rsid w:val="00F37E9C"/>
    <w:rsid w:val="00F4113D"/>
    <w:rsid w:val="00F414B7"/>
    <w:rsid w:val="00F41876"/>
    <w:rsid w:val="00F42306"/>
    <w:rsid w:val="00F42C3F"/>
    <w:rsid w:val="00F42C45"/>
    <w:rsid w:val="00F45364"/>
    <w:rsid w:val="00F53ADC"/>
    <w:rsid w:val="00F543FC"/>
    <w:rsid w:val="00F609F0"/>
    <w:rsid w:val="00F60FB8"/>
    <w:rsid w:val="00F700FE"/>
    <w:rsid w:val="00F70613"/>
    <w:rsid w:val="00F72479"/>
    <w:rsid w:val="00F76845"/>
    <w:rsid w:val="00F86995"/>
    <w:rsid w:val="00FA2EDC"/>
    <w:rsid w:val="00FA3E35"/>
    <w:rsid w:val="00FA4740"/>
    <w:rsid w:val="00FA643B"/>
    <w:rsid w:val="00FA7338"/>
    <w:rsid w:val="00FB3C52"/>
    <w:rsid w:val="00FD1635"/>
    <w:rsid w:val="00FD445D"/>
    <w:rsid w:val="00FE489E"/>
    <w:rsid w:val="00FF0C45"/>
    <w:rsid w:val="00FF4AB8"/>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5C39"/>
  <w15:chartTrackingRefBased/>
  <w15:docId w15:val="{43CC48AE-296E-4AD0-8BA7-3EDCAC0F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D5508"/>
    <w:pPr>
      <w:spacing w:before="100" w:after="100"/>
      <w:jc w:val="right"/>
    </w:pPr>
    <w:rPr>
      <w:lang w:eastAsia="lv-LV"/>
    </w:rPr>
  </w:style>
  <w:style w:type="paragraph" w:customStyle="1" w:styleId="naisf">
    <w:name w:val="naisf"/>
    <w:basedOn w:val="Normal"/>
    <w:rsid w:val="009D5508"/>
    <w:pPr>
      <w:spacing w:before="100" w:after="100"/>
      <w:ind w:firstLine="500"/>
      <w:jc w:val="both"/>
    </w:pPr>
    <w:rPr>
      <w:lang w:eastAsia="lv-LV"/>
    </w:rPr>
  </w:style>
  <w:style w:type="paragraph" w:customStyle="1" w:styleId="naisnod">
    <w:name w:val="naisnod"/>
    <w:basedOn w:val="Normal"/>
    <w:rsid w:val="009D5508"/>
    <w:pPr>
      <w:spacing w:before="200" w:after="200"/>
      <w:jc w:val="center"/>
    </w:pPr>
    <w:rPr>
      <w:b/>
      <w:bCs/>
      <w:lang w:eastAsia="lv-LV"/>
    </w:rPr>
  </w:style>
  <w:style w:type="paragraph" w:customStyle="1" w:styleId="naisc">
    <w:name w:val="naisc"/>
    <w:basedOn w:val="Normal"/>
    <w:rsid w:val="009D5508"/>
    <w:pPr>
      <w:spacing w:before="100" w:after="100"/>
      <w:jc w:val="center"/>
    </w:pPr>
    <w:rPr>
      <w:lang w:eastAsia="lv-LV"/>
    </w:rPr>
  </w:style>
  <w:style w:type="paragraph" w:customStyle="1" w:styleId="naiskr">
    <w:name w:val="naiskr"/>
    <w:basedOn w:val="Normal"/>
    <w:rsid w:val="009D5508"/>
    <w:pPr>
      <w:spacing w:before="100" w:after="100"/>
    </w:pPr>
    <w:rPr>
      <w:lang w:eastAsia="lv-LV"/>
    </w:rPr>
  </w:style>
  <w:style w:type="paragraph" w:styleId="Footer">
    <w:name w:val="footer"/>
    <w:basedOn w:val="Normal"/>
    <w:link w:val="FooterChar"/>
    <w:uiPriority w:val="99"/>
    <w:rsid w:val="00EE070B"/>
    <w:pPr>
      <w:tabs>
        <w:tab w:val="center" w:pos="4153"/>
        <w:tab w:val="right" w:pos="8306"/>
      </w:tabs>
    </w:pPr>
  </w:style>
  <w:style w:type="character" w:styleId="PageNumber">
    <w:name w:val="page number"/>
    <w:basedOn w:val="DefaultParagraphFont"/>
    <w:rsid w:val="00EE070B"/>
  </w:style>
  <w:style w:type="paragraph" w:styleId="Header">
    <w:name w:val="header"/>
    <w:basedOn w:val="Normal"/>
    <w:link w:val="HeaderChar"/>
    <w:uiPriority w:val="99"/>
    <w:unhideWhenUsed/>
    <w:rsid w:val="00F32B0B"/>
    <w:pPr>
      <w:tabs>
        <w:tab w:val="center" w:pos="4153"/>
        <w:tab w:val="right" w:pos="8306"/>
      </w:tabs>
      <w:jc w:val="both"/>
    </w:pPr>
    <w:rPr>
      <w:szCs w:val="20"/>
      <w:lang w:val="x-none"/>
    </w:rPr>
  </w:style>
  <w:style w:type="character" w:customStyle="1" w:styleId="HeaderChar">
    <w:name w:val="Header Char"/>
    <w:link w:val="Header"/>
    <w:uiPriority w:val="99"/>
    <w:rsid w:val="00F32B0B"/>
    <w:rPr>
      <w:sz w:val="24"/>
      <w:lang w:val="x-none" w:eastAsia="en-US"/>
    </w:rPr>
  </w:style>
  <w:style w:type="paragraph" w:styleId="ListParagraph">
    <w:name w:val="List Paragraph"/>
    <w:aliases w:val="2,Akapit z listą BS,H&amp;P List Paragraph,Strip"/>
    <w:basedOn w:val="Normal"/>
    <w:link w:val="ListParagraphChar"/>
    <w:uiPriority w:val="34"/>
    <w:qFormat/>
    <w:rsid w:val="00145DF2"/>
    <w:pPr>
      <w:ind w:left="720"/>
      <w:contextualSpacing/>
    </w:pPr>
    <w:rPr>
      <w:lang w:val="en-GB"/>
    </w:rPr>
  </w:style>
  <w:style w:type="character" w:customStyle="1" w:styleId="ListParagraphChar">
    <w:name w:val="List Paragraph Char"/>
    <w:aliases w:val="2 Char,Akapit z listą BS Char,H&amp;P List Paragraph Char,Strip Char"/>
    <w:link w:val="ListParagraph"/>
    <w:uiPriority w:val="34"/>
    <w:rsid w:val="00477463"/>
    <w:rPr>
      <w:sz w:val="24"/>
      <w:szCs w:val="24"/>
      <w:lang w:val="en-GB" w:eastAsia="en-US"/>
    </w:rPr>
  </w:style>
  <w:style w:type="paragraph" w:styleId="FootnoteText">
    <w:name w:val="footnote text"/>
    <w:basedOn w:val="Normal"/>
    <w:link w:val="FootnoteTextChar"/>
    <w:uiPriority w:val="99"/>
    <w:unhideWhenUsed/>
    <w:rsid w:val="00477463"/>
    <w:rPr>
      <w:rFonts w:ascii="Calibri" w:eastAsia="Calibri" w:hAnsi="Calibri" w:cs="Calibri"/>
      <w:sz w:val="20"/>
      <w:szCs w:val="20"/>
    </w:rPr>
  </w:style>
  <w:style w:type="character" w:customStyle="1" w:styleId="FootnoteTextChar">
    <w:name w:val="Footnote Text Char"/>
    <w:link w:val="FootnoteText"/>
    <w:uiPriority w:val="99"/>
    <w:rsid w:val="00477463"/>
    <w:rPr>
      <w:rFonts w:ascii="Calibri" w:eastAsia="Calibri" w:hAnsi="Calibri" w:cs="Calibri"/>
      <w:lang w:eastAsia="en-US"/>
    </w:rPr>
  </w:style>
  <w:style w:type="character" w:styleId="FootnoteReference">
    <w:name w:val="footnote reference"/>
    <w:uiPriority w:val="99"/>
    <w:unhideWhenUsed/>
    <w:rsid w:val="00477463"/>
    <w:rPr>
      <w:vertAlign w:val="superscript"/>
    </w:rPr>
  </w:style>
  <w:style w:type="character" w:styleId="Hyperlink">
    <w:name w:val="Hyperlink"/>
    <w:uiPriority w:val="99"/>
    <w:unhideWhenUsed/>
    <w:rsid w:val="00091108"/>
    <w:rPr>
      <w:color w:val="0563C1"/>
      <w:u w:val="single"/>
    </w:rPr>
  </w:style>
  <w:style w:type="character" w:styleId="CommentReference">
    <w:name w:val="annotation reference"/>
    <w:rsid w:val="00AA4EBA"/>
    <w:rPr>
      <w:sz w:val="16"/>
      <w:szCs w:val="16"/>
    </w:rPr>
  </w:style>
  <w:style w:type="paragraph" w:styleId="CommentText">
    <w:name w:val="annotation text"/>
    <w:basedOn w:val="Normal"/>
    <w:link w:val="CommentTextChar"/>
    <w:uiPriority w:val="99"/>
    <w:rsid w:val="00AA4EBA"/>
    <w:rPr>
      <w:sz w:val="20"/>
      <w:szCs w:val="20"/>
    </w:rPr>
  </w:style>
  <w:style w:type="character" w:customStyle="1" w:styleId="CommentTextChar">
    <w:name w:val="Comment Text Char"/>
    <w:link w:val="CommentText"/>
    <w:uiPriority w:val="99"/>
    <w:rsid w:val="00AA4EBA"/>
    <w:rPr>
      <w:lang w:eastAsia="en-US"/>
    </w:rPr>
  </w:style>
  <w:style w:type="paragraph" w:styleId="CommentSubject">
    <w:name w:val="annotation subject"/>
    <w:basedOn w:val="CommentText"/>
    <w:next w:val="CommentText"/>
    <w:link w:val="CommentSubjectChar"/>
    <w:rsid w:val="00AA4EBA"/>
    <w:rPr>
      <w:b/>
      <w:bCs/>
    </w:rPr>
  </w:style>
  <w:style w:type="character" w:customStyle="1" w:styleId="CommentSubjectChar">
    <w:name w:val="Comment Subject Char"/>
    <w:link w:val="CommentSubject"/>
    <w:rsid w:val="00AA4EBA"/>
    <w:rPr>
      <w:b/>
      <w:bCs/>
      <w:lang w:eastAsia="en-US"/>
    </w:rPr>
  </w:style>
  <w:style w:type="paragraph" w:styleId="BalloonText">
    <w:name w:val="Balloon Text"/>
    <w:basedOn w:val="Normal"/>
    <w:link w:val="BalloonTextChar"/>
    <w:rsid w:val="00AA4EBA"/>
    <w:rPr>
      <w:rFonts w:ascii="Segoe UI" w:hAnsi="Segoe UI" w:cs="Segoe UI"/>
      <w:sz w:val="18"/>
      <w:szCs w:val="18"/>
    </w:rPr>
  </w:style>
  <w:style w:type="character" w:customStyle="1" w:styleId="BalloonTextChar">
    <w:name w:val="Balloon Text Char"/>
    <w:link w:val="BalloonText"/>
    <w:rsid w:val="00AA4EBA"/>
    <w:rPr>
      <w:rFonts w:ascii="Segoe UI" w:hAnsi="Segoe UI" w:cs="Segoe UI"/>
      <w:sz w:val="18"/>
      <w:szCs w:val="18"/>
      <w:lang w:eastAsia="en-US"/>
    </w:rPr>
  </w:style>
  <w:style w:type="paragraph" w:customStyle="1" w:styleId="H4">
    <w:name w:val="H4"/>
    <w:rsid w:val="00AA4EBA"/>
    <w:pPr>
      <w:spacing w:after="120"/>
      <w:jc w:val="center"/>
      <w:outlineLvl w:val="3"/>
    </w:pPr>
    <w:rPr>
      <w:b/>
      <w:sz w:val="28"/>
      <w:lang w:eastAsia="zh-CN"/>
    </w:rPr>
  </w:style>
  <w:style w:type="paragraph" w:customStyle="1" w:styleId="tv2132">
    <w:name w:val="tv2132"/>
    <w:basedOn w:val="Normal"/>
    <w:rsid w:val="003C72C2"/>
    <w:pPr>
      <w:spacing w:line="360" w:lineRule="auto"/>
      <w:ind w:firstLine="300"/>
    </w:pPr>
    <w:rPr>
      <w:color w:val="414142"/>
      <w:sz w:val="20"/>
      <w:szCs w:val="20"/>
      <w:lang w:eastAsia="lv-LV"/>
    </w:rPr>
  </w:style>
  <w:style w:type="paragraph" w:styleId="NoSpacing">
    <w:name w:val="No Spacing"/>
    <w:uiPriority w:val="1"/>
    <w:qFormat/>
    <w:rsid w:val="003C6784"/>
    <w:pPr>
      <w:widowControl w:val="0"/>
    </w:pPr>
    <w:rPr>
      <w:rFonts w:ascii="Calibri" w:eastAsia="Calibri" w:hAnsi="Calibri"/>
      <w:sz w:val="22"/>
      <w:szCs w:val="22"/>
      <w:lang w:val="en-US" w:eastAsia="en-US"/>
    </w:rPr>
  </w:style>
  <w:style w:type="table" w:styleId="TableGrid">
    <w:name w:val="Table Grid"/>
    <w:basedOn w:val="TableNormal"/>
    <w:rsid w:val="00CA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CC4"/>
    <w:pPr>
      <w:spacing w:before="100" w:beforeAutospacing="1" w:after="100" w:afterAutospacing="1"/>
    </w:pPr>
    <w:rPr>
      <w:rFonts w:eastAsiaTheme="minorHAnsi"/>
      <w:lang w:eastAsia="lv-LV"/>
    </w:rPr>
  </w:style>
  <w:style w:type="character" w:customStyle="1" w:styleId="FooterChar">
    <w:name w:val="Footer Char"/>
    <w:basedOn w:val="DefaultParagraphFont"/>
    <w:link w:val="Footer"/>
    <w:uiPriority w:val="99"/>
    <w:rsid w:val="00BA3622"/>
    <w:rPr>
      <w:sz w:val="24"/>
      <w:szCs w:val="24"/>
      <w:lang w:eastAsia="en-US"/>
    </w:rPr>
  </w:style>
  <w:style w:type="paragraph" w:styleId="Revision">
    <w:name w:val="Revision"/>
    <w:hidden/>
    <w:uiPriority w:val="99"/>
    <w:semiHidden/>
    <w:rsid w:val="00767BA0"/>
    <w:rPr>
      <w:sz w:val="24"/>
      <w:szCs w:val="24"/>
      <w:lang w:eastAsia="en-US"/>
    </w:rPr>
  </w:style>
  <w:style w:type="paragraph" w:styleId="PlainText">
    <w:name w:val="Plain Text"/>
    <w:basedOn w:val="Normal"/>
    <w:link w:val="PlainTextChar"/>
    <w:uiPriority w:val="99"/>
    <w:unhideWhenUsed/>
    <w:rsid w:val="003E6E31"/>
    <w:pPr>
      <w:ind w:firstLine="720"/>
      <w:jc w:val="both"/>
    </w:pPr>
    <w:rPr>
      <w:rFonts w:eastAsia="Calibri"/>
      <w:szCs w:val="21"/>
    </w:rPr>
  </w:style>
  <w:style w:type="character" w:customStyle="1" w:styleId="PlainTextChar">
    <w:name w:val="Plain Text Char"/>
    <w:basedOn w:val="DefaultParagraphFont"/>
    <w:link w:val="PlainText"/>
    <w:uiPriority w:val="99"/>
    <w:rsid w:val="003E6E31"/>
    <w:rPr>
      <w:rFonts w:eastAsia="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207">
      <w:bodyDiv w:val="1"/>
      <w:marLeft w:val="0"/>
      <w:marRight w:val="0"/>
      <w:marTop w:val="0"/>
      <w:marBottom w:val="0"/>
      <w:divBdr>
        <w:top w:val="none" w:sz="0" w:space="0" w:color="auto"/>
        <w:left w:val="none" w:sz="0" w:space="0" w:color="auto"/>
        <w:bottom w:val="none" w:sz="0" w:space="0" w:color="auto"/>
        <w:right w:val="none" w:sz="0" w:space="0" w:color="auto"/>
      </w:divBdr>
    </w:div>
    <w:div w:id="320937908">
      <w:bodyDiv w:val="1"/>
      <w:marLeft w:val="0"/>
      <w:marRight w:val="0"/>
      <w:marTop w:val="0"/>
      <w:marBottom w:val="0"/>
      <w:divBdr>
        <w:top w:val="none" w:sz="0" w:space="0" w:color="auto"/>
        <w:left w:val="none" w:sz="0" w:space="0" w:color="auto"/>
        <w:bottom w:val="none" w:sz="0" w:space="0" w:color="auto"/>
        <w:right w:val="none" w:sz="0" w:space="0" w:color="auto"/>
      </w:divBdr>
    </w:div>
    <w:div w:id="341661392">
      <w:bodyDiv w:val="1"/>
      <w:marLeft w:val="0"/>
      <w:marRight w:val="0"/>
      <w:marTop w:val="0"/>
      <w:marBottom w:val="0"/>
      <w:divBdr>
        <w:top w:val="none" w:sz="0" w:space="0" w:color="auto"/>
        <w:left w:val="none" w:sz="0" w:space="0" w:color="auto"/>
        <w:bottom w:val="none" w:sz="0" w:space="0" w:color="auto"/>
        <w:right w:val="none" w:sz="0" w:space="0" w:color="auto"/>
      </w:divBdr>
    </w:div>
    <w:div w:id="843475915">
      <w:bodyDiv w:val="1"/>
      <w:marLeft w:val="0"/>
      <w:marRight w:val="0"/>
      <w:marTop w:val="0"/>
      <w:marBottom w:val="0"/>
      <w:divBdr>
        <w:top w:val="none" w:sz="0" w:space="0" w:color="auto"/>
        <w:left w:val="none" w:sz="0" w:space="0" w:color="auto"/>
        <w:bottom w:val="none" w:sz="0" w:space="0" w:color="auto"/>
        <w:right w:val="none" w:sz="0" w:space="0" w:color="auto"/>
      </w:divBdr>
    </w:div>
    <w:div w:id="1223177798">
      <w:bodyDiv w:val="1"/>
      <w:marLeft w:val="0"/>
      <w:marRight w:val="0"/>
      <w:marTop w:val="0"/>
      <w:marBottom w:val="0"/>
      <w:divBdr>
        <w:top w:val="none" w:sz="0" w:space="0" w:color="auto"/>
        <w:left w:val="none" w:sz="0" w:space="0" w:color="auto"/>
        <w:bottom w:val="none" w:sz="0" w:space="0" w:color="auto"/>
        <w:right w:val="none" w:sz="0" w:space="0" w:color="auto"/>
      </w:divBdr>
    </w:div>
    <w:div w:id="1326739378">
      <w:bodyDiv w:val="1"/>
      <w:marLeft w:val="0"/>
      <w:marRight w:val="0"/>
      <w:marTop w:val="0"/>
      <w:marBottom w:val="0"/>
      <w:divBdr>
        <w:top w:val="none" w:sz="0" w:space="0" w:color="auto"/>
        <w:left w:val="none" w:sz="0" w:space="0" w:color="auto"/>
        <w:bottom w:val="none" w:sz="0" w:space="0" w:color="auto"/>
        <w:right w:val="none" w:sz="0" w:space="0" w:color="auto"/>
      </w:divBdr>
    </w:div>
    <w:div w:id="1643264860">
      <w:bodyDiv w:val="1"/>
      <w:marLeft w:val="0"/>
      <w:marRight w:val="0"/>
      <w:marTop w:val="0"/>
      <w:marBottom w:val="0"/>
      <w:divBdr>
        <w:top w:val="none" w:sz="0" w:space="0" w:color="auto"/>
        <w:left w:val="none" w:sz="0" w:space="0" w:color="auto"/>
        <w:bottom w:val="none" w:sz="0" w:space="0" w:color="auto"/>
        <w:right w:val="none" w:sz="0" w:space="0" w:color="auto"/>
      </w:divBdr>
    </w:div>
    <w:div w:id="1812206637">
      <w:bodyDiv w:val="1"/>
      <w:marLeft w:val="0"/>
      <w:marRight w:val="0"/>
      <w:marTop w:val="0"/>
      <w:marBottom w:val="0"/>
      <w:divBdr>
        <w:top w:val="none" w:sz="0" w:space="0" w:color="auto"/>
        <w:left w:val="none" w:sz="0" w:space="0" w:color="auto"/>
        <w:bottom w:val="none" w:sz="0" w:space="0" w:color="auto"/>
        <w:right w:val="none" w:sz="0" w:space="0" w:color="auto"/>
      </w:divBdr>
    </w:div>
    <w:div w:id="21252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ta.Popova@kase.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AFEB-990E-463F-9676-91E7D679FB94}">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048371a-c377-4617-a558-28bad1ac8a64"/>
    <ds:schemaRef ds:uri="http://www.w3.org/XML/1998/namespace"/>
    <ds:schemaRef ds:uri="http://purl.org/dc/terms/"/>
  </ds:schemaRefs>
</ds:datastoreItem>
</file>

<file path=customXml/itemProps2.xml><?xml version="1.0" encoding="utf-8"?>
<ds:datastoreItem xmlns:ds="http://schemas.openxmlformats.org/officeDocument/2006/customXml" ds:itemID="{6FAA4709-BF36-424B-954C-0DE77784E7F2}">
  <ds:schemaRefs>
    <ds:schemaRef ds:uri="http://schemas.microsoft.com/sharepoint/v3/contenttype/forms"/>
  </ds:schemaRefs>
</ds:datastoreItem>
</file>

<file path=customXml/itemProps3.xml><?xml version="1.0" encoding="utf-8"?>
<ds:datastoreItem xmlns:ds="http://schemas.openxmlformats.org/officeDocument/2006/customXml" ds:itemID="{9EB7970B-A1DD-49D2-8B12-CF655257B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EFFFE-7DE7-4886-84E4-46D55520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5380</Words>
  <Characters>37369</Characters>
  <Application>Microsoft Office Word</Application>
  <DocSecurity>0</DocSecurity>
  <Lines>311</Lines>
  <Paragraphs>85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 1220 "Asignējumu piešķiršanas un izpildes kārtība""</vt:lpstr>
    </vt:vector>
  </TitlesOfParts>
  <Company>Valsts kase</Company>
  <LinksUpToDate>false</LinksUpToDate>
  <CharactersWithSpaces>42664</CharactersWithSpaces>
  <SharedDoc>false</SharedDoc>
  <HLinks>
    <vt:vector size="54" baseType="variant">
      <vt:variant>
        <vt:i4>3473512</vt:i4>
      </vt:variant>
      <vt:variant>
        <vt:i4>15</vt:i4>
      </vt:variant>
      <vt:variant>
        <vt:i4>0</vt:i4>
      </vt:variant>
      <vt:variant>
        <vt:i4>5</vt:i4>
      </vt:variant>
      <vt:variant>
        <vt:lpwstr>https://likumi.lv/ta/id/223614</vt:lpwstr>
      </vt:variant>
      <vt:variant>
        <vt:lpwstr>piel4</vt:lpwstr>
      </vt:variant>
      <vt:variant>
        <vt:i4>3473512</vt:i4>
      </vt:variant>
      <vt:variant>
        <vt:i4>12</vt:i4>
      </vt:variant>
      <vt:variant>
        <vt:i4>0</vt:i4>
      </vt:variant>
      <vt:variant>
        <vt:i4>5</vt:i4>
      </vt:variant>
      <vt:variant>
        <vt:lpwstr>https://likumi.lv/ta/id/223614</vt:lpwstr>
      </vt:variant>
      <vt:variant>
        <vt:lpwstr>piel4</vt:lpwstr>
      </vt:variant>
      <vt:variant>
        <vt:i4>3473517</vt:i4>
      </vt:variant>
      <vt:variant>
        <vt:i4>9</vt:i4>
      </vt:variant>
      <vt:variant>
        <vt:i4>0</vt:i4>
      </vt:variant>
      <vt:variant>
        <vt:i4>5</vt:i4>
      </vt:variant>
      <vt:variant>
        <vt:lpwstr>http://dati.ur.gov.lv/</vt:lpwstr>
      </vt:variant>
      <vt:variant>
        <vt:lpwstr/>
      </vt:variant>
      <vt:variant>
        <vt:i4>2687025</vt:i4>
      </vt:variant>
      <vt:variant>
        <vt:i4>6</vt:i4>
      </vt:variant>
      <vt:variant>
        <vt:i4>0</vt:i4>
      </vt:variant>
      <vt:variant>
        <vt:i4>5</vt:i4>
      </vt:variant>
      <vt:variant>
        <vt:lpwstr>https://likumi.lv/ta/id/223614-asignejumu-pieskirsanas-un-izpildes-kartiba</vt:lpwstr>
      </vt:variant>
      <vt:variant>
        <vt:lpwstr>piel2</vt:lpwstr>
      </vt:variant>
      <vt:variant>
        <vt:i4>2687025</vt:i4>
      </vt:variant>
      <vt:variant>
        <vt:i4>3</vt:i4>
      </vt:variant>
      <vt:variant>
        <vt:i4>0</vt:i4>
      </vt:variant>
      <vt:variant>
        <vt:i4>5</vt:i4>
      </vt:variant>
      <vt:variant>
        <vt:lpwstr>https://likumi.lv/ta/id/223614-asignejumu-pieskirsanas-un-izpildes-kartiba</vt:lpwstr>
      </vt:variant>
      <vt:variant>
        <vt:lpwstr>piel1</vt:lpwstr>
      </vt:variant>
      <vt:variant>
        <vt:i4>65553</vt:i4>
      </vt:variant>
      <vt:variant>
        <vt:i4>0</vt:i4>
      </vt:variant>
      <vt:variant>
        <vt:i4>0</vt:i4>
      </vt:variant>
      <vt:variant>
        <vt:i4>5</vt:i4>
      </vt:variant>
      <vt:variant>
        <vt:lpwstr>https://likumi.lv/ta/id/298289</vt:lpwstr>
      </vt:variant>
      <vt:variant>
        <vt:lpwstr>n3</vt:lpwstr>
      </vt:variant>
      <vt:variant>
        <vt:i4>5963853</vt:i4>
      </vt:variant>
      <vt:variant>
        <vt:i4>0</vt:i4>
      </vt:variant>
      <vt:variant>
        <vt:i4>0</vt:i4>
      </vt:variant>
      <vt:variant>
        <vt:i4>5</vt:i4>
      </vt:variant>
      <vt:variant>
        <vt:lpwstr>https://www.ur.gov.lv/lv/specializeta-informacija/atvertie-dati/</vt:lpwstr>
      </vt:variant>
      <vt:variant>
        <vt:lpwstr/>
      </vt:variant>
      <vt:variant>
        <vt:i4>19</vt:i4>
      </vt:variant>
      <vt:variant>
        <vt:i4>3</vt:i4>
      </vt:variant>
      <vt:variant>
        <vt:i4>0</vt:i4>
      </vt:variant>
      <vt:variant>
        <vt:i4>5</vt:i4>
      </vt:variant>
      <vt:variant>
        <vt:lpwstr>https://likumi.lv/ta/id/300437</vt:lpwstr>
      </vt:variant>
      <vt:variant>
        <vt:lpwstr>n3</vt:lpwstr>
      </vt:variant>
      <vt:variant>
        <vt:i4>65555</vt:i4>
      </vt:variant>
      <vt:variant>
        <vt:i4>0</vt:i4>
      </vt:variant>
      <vt:variant>
        <vt:i4>0</vt:i4>
      </vt:variant>
      <vt:variant>
        <vt:i4>5</vt:i4>
      </vt:variant>
      <vt:variant>
        <vt:lpwstr>https://likumi.lv/ta/id/300437</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 1220 "Asignējumu piešķiršanas un izpildes kārtība""</dc:title>
  <dc:subject>Izziņa par atzinumos sniegtajiem iebildumiem</dc:subject>
  <dc:creator>A.Popova</dc:creator>
  <cp:keywords/>
  <dc:description>67094246, anita.popova@kase.gov.lv</dc:description>
  <cp:lastModifiedBy>Dace Krasovska</cp:lastModifiedBy>
  <cp:revision>3</cp:revision>
  <cp:lastPrinted>2018-10-22T10:41:00Z</cp:lastPrinted>
  <dcterms:created xsi:type="dcterms:W3CDTF">2020-10-30T12:20:00Z</dcterms:created>
  <dcterms:modified xsi:type="dcterms:W3CDTF">2020-10-30T12:22:00Z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