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F0" w:rsidRPr="000A76B4" w:rsidRDefault="00F574F0" w:rsidP="00F574F0">
      <w:pPr>
        <w:pStyle w:val="naislab"/>
        <w:spacing w:before="0" w:after="0"/>
        <w:ind w:firstLine="720"/>
        <w:rPr>
          <w:sz w:val="28"/>
          <w:szCs w:val="28"/>
        </w:rPr>
      </w:pPr>
      <w:bookmarkStart w:id="0" w:name="_GoBack"/>
      <w:bookmarkEnd w:id="0"/>
      <w:r w:rsidRPr="000A76B4">
        <w:rPr>
          <w:sz w:val="28"/>
          <w:szCs w:val="28"/>
        </w:rPr>
        <w:t> </w:t>
      </w:r>
    </w:p>
    <w:p w:rsidR="00F574F0" w:rsidRPr="000A76B4" w:rsidRDefault="00F574F0" w:rsidP="00F574F0">
      <w:pPr>
        <w:pStyle w:val="naisnod"/>
        <w:spacing w:before="0" w:after="0"/>
        <w:rPr>
          <w:sz w:val="28"/>
          <w:szCs w:val="28"/>
        </w:rPr>
      </w:pPr>
      <w:r w:rsidRPr="000A76B4">
        <w:rPr>
          <w:sz w:val="28"/>
          <w:szCs w:val="28"/>
        </w:rPr>
        <w:t>Izziņa par atzinumos sniegtajiem iebildumiem</w:t>
      </w:r>
    </w:p>
    <w:p w:rsidR="00F574F0" w:rsidRPr="000A76B4" w:rsidRDefault="00F574F0" w:rsidP="00F574F0">
      <w:pPr>
        <w:pStyle w:val="naisnod"/>
        <w:spacing w:before="0" w:after="0"/>
        <w:rPr>
          <w:sz w:val="28"/>
          <w:szCs w:val="28"/>
        </w:rPr>
      </w:pPr>
    </w:p>
    <w:tbl>
      <w:tblPr>
        <w:tblW w:w="0" w:type="auto"/>
        <w:jc w:val="center"/>
        <w:tblLook w:val="00A0" w:firstRow="1" w:lastRow="0" w:firstColumn="1" w:lastColumn="0" w:noHBand="0" w:noVBand="0"/>
      </w:tblPr>
      <w:tblGrid>
        <w:gridCol w:w="10188"/>
      </w:tblGrid>
      <w:tr w:rsidR="00F574F0" w:rsidRPr="000A76B4" w:rsidTr="00365C1B">
        <w:trPr>
          <w:jc w:val="center"/>
        </w:trPr>
        <w:tc>
          <w:tcPr>
            <w:tcW w:w="10188" w:type="dxa"/>
            <w:tcBorders>
              <w:bottom w:val="single" w:sz="6" w:space="0" w:color="000000"/>
            </w:tcBorders>
          </w:tcPr>
          <w:p w:rsidR="00F574F0" w:rsidRPr="000A76B4" w:rsidRDefault="00F574F0" w:rsidP="00F574F0">
            <w:pPr>
              <w:jc w:val="center"/>
              <w:rPr>
                <w:b/>
                <w:sz w:val="28"/>
                <w:szCs w:val="28"/>
              </w:rPr>
            </w:pPr>
            <w:r w:rsidRPr="00CF3986">
              <w:rPr>
                <w:b/>
                <w:bCs/>
                <w:sz w:val="28"/>
                <w:szCs w:val="28"/>
              </w:rPr>
              <w:t>Minist</w:t>
            </w:r>
            <w:r>
              <w:rPr>
                <w:b/>
                <w:bCs/>
                <w:sz w:val="28"/>
                <w:szCs w:val="28"/>
              </w:rPr>
              <w:t>ru kabineta noteikumu projektam “Grozījumi</w:t>
            </w:r>
            <w:r w:rsidRPr="00CF3986">
              <w:rPr>
                <w:b/>
                <w:bCs/>
                <w:sz w:val="28"/>
                <w:szCs w:val="28"/>
              </w:rPr>
              <w:t xml:space="preserve"> Ministru kabineta </w:t>
            </w:r>
            <w:r w:rsidRPr="00CF3986">
              <w:rPr>
                <w:b/>
                <w:sz w:val="28"/>
                <w:szCs w:val="28"/>
              </w:rPr>
              <w:t>20</w:t>
            </w:r>
            <w:r>
              <w:rPr>
                <w:b/>
                <w:sz w:val="28"/>
                <w:szCs w:val="28"/>
              </w:rPr>
              <w:t>05.</w:t>
            </w:r>
            <w:r w:rsidRPr="00CF3986">
              <w:rPr>
                <w:b/>
                <w:sz w:val="28"/>
                <w:szCs w:val="28"/>
              </w:rPr>
              <w:t> gada 20. </w:t>
            </w:r>
            <w:r>
              <w:rPr>
                <w:b/>
                <w:sz w:val="28"/>
                <w:szCs w:val="28"/>
              </w:rPr>
              <w:t>decembra</w:t>
            </w:r>
            <w:r w:rsidRPr="00CF3986">
              <w:rPr>
                <w:b/>
                <w:sz w:val="28"/>
                <w:szCs w:val="28"/>
              </w:rPr>
              <w:t xml:space="preserve"> </w:t>
            </w:r>
            <w:r w:rsidRPr="00CF3986">
              <w:rPr>
                <w:b/>
                <w:bCs/>
                <w:sz w:val="28"/>
                <w:szCs w:val="28"/>
              </w:rPr>
              <w:t>noteikumos Nr. </w:t>
            </w:r>
            <w:r>
              <w:rPr>
                <w:b/>
                <w:bCs/>
                <w:sz w:val="28"/>
                <w:szCs w:val="28"/>
              </w:rPr>
              <w:t>966</w:t>
            </w:r>
            <w:r w:rsidRPr="00CF3986">
              <w:rPr>
                <w:b/>
                <w:sz w:val="28"/>
                <w:szCs w:val="28"/>
              </w:rPr>
              <w:t xml:space="preserve"> </w:t>
            </w:r>
            <w:r w:rsidRPr="00CF3986">
              <w:rPr>
                <w:b/>
                <w:bCs/>
                <w:sz w:val="28"/>
                <w:szCs w:val="28"/>
              </w:rPr>
              <w:t xml:space="preserve">“Noteikumi par </w:t>
            </w:r>
            <w:r>
              <w:rPr>
                <w:b/>
                <w:bCs/>
                <w:sz w:val="28"/>
                <w:szCs w:val="28"/>
              </w:rPr>
              <w:t>mobilizējamo civilās aizsardzības formulējumu veidošanas kārtību un finansējumu</w:t>
            </w:r>
            <w:r w:rsidRPr="00CF3986">
              <w:rPr>
                <w:b/>
                <w:bCs/>
                <w:sz w:val="28"/>
                <w:szCs w:val="28"/>
              </w:rPr>
              <w:t>”</w:t>
            </w:r>
            <w:r w:rsidRPr="00CF3986">
              <w:rPr>
                <w:b/>
                <w:sz w:val="28"/>
                <w:szCs w:val="28"/>
              </w:rPr>
              <w:t>”</w:t>
            </w:r>
            <w:r w:rsidRPr="000A76B4">
              <w:rPr>
                <w:b/>
                <w:bCs/>
                <w:sz w:val="28"/>
                <w:szCs w:val="28"/>
              </w:rPr>
              <w:t xml:space="preserve"> (VSS-</w:t>
            </w:r>
            <w:r>
              <w:rPr>
                <w:b/>
                <w:bCs/>
                <w:sz w:val="28"/>
                <w:szCs w:val="28"/>
              </w:rPr>
              <w:t>721)</w:t>
            </w:r>
          </w:p>
        </w:tc>
      </w:tr>
    </w:tbl>
    <w:p w:rsidR="00F574F0" w:rsidRPr="000A76B4" w:rsidRDefault="00F574F0" w:rsidP="00F574F0">
      <w:pPr>
        <w:pStyle w:val="naisf"/>
        <w:spacing w:before="0" w:after="0"/>
        <w:ind w:firstLine="720"/>
        <w:rPr>
          <w:sz w:val="28"/>
          <w:szCs w:val="28"/>
        </w:rPr>
      </w:pPr>
    </w:p>
    <w:p w:rsidR="00F574F0" w:rsidRPr="000A76B4" w:rsidRDefault="00F574F0" w:rsidP="00F574F0">
      <w:pPr>
        <w:pStyle w:val="naisf"/>
        <w:spacing w:before="0" w:after="0"/>
        <w:ind w:firstLine="0"/>
        <w:jc w:val="center"/>
        <w:rPr>
          <w:b/>
          <w:sz w:val="28"/>
          <w:szCs w:val="28"/>
        </w:rPr>
      </w:pPr>
      <w:r w:rsidRPr="000A76B4">
        <w:rPr>
          <w:b/>
          <w:sz w:val="28"/>
          <w:szCs w:val="28"/>
        </w:rPr>
        <w:t>I. Jautājumi, par kuriem saskaņošanā vienošanās nav panākta</w:t>
      </w:r>
    </w:p>
    <w:p w:rsidR="00F574F0" w:rsidRPr="000A76B4" w:rsidRDefault="00F574F0" w:rsidP="00F574F0">
      <w:pPr>
        <w:pStyle w:val="naisf"/>
        <w:spacing w:before="0" w:after="0"/>
        <w:ind w:firstLine="720"/>
        <w:rPr>
          <w:sz w:val="28"/>
          <w:szCs w:val="28"/>
        </w:rPr>
      </w:pPr>
    </w:p>
    <w:tbl>
      <w:tblPr>
        <w:tblW w:w="1426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160"/>
        <w:gridCol w:w="3544"/>
        <w:gridCol w:w="3544"/>
        <w:gridCol w:w="2425"/>
        <w:gridCol w:w="1920"/>
      </w:tblGrid>
      <w:tr w:rsidR="00F574F0" w:rsidRPr="000A76B4" w:rsidTr="00365C1B">
        <w:tc>
          <w:tcPr>
            <w:tcW w:w="675"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rPr>
                <w:sz w:val="28"/>
                <w:szCs w:val="28"/>
              </w:rPr>
            </w:pPr>
            <w:r w:rsidRPr="000A76B4">
              <w:rPr>
                <w:sz w:val="28"/>
                <w:szCs w:val="28"/>
              </w:rPr>
              <w:t>Nr. p.k.</w:t>
            </w:r>
          </w:p>
        </w:tc>
        <w:tc>
          <w:tcPr>
            <w:tcW w:w="2160"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firstLine="12"/>
              <w:rPr>
                <w:sz w:val="28"/>
                <w:szCs w:val="28"/>
              </w:rPr>
            </w:pPr>
            <w:r w:rsidRPr="000A76B4">
              <w:rPr>
                <w:sz w:val="28"/>
                <w:szCs w:val="28"/>
              </w:rPr>
              <w:t>Saskaņošanai nosūtītā projekta redakcija (konkrēta punkta (panta) redakcija)</w:t>
            </w:r>
          </w:p>
        </w:tc>
        <w:tc>
          <w:tcPr>
            <w:tcW w:w="3544"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right="3"/>
              <w:rPr>
                <w:sz w:val="28"/>
                <w:szCs w:val="28"/>
              </w:rPr>
            </w:pPr>
            <w:r w:rsidRPr="000A76B4">
              <w:rPr>
                <w:sz w:val="28"/>
                <w:szCs w:val="28"/>
              </w:rPr>
              <w:t>Atzinumā norādītais ministrijas (citas institūcijas) iebildums,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firstLine="21"/>
              <w:rPr>
                <w:sz w:val="28"/>
                <w:szCs w:val="28"/>
              </w:rPr>
            </w:pPr>
            <w:r w:rsidRPr="000A76B4">
              <w:rPr>
                <w:sz w:val="28"/>
                <w:szCs w:val="28"/>
              </w:rPr>
              <w:t>Atbildīgās ministrijas pamatojums iebilduma noraidījumam</w:t>
            </w:r>
          </w:p>
        </w:tc>
        <w:tc>
          <w:tcPr>
            <w:tcW w:w="2425" w:type="dxa"/>
            <w:tcBorders>
              <w:top w:val="single" w:sz="4" w:space="0" w:color="auto"/>
              <w:left w:val="single" w:sz="4" w:space="0" w:color="auto"/>
              <w:bottom w:val="single" w:sz="4" w:space="0" w:color="auto"/>
              <w:right w:val="single" w:sz="4" w:space="0" w:color="auto"/>
            </w:tcBorders>
            <w:vAlign w:val="center"/>
          </w:tcPr>
          <w:p w:rsidR="00F574F0" w:rsidRPr="000A76B4" w:rsidRDefault="00F574F0" w:rsidP="00365C1B">
            <w:pPr>
              <w:jc w:val="center"/>
              <w:rPr>
                <w:sz w:val="28"/>
                <w:szCs w:val="28"/>
              </w:rPr>
            </w:pPr>
            <w:r w:rsidRPr="000A76B4">
              <w:rPr>
                <w:sz w:val="28"/>
                <w:szCs w:val="28"/>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F574F0" w:rsidRPr="000A76B4" w:rsidRDefault="00F574F0" w:rsidP="00365C1B">
            <w:pPr>
              <w:jc w:val="center"/>
              <w:rPr>
                <w:sz w:val="28"/>
                <w:szCs w:val="28"/>
              </w:rPr>
            </w:pPr>
            <w:r w:rsidRPr="000A76B4">
              <w:rPr>
                <w:sz w:val="28"/>
                <w:szCs w:val="28"/>
              </w:rPr>
              <w:t>Projekta attiecīgā punkta (panta) galīgā redakcija</w:t>
            </w:r>
          </w:p>
        </w:tc>
      </w:tr>
      <w:tr w:rsidR="00F574F0" w:rsidRPr="000A76B4" w:rsidTr="00365C1B">
        <w:tc>
          <w:tcPr>
            <w:tcW w:w="675"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rPr>
                <w:sz w:val="28"/>
                <w:szCs w:val="28"/>
              </w:rPr>
            </w:pPr>
            <w:r w:rsidRPr="000A76B4">
              <w:rPr>
                <w:sz w:val="28"/>
                <w:szCs w:val="28"/>
              </w:rPr>
              <w:t>1</w:t>
            </w:r>
          </w:p>
        </w:tc>
        <w:tc>
          <w:tcPr>
            <w:tcW w:w="2160"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tabs>
                <w:tab w:val="left" w:pos="1877"/>
              </w:tabs>
              <w:spacing w:before="0" w:after="0"/>
              <w:ind w:firstLine="601"/>
              <w:jc w:val="left"/>
              <w:rPr>
                <w:sz w:val="28"/>
                <w:szCs w:val="28"/>
              </w:rPr>
            </w:pPr>
            <w:r w:rsidRPr="000A76B4">
              <w:rPr>
                <w:sz w:val="28"/>
                <w:szCs w:val="28"/>
              </w:rPr>
              <w:t xml:space="preserve">          2</w:t>
            </w:r>
          </w:p>
        </w:tc>
        <w:tc>
          <w:tcPr>
            <w:tcW w:w="3544"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jc w:val="left"/>
              <w:rPr>
                <w:sz w:val="28"/>
                <w:szCs w:val="28"/>
              </w:rPr>
            </w:pPr>
            <w:r w:rsidRPr="000A76B4">
              <w:rPr>
                <w:sz w:val="28"/>
                <w:szCs w:val="28"/>
              </w:rPr>
              <w:t xml:space="preserve">                                3</w:t>
            </w:r>
          </w:p>
        </w:tc>
        <w:tc>
          <w:tcPr>
            <w:tcW w:w="3544"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ind w:firstLine="1168"/>
              <w:jc w:val="left"/>
              <w:rPr>
                <w:sz w:val="28"/>
                <w:szCs w:val="28"/>
              </w:rPr>
            </w:pPr>
            <w:r w:rsidRPr="000A76B4">
              <w:rPr>
                <w:sz w:val="28"/>
                <w:szCs w:val="28"/>
              </w:rPr>
              <w:t>4</w:t>
            </w:r>
          </w:p>
        </w:tc>
        <w:tc>
          <w:tcPr>
            <w:tcW w:w="2425" w:type="dxa"/>
            <w:tcBorders>
              <w:top w:val="single" w:sz="4" w:space="0" w:color="auto"/>
              <w:left w:val="single" w:sz="4" w:space="0" w:color="auto"/>
              <w:bottom w:val="single" w:sz="4" w:space="0" w:color="auto"/>
              <w:right w:val="single" w:sz="4" w:space="0" w:color="auto"/>
            </w:tcBorders>
          </w:tcPr>
          <w:p w:rsidR="00F574F0" w:rsidRPr="000A76B4" w:rsidRDefault="00F574F0" w:rsidP="00365C1B">
            <w:pPr>
              <w:jc w:val="center"/>
              <w:rPr>
                <w:sz w:val="28"/>
                <w:szCs w:val="28"/>
              </w:rPr>
            </w:pPr>
            <w:r w:rsidRPr="000A76B4">
              <w:rPr>
                <w:sz w:val="28"/>
                <w:szCs w:val="28"/>
              </w:rPr>
              <w:t>5</w:t>
            </w:r>
          </w:p>
        </w:tc>
        <w:tc>
          <w:tcPr>
            <w:tcW w:w="1920" w:type="dxa"/>
            <w:tcBorders>
              <w:top w:val="single" w:sz="4" w:space="0" w:color="auto"/>
              <w:left w:val="single" w:sz="4" w:space="0" w:color="auto"/>
              <w:bottom w:val="single" w:sz="4" w:space="0" w:color="auto"/>
            </w:tcBorders>
          </w:tcPr>
          <w:p w:rsidR="00F574F0" w:rsidRPr="000A76B4" w:rsidRDefault="00F574F0" w:rsidP="00365C1B">
            <w:pPr>
              <w:jc w:val="center"/>
              <w:rPr>
                <w:sz w:val="28"/>
                <w:szCs w:val="28"/>
              </w:rPr>
            </w:pPr>
            <w:r w:rsidRPr="000A76B4">
              <w:rPr>
                <w:sz w:val="28"/>
                <w:szCs w:val="28"/>
              </w:rPr>
              <w:t>6</w:t>
            </w:r>
          </w:p>
        </w:tc>
      </w:tr>
      <w:tr w:rsidR="00F574F0" w:rsidRPr="000A76B4" w:rsidTr="00365C1B">
        <w:tc>
          <w:tcPr>
            <w:tcW w:w="675"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rPr>
                <w:sz w:val="28"/>
                <w:szCs w:val="28"/>
              </w:rPr>
            </w:pPr>
            <w:r>
              <w:rPr>
                <w:sz w:val="28"/>
                <w:szCs w:val="28"/>
              </w:rPr>
              <w:t xml:space="preserve">1. </w:t>
            </w:r>
          </w:p>
        </w:tc>
        <w:tc>
          <w:tcPr>
            <w:tcW w:w="2160" w:type="dxa"/>
            <w:tcBorders>
              <w:top w:val="single" w:sz="6" w:space="0" w:color="000000"/>
              <w:left w:val="single" w:sz="6" w:space="0" w:color="000000"/>
              <w:bottom w:val="single" w:sz="6" w:space="0" w:color="000000"/>
              <w:right w:val="single" w:sz="6" w:space="0" w:color="000000"/>
            </w:tcBorders>
          </w:tcPr>
          <w:p w:rsidR="00F574F0" w:rsidRPr="00B20327" w:rsidRDefault="00F574F0" w:rsidP="00365C1B">
            <w:pPr>
              <w:pStyle w:val="naisc"/>
              <w:spacing w:before="0" w:after="0"/>
              <w:ind w:left="-105"/>
              <w:jc w:val="both"/>
              <w:rPr>
                <w:b/>
                <w:sz w:val="28"/>
                <w:szCs w:val="28"/>
              </w:rPr>
            </w:pPr>
            <w:r>
              <w:rPr>
                <w:b/>
                <w:sz w:val="28"/>
                <w:szCs w:val="28"/>
              </w:rPr>
              <w:t>Par projektu kopumā</w:t>
            </w:r>
          </w:p>
        </w:tc>
        <w:tc>
          <w:tcPr>
            <w:tcW w:w="3544" w:type="dxa"/>
            <w:tcBorders>
              <w:top w:val="single" w:sz="6" w:space="0" w:color="000000"/>
              <w:left w:val="single" w:sz="6" w:space="0" w:color="000000"/>
              <w:bottom w:val="single" w:sz="6" w:space="0" w:color="000000"/>
              <w:right w:val="single" w:sz="6" w:space="0" w:color="000000"/>
            </w:tcBorders>
          </w:tcPr>
          <w:p w:rsidR="00F574F0" w:rsidRPr="00F574F0" w:rsidRDefault="00F574F0" w:rsidP="00F574F0">
            <w:pPr>
              <w:jc w:val="center"/>
              <w:rPr>
                <w:b/>
                <w:sz w:val="28"/>
                <w:szCs w:val="28"/>
              </w:rPr>
            </w:pPr>
            <w:r w:rsidRPr="00F574F0">
              <w:rPr>
                <w:b/>
                <w:sz w:val="28"/>
                <w:szCs w:val="28"/>
              </w:rPr>
              <w:t>Tieslietu ministrija</w:t>
            </w:r>
          </w:p>
          <w:p w:rsidR="00F574F0" w:rsidRPr="00F574F0" w:rsidRDefault="00F574F0" w:rsidP="00F574F0">
            <w:pPr>
              <w:jc w:val="both"/>
              <w:rPr>
                <w:sz w:val="28"/>
                <w:szCs w:val="28"/>
              </w:rPr>
            </w:pPr>
          </w:p>
          <w:p w:rsidR="00F574F0" w:rsidRPr="00F574F0" w:rsidRDefault="00F574F0" w:rsidP="00F574F0">
            <w:pPr>
              <w:jc w:val="both"/>
              <w:rPr>
                <w:color w:val="000000" w:themeColor="text1"/>
                <w:sz w:val="28"/>
                <w:szCs w:val="28"/>
              </w:rPr>
            </w:pPr>
            <w:r w:rsidRPr="00F574F0">
              <w:rPr>
                <w:sz w:val="28"/>
                <w:szCs w:val="28"/>
              </w:rPr>
              <w:t>Ministru kabineta 2009. gada 3. </w:t>
            </w:r>
            <w:r w:rsidRPr="00F574F0">
              <w:rPr>
                <w:color w:val="000000" w:themeColor="text1"/>
                <w:sz w:val="28"/>
                <w:szCs w:val="28"/>
              </w:rPr>
              <w:t>februāra noteikumu Nr. 108 "Normatīvo aktu projektu sagatavošanas noteikumi" 3.</w:t>
            </w:r>
            <w:r w:rsidRPr="00F574F0">
              <w:rPr>
                <w:color w:val="000000" w:themeColor="text1"/>
                <w:sz w:val="28"/>
                <w:szCs w:val="28"/>
                <w:vertAlign w:val="superscript"/>
              </w:rPr>
              <w:t>1</w:t>
            </w:r>
            <w:r w:rsidRPr="00F574F0">
              <w:rPr>
                <w:color w:val="000000" w:themeColor="text1"/>
                <w:sz w:val="28"/>
                <w:szCs w:val="28"/>
              </w:rPr>
              <w:t xml:space="preserve"> punkts paredz, ka normatīvā akta grozījumus sagatavo, ja normatīvo aktu nepieciešams grozīt pēc būtības, savukārt </w:t>
            </w:r>
            <w:r w:rsidRPr="00F574F0">
              <w:rPr>
                <w:color w:val="000000" w:themeColor="text1"/>
                <w:sz w:val="28"/>
                <w:szCs w:val="28"/>
              </w:rPr>
              <w:lastRenderedPageBreak/>
              <w:t>redakcionālus precizējumus sagatavo vienlaikus ar normatīvā akta grozījumiem pēc būtības. Minētā norma ieviesta, lai mazinātu normatīvo aktu grozīšanas biežumu. Vēršam uzmanību, ka projekts paredz tikai redakcionālus precizējumus, kas nemaina regulējumu pēc būtības.</w:t>
            </w:r>
          </w:p>
          <w:p w:rsidR="00F574F0" w:rsidRPr="00F574F0" w:rsidRDefault="00F574F0" w:rsidP="00F574F0">
            <w:pPr>
              <w:jc w:val="both"/>
              <w:rPr>
                <w:sz w:val="28"/>
                <w:szCs w:val="28"/>
              </w:rPr>
            </w:pPr>
            <w:r w:rsidRPr="00F574F0">
              <w:rPr>
                <w:color w:val="000000" w:themeColor="text1"/>
                <w:sz w:val="28"/>
                <w:szCs w:val="28"/>
              </w:rPr>
              <w:tab/>
              <w:t xml:space="preserve">Saskaņā ar </w:t>
            </w:r>
            <w:r w:rsidRPr="00F574F0">
              <w:rPr>
                <w:sz w:val="28"/>
                <w:szCs w:val="28"/>
              </w:rPr>
              <w:t xml:space="preserve">Ministru kabineta 2009. gada 15. decembra instrukcijas Nr. 19 "Tiesību akta projekta sākotnējās ietekmes izvērtēšanas kārtība" 4.1. apakšpunktu, izvērtējot projekta sākotnējo ietekmi, vērtē projekta izstrādes mērķi un nepieciešamību, </w:t>
            </w:r>
            <w:r w:rsidRPr="00F574F0">
              <w:rPr>
                <w:sz w:val="28"/>
                <w:szCs w:val="28"/>
                <w:u w:val="single"/>
              </w:rPr>
              <w:t>tajā skaitā raksturo iespējamās alternatīvas, kas neparedz tiesiskā regulējuma izstrādi</w:t>
            </w:r>
            <w:r w:rsidRPr="00F574F0">
              <w:rPr>
                <w:sz w:val="28"/>
                <w:szCs w:val="28"/>
              </w:rPr>
              <w:t xml:space="preserve">. Tieslietu ministrijas ieskatā, izstrādājot projektu, nav izvērtētas iespējamās alternatīvas (piemēram, </w:t>
            </w:r>
            <w:r w:rsidRPr="00F574F0">
              <w:rPr>
                <w:sz w:val="28"/>
                <w:szCs w:val="28"/>
              </w:rPr>
              <w:lastRenderedPageBreak/>
              <w:t xml:space="preserve">normatīvo aktu iztulkošanas metožu pielietošana). </w:t>
            </w:r>
          </w:p>
          <w:p w:rsidR="00F574F0" w:rsidRDefault="00F574F0" w:rsidP="00F574F0">
            <w:pPr>
              <w:ind w:firstLine="720"/>
              <w:jc w:val="both"/>
              <w:rPr>
                <w:color w:val="101820"/>
                <w:sz w:val="28"/>
                <w:szCs w:val="28"/>
                <w:lang w:eastAsia="en-GB"/>
              </w:rPr>
            </w:pPr>
            <w:r w:rsidRPr="00F574F0">
              <w:rPr>
                <w:color w:val="000000" w:themeColor="text1"/>
                <w:sz w:val="28"/>
                <w:szCs w:val="28"/>
              </w:rPr>
              <w:t>Ievērojot minēto,</w:t>
            </w:r>
            <w:r w:rsidRPr="00F574F0">
              <w:rPr>
                <w:color w:val="101820"/>
                <w:sz w:val="28"/>
                <w:szCs w:val="28"/>
                <w:lang w:eastAsia="en-GB"/>
              </w:rPr>
              <w:t xml:space="preserve"> Tieslietu ministrijas ieskatā projekta tālāka virzība nav atbalstāma.</w:t>
            </w:r>
          </w:p>
          <w:p w:rsidR="00577FFE" w:rsidRDefault="00577FFE" w:rsidP="00F574F0">
            <w:pPr>
              <w:ind w:firstLine="720"/>
              <w:jc w:val="both"/>
              <w:rPr>
                <w:color w:val="101820"/>
                <w:sz w:val="28"/>
                <w:szCs w:val="28"/>
                <w:lang w:eastAsia="en-GB"/>
              </w:rPr>
            </w:pPr>
          </w:p>
          <w:p w:rsidR="00577FFE" w:rsidRDefault="00577FFE" w:rsidP="00F574F0">
            <w:pPr>
              <w:ind w:firstLine="720"/>
              <w:jc w:val="both"/>
              <w:rPr>
                <w:color w:val="101820"/>
                <w:sz w:val="28"/>
                <w:szCs w:val="28"/>
                <w:lang w:eastAsia="en-GB"/>
              </w:rPr>
            </w:pPr>
          </w:p>
          <w:p w:rsidR="004C7993" w:rsidRPr="004C7993" w:rsidRDefault="004C7993" w:rsidP="00663D3D">
            <w:pPr>
              <w:spacing w:before="100" w:beforeAutospacing="1" w:after="100" w:afterAutospacing="1"/>
              <w:jc w:val="both"/>
              <w:rPr>
                <w:b/>
                <w:color w:val="000000"/>
                <w:sz w:val="28"/>
                <w:szCs w:val="28"/>
              </w:rPr>
            </w:pPr>
            <w:r>
              <w:rPr>
                <w:b/>
                <w:color w:val="000000"/>
                <w:sz w:val="28"/>
                <w:szCs w:val="28"/>
              </w:rPr>
              <w:t>Iebildums izteikts piecu darbdienu elektroniskās saskaņošanas laikā</w:t>
            </w:r>
          </w:p>
          <w:p w:rsidR="00577FFE" w:rsidRPr="00577FFE" w:rsidRDefault="00577FFE" w:rsidP="00663D3D">
            <w:pPr>
              <w:spacing w:before="100" w:beforeAutospacing="1" w:after="100" w:afterAutospacing="1"/>
              <w:jc w:val="both"/>
              <w:rPr>
                <w:sz w:val="28"/>
                <w:szCs w:val="28"/>
              </w:rPr>
            </w:pPr>
            <w:r w:rsidRPr="00577FFE">
              <w:rPr>
                <w:color w:val="000000"/>
                <w:sz w:val="28"/>
                <w:szCs w:val="28"/>
              </w:rPr>
              <w:t>Tieslietu ministrija ir izskatījusi Iekšlietu ministrijas sagatavoto Ministru kabineta noteikumu projektu "Grozījumi Ministru kabineta 2005. gada 20. decembra noteikumos Nr. 966 "Noteikumi par mobilizējamo civilās aizsardzības formējumu veidošanas kārtību un finansējumu"" (turpmāk – projekts), tā sākotnējās ietekmes novērtējuma ziņojumu un </w:t>
            </w:r>
            <w:r w:rsidRPr="00577FFE">
              <w:rPr>
                <w:b/>
                <w:bCs/>
                <w:color w:val="000000"/>
                <w:sz w:val="28"/>
                <w:szCs w:val="28"/>
              </w:rPr>
              <w:t xml:space="preserve">neatbalsta </w:t>
            </w:r>
            <w:r w:rsidRPr="00577FFE">
              <w:rPr>
                <w:color w:val="000000"/>
                <w:sz w:val="28"/>
                <w:szCs w:val="28"/>
              </w:rPr>
              <w:lastRenderedPageBreak/>
              <w:t>projekta tālāku virzību, uzturot šādu iebildumu:</w:t>
            </w:r>
          </w:p>
          <w:p w:rsidR="00577FFE" w:rsidRPr="00577FFE" w:rsidRDefault="00577FFE" w:rsidP="00577FFE">
            <w:pPr>
              <w:spacing w:before="100" w:beforeAutospacing="1" w:after="100" w:afterAutospacing="1"/>
              <w:ind w:firstLine="720"/>
              <w:jc w:val="both"/>
              <w:rPr>
                <w:sz w:val="28"/>
                <w:szCs w:val="28"/>
              </w:rPr>
            </w:pPr>
            <w:r w:rsidRPr="00577FFE">
              <w:rPr>
                <w:color w:val="000000"/>
                <w:sz w:val="28"/>
                <w:szCs w:val="28"/>
              </w:rPr>
              <w:t>Atkārtoti vēršam uzmanību uz Ministru kabineta 2009. gada 3. februāra noteikumu Nr. 108 "Normatīvo aktu projektu sagatavošanas noteikumi" 3.</w:t>
            </w:r>
            <w:r w:rsidRPr="00577FFE">
              <w:rPr>
                <w:color w:val="000000"/>
                <w:sz w:val="28"/>
                <w:szCs w:val="28"/>
                <w:vertAlign w:val="superscript"/>
              </w:rPr>
              <w:t>1</w:t>
            </w:r>
            <w:r w:rsidRPr="00577FFE">
              <w:rPr>
                <w:color w:val="000000"/>
                <w:sz w:val="28"/>
                <w:szCs w:val="28"/>
              </w:rPr>
              <w:t> punktu, kas paredz, ka normatīvā akta grozījumus sagatavo, ja normatīvo aktu nepieciešams grozīt pēc būtības. Ņemot vērā, ka projekts paredz tikai redakcionālus grozījumus, kas nemaina regulējumu pēc būtības, Tieslietu ministrijas ieskatā šo </w:t>
            </w:r>
            <w:r w:rsidRPr="00577FFE">
              <w:rPr>
                <w:color w:val="000000"/>
                <w:sz w:val="28"/>
                <w:szCs w:val="28"/>
                <w:u w:val="single"/>
              </w:rPr>
              <w:t>grozījumu tālāka virzība šobrīd nav lietderīga</w:t>
            </w:r>
            <w:r w:rsidRPr="00577FFE">
              <w:rPr>
                <w:color w:val="000000"/>
                <w:sz w:val="28"/>
                <w:szCs w:val="28"/>
              </w:rPr>
              <w:t>. </w:t>
            </w:r>
          </w:p>
          <w:p w:rsidR="00577FFE" w:rsidRPr="00577FFE" w:rsidRDefault="00577FFE" w:rsidP="00577FFE">
            <w:pPr>
              <w:spacing w:before="100" w:beforeAutospacing="1" w:after="100" w:afterAutospacing="1"/>
              <w:ind w:firstLine="720"/>
              <w:jc w:val="both"/>
              <w:rPr>
                <w:sz w:val="28"/>
                <w:szCs w:val="28"/>
              </w:rPr>
            </w:pPr>
            <w:r w:rsidRPr="00577FFE">
              <w:rPr>
                <w:color w:val="000000"/>
                <w:sz w:val="28"/>
                <w:szCs w:val="28"/>
              </w:rPr>
              <w:t>Kaut arī Ministru kabineta 2009.gada 7.aprīļa noteikumu Nr.300 “Ministru kabineta kārtības rullis” 73.</w:t>
            </w:r>
            <w:r w:rsidRPr="00577FFE">
              <w:rPr>
                <w:color w:val="000000"/>
                <w:sz w:val="28"/>
                <w:szCs w:val="28"/>
                <w:vertAlign w:val="superscript"/>
              </w:rPr>
              <w:t>1 </w:t>
            </w:r>
            <w:r w:rsidRPr="00577FFE">
              <w:rPr>
                <w:color w:val="000000"/>
                <w:sz w:val="28"/>
                <w:szCs w:val="28"/>
              </w:rPr>
              <w:t xml:space="preserve">2. apakšpunkts pieļauj </w:t>
            </w:r>
            <w:r w:rsidRPr="00577FFE">
              <w:rPr>
                <w:color w:val="000000"/>
                <w:sz w:val="28"/>
                <w:szCs w:val="28"/>
              </w:rPr>
              <w:lastRenderedPageBreak/>
              <w:t>virzīt tehniska rakstura grozījumus, lai precizētu normatīvajā aktā pieminētās institūcijas nosaukumu, tomēr Tieslietu ministrijas ieskatā šī iespēja ir izmantojama tikai izņēmuma gadījumos, ja bez attiecīgiem precizējumiem praksē varētu rasties pārpratumi par normatīvā akta pareizu izpratni un piemērošanu. Savukārt, ja šajā projektā paredzētie grozījumi šobrīd netiks veikti, Tieslietu ministrijas ieskatā vērā ņemamas grūtības šā normatīvā akta pareizai izpratnei un piemērošanai praksē rasties nevarētu.</w:t>
            </w:r>
          </w:p>
          <w:p w:rsidR="00577FFE" w:rsidRPr="00577FFE" w:rsidRDefault="00577FFE" w:rsidP="00577FFE">
            <w:pPr>
              <w:spacing w:before="100" w:beforeAutospacing="1" w:after="100" w:afterAutospacing="1"/>
              <w:ind w:firstLine="720"/>
              <w:jc w:val="both"/>
              <w:rPr>
                <w:sz w:val="28"/>
                <w:szCs w:val="28"/>
              </w:rPr>
            </w:pPr>
            <w:r w:rsidRPr="00577FFE">
              <w:rPr>
                <w:color w:val="000000"/>
                <w:sz w:val="28"/>
                <w:szCs w:val="28"/>
              </w:rPr>
              <w:t xml:space="preserve">Ievērojot minēto, Tieslietu ministrija aicina projektā paredzētos grozījumus virzīt tad, kad radīsies vajadzība attiecīgos </w:t>
            </w:r>
            <w:r w:rsidRPr="00577FFE">
              <w:rPr>
                <w:color w:val="000000"/>
                <w:sz w:val="28"/>
                <w:szCs w:val="28"/>
              </w:rPr>
              <w:lastRenderedPageBreak/>
              <w:t>Ministru kabineta noteikumus grozīt pēc būtības.</w:t>
            </w:r>
          </w:p>
          <w:p w:rsidR="00577FFE" w:rsidRPr="00F574F0" w:rsidRDefault="00577FFE" w:rsidP="00F574F0">
            <w:pPr>
              <w:ind w:firstLine="720"/>
              <w:jc w:val="both"/>
              <w:rPr>
                <w:sz w:val="28"/>
                <w:szCs w:val="28"/>
                <w:lang w:eastAsia="en-GB"/>
              </w:rPr>
            </w:pPr>
          </w:p>
          <w:p w:rsidR="00F574F0" w:rsidRPr="00F574F0" w:rsidRDefault="00F574F0" w:rsidP="00F574F0">
            <w:pPr>
              <w:pStyle w:val="naisc"/>
              <w:spacing w:before="0" w:after="0"/>
              <w:jc w:val="both"/>
              <w:rPr>
                <w:sz w:val="28"/>
                <w:szCs w:val="28"/>
              </w:rPr>
            </w:pPr>
          </w:p>
        </w:tc>
        <w:tc>
          <w:tcPr>
            <w:tcW w:w="3544" w:type="dxa"/>
            <w:tcBorders>
              <w:top w:val="single" w:sz="6" w:space="0" w:color="000000"/>
              <w:left w:val="single" w:sz="6" w:space="0" w:color="000000"/>
              <w:bottom w:val="single" w:sz="6" w:space="0" w:color="000000"/>
              <w:right w:val="single" w:sz="6" w:space="0" w:color="000000"/>
            </w:tcBorders>
          </w:tcPr>
          <w:p w:rsidR="00F574F0" w:rsidRDefault="00F574F0" w:rsidP="00365C1B">
            <w:pPr>
              <w:jc w:val="center"/>
              <w:rPr>
                <w:b/>
                <w:sz w:val="28"/>
                <w:szCs w:val="28"/>
              </w:rPr>
            </w:pPr>
            <w:r>
              <w:rPr>
                <w:b/>
                <w:sz w:val="28"/>
                <w:szCs w:val="28"/>
              </w:rPr>
              <w:lastRenderedPageBreak/>
              <w:t>Nav ņ</w:t>
            </w:r>
            <w:r w:rsidRPr="00C34954">
              <w:rPr>
                <w:b/>
                <w:sz w:val="28"/>
                <w:szCs w:val="28"/>
              </w:rPr>
              <w:t>emts vērā</w:t>
            </w:r>
          </w:p>
          <w:p w:rsidR="00F574F0" w:rsidRDefault="00F574F0" w:rsidP="00365C1B">
            <w:pPr>
              <w:jc w:val="both"/>
              <w:rPr>
                <w:b/>
                <w:sz w:val="28"/>
                <w:szCs w:val="28"/>
              </w:rPr>
            </w:pPr>
          </w:p>
          <w:p w:rsidR="00F574F0" w:rsidRDefault="00F574F0" w:rsidP="00365C1B">
            <w:pPr>
              <w:jc w:val="both"/>
              <w:rPr>
                <w:bCs/>
                <w:sz w:val="28"/>
                <w:szCs w:val="28"/>
              </w:rPr>
            </w:pPr>
            <w:r>
              <w:rPr>
                <w:sz w:val="28"/>
                <w:szCs w:val="28"/>
              </w:rPr>
              <w:t xml:space="preserve">Norādām, lai izpildītu </w:t>
            </w:r>
            <w:r w:rsidRPr="00CD6AC4">
              <w:rPr>
                <w:sz w:val="28"/>
                <w:szCs w:val="28"/>
              </w:rPr>
              <w:t>Ministru prezidenta 2020. gada 26. jūnija rezolūcijā Nr.2020-1.1.</w:t>
            </w:r>
            <w:r>
              <w:rPr>
                <w:sz w:val="28"/>
                <w:szCs w:val="28"/>
              </w:rPr>
              <w:t xml:space="preserve">1./52-52 doto uzdevumu </w:t>
            </w:r>
            <w:r w:rsidRPr="00CD6AC4">
              <w:rPr>
                <w:rFonts w:eastAsia="+mn-ea"/>
                <w:bCs/>
                <w:sz w:val="28"/>
                <w:szCs w:val="28"/>
              </w:rPr>
              <w:t>saistībā ar adm</w:t>
            </w:r>
            <w:r>
              <w:rPr>
                <w:rFonts w:eastAsia="+mn-ea"/>
                <w:bCs/>
                <w:sz w:val="28"/>
                <w:szCs w:val="28"/>
              </w:rPr>
              <w:t>inistratīvi teritoriālo reformu, Iekšlietu ministrija izstrādāja attiecīgu grozījumu</w:t>
            </w:r>
            <w:r>
              <w:rPr>
                <w:sz w:val="28"/>
                <w:szCs w:val="28"/>
              </w:rPr>
              <w:t xml:space="preserve"> </w:t>
            </w:r>
            <w:r w:rsidRPr="00FE2F34">
              <w:rPr>
                <w:bCs/>
                <w:sz w:val="28"/>
                <w:szCs w:val="28"/>
              </w:rPr>
              <w:t xml:space="preserve">Ministru kabineta </w:t>
            </w:r>
            <w:r w:rsidRPr="00FE2F34">
              <w:rPr>
                <w:sz w:val="28"/>
                <w:szCs w:val="28"/>
              </w:rPr>
              <w:t>20</w:t>
            </w:r>
            <w:r>
              <w:rPr>
                <w:sz w:val="28"/>
                <w:szCs w:val="28"/>
              </w:rPr>
              <w:t>05</w:t>
            </w:r>
            <w:r w:rsidRPr="00FE2F34">
              <w:rPr>
                <w:sz w:val="28"/>
                <w:szCs w:val="28"/>
              </w:rPr>
              <w:t xml:space="preserve">. gada </w:t>
            </w:r>
            <w:r w:rsidRPr="00FE2F34">
              <w:rPr>
                <w:sz w:val="28"/>
                <w:szCs w:val="28"/>
              </w:rPr>
              <w:lastRenderedPageBreak/>
              <w:t>20. </w:t>
            </w:r>
            <w:r>
              <w:rPr>
                <w:sz w:val="28"/>
                <w:szCs w:val="28"/>
              </w:rPr>
              <w:t>decembra</w:t>
            </w:r>
            <w:r w:rsidRPr="00FE2F34">
              <w:rPr>
                <w:sz w:val="28"/>
                <w:szCs w:val="28"/>
              </w:rPr>
              <w:t xml:space="preserve"> </w:t>
            </w:r>
            <w:r w:rsidRPr="00FE2F34">
              <w:rPr>
                <w:bCs/>
                <w:sz w:val="28"/>
                <w:szCs w:val="28"/>
              </w:rPr>
              <w:t>noteikumos Nr. </w:t>
            </w:r>
            <w:r>
              <w:rPr>
                <w:bCs/>
                <w:sz w:val="28"/>
                <w:szCs w:val="28"/>
              </w:rPr>
              <w:t>966</w:t>
            </w:r>
            <w:r w:rsidRPr="00FE2F34">
              <w:rPr>
                <w:sz w:val="28"/>
                <w:szCs w:val="28"/>
              </w:rPr>
              <w:t xml:space="preserve"> </w:t>
            </w:r>
            <w:r w:rsidRPr="00FE2F34">
              <w:rPr>
                <w:bCs/>
                <w:sz w:val="28"/>
                <w:szCs w:val="28"/>
              </w:rPr>
              <w:t xml:space="preserve">“Noteikumi </w:t>
            </w:r>
            <w:r>
              <w:rPr>
                <w:bCs/>
                <w:sz w:val="28"/>
                <w:szCs w:val="28"/>
              </w:rPr>
              <w:t>par mobilizējamo civilās aizsardzības formējumu veidošanas kārtību un finansējumu”.</w:t>
            </w:r>
          </w:p>
          <w:p w:rsidR="00F574F0" w:rsidRDefault="00F574F0" w:rsidP="00365C1B">
            <w:pPr>
              <w:jc w:val="both"/>
              <w:rPr>
                <w:bCs/>
                <w:sz w:val="28"/>
                <w:szCs w:val="28"/>
              </w:rPr>
            </w:pPr>
            <w:r>
              <w:rPr>
                <w:bCs/>
                <w:sz w:val="28"/>
                <w:szCs w:val="28"/>
              </w:rPr>
              <w:t>Ievērojot norādīto</w:t>
            </w:r>
            <w:r w:rsidR="003041FA">
              <w:rPr>
                <w:bCs/>
                <w:sz w:val="28"/>
                <w:szCs w:val="28"/>
              </w:rPr>
              <w:t xml:space="preserve">, </w:t>
            </w:r>
            <w:r>
              <w:rPr>
                <w:bCs/>
                <w:sz w:val="28"/>
                <w:szCs w:val="28"/>
              </w:rPr>
              <w:t>Iekšlietu ministrijai</w:t>
            </w:r>
            <w:r w:rsidR="00BC10D2">
              <w:rPr>
                <w:bCs/>
                <w:sz w:val="28"/>
                <w:szCs w:val="28"/>
              </w:rPr>
              <w:t xml:space="preserve"> nav pamata neizpildīt doto uzdevumu</w:t>
            </w:r>
            <w:r>
              <w:rPr>
                <w:bCs/>
                <w:sz w:val="28"/>
                <w:szCs w:val="28"/>
              </w:rPr>
              <w:t xml:space="preserve">, </w:t>
            </w:r>
            <w:r w:rsidR="00BC10D2">
              <w:rPr>
                <w:bCs/>
                <w:sz w:val="28"/>
                <w:szCs w:val="28"/>
              </w:rPr>
              <w:t>neskatoties uz to, ka</w:t>
            </w:r>
            <w:r>
              <w:rPr>
                <w:bCs/>
                <w:sz w:val="28"/>
                <w:szCs w:val="28"/>
              </w:rPr>
              <w:t xml:space="preserve"> Tieslietu ministrija virzītos grozīj</w:t>
            </w:r>
            <w:r w:rsidR="00BC10D2">
              <w:rPr>
                <w:bCs/>
                <w:sz w:val="28"/>
                <w:szCs w:val="28"/>
              </w:rPr>
              <w:t>umus uzskata par redakcionāliem</w:t>
            </w:r>
            <w:r>
              <w:rPr>
                <w:bCs/>
                <w:sz w:val="28"/>
                <w:szCs w:val="28"/>
              </w:rPr>
              <w:t>.</w:t>
            </w:r>
          </w:p>
          <w:p w:rsidR="00BE7D7F" w:rsidRDefault="00BE7D7F" w:rsidP="00365C1B">
            <w:pPr>
              <w:jc w:val="both"/>
              <w:rPr>
                <w:bCs/>
                <w:sz w:val="28"/>
                <w:szCs w:val="28"/>
              </w:rPr>
            </w:pPr>
          </w:p>
          <w:p w:rsidR="00BE7D7F" w:rsidRPr="00BE7D7F" w:rsidRDefault="00BE7D7F" w:rsidP="00365C1B">
            <w:pPr>
              <w:jc w:val="both"/>
              <w:rPr>
                <w:bCs/>
                <w:sz w:val="28"/>
                <w:szCs w:val="28"/>
              </w:rPr>
            </w:pPr>
            <w:r w:rsidRPr="00BE7D7F">
              <w:rPr>
                <w:bCs/>
                <w:sz w:val="28"/>
                <w:szCs w:val="28"/>
              </w:rPr>
              <w:t>Tāpat vēlamies vērst uzman</w:t>
            </w:r>
            <w:r>
              <w:rPr>
                <w:bCs/>
                <w:sz w:val="28"/>
                <w:szCs w:val="28"/>
              </w:rPr>
              <w:t>ību, ka projekts</w:t>
            </w:r>
            <w:r w:rsidRPr="00BE7D7F">
              <w:rPr>
                <w:bCs/>
                <w:sz w:val="28"/>
                <w:szCs w:val="28"/>
              </w:rPr>
              <w:t xml:space="preserve"> arī paredz aizstāt vārdus “Reģionālās attīstības un pašvaldību lietu ministrija” ar vārdiem “Vides aizsardzības un reģionālās attīstības ministrija”. Norādām, ka Ministru kabineta 2009.gada 7.aprīļa noteikumu Nr.300 “Ministru kabineta kārtības rullis” 73.</w:t>
            </w:r>
            <w:r w:rsidRPr="00BE7D7F">
              <w:rPr>
                <w:bCs/>
                <w:sz w:val="28"/>
                <w:szCs w:val="28"/>
                <w:vertAlign w:val="superscript"/>
              </w:rPr>
              <w:t>1</w:t>
            </w:r>
            <w:r w:rsidRPr="00BE7D7F">
              <w:rPr>
                <w:bCs/>
                <w:sz w:val="28"/>
                <w:szCs w:val="28"/>
              </w:rPr>
              <w:t xml:space="preserve">2.apakšpunkts pieļauj, ka pēc būtības tiek virzīti arī tādi normatīvie akti, kas </w:t>
            </w:r>
            <w:r w:rsidRPr="00BE7D7F">
              <w:rPr>
                <w:sz w:val="28"/>
                <w:szCs w:val="28"/>
              </w:rPr>
              <w:t xml:space="preserve">tikai paredz aizstātu vai </w:t>
            </w:r>
            <w:r w:rsidRPr="00BE7D7F">
              <w:rPr>
                <w:sz w:val="28"/>
                <w:szCs w:val="28"/>
              </w:rPr>
              <w:lastRenderedPageBreak/>
              <w:t>svītrotu valsts institūcijas nosaukumu, ja lēmums par attiecīgo institūciju pēc būtības ir jau pieņemts.</w:t>
            </w:r>
          </w:p>
          <w:p w:rsidR="00BE7D7F" w:rsidRDefault="00BE7D7F" w:rsidP="00365C1B">
            <w:pPr>
              <w:jc w:val="both"/>
              <w:rPr>
                <w:sz w:val="28"/>
                <w:szCs w:val="28"/>
              </w:rPr>
            </w:pPr>
          </w:p>
          <w:p w:rsidR="00BE7D7F" w:rsidRDefault="00BE7D7F" w:rsidP="00365C1B">
            <w:pPr>
              <w:jc w:val="both"/>
              <w:rPr>
                <w:sz w:val="28"/>
                <w:szCs w:val="28"/>
              </w:rPr>
            </w:pPr>
            <w:r>
              <w:rPr>
                <w:sz w:val="28"/>
                <w:szCs w:val="28"/>
              </w:rPr>
              <w:t>Līdz ar to Iekšlietu ministrijai pastāv iespēja saistībā ar attiecīgās ministrijas nosaukuma maiņu virzīt šo grozījumu, vienlaikus ietverot arī grozījumu saistībā ar administratīvi teritoriālo reformu.</w:t>
            </w:r>
          </w:p>
          <w:p w:rsidR="00F574F0" w:rsidRPr="00E1665A" w:rsidRDefault="00F574F0" w:rsidP="00365C1B">
            <w:pPr>
              <w:jc w:val="both"/>
              <w:rPr>
                <w:sz w:val="28"/>
                <w:szCs w:val="28"/>
              </w:rPr>
            </w:pPr>
          </w:p>
        </w:tc>
        <w:tc>
          <w:tcPr>
            <w:tcW w:w="2425" w:type="dxa"/>
            <w:tcBorders>
              <w:top w:val="single" w:sz="4" w:space="0" w:color="auto"/>
              <w:left w:val="single" w:sz="4" w:space="0" w:color="auto"/>
              <w:bottom w:val="single" w:sz="4" w:space="0" w:color="auto"/>
              <w:right w:val="single" w:sz="4" w:space="0" w:color="auto"/>
            </w:tcBorders>
          </w:tcPr>
          <w:p w:rsidR="00F574F0" w:rsidRPr="000A76B4" w:rsidRDefault="00F574F0" w:rsidP="00365C1B">
            <w:pPr>
              <w:jc w:val="center"/>
              <w:rPr>
                <w:sz w:val="28"/>
                <w:szCs w:val="28"/>
              </w:rPr>
            </w:pPr>
          </w:p>
        </w:tc>
        <w:tc>
          <w:tcPr>
            <w:tcW w:w="1920" w:type="dxa"/>
            <w:tcBorders>
              <w:top w:val="single" w:sz="4" w:space="0" w:color="auto"/>
              <w:left w:val="single" w:sz="4" w:space="0" w:color="auto"/>
              <w:bottom w:val="single" w:sz="4" w:space="0" w:color="auto"/>
            </w:tcBorders>
          </w:tcPr>
          <w:p w:rsidR="00F574F0" w:rsidRPr="000A76B4" w:rsidRDefault="00F574F0" w:rsidP="00365C1B">
            <w:pPr>
              <w:jc w:val="center"/>
              <w:rPr>
                <w:sz w:val="28"/>
                <w:szCs w:val="28"/>
              </w:rPr>
            </w:pPr>
          </w:p>
        </w:tc>
      </w:tr>
    </w:tbl>
    <w:p w:rsidR="00F574F0" w:rsidRPr="000A76B4" w:rsidRDefault="00F574F0" w:rsidP="00F574F0">
      <w:pPr>
        <w:pStyle w:val="naisf"/>
        <w:spacing w:before="0" w:after="0"/>
        <w:ind w:firstLine="0"/>
        <w:rPr>
          <w:b/>
          <w:sz w:val="28"/>
          <w:szCs w:val="28"/>
        </w:rPr>
      </w:pPr>
    </w:p>
    <w:p w:rsidR="00F574F0" w:rsidRPr="000A76B4" w:rsidRDefault="00F574F0" w:rsidP="00F574F0">
      <w:pPr>
        <w:pStyle w:val="naisf"/>
        <w:spacing w:before="0" w:after="0"/>
        <w:ind w:firstLine="0"/>
        <w:rPr>
          <w:b/>
          <w:sz w:val="28"/>
          <w:szCs w:val="28"/>
        </w:rPr>
      </w:pPr>
      <w:r w:rsidRPr="000A76B4">
        <w:rPr>
          <w:b/>
          <w:sz w:val="28"/>
          <w:szCs w:val="28"/>
        </w:rPr>
        <w:t>Informācija par starpministriju (starpinstitūciju) sanāksmi vai elektronisko saskaņošanu</w:t>
      </w:r>
    </w:p>
    <w:p w:rsidR="00F574F0" w:rsidRPr="000A76B4" w:rsidRDefault="00F574F0" w:rsidP="00F574F0">
      <w:pPr>
        <w:pStyle w:val="naisf"/>
        <w:spacing w:before="0" w:after="0"/>
        <w:ind w:firstLine="0"/>
        <w:rPr>
          <w:b/>
          <w:sz w:val="28"/>
          <w:szCs w:val="28"/>
        </w:rPr>
      </w:pPr>
    </w:p>
    <w:tbl>
      <w:tblPr>
        <w:tblW w:w="14198" w:type="dxa"/>
        <w:tblLook w:val="00A0" w:firstRow="1" w:lastRow="0" w:firstColumn="1" w:lastColumn="0" w:noHBand="0" w:noVBand="0"/>
      </w:tblPr>
      <w:tblGrid>
        <w:gridCol w:w="7150"/>
        <w:gridCol w:w="1355"/>
        <w:gridCol w:w="5693"/>
      </w:tblGrid>
      <w:tr w:rsidR="00F574F0" w:rsidRPr="000A76B4" w:rsidTr="00365C1B">
        <w:trPr>
          <w:trHeight w:val="300"/>
        </w:trPr>
        <w:tc>
          <w:tcPr>
            <w:tcW w:w="7150" w:type="dxa"/>
          </w:tcPr>
          <w:p w:rsidR="00F574F0" w:rsidRPr="000A76B4" w:rsidRDefault="00F574F0" w:rsidP="00365C1B">
            <w:pPr>
              <w:pStyle w:val="naisf"/>
              <w:spacing w:before="0" w:after="0"/>
              <w:ind w:firstLine="0"/>
              <w:rPr>
                <w:sz w:val="28"/>
                <w:szCs w:val="28"/>
              </w:rPr>
            </w:pPr>
            <w:r w:rsidRPr="000A76B4">
              <w:rPr>
                <w:sz w:val="28"/>
                <w:szCs w:val="28"/>
              </w:rPr>
              <w:t>Datums</w:t>
            </w:r>
          </w:p>
        </w:tc>
        <w:tc>
          <w:tcPr>
            <w:tcW w:w="7048" w:type="dxa"/>
            <w:gridSpan w:val="2"/>
            <w:tcBorders>
              <w:bottom w:val="single" w:sz="4" w:space="0" w:color="auto"/>
            </w:tcBorders>
          </w:tcPr>
          <w:p w:rsidR="00F574F0" w:rsidRPr="007D170D" w:rsidRDefault="00033D23" w:rsidP="00E9342D">
            <w:pPr>
              <w:pStyle w:val="NormalWeb"/>
              <w:spacing w:before="0" w:beforeAutospacing="0" w:after="0" w:afterAutospacing="0"/>
              <w:rPr>
                <w:sz w:val="28"/>
                <w:szCs w:val="28"/>
              </w:rPr>
            </w:pPr>
            <w:r>
              <w:rPr>
                <w:sz w:val="28"/>
                <w:szCs w:val="28"/>
              </w:rPr>
              <w:t xml:space="preserve">    </w:t>
            </w:r>
            <w:r w:rsidR="00F574F0" w:rsidRPr="007D170D">
              <w:rPr>
                <w:sz w:val="28"/>
                <w:szCs w:val="28"/>
              </w:rPr>
              <w:t>2020.gada 1</w:t>
            </w:r>
            <w:r w:rsidR="00E9342D">
              <w:rPr>
                <w:sz w:val="28"/>
                <w:szCs w:val="28"/>
              </w:rPr>
              <w:t>9</w:t>
            </w:r>
            <w:r w:rsidR="00F574F0" w:rsidRPr="007D170D">
              <w:rPr>
                <w:sz w:val="28"/>
                <w:szCs w:val="28"/>
              </w:rPr>
              <w:t xml:space="preserve">. </w:t>
            </w:r>
            <w:r w:rsidR="009C12DE" w:rsidRPr="007D170D">
              <w:rPr>
                <w:sz w:val="28"/>
                <w:szCs w:val="28"/>
              </w:rPr>
              <w:t>– 2</w:t>
            </w:r>
            <w:r w:rsidR="00E9342D">
              <w:rPr>
                <w:sz w:val="28"/>
                <w:szCs w:val="28"/>
              </w:rPr>
              <w:t>3</w:t>
            </w:r>
            <w:r w:rsidR="009C12DE" w:rsidRPr="007D170D">
              <w:rPr>
                <w:sz w:val="28"/>
                <w:szCs w:val="28"/>
              </w:rPr>
              <w:t>.</w:t>
            </w:r>
            <w:r w:rsidR="003041FA" w:rsidRPr="007D170D">
              <w:rPr>
                <w:sz w:val="28"/>
                <w:szCs w:val="28"/>
              </w:rPr>
              <w:t>oktobrī</w:t>
            </w:r>
            <w:r w:rsidR="009C12DE" w:rsidRPr="007D170D">
              <w:rPr>
                <w:sz w:val="28"/>
                <w:szCs w:val="28"/>
              </w:rPr>
              <w:t xml:space="preserve"> (elektroniskā saskaņošana)</w:t>
            </w:r>
          </w:p>
        </w:tc>
      </w:tr>
      <w:tr w:rsidR="00F574F0" w:rsidRPr="000A76B4" w:rsidTr="00365C1B">
        <w:trPr>
          <w:trHeight w:val="300"/>
        </w:trPr>
        <w:tc>
          <w:tcPr>
            <w:tcW w:w="7150" w:type="dxa"/>
          </w:tcPr>
          <w:p w:rsidR="00F574F0" w:rsidRPr="000A76B4" w:rsidRDefault="00F574F0" w:rsidP="00365C1B">
            <w:pPr>
              <w:pStyle w:val="naisf"/>
              <w:spacing w:before="0" w:after="0"/>
              <w:ind w:firstLine="0"/>
              <w:rPr>
                <w:sz w:val="28"/>
                <w:szCs w:val="28"/>
              </w:rPr>
            </w:pPr>
          </w:p>
        </w:tc>
        <w:tc>
          <w:tcPr>
            <w:tcW w:w="7048" w:type="dxa"/>
            <w:gridSpan w:val="2"/>
            <w:tcBorders>
              <w:top w:val="single" w:sz="4" w:space="0" w:color="auto"/>
            </w:tcBorders>
          </w:tcPr>
          <w:p w:rsidR="00F574F0" w:rsidRPr="000A76B4" w:rsidRDefault="00F574F0" w:rsidP="00365C1B">
            <w:pPr>
              <w:pStyle w:val="NormalWeb"/>
              <w:spacing w:before="0" w:beforeAutospacing="0" w:after="0" w:afterAutospacing="0"/>
              <w:ind w:firstLine="720"/>
              <w:rPr>
                <w:sz w:val="28"/>
                <w:szCs w:val="28"/>
              </w:rPr>
            </w:pPr>
          </w:p>
        </w:tc>
      </w:tr>
      <w:tr w:rsidR="00F574F0" w:rsidRPr="000A76B4" w:rsidTr="00365C1B">
        <w:trPr>
          <w:trHeight w:val="547"/>
        </w:trPr>
        <w:tc>
          <w:tcPr>
            <w:tcW w:w="7150" w:type="dxa"/>
          </w:tcPr>
          <w:p w:rsidR="00F574F0" w:rsidRPr="000A76B4" w:rsidRDefault="00F574F0" w:rsidP="00365C1B">
            <w:pPr>
              <w:pStyle w:val="naiskr"/>
              <w:spacing w:before="0" w:after="0"/>
              <w:rPr>
                <w:sz w:val="28"/>
                <w:szCs w:val="28"/>
              </w:rPr>
            </w:pPr>
            <w:r w:rsidRPr="000A76B4">
              <w:rPr>
                <w:sz w:val="28"/>
                <w:szCs w:val="28"/>
              </w:rPr>
              <w:t>Saskaņošanas dalībnieki</w:t>
            </w:r>
          </w:p>
        </w:tc>
        <w:tc>
          <w:tcPr>
            <w:tcW w:w="7048" w:type="dxa"/>
            <w:gridSpan w:val="2"/>
          </w:tcPr>
          <w:p w:rsidR="00F574F0" w:rsidRPr="00BE7D7F" w:rsidRDefault="003041FA" w:rsidP="00E9342D">
            <w:pPr>
              <w:pStyle w:val="NormalWeb"/>
              <w:spacing w:before="0" w:beforeAutospacing="0" w:after="0" w:afterAutospacing="0"/>
              <w:jc w:val="center"/>
              <w:rPr>
                <w:sz w:val="28"/>
                <w:szCs w:val="28"/>
              </w:rPr>
            </w:pPr>
            <w:r w:rsidRPr="00BE7D7F">
              <w:rPr>
                <w:sz w:val="28"/>
                <w:szCs w:val="28"/>
              </w:rPr>
              <w:t>Tieslietu ministrija, Finanšu ministrija, Aizsardzības ministrija, Vides aizsardzības un reģionālās attīstības ministrija un Latvijas Pašvaldību savienība</w:t>
            </w:r>
            <w:r w:rsidR="00033D23">
              <w:rPr>
                <w:sz w:val="28"/>
                <w:szCs w:val="28"/>
              </w:rPr>
              <w:t xml:space="preserve"> (</w:t>
            </w:r>
            <w:r w:rsidR="00033D23" w:rsidRPr="007D170D">
              <w:rPr>
                <w:sz w:val="28"/>
                <w:szCs w:val="28"/>
              </w:rPr>
              <w:t>2020.gada 1</w:t>
            </w:r>
            <w:r w:rsidR="00E9342D">
              <w:rPr>
                <w:sz w:val="28"/>
                <w:szCs w:val="28"/>
              </w:rPr>
              <w:t>9</w:t>
            </w:r>
            <w:r w:rsidR="00033D23" w:rsidRPr="007D170D">
              <w:rPr>
                <w:sz w:val="28"/>
                <w:szCs w:val="28"/>
              </w:rPr>
              <w:t>. – 2</w:t>
            </w:r>
            <w:r w:rsidR="00E9342D">
              <w:rPr>
                <w:sz w:val="28"/>
                <w:szCs w:val="28"/>
              </w:rPr>
              <w:t>3</w:t>
            </w:r>
            <w:r w:rsidR="00033D23" w:rsidRPr="007D170D">
              <w:rPr>
                <w:sz w:val="28"/>
                <w:szCs w:val="28"/>
              </w:rPr>
              <w:t>.oktobrī</w:t>
            </w:r>
            <w:r w:rsidR="00033D23">
              <w:rPr>
                <w:sz w:val="28"/>
                <w:szCs w:val="28"/>
              </w:rPr>
              <w:t>)</w:t>
            </w:r>
          </w:p>
        </w:tc>
      </w:tr>
      <w:tr w:rsidR="00F574F0" w:rsidRPr="000A76B4" w:rsidTr="00365C1B">
        <w:trPr>
          <w:trHeight w:val="317"/>
        </w:trPr>
        <w:tc>
          <w:tcPr>
            <w:tcW w:w="7150" w:type="dxa"/>
          </w:tcPr>
          <w:p w:rsidR="00F574F0" w:rsidRPr="000A76B4" w:rsidRDefault="00F574F0" w:rsidP="00365C1B">
            <w:pPr>
              <w:pStyle w:val="naiskr"/>
              <w:spacing w:before="0" w:after="0"/>
              <w:ind w:firstLine="720"/>
              <w:rPr>
                <w:sz w:val="28"/>
                <w:szCs w:val="28"/>
              </w:rPr>
            </w:pPr>
            <w:r w:rsidRPr="000A76B4">
              <w:rPr>
                <w:sz w:val="28"/>
                <w:szCs w:val="28"/>
              </w:rPr>
              <w:t>  </w:t>
            </w:r>
          </w:p>
        </w:tc>
        <w:tc>
          <w:tcPr>
            <w:tcW w:w="7048" w:type="dxa"/>
            <w:gridSpan w:val="2"/>
            <w:tcBorders>
              <w:top w:val="single" w:sz="6" w:space="0" w:color="000000"/>
              <w:bottom w:val="single" w:sz="6" w:space="0" w:color="000000"/>
            </w:tcBorders>
          </w:tcPr>
          <w:p w:rsidR="00F574F0" w:rsidRPr="000A76B4" w:rsidRDefault="00F574F0" w:rsidP="00365C1B">
            <w:pPr>
              <w:pStyle w:val="naiskr"/>
              <w:spacing w:before="0" w:after="0"/>
              <w:rPr>
                <w:sz w:val="28"/>
                <w:szCs w:val="28"/>
              </w:rPr>
            </w:pPr>
          </w:p>
        </w:tc>
      </w:tr>
      <w:tr w:rsidR="00F772AB" w:rsidRPr="000A76B4" w:rsidTr="00365C1B">
        <w:trPr>
          <w:gridAfter w:val="2"/>
          <w:wAfter w:w="7048" w:type="dxa"/>
          <w:trHeight w:val="317"/>
        </w:trPr>
        <w:tc>
          <w:tcPr>
            <w:tcW w:w="7150" w:type="dxa"/>
          </w:tcPr>
          <w:p w:rsidR="00F772AB" w:rsidRPr="000A76B4" w:rsidRDefault="00F772AB" w:rsidP="00365C1B">
            <w:pPr>
              <w:pStyle w:val="naiskr"/>
              <w:spacing w:before="0" w:after="0"/>
              <w:ind w:firstLine="720"/>
              <w:rPr>
                <w:sz w:val="28"/>
                <w:szCs w:val="28"/>
              </w:rPr>
            </w:pPr>
          </w:p>
        </w:tc>
      </w:tr>
      <w:tr w:rsidR="00F772AB" w:rsidRPr="000A76B4" w:rsidTr="00365C1B">
        <w:trPr>
          <w:gridAfter w:val="1"/>
          <w:wAfter w:w="5693" w:type="dxa"/>
          <w:trHeight w:val="317"/>
        </w:trPr>
        <w:tc>
          <w:tcPr>
            <w:tcW w:w="7150" w:type="dxa"/>
          </w:tcPr>
          <w:p w:rsidR="00F772AB" w:rsidRPr="000A76B4" w:rsidRDefault="00F772AB" w:rsidP="00365C1B">
            <w:pPr>
              <w:pStyle w:val="naiskr"/>
              <w:spacing w:before="0" w:after="0"/>
              <w:rPr>
                <w:sz w:val="28"/>
                <w:szCs w:val="28"/>
              </w:rPr>
            </w:pPr>
          </w:p>
        </w:tc>
        <w:tc>
          <w:tcPr>
            <w:tcW w:w="1355" w:type="dxa"/>
          </w:tcPr>
          <w:p w:rsidR="00F772AB" w:rsidRPr="000A76B4" w:rsidRDefault="00F772AB" w:rsidP="00365C1B">
            <w:pPr>
              <w:pStyle w:val="naiskr"/>
              <w:spacing w:before="0" w:after="0"/>
              <w:ind w:firstLine="720"/>
              <w:rPr>
                <w:sz w:val="28"/>
                <w:szCs w:val="28"/>
              </w:rPr>
            </w:pPr>
          </w:p>
        </w:tc>
      </w:tr>
    </w:tbl>
    <w:p w:rsidR="00F574F0" w:rsidRPr="000A76B4" w:rsidRDefault="00F574F0" w:rsidP="00F574F0">
      <w:pPr>
        <w:ind w:right="2237"/>
        <w:rPr>
          <w:sz w:val="28"/>
          <w:szCs w:val="28"/>
        </w:rPr>
      </w:pPr>
    </w:p>
    <w:tbl>
      <w:tblPr>
        <w:tblW w:w="18500" w:type="dxa"/>
        <w:tblLook w:val="00A0" w:firstRow="1" w:lastRow="0" w:firstColumn="1" w:lastColumn="0" w:noHBand="0" w:noVBand="0"/>
      </w:tblPr>
      <w:tblGrid>
        <w:gridCol w:w="5980"/>
        <w:gridCol w:w="8162"/>
        <w:gridCol w:w="4358"/>
      </w:tblGrid>
      <w:tr w:rsidR="00F574F0" w:rsidRPr="000A76B4" w:rsidTr="00365C1B">
        <w:trPr>
          <w:trHeight w:val="285"/>
        </w:trPr>
        <w:tc>
          <w:tcPr>
            <w:tcW w:w="5980" w:type="dxa"/>
          </w:tcPr>
          <w:p w:rsidR="00F574F0" w:rsidRPr="000A76B4" w:rsidRDefault="00F574F0" w:rsidP="00365C1B">
            <w:pPr>
              <w:pStyle w:val="naiskr"/>
              <w:spacing w:before="0" w:after="0"/>
              <w:rPr>
                <w:sz w:val="28"/>
                <w:szCs w:val="28"/>
              </w:rPr>
            </w:pPr>
            <w:r w:rsidRPr="000A76B4">
              <w:rPr>
                <w:sz w:val="28"/>
                <w:szCs w:val="28"/>
              </w:rPr>
              <w:t>Saskaņošanas dalībnieki izskatīja šādu ministriju (citu institūciju) iebildumus</w:t>
            </w:r>
          </w:p>
        </w:tc>
        <w:tc>
          <w:tcPr>
            <w:tcW w:w="8162" w:type="dxa"/>
          </w:tcPr>
          <w:p w:rsidR="00F574F0" w:rsidRPr="000A76B4" w:rsidRDefault="00F574F0" w:rsidP="00365C1B">
            <w:pPr>
              <w:pStyle w:val="naiskr"/>
              <w:spacing w:before="0" w:after="0"/>
              <w:ind w:left="1110" w:right="-244"/>
              <w:rPr>
                <w:sz w:val="28"/>
                <w:szCs w:val="28"/>
              </w:rPr>
            </w:pPr>
            <w:r>
              <w:rPr>
                <w:sz w:val="28"/>
                <w:szCs w:val="28"/>
              </w:rPr>
              <w:t xml:space="preserve">Tieslietu </w:t>
            </w:r>
            <w:r w:rsidRPr="000A76B4">
              <w:rPr>
                <w:sz w:val="28"/>
                <w:szCs w:val="28"/>
              </w:rPr>
              <w:t>ministrijas</w:t>
            </w:r>
          </w:p>
        </w:tc>
        <w:tc>
          <w:tcPr>
            <w:tcW w:w="4358" w:type="dxa"/>
          </w:tcPr>
          <w:p w:rsidR="00F574F0" w:rsidRPr="000A76B4" w:rsidRDefault="00F574F0" w:rsidP="00365C1B">
            <w:pPr>
              <w:pStyle w:val="naiskr"/>
              <w:spacing w:before="0" w:after="0"/>
              <w:rPr>
                <w:sz w:val="28"/>
                <w:szCs w:val="28"/>
              </w:rPr>
            </w:pPr>
            <w:r w:rsidRPr="000A76B4">
              <w:rPr>
                <w:sz w:val="28"/>
                <w:szCs w:val="28"/>
              </w:rPr>
              <w:t xml:space="preserve"> </w:t>
            </w:r>
          </w:p>
          <w:p w:rsidR="00F574F0" w:rsidRPr="000A76B4" w:rsidRDefault="00F574F0" w:rsidP="00365C1B">
            <w:pPr>
              <w:pStyle w:val="naiskr"/>
              <w:spacing w:before="0" w:after="0"/>
              <w:rPr>
                <w:sz w:val="28"/>
                <w:szCs w:val="28"/>
              </w:rPr>
            </w:pPr>
          </w:p>
        </w:tc>
      </w:tr>
      <w:tr w:rsidR="00F574F0" w:rsidRPr="000A76B4" w:rsidTr="00AA17DD">
        <w:tc>
          <w:tcPr>
            <w:tcW w:w="5980" w:type="dxa"/>
          </w:tcPr>
          <w:p w:rsidR="00F574F0" w:rsidRPr="000A76B4" w:rsidRDefault="00F574F0" w:rsidP="00365C1B">
            <w:pPr>
              <w:pStyle w:val="naiskr"/>
              <w:spacing w:before="0" w:after="0"/>
              <w:rPr>
                <w:sz w:val="28"/>
                <w:szCs w:val="28"/>
              </w:rPr>
            </w:pPr>
            <w:r w:rsidRPr="000A76B4">
              <w:rPr>
                <w:sz w:val="28"/>
                <w:szCs w:val="28"/>
              </w:rPr>
              <w:t>Ministrijas (citas institūcijas), kuras nav ieradušās uz sanāksmi vai kuras nav atbildējušas uz uzaicinājumu piedalīties elektroniskajā saskaņošanā</w:t>
            </w:r>
          </w:p>
        </w:tc>
        <w:tc>
          <w:tcPr>
            <w:tcW w:w="12520" w:type="dxa"/>
            <w:gridSpan w:val="2"/>
          </w:tcPr>
          <w:p w:rsidR="00F574F0" w:rsidRPr="000A76B4" w:rsidRDefault="00F574F0" w:rsidP="00365C1B">
            <w:pPr>
              <w:pStyle w:val="naiskr"/>
              <w:spacing w:before="0" w:after="0"/>
              <w:ind w:firstLine="720"/>
              <w:rPr>
                <w:sz w:val="28"/>
                <w:szCs w:val="28"/>
              </w:rPr>
            </w:pPr>
          </w:p>
        </w:tc>
      </w:tr>
      <w:tr w:rsidR="00F574F0" w:rsidRPr="000A76B4" w:rsidTr="00AA17DD">
        <w:tc>
          <w:tcPr>
            <w:tcW w:w="5980" w:type="dxa"/>
          </w:tcPr>
          <w:p w:rsidR="00F574F0" w:rsidRPr="000A76B4" w:rsidRDefault="00F574F0" w:rsidP="00365C1B">
            <w:pPr>
              <w:pStyle w:val="naiskr"/>
              <w:spacing w:before="0" w:after="0"/>
              <w:ind w:firstLine="720"/>
              <w:rPr>
                <w:sz w:val="28"/>
                <w:szCs w:val="28"/>
              </w:rPr>
            </w:pPr>
            <w:r w:rsidRPr="000A76B4">
              <w:rPr>
                <w:sz w:val="28"/>
                <w:szCs w:val="28"/>
              </w:rPr>
              <w:t>  </w:t>
            </w:r>
          </w:p>
        </w:tc>
        <w:tc>
          <w:tcPr>
            <w:tcW w:w="12520" w:type="dxa"/>
            <w:gridSpan w:val="2"/>
          </w:tcPr>
          <w:p w:rsidR="00F574F0" w:rsidRPr="000A76B4" w:rsidRDefault="00F574F0" w:rsidP="00365C1B">
            <w:pPr>
              <w:pStyle w:val="naiskr"/>
              <w:tabs>
                <w:tab w:val="left" w:pos="8749"/>
              </w:tabs>
              <w:spacing w:before="0" w:after="0"/>
              <w:ind w:firstLine="720"/>
              <w:rPr>
                <w:sz w:val="28"/>
                <w:szCs w:val="28"/>
              </w:rPr>
            </w:pPr>
            <w:r w:rsidRPr="000A76B4">
              <w:rPr>
                <w:sz w:val="28"/>
                <w:szCs w:val="28"/>
              </w:rPr>
              <w:tab/>
            </w:r>
          </w:p>
        </w:tc>
      </w:tr>
    </w:tbl>
    <w:p w:rsidR="00F574F0" w:rsidRDefault="00F574F0" w:rsidP="00F574F0">
      <w:pPr>
        <w:pStyle w:val="naisf"/>
        <w:spacing w:before="0" w:after="0"/>
        <w:ind w:firstLine="0"/>
        <w:jc w:val="center"/>
        <w:rPr>
          <w:b/>
          <w:sz w:val="28"/>
          <w:szCs w:val="28"/>
        </w:rPr>
      </w:pPr>
    </w:p>
    <w:p w:rsidR="00557799" w:rsidRDefault="00557799" w:rsidP="00F574F0">
      <w:pPr>
        <w:pStyle w:val="naisf"/>
        <w:spacing w:before="0" w:after="0"/>
        <w:ind w:firstLine="0"/>
        <w:jc w:val="center"/>
        <w:rPr>
          <w:b/>
          <w:sz w:val="28"/>
          <w:szCs w:val="28"/>
        </w:rPr>
      </w:pPr>
    </w:p>
    <w:p w:rsidR="00557799" w:rsidRDefault="00557799" w:rsidP="00F574F0">
      <w:pPr>
        <w:pStyle w:val="naisf"/>
        <w:spacing w:before="0" w:after="0"/>
        <w:ind w:firstLine="0"/>
        <w:jc w:val="center"/>
        <w:rPr>
          <w:b/>
          <w:sz w:val="28"/>
          <w:szCs w:val="28"/>
        </w:rPr>
      </w:pPr>
    </w:p>
    <w:p w:rsidR="00557799" w:rsidRDefault="00557799" w:rsidP="00F574F0">
      <w:pPr>
        <w:pStyle w:val="naisf"/>
        <w:spacing w:before="0" w:after="0"/>
        <w:ind w:firstLine="0"/>
        <w:jc w:val="center"/>
        <w:rPr>
          <w:b/>
          <w:sz w:val="28"/>
          <w:szCs w:val="28"/>
        </w:rPr>
      </w:pPr>
    </w:p>
    <w:p w:rsidR="00F574F0" w:rsidRPr="000A76B4" w:rsidRDefault="00F574F0" w:rsidP="00F574F0">
      <w:pPr>
        <w:pStyle w:val="naisf"/>
        <w:spacing w:before="0" w:after="0"/>
        <w:ind w:firstLine="0"/>
        <w:jc w:val="center"/>
        <w:rPr>
          <w:b/>
          <w:sz w:val="28"/>
          <w:szCs w:val="28"/>
        </w:rPr>
      </w:pPr>
      <w:r w:rsidRPr="000A76B4">
        <w:rPr>
          <w:b/>
          <w:sz w:val="28"/>
          <w:szCs w:val="28"/>
        </w:rPr>
        <w:t>II. Jautājumi, par kuriem saskaņošanā vienošanās ir panākta</w:t>
      </w:r>
    </w:p>
    <w:p w:rsidR="00F574F0" w:rsidRPr="000A76B4" w:rsidRDefault="00F574F0" w:rsidP="00F574F0">
      <w:pPr>
        <w:pStyle w:val="naisf"/>
        <w:spacing w:before="0" w:after="0"/>
        <w:ind w:firstLine="720"/>
        <w:rPr>
          <w:sz w:val="28"/>
          <w:szCs w:val="28"/>
        </w:rPr>
      </w:pPr>
    </w:p>
    <w:tbl>
      <w:tblPr>
        <w:tblW w:w="1499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2074"/>
        <w:gridCol w:w="2321"/>
        <w:gridCol w:w="3969"/>
        <w:gridCol w:w="2976"/>
        <w:gridCol w:w="709"/>
      </w:tblGrid>
      <w:tr w:rsidR="00F574F0" w:rsidRPr="000A76B4" w:rsidTr="00365C1B">
        <w:trPr>
          <w:gridAfter w:val="1"/>
          <w:wAfter w:w="709" w:type="dxa"/>
        </w:trPr>
        <w:tc>
          <w:tcPr>
            <w:tcW w:w="675"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rPr>
                <w:sz w:val="28"/>
                <w:szCs w:val="28"/>
              </w:rPr>
            </w:pPr>
            <w:r w:rsidRPr="000A76B4">
              <w:rPr>
                <w:sz w:val="28"/>
                <w:szCs w:val="28"/>
              </w:rPr>
              <w:t>Nr. p.k.</w:t>
            </w:r>
          </w:p>
        </w:tc>
        <w:tc>
          <w:tcPr>
            <w:tcW w:w="2268"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firstLine="12"/>
              <w:rPr>
                <w:sz w:val="28"/>
                <w:szCs w:val="28"/>
              </w:rPr>
            </w:pPr>
            <w:r w:rsidRPr="000A76B4">
              <w:rPr>
                <w:sz w:val="28"/>
                <w:szCs w:val="28"/>
              </w:rPr>
              <w:t>Saskaņošanai nosūtītā projekta redakcija (konkrēta punkta (panta) redakcija)</w:t>
            </w:r>
          </w:p>
        </w:tc>
        <w:tc>
          <w:tcPr>
            <w:tcW w:w="4395" w:type="dxa"/>
            <w:gridSpan w:val="2"/>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right="3"/>
              <w:rPr>
                <w:sz w:val="28"/>
                <w:szCs w:val="28"/>
              </w:rPr>
            </w:pPr>
            <w:r w:rsidRPr="000A76B4">
              <w:rPr>
                <w:sz w:val="28"/>
                <w:szCs w:val="28"/>
              </w:rPr>
              <w:t>Atzinumā norādītais ministrijas (citas institūcijas) iebildums, kā arī saskaņošanā papildus izteiktais iebildums par projekta konkrēto punktu (pantu)</w:t>
            </w:r>
          </w:p>
        </w:tc>
        <w:tc>
          <w:tcPr>
            <w:tcW w:w="3969" w:type="dxa"/>
            <w:tcBorders>
              <w:top w:val="single" w:sz="6" w:space="0" w:color="000000"/>
              <w:left w:val="single" w:sz="6" w:space="0" w:color="000000"/>
              <w:bottom w:val="single" w:sz="6" w:space="0" w:color="000000"/>
              <w:right w:val="single" w:sz="6" w:space="0" w:color="000000"/>
            </w:tcBorders>
            <w:vAlign w:val="center"/>
          </w:tcPr>
          <w:p w:rsidR="00F574F0" w:rsidRPr="000A76B4" w:rsidRDefault="00F574F0" w:rsidP="00365C1B">
            <w:pPr>
              <w:pStyle w:val="naisc"/>
              <w:spacing w:before="0" w:after="0"/>
              <w:ind w:firstLine="21"/>
              <w:rPr>
                <w:sz w:val="28"/>
                <w:szCs w:val="28"/>
              </w:rPr>
            </w:pPr>
            <w:r w:rsidRPr="000A76B4">
              <w:rPr>
                <w:sz w:val="28"/>
                <w:szCs w:val="28"/>
              </w:rPr>
              <w:t>Atbildīgās ministrijas norāde par to, ka iebildums ir ņemts vērā, vai informācija par saskaņošanā panākto alternatīvo risinājumu</w:t>
            </w:r>
          </w:p>
        </w:tc>
        <w:tc>
          <w:tcPr>
            <w:tcW w:w="2976" w:type="dxa"/>
            <w:tcBorders>
              <w:top w:val="single" w:sz="4" w:space="0" w:color="auto"/>
              <w:left w:val="single" w:sz="4" w:space="0" w:color="auto"/>
              <w:bottom w:val="single" w:sz="4" w:space="0" w:color="auto"/>
            </w:tcBorders>
            <w:vAlign w:val="center"/>
          </w:tcPr>
          <w:p w:rsidR="00F574F0" w:rsidRPr="000A76B4" w:rsidRDefault="00F574F0" w:rsidP="00365C1B">
            <w:pPr>
              <w:jc w:val="center"/>
              <w:rPr>
                <w:sz w:val="28"/>
                <w:szCs w:val="28"/>
              </w:rPr>
            </w:pPr>
            <w:r w:rsidRPr="000A76B4">
              <w:rPr>
                <w:sz w:val="28"/>
                <w:szCs w:val="28"/>
              </w:rPr>
              <w:t>Projekta attiecīgā punkta (panta) galīgā redakcija</w:t>
            </w:r>
          </w:p>
        </w:tc>
      </w:tr>
      <w:tr w:rsidR="00F574F0" w:rsidRPr="000A76B4" w:rsidTr="00365C1B">
        <w:trPr>
          <w:gridAfter w:val="1"/>
          <w:wAfter w:w="709" w:type="dxa"/>
        </w:trPr>
        <w:tc>
          <w:tcPr>
            <w:tcW w:w="675"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rPr>
                <w:sz w:val="28"/>
                <w:szCs w:val="28"/>
              </w:rPr>
            </w:pPr>
            <w:r w:rsidRPr="000A76B4">
              <w:rPr>
                <w:sz w:val="28"/>
                <w:szCs w:val="28"/>
              </w:rPr>
              <w:t>1</w:t>
            </w:r>
          </w:p>
        </w:tc>
        <w:tc>
          <w:tcPr>
            <w:tcW w:w="2268"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ind w:firstLine="720"/>
              <w:rPr>
                <w:sz w:val="28"/>
                <w:szCs w:val="28"/>
              </w:rPr>
            </w:pPr>
            <w:r w:rsidRPr="000A76B4">
              <w:rPr>
                <w:sz w:val="28"/>
                <w:szCs w:val="28"/>
              </w:rPr>
              <w:t>2</w:t>
            </w:r>
          </w:p>
        </w:tc>
        <w:tc>
          <w:tcPr>
            <w:tcW w:w="4395" w:type="dxa"/>
            <w:gridSpan w:val="2"/>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ind w:firstLine="720"/>
              <w:rPr>
                <w:sz w:val="28"/>
                <w:szCs w:val="28"/>
              </w:rPr>
            </w:pPr>
            <w:r w:rsidRPr="000A76B4">
              <w:rPr>
                <w:sz w:val="28"/>
                <w:szCs w:val="28"/>
              </w:rPr>
              <w:t>3</w:t>
            </w:r>
          </w:p>
        </w:tc>
        <w:tc>
          <w:tcPr>
            <w:tcW w:w="3969"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ind w:firstLine="720"/>
              <w:rPr>
                <w:sz w:val="28"/>
                <w:szCs w:val="28"/>
              </w:rPr>
            </w:pPr>
            <w:r w:rsidRPr="000A76B4">
              <w:rPr>
                <w:sz w:val="28"/>
                <w:szCs w:val="28"/>
              </w:rPr>
              <w:t>4</w:t>
            </w:r>
          </w:p>
        </w:tc>
        <w:tc>
          <w:tcPr>
            <w:tcW w:w="2976" w:type="dxa"/>
            <w:tcBorders>
              <w:top w:val="single" w:sz="4" w:space="0" w:color="auto"/>
              <w:left w:val="single" w:sz="4" w:space="0" w:color="auto"/>
              <w:bottom w:val="single" w:sz="4" w:space="0" w:color="auto"/>
            </w:tcBorders>
          </w:tcPr>
          <w:p w:rsidR="00F574F0" w:rsidRPr="000A76B4" w:rsidRDefault="00F574F0" w:rsidP="00365C1B">
            <w:pPr>
              <w:jc w:val="center"/>
              <w:rPr>
                <w:sz w:val="28"/>
                <w:szCs w:val="28"/>
              </w:rPr>
            </w:pPr>
            <w:r w:rsidRPr="000A76B4">
              <w:rPr>
                <w:sz w:val="28"/>
                <w:szCs w:val="28"/>
              </w:rPr>
              <w:t>5</w:t>
            </w:r>
          </w:p>
        </w:tc>
      </w:tr>
      <w:tr w:rsidR="00F574F0" w:rsidRPr="000A76B4" w:rsidTr="00365C1B">
        <w:trPr>
          <w:gridAfter w:val="1"/>
          <w:wAfter w:w="709" w:type="dxa"/>
        </w:trPr>
        <w:tc>
          <w:tcPr>
            <w:tcW w:w="675"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rPr>
                <w:sz w:val="28"/>
                <w:szCs w:val="28"/>
              </w:rPr>
            </w:pPr>
          </w:p>
        </w:tc>
        <w:tc>
          <w:tcPr>
            <w:tcW w:w="2268" w:type="dxa"/>
            <w:tcBorders>
              <w:top w:val="single" w:sz="6" w:space="0" w:color="000000"/>
              <w:left w:val="single" w:sz="6" w:space="0" w:color="000000"/>
              <w:bottom w:val="single" w:sz="6" w:space="0" w:color="000000"/>
              <w:right w:val="single" w:sz="6" w:space="0" w:color="000000"/>
            </w:tcBorders>
          </w:tcPr>
          <w:p w:rsidR="00F574F0" w:rsidRPr="000A76B4" w:rsidRDefault="00F574F0" w:rsidP="00365C1B">
            <w:pPr>
              <w:pStyle w:val="naisc"/>
              <w:spacing w:before="0" w:after="0"/>
              <w:ind w:left="-105"/>
              <w:jc w:val="both"/>
              <w:rPr>
                <w:sz w:val="28"/>
                <w:szCs w:val="28"/>
              </w:rPr>
            </w:pPr>
          </w:p>
        </w:tc>
        <w:tc>
          <w:tcPr>
            <w:tcW w:w="4395" w:type="dxa"/>
            <w:gridSpan w:val="2"/>
            <w:tcBorders>
              <w:top w:val="single" w:sz="6" w:space="0" w:color="000000"/>
              <w:left w:val="single" w:sz="6" w:space="0" w:color="000000"/>
              <w:bottom w:val="single" w:sz="6" w:space="0" w:color="000000"/>
              <w:right w:val="single" w:sz="6" w:space="0" w:color="000000"/>
            </w:tcBorders>
          </w:tcPr>
          <w:p w:rsidR="00F574F0" w:rsidRPr="00B32D62" w:rsidRDefault="00F574F0" w:rsidP="00365C1B">
            <w:pPr>
              <w:pStyle w:val="naisc"/>
              <w:spacing w:before="0" w:after="0"/>
              <w:jc w:val="both"/>
              <w:rPr>
                <w:bCs/>
                <w:sz w:val="28"/>
                <w:szCs w:val="28"/>
              </w:rPr>
            </w:pPr>
          </w:p>
        </w:tc>
        <w:tc>
          <w:tcPr>
            <w:tcW w:w="3969" w:type="dxa"/>
            <w:tcBorders>
              <w:top w:val="single" w:sz="6" w:space="0" w:color="000000"/>
              <w:left w:val="single" w:sz="6" w:space="0" w:color="000000"/>
              <w:bottom w:val="single" w:sz="6" w:space="0" w:color="000000"/>
              <w:right w:val="single" w:sz="6" w:space="0" w:color="000000"/>
            </w:tcBorders>
          </w:tcPr>
          <w:p w:rsidR="00F574F0" w:rsidRPr="00E1665A" w:rsidRDefault="00F574F0" w:rsidP="00365C1B">
            <w:pPr>
              <w:jc w:val="both"/>
              <w:rPr>
                <w:sz w:val="28"/>
                <w:szCs w:val="28"/>
              </w:rPr>
            </w:pPr>
          </w:p>
        </w:tc>
        <w:tc>
          <w:tcPr>
            <w:tcW w:w="2976" w:type="dxa"/>
            <w:tcBorders>
              <w:top w:val="single" w:sz="4" w:space="0" w:color="auto"/>
              <w:left w:val="single" w:sz="4" w:space="0" w:color="auto"/>
              <w:bottom w:val="single" w:sz="4" w:space="0" w:color="auto"/>
            </w:tcBorders>
          </w:tcPr>
          <w:p w:rsidR="00F574F0" w:rsidRPr="00243D7B" w:rsidRDefault="00F574F0" w:rsidP="00365C1B">
            <w:pPr>
              <w:pStyle w:val="tvhtml"/>
              <w:shd w:val="clear" w:color="auto" w:fill="FFFFFF"/>
              <w:spacing w:before="0" w:beforeAutospacing="0" w:after="0" w:afterAutospacing="0"/>
              <w:ind w:firstLine="301"/>
              <w:jc w:val="both"/>
              <w:rPr>
                <w:sz w:val="28"/>
                <w:szCs w:val="28"/>
              </w:rPr>
            </w:pPr>
          </w:p>
        </w:tc>
      </w:tr>
      <w:tr w:rsidR="00F574F0" w:rsidRPr="000A76B4" w:rsidTr="00365C1B">
        <w:tblPrEx>
          <w:tblBorders>
            <w:top w:val="none" w:sz="0" w:space="0" w:color="auto"/>
            <w:left w:val="none" w:sz="0" w:space="0" w:color="auto"/>
            <w:bottom w:val="none" w:sz="0" w:space="0" w:color="auto"/>
            <w:right w:val="none" w:sz="0" w:space="0" w:color="auto"/>
          </w:tblBorders>
        </w:tblPrEx>
        <w:tc>
          <w:tcPr>
            <w:tcW w:w="5017" w:type="dxa"/>
            <w:gridSpan w:val="3"/>
          </w:tcPr>
          <w:p w:rsidR="00F574F0" w:rsidRPr="000A76B4" w:rsidRDefault="00F574F0" w:rsidP="00365C1B">
            <w:pPr>
              <w:pStyle w:val="naiskr"/>
              <w:spacing w:before="0" w:after="0"/>
              <w:rPr>
                <w:sz w:val="28"/>
                <w:szCs w:val="28"/>
              </w:rPr>
            </w:pPr>
          </w:p>
          <w:p w:rsidR="00F574F0" w:rsidRPr="000A76B4" w:rsidRDefault="00F574F0" w:rsidP="00365C1B">
            <w:pPr>
              <w:pStyle w:val="naiskr"/>
              <w:spacing w:before="0" w:after="0"/>
              <w:rPr>
                <w:sz w:val="28"/>
                <w:szCs w:val="28"/>
              </w:rPr>
            </w:pPr>
          </w:p>
          <w:p w:rsidR="00F574F0" w:rsidRPr="000A76B4" w:rsidRDefault="00F574F0" w:rsidP="00365C1B">
            <w:pPr>
              <w:pStyle w:val="naiskr"/>
              <w:spacing w:before="0" w:after="0"/>
              <w:rPr>
                <w:sz w:val="28"/>
                <w:szCs w:val="28"/>
              </w:rPr>
            </w:pPr>
            <w:r w:rsidRPr="000A76B4">
              <w:rPr>
                <w:sz w:val="28"/>
                <w:szCs w:val="28"/>
              </w:rPr>
              <w:t>Atbildīgā amatpersona</w:t>
            </w:r>
          </w:p>
        </w:tc>
        <w:tc>
          <w:tcPr>
            <w:tcW w:w="9975" w:type="dxa"/>
            <w:gridSpan w:val="4"/>
          </w:tcPr>
          <w:p w:rsidR="00F574F0" w:rsidRPr="000A76B4" w:rsidRDefault="00F574F0" w:rsidP="00365C1B">
            <w:pPr>
              <w:pStyle w:val="naiskr"/>
              <w:spacing w:before="0" w:after="0"/>
              <w:ind w:firstLine="720"/>
              <w:rPr>
                <w:sz w:val="28"/>
                <w:szCs w:val="28"/>
              </w:rPr>
            </w:pPr>
            <w:r w:rsidRPr="000A76B4">
              <w:rPr>
                <w:sz w:val="28"/>
                <w:szCs w:val="28"/>
              </w:rPr>
              <w:t>  </w:t>
            </w:r>
          </w:p>
        </w:tc>
      </w:tr>
      <w:tr w:rsidR="00F574F0" w:rsidRPr="000A76B4" w:rsidTr="00365C1B">
        <w:tblPrEx>
          <w:tblBorders>
            <w:top w:val="none" w:sz="0" w:space="0" w:color="auto"/>
            <w:left w:val="none" w:sz="0" w:space="0" w:color="auto"/>
            <w:bottom w:val="none" w:sz="0" w:space="0" w:color="auto"/>
            <w:right w:val="none" w:sz="0" w:space="0" w:color="auto"/>
          </w:tblBorders>
        </w:tblPrEx>
        <w:tc>
          <w:tcPr>
            <w:tcW w:w="5017" w:type="dxa"/>
            <w:gridSpan w:val="3"/>
          </w:tcPr>
          <w:p w:rsidR="00F574F0" w:rsidRPr="000A76B4" w:rsidRDefault="00F574F0" w:rsidP="00365C1B">
            <w:pPr>
              <w:pStyle w:val="naiskr"/>
              <w:spacing w:before="0" w:after="0"/>
              <w:ind w:firstLine="720"/>
              <w:rPr>
                <w:sz w:val="28"/>
                <w:szCs w:val="28"/>
              </w:rPr>
            </w:pPr>
          </w:p>
        </w:tc>
        <w:tc>
          <w:tcPr>
            <w:tcW w:w="9975" w:type="dxa"/>
            <w:gridSpan w:val="4"/>
            <w:tcBorders>
              <w:top w:val="single" w:sz="6" w:space="0" w:color="000000"/>
            </w:tcBorders>
          </w:tcPr>
          <w:p w:rsidR="00F574F0" w:rsidRPr="000A76B4" w:rsidRDefault="00F574F0" w:rsidP="00365C1B">
            <w:pPr>
              <w:pStyle w:val="naisc"/>
              <w:spacing w:before="0" w:after="0"/>
              <w:ind w:firstLine="720"/>
              <w:rPr>
                <w:sz w:val="28"/>
                <w:szCs w:val="28"/>
              </w:rPr>
            </w:pPr>
            <w:r w:rsidRPr="000A76B4">
              <w:rPr>
                <w:sz w:val="28"/>
                <w:szCs w:val="28"/>
              </w:rPr>
              <w:t>(paraksts)*</w:t>
            </w:r>
          </w:p>
        </w:tc>
      </w:tr>
    </w:tbl>
    <w:p w:rsidR="00F574F0" w:rsidRPr="000A76B4" w:rsidRDefault="00F574F0" w:rsidP="00F574F0">
      <w:pPr>
        <w:pStyle w:val="naisf"/>
        <w:spacing w:before="0" w:after="0"/>
        <w:ind w:firstLine="720"/>
        <w:rPr>
          <w:sz w:val="28"/>
          <w:szCs w:val="28"/>
        </w:rPr>
      </w:pPr>
      <w:r>
        <w:rPr>
          <w:sz w:val="28"/>
          <w:szCs w:val="28"/>
        </w:rPr>
        <w:t>Piezīme.</w:t>
      </w:r>
      <w:r w:rsidRPr="000A76B4">
        <w:rPr>
          <w:sz w:val="28"/>
          <w:szCs w:val="28"/>
        </w:rPr>
        <w:t xml:space="preserve">* Dokumenta rekvizītu "paraksts" neaizpilda, ja elektroniskais dokuments ir sagatavots atbilstoši normatīvajiem aktiem par elektronisko dokumentu noformēšanu. </w:t>
      </w:r>
    </w:p>
    <w:p w:rsidR="00E9342D" w:rsidRDefault="001909AF" w:rsidP="00F574F0">
      <w:pPr>
        <w:pStyle w:val="naisf"/>
        <w:spacing w:before="0" w:after="0"/>
        <w:ind w:firstLine="720"/>
        <w:rPr>
          <w:sz w:val="28"/>
          <w:szCs w:val="28"/>
        </w:rPr>
      </w:pPr>
      <w:r>
        <w:rPr>
          <w:sz w:val="28"/>
          <w:szCs w:val="28"/>
        </w:rPr>
        <w:t xml:space="preserve">                                 </w:t>
      </w:r>
    </w:p>
    <w:p w:rsidR="00F574F0" w:rsidRPr="000A76B4" w:rsidRDefault="00E9342D" w:rsidP="00E9342D">
      <w:pPr>
        <w:pStyle w:val="naisf"/>
        <w:spacing w:before="0" w:after="0"/>
        <w:ind w:firstLine="720"/>
        <w:jc w:val="left"/>
        <w:rPr>
          <w:sz w:val="28"/>
          <w:szCs w:val="28"/>
        </w:rPr>
      </w:pPr>
      <w:r>
        <w:rPr>
          <w:sz w:val="28"/>
          <w:szCs w:val="28"/>
        </w:rPr>
        <w:t xml:space="preserve">                               </w:t>
      </w:r>
      <w:r w:rsidR="00557799">
        <w:rPr>
          <w:sz w:val="28"/>
          <w:szCs w:val="28"/>
        </w:rPr>
        <w:t>Igors Urbanovičs</w:t>
      </w:r>
    </w:p>
    <w:tbl>
      <w:tblPr>
        <w:tblW w:w="0" w:type="auto"/>
        <w:tblBorders>
          <w:top w:val="single" w:sz="4" w:space="0" w:color="auto"/>
        </w:tblBorders>
        <w:tblLook w:val="00A0" w:firstRow="1" w:lastRow="0" w:firstColumn="1" w:lastColumn="0" w:noHBand="0" w:noVBand="0"/>
      </w:tblPr>
      <w:tblGrid>
        <w:gridCol w:w="8162"/>
      </w:tblGrid>
      <w:tr w:rsidR="00F574F0" w:rsidRPr="000A76B4" w:rsidTr="00E9342D">
        <w:trPr>
          <w:trHeight w:val="228"/>
        </w:trPr>
        <w:tc>
          <w:tcPr>
            <w:tcW w:w="8162" w:type="dxa"/>
            <w:tcBorders>
              <w:bottom w:val="nil"/>
            </w:tcBorders>
          </w:tcPr>
          <w:p w:rsidR="00F574F0" w:rsidRPr="000A76B4" w:rsidRDefault="00F574F0" w:rsidP="00365C1B">
            <w:pPr>
              <w:jc w:val="center"/>
              <w:rPr>
                <w:sz w:val="28"/>
                <w:szCs w:val="28"/>
              </w:rPr>
            </w:pPr>
            <w:r w:rsidRPr="000A76B4">
              <w:rPr>
                <w:sz w:val="28"/>
                <w:szCs w:val="28"/>
              </w:rPr>
              <w:t>(</w:t>
            </w:r>
            <w:r w:rsidRPr="00E929CE">
              <w:t>par projektu atbildīgās amatpersonas vārds un uzvārds</w:t>
            </w:r>
            <w:r w:rsidRPr="000A76B4">
              <w:rPr>
                <w:sz w:val="28"/>
                <w:szCs w:val="28"/>
              </w:rPr>
              <w:t>)</w:t>
            </w:r>
          </w:p>
        </w:tc>
      </w:tr>
      <w:tr w:rsidR="00F574F0" w:rsidRPr="000A76B4" w:rsidTr="00E9342D">
        <w:trPr>
          <w:trHeight w:val="469"/>
        </w:trPr>
        <w:tc>
          <w:tcPr>
            <w:tcW w:w="8162" w:type="dxa"/>
            <w:tcBorders>
              <w:top w:val="nil"/>
              <w:bottom w:val="single" w:sz="4" w:space="0" w:color="auto"/>
            </w:tcBorders>
          </w:tcPr>
          <w:p w:rsidR="001909AF" w:rsidRDefault="001909AF" w:rsidP="00557799">
            <w:pPr>
              <w:jc w:val="both"/>
              <w:rPr>
                <w:sz w:val="28"/>
                <w:szCs w:val="28"/>
              </w:rPr>
            </w:pPr>
            <w:r>
              <w:rPr>
                <w:sz w:val="28"/>
                <w:szCs w:val="28"/>
              </w:rPr>
              <w:t xml:space="preserve"> </w:t>
            </w:r>
          </w:p>
          <w:p w:rsidR="00557799" w:rsidRDefault="00557799" w:rsidP="00557799">
            <w:pPr>
              <w:jc w:val="both"/>
              <w:rPr>
                <w:sz w:val="28"/>
                <w:szCs w:val="28"/>
              </w:rPr>
            </w:pPr>
            <w:r>
              <w:rPr>
                <w:sz w:val="28"/>
                <w:szCs w:val="28"/>
              </w:rPr>
              <w:t xml:space="preserve">Valsts ugunsdzēsības un glābšanas dienesta Resursu pārvaldīšanas  </w:t>
            </w:r>
          </w:p>
          <w:p w:rsidR="00F574F0" w:rsidRPr="000A76B4" w:rsidRDefault="00557799" w:rsidP="00557799">
            <w:pPr>
              <w:jc w:val="both"/>
              <w:rPr>
                <w:sz w:val="28"/>
                <w:szCs w:val="28"/>
              </w:rPr>
            </w:pPr>
            <w:r>
              <w:rPr>
                <w:sz w:val="28"/>
                <w:szCs w:val="28"/>
              </w:rPr>
              <w:t xml:space="preserve">                                       nodaļas priekšnieks</w:t>
            </w:r>
          </w:p>
        </w:tc>
      </w:tr>
      <w:tr w:rsidR="00F574F0" w:rsidRPr="000A76B4" w:rsidTr="00E9342D">
        <w:trPr>
          <w:trHeight w:val="228"/>
        </w:trPr>
        <w:tc>
          <w:tcPr>
            <w:tcW w:w="8162" w:type="dxa"/>
            <w:tcBorders>
              <w:top w:val="single" w:sz="4" w:space="0" w:color="auto"/>
              <w:bottom w:val="nil"/>
            </w:tcBorders>
          </w:tcPr>
          <w:p w:rsidR="00F574F0" w:rsidRPr="00E929CE" w:rsidRDefault="00F574F0" w:rsidP="00365C1B">
            <w:pPr>
              <w:jc w:val="center"/>
            </w:pPr>
            <w:r w:rsidRPr="00E929CE">
              <w:t>(amats)</w:t>
            </w:r>
          </w:p>
        </w:tc>
      </w:tr>
      <w:tr w:rsidR="00F574F0" w:rsidRPr="000A76B4" w:rsidTr="00E9342D">
        <w:trPr>
          <w:trHeight w:val="240"/>
        </w:trPr>
        <w:tc>
          <w:tcPr>
            <w:tcW w:w="8162" w:type="dxa"/>
            <w:tcBorders>
              <w:top w:val="nil"/>
              <w:bottom w:val="single" w:sz="4" w:space="0" w:color="auto"/>
            </w:tcBorders>
          </w:tcPr>
          <w:p w:rsidR="00F574F0" w:rsidRPr="000A76B4" w:rsidRDefault="00557799" w:rsidP="00557799">
            <w:pPr>
              <w:jc w:val="center"/>
              <w:rPr>
                <w:sz w:val="28"/>
                <w:szCs w:val="28"/>
              </w:rPr>
            </w:pPr>
            <w:r>
              <w:rPr>
                <w:color w:val="000000"/>
                <w:sz w:val="28"/>
                <w:szCs w:val="28"/>
              </w:rPr>
              <w:t>67075843</w:t>
            </w:r>
          </w:p>
        </w:tc>
      </w:tr>
      <w:tr w:rsidR="00F574F0" w:rsidRPr="000A76B4" w:rsidTr="00E9342D">
        <w:trPr>
          <w:trHeight w:val="228"/>
        </w:trPr>
        <w:tc>
          <w:tcPr>
            <w:tcW w:w="8162" w:type="dxa"/>
            <w:tcBorders>
              <w:top w:val="single" w:sz="4" w:space="0" w:color="auto"/>
              <w:bottom w:val="nil"/>
            </w:tcBorders>
          </w:tcPr>
          <w:p w:rsidR="00F574F0" w:rsidRPr="00E929CE" w:rsidRDefault="00F574F0" w:rsidP="00365C1B">
            <w:pPr>
              <w:jc w:val="center"/>
            </w:pPr>
            <w:r w:rsidRPr="00E929CE">
              <w:t>(tālruņa un faksa numurs)</w:t>
            </w:r>
          </w:p>
        </w:tc>
      </w:tr>
      <w:tr w:rsidR="00F574F0" w:rsidRPr="000A76B4" w:rsidTr="00E9342D">
        <w:trPr>
          <w:trHeight w:val="228"/>
        </w:trPr>
        <w:tc>
          <w:tcPr>
            <w:tcW w:w="8162" w:type="dxa"/>
            <w:tcBorders>
              <w:top w:val="nil"/>
              <w:bottom w:val="single" w:sz="4" w:space="0" w:color="auto"/>
            </w:tcBorders>
          </w:tcPr>
          <w:p w:rsidR="00F574F0" w:rsidRPr="000A76B4" w:rsidRDefault="00557799" w:rsidP="00557799">
            <w:pPr>
              <w:jc w:val="center"/>
              <w:rPr>
                <w:sz w:val="28"/>
                <w:szCs w:val="28"/>
              </w:rPr>
            </w:pPr>
            <w:r>
              <w:rPr>
                <w:sz w:val="28"/>
                <w:szCs w:val="28"/>
              </w:rPr>
              <w:t>igors.urbanovics@vugd.gov.lv</w:t>
            </w:r>
          </w:p>
        </w:tc>
      </w:tr>
      <w:tr w:rsidR="00F574F0" w:rsidRPr="000A76B4" w:rsidTr="00E9342D">
        <w:trPr>
          <w:trHeight w:val="228"/>
        </w:trPr>
        <w:tc>
          <w:tcPr>
            <w:tcW w:w="8162" w:type="dxa"/>
            <w:tcBorders>
              <w:top w:val="single" w:sz="4" w:space="0" w:color="auto"/>
            </w:tcBorders>
          </w:tcPr>
          <w:p w:rsidR="00F574F0" w:rsidRPr="000A76B4" w:rsidRDefault="00F574F0" w:rsidP="00365C1B">
            <w:pPr>
              <w:jc w:val="center"/>
              <w:rPr>
                <w:sz w:val="28"/>
                <w:szCs w:val="28"/>
              </w:rPr>
            </w:pPr>
            <w:r w:rsidRPr="00E929CE">
              <w:t>(e-pasta adrese</w:t>
            </w:r>
            <w:r w:rsidRPr="000A76B4">
              <w:rPr>
                <w:sz w:val="28"/>
                <w:szCs w:val="28"/>
              </w:rPr>
              <w:t>)</w:t>
            </w:r>
          </w:p>
        </w:tc>
      </w:tr>
    </w:tbl>
    <w:p w:rsidR="00C86040" w:rsidRDefault="00C86040" w:rsidP="00E9342D"/>
    <w:sectPr w:rsidR="00C86040" w:rsidSect="002903E5">
      <w:headerReference w:type="even" r:id="rId6"/>
      <w:headerReference w:type="default" r:id="rId7"/>
      <w:footerReference w:type="default" r:id="rId8"/>
      <w:footerReference w:type="first" r:id="rId9"/>
      <w:pgSz w:w="16838" w:h="11906" w:orient="landscape" w:code="9"/>
      <w:pgMar w:top="1560"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9E" w:rsidRDefault="00581D9E" w:rsidP="003041FA">
      <w:r>
        <w:separator/>
      </w:r>
    </w:p>
  </w:endnote>
  <w:endnote w:type="continuationSeparator" w:id="0">
    <w:p w:rsidR="00581D9E" w:rsidRDefault="00581D9E" w:rsidP="0030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993" w:rsidRPr="00D97E38" w:rsidRDefault="004C7993" w:rsidP="004C7993">
    <w:pPr>
      <w:pStyle w:val="Footer"/>
      <w:rPr>
        <w:sz w:val="20"/>
        <w:szCs w:val="20"/>
      </w:rPr>
    </w:pPr>
    <w:r>
      <w:rPr>
        <w:sz w:val="20"/>
        <w:szCs w:val="20"/>
      </w:rPr>
      <w:t>IeMIzz_</w:t>
    </w:r>
    <w:r w:rsidR="00A51579">
      <w:rPr>
        <w:sz w:val="20"/>
        <w:szCs w:val="20"/>
      </w:rPr>
      <w:t>0311</w:t>
    </w:r>
    <w:r>
      <w:rPr>
        <w:sz w:val="20"/>
        <w:szCs w:val="20"/>
      </w:rPr>
      <w:t>20</w:t>
    </w:r>
  </w:p>
  <w:p w:rsidR="006455E7" w:rsidRPr="004C7993" w:rsidRDefault="00581D9E" w:rsidP="004C79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D97E38" w:rsidRDefault="003041FA" w:rsidP="00D97E38">
    <w:pPr>
      <w:pStyle w:val="Footer"/>
      <w:rPr>
        <w:sz w:val="20"/>
        <w:szCs w:val="20"/>
      </w:rPr>
    </w:pPr>
    <w:r>
      <w:rPr>
        <w:sz w:val="20"/>
        <w:szCs w:val="20"/>
      </w:rPr>
      <w:t>IeMIzz_</w:t>
    </w:r>
    <w:r w:rsidR="00A51579">
      <w:rPr>
        <w:sz w:val="20"/>
        <w:szCs w:val="20"/>
      </w:rPr>
      <w:t>0311</w:t>
    </w:r>
    <w:r w:rsidR="004C7993">
      <w:rPr>
        <w:sz w:val="20"/>
        <w:szCs w:val="20"/>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9E" w:rsidRDefault="00581D9E" w:rsidP="003041FA">
      <w:r>
        <w:separator/>
      </w:r>
    </w:p>
  </w:footnote>
  <w:footnote w:type="continuationSeparator" w:id="0">
    <w:p w:rsidR="00581D9E" w:rsidRDefault="00581D9E" w:rsidP="003041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3041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581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3041FA"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1579">
      <w:rPr>
        <w:rStyle w:val="PageNumber"/>
        <w:noProof/>
      </w:rPr>
      <w:t>7</w:t>
    </w:r>
    <w:r>
      <w:rPr>
        <w:rStyle w:val="PageNumber"/>
      </w:rPr>
      <w:fldChar w:fldCharType="end"/>
    </w:r>
  </w:p>
  <w:p w:rsidR="006455E7" w:rsidRDefault="00581D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F0"/>
    <w:rsid w:val="00033D23"/>
    <w:rsid w:val="001824E2"/>
    <w:rsid w:val="001909AF"/>
    <w:rsid w:val="003041FA"/>
    <w:rsid w:val="004C551C"/>
    <w:rsid w:val="004C7993"/>
    <w:rsid w:val="00520980"/>
    <w:rsid w:val="00557799"/>
    <w:rsid w:val="00577FFE"/>
    <w:rsid w:val="00581D9E"/>
    <w:rsid w:val="00594024"/>
    <w:rsid w:val="005F5EA4"/>
    <w:rsid w:val="0065738D"/>
    <w:rsid w:val="00663D3D"/>
    <w:rsid w:val="00685B35"/>
    <w:rsid w:val="007D170D"/>
    <w:rsid w:val="008A26A0"/>
    <w:rsid w:val="009C12DE"/>
    <w:rsid w:val="00A51579"/>
    <w:rsid w:val="00AA17DD"/>
    <w:rsid w:val="00BC10D2"/>
    <w:rsid w:val="00BE7D7F"/>
    <w:rsid w:val="00C43F6F"/>
    <w:rsid w:val="00C86040"/>
    <w:rsid w:val="00D250F1"/>
    <w:rsid w:val="00E45FDF"/>
    <w:rsid w:val="00E9342D"/>
    <w:rsid w:val="00F574F0"/>
    <w:rsid w:val="00F772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391850-1AE4-4463-80B8-546BB436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4F0"/>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74F0"/>
    <w:pPr>
      <w:spacing w:before="100" w:beforeAutospacing="1" w:after="100" w:afterAutospacing="1"/>
    </w:pPr>
  </w:style>
  <w:style w:type="paragraph" w:customStyle="1" w:styleId="naisf">
    <w:name w:val="naisf"/>
    <w:basedOn w:val="Normal"/>
    <w:rsid w:val="00F574F0"/>
    <w:pPr>
      <w:spacing w:before="75" w:after="75"/>
      <w:ind w:firstLine="375"/>
      <w:jc w:val="both"/>
    </w:pPr>
  </w:style>
  <w:style w:type="paragraph" w:customStyle="1" w:styleId="naisnod">
    <w:name w:val="naisnod"/>
    <w:basedOn w:val="Normal"/>
    <w:uiPriority w:val="99"/>
    <w:rsid w:val="00F574F0"/>
    <w:pPr>
      <w:spacing w:before="150" w:after="150"/>
      <w:jc w:val="center"/>
    </w:pPr>
    <w:rPr>
      <w:b/>
      <w:bCs/>
    </w:rPr>
  </w:style>
  <w:style w:type="paragraph" w:customStyle="1" w:styleId="naislab">
    <w:name w:val="naislab"/>
    <w:basedOn w:val="Normal"/>
    <w:uiPriority w:val="99"/>
    <w:rsid w:val="00F574F0"/>
    <w:pPr>
      <w:spacing w:before="75" w:after="75"/>
      <w:jc w:val="right"/>
    </w:pPr>
  </w:style>
  <w:style w:type="paragraph" w:customStyle="1" w:styleId="naiskr">
    <w:name w:val="naiskr"/>
    <w:basedOn w:val="Normal"/>
    <w:rsid w:val="00F574F0"/>
    <w:pPr>
      <w:spacing w:before="75" w:after="75"/>
    </w:pPr>
  </w:style>
  <w:style w:type="paragraph" w:customStyle="1" w:styleId="naisc">
    <w:name w:val="naisc"/>
    <w:basedOn w:val="Normal"/>
    <w:rsid w:val="00F574F0"/>
    <w:pPr>
      <w:spacing w:before="75" w:after="75"/>
      <w:jc w:val="center"/>
    </w:pPr>
  </w:style>
  <w:style w:type="paragraph" w:styleId="Header">
    <w:name w:val="header"/>
    <w:basedOn w:val="Normal"/>
    <w:link w:val="HeaderChar"/>
    <w:uiPriority w:val="99"/>
    <w:rsid w:val="00F574F0"/>
    <w:pPr>
      <w:tabs>
        <w:tab w:val="center" w:pos="4153"/>
        <w:tab w:val="right" w:pos="8306"/>
      </w:tabs>
    </w:pPr>
  </w:style>
  <w:style w:type="character" w:customStyle="1" w:styleId="HeaderChar">
    <w:name w:val="Header Char"/>
    <w:basedOn w:val="DefaultParagraphFont"/>
    <w:link w:val="Header"/>
    <w:uiPriority w:val="99"/>
    <w:rsid w:val="00F574F0"/>
    <w:rPr>
      <w:rFonts w:ascii="Times New Roman" w:eastAsia="Times New Roman" w:hAnsi="Times New Roman" w:cs="Times New Roman"/>
      <w:sz w:val="24"/>
      <w:szCs w:val="24"/>
      <w:lang w:eastAsia="lv-LV"/>
    </w:rPr>
  </w:style>
  <w:style w:type="character" w:styleId="PageNumber">
    <w:name w:val="page number"/>
    <w:uiPriority w:val="99"/>
    <w:rsid w:val="00F574F0"/>
    <w:rPr>
      <w:rFonts w:cs="Times New Roman"/>
    </w:rPr>
  </w:style>
  <w:style w:type="paragraph" w:styleId="Footer">
    <w:name w:val="footer"/>
    <w:basedOn w:val="Normal"/>
    <w:link w:val="FooterChar"/>
    <w:rsid w:val="00F574F0"/>
    <w:pPr>
      <w:tabs>
        <w:tab w:val="center" w:pos="4153"/>
        <w:tab w:val="right" w:pos="8306"/>
      </w:tabs>
    </w:pPr>
  </w:style>
  <w:style w:type="character" w:customStyle="1" w:styleId="FooterChar">
    <w:name w:val="Footer Char"/>
    <w:basedOn w:val="DefaultParagraphFont"/>
    <w:link w:val="Footer"/>
    <w:rsid w:val="00F574F0"/>
    <w:rPr>
      <w:rFonts w:ascii="Times New Roman" w:eastAsia="Times New Roman" w:hAnsi="Times New Roman" w:cs="Times New Roman"/>
      <w:sz w:val="24"/>
      <w:szCs w:val="24"/>
      <w:lang w:eastAsia="lv-LV"/>
    </w:rPr>
  </w:style>
  <w:style w:type="paragraph" w:customStyle="1" w:styleId="tvhtml">
    <w:name w:val="tv_html"/>
    <w:basedOn w:val="Normal"/>
    <w:rsid w:val="00F574F0"/>
    <w:pPr>
      <w:spacing w:before="100" w:beforeAutospacing="1" w:after="100" w:afterAutospacing="1"/>
    </w:pPr>
  </w:style>
  <w:style w:type="character" w:customStyle="1" w:styleId="apple-converted-space">
    <w:name w:val="apple-converted-space"/>
    <w:basedOn w:val="DefaultParagraphFont"/>
    <w:rsid w:val="00577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336794">
      <w:bodyDiv w:val="1"/>
      <w:marLeft w:val="0"/>
      <w:marRight w:val="0"/>
      <w:marTop w:val="0"/>
      <w:marBottom w:val="0"/>
      <w:divBdr>
        <w:top w:val="none" w:sz="0" w:space="0" w:color="auto"/>
        <w:left w:val="none" w:sz="0" w:space="0" w:color="auto"/>
        <w:bottom w:val="none" w:sz="0" w:space="0" w:color="auto"/>
        <w:right w:val="none" w:sz="0" w:space="0" w:color="auto"/>
      </w:divBdr>
      <w:divsChild>
        <w:div w:id="458497513">
          <w:marLeft w:val="0"/>
          <w:marRight w:val="0"/>
          <w:marTop w:val="0"/>
          <w:marBottom w:val="0"/>
          <w:divBdr>
            <w:top w:val="none" w:sz="0" w:space="0" w:color="auto"/>
            <w:left w:val="none" w:sz="0" w:space="0" w:color="auto"/>
            <w:bottom w:val="none" w:sz="0" w:space="0" w:color="auto"/>
            <w:right w:val="none" w:sz="0" w:space="0" w:color="auto"/>
          </w:divBdr>
        </w:div>
        <w:div w:id="235013658">
          <w:marLeft w:val="0"/>
          <w:marRight w:val="0"/>
          <w:marTop w:val="0"/>
          <w:marBottom w:val="0"/>
          <w:divBdr>
            <w:top w:val="none" w:sz="0" w:space="0" w:color="auto"/>
            <w:left w:val="none" w:sz="0" w:space="0" w:color="auto"/>
            <w:bottom w:val="none" w:sz="0" w:space="0" w:color="auto"/>
            <w:right w:val="none" w:sz="0" w:space="0" w:color="auto"/>
          </w:divBdr>
        </w:div>
      </w:divsChild>
    </w:div>
    <w:div w:id="1018891945">
      <w:bodyDiv w:val="1"/>
      <w:marLeft w:val="0"/>
      <w:marRight w:val="0"/>
      <w:marTop w:val="0"/>
      <w:marBottom w:val="0"/>
      <w:divBdr>
        <w:top w:val="none" w:sz="0" w:space="0" w:color="auto"/>
        <w:left w:val="none" w:sz="0" w:space="0" w:color="auto"/>
        <w:bottom w:val="none" w:sz="0" w:space="0" w:color="auto"/>
        <w:right w:val="none" w:sz="0" w:space="0" w:color="auto"/>
      </w:divBdr>
    </w:div>
    <w:div w:id="214122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4232</Words>
  <Characters>2413</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Igors Urbanovičs</dc:creator>
  <cp:keywords/>
  <dc:description/>
  <cp:lastModifiedBy>Igors Urbanovičs</cp:lastModifiedBy>
  <cp:revision>7</cp:revision>
  <dcterms:created xsi:type="dcterms:W3CDTF">2020-11-03T15:11:00Z</dcterms:created>
  <dcterms:modified xsi:type="dcterms:W3CDTF">2020-11-03T15:24:00Z</dcterms:modified>
</cp:coreProperties>
</file>