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0DE46445" w:rsidR="00681E25" w:rsidRPr="0009516C" w:rsidRDefault="00920A52" w:rsidP="00107C1C">
      <w:pPr>
        <w:ind w:left="-142" w:right="-143"/>
        <w:jc w:val="center"/>
        <w:rPr>
          <w:b/>
          <w:sz w:val="26"/>
          <w:szCs w:val="26"/>
        </w:rPr>
      </w:pPr>
      <w:bookmarkStart w:id="0" w:name="OLE_LINK3"/>
      <w:bookmarkStart w:id="1" w:name="OLE_LINK4"/>
      <w:bookmarkStart w:id="2" w:name="OLE_LINK1"/>
      <w:r w:rsidRPr="0009516C">
        <w:rPr>
          <w:b/>
          <w:sz w:val="26"/>
          <w:szCs w:val="26"/>
        </w:rPr>
        <w:t>Minis</w:t>
      </w:r>
      <w:r w:rsidR="00113533" w:rsidRPr="0009516C">
        <w:rPr>
          <w:b/>
          <w:sz w:val="26"/>
          <w:szCs w:val="26"/>
        </w:rPr>
        <w:t>tru kabineta rīkojuma projekta „</w:t>
      </w:r>
      <w:r w:rsidR="00DA68E7" w:rsidRPr="0009516C">
        <w:rPr>
          <w:b/>
          <w:sz w:val="26"/>
          <w:szCs w:val="26"/>
        </w:rPr>
        <w:t>Par finanšu līdzekļu piešķiršanu no valsts budžeta programmas „Līdzekļi neparedzētiem gadījumiem””</w:t>
      </w:r>
      <w:r w:rsidR="00667B86" w:rsidRPr="0009516C">
        <w:rPr>
          <w:b/>
          <w:sz w:val="26"/>
          <w:szCs w:val="26"/>
        </w:rPr>
        <w:t xml:space="preserve"> </w:t>
      </w:r>
      <w:r w:rsidRPr="0009516C">
        <w:rPr>
          <w:b/>
          <w:sz w:val="26"/>
          <w:szCs w:val="26"/>
        </w:rPr>
        <w:t xml:space="preserve">sākotnējās ietekmes </w:t>
      </w:r>
      <w:r w:rsidR="006D3F80" w:rsidRPr="0009516C">
        <w:rPr>
          <w:b/>
          <w:sz w:val="26"/>
          <w:szCs w:val="26"/>
        </w:rPr>
        <w:t>novērtējuma ziņojums (anotācija)</w:t>
      </w:r>
    </w:p>
    <w:p w14:paraId="4E59E4F2" w14:textId="77777777" w:rsidR="00761B03" w:rsidRPr="0009516C" w:rsidRDefault="00761B03" w:rsidP="00107C1C">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09516C" w:rsidRPr="0009516C" w14:paraId="43EC8E26" w14:textId="77777777" w:rsidTr="00DB6D8A">
        <w:tc>
          <w:tcPr>
            <w:tcW w:w="10060" w:type="dxa"/>
            <w:gridSpan w:val="2"/>
            <w:vAlign w:val="center"/>
          </w:tcPr>
          <w:p w14:paraId="69B0EFCD" w14:textId="77777777" w:rsidR="00717D4B" w:rsidRPr="0009516C" w:rsidRDefault="00717D4B" w:rsidP="00107C1C">
            <w:pPr>
              <w:pStyle w:val="naisnod"/>
              <w:spacing w:before="0" w:after="0"/>
            </w:pPr>
            <w:r w:rsidRPr="0009516C">
              <w:t>Tiesību akta projekta anotācijas kopsavilkums</w:t>
            </w:r>
          </w:p>
        </w:tc>
      </w:tr>
      <w:tr w:rsidR="0009516C" w:rsidRPr="0009516C" w14:paraId="1F5874AC" w14:textId="77777777" w:rsidTr="00DB6D8A">
        <w:trPr>
          <w:trHeight w:val="476"/>
        </w:trPr>
        <w:tc>
          <w:tcPr>
            <w:tcW w:w="2547" w:type="dxa"/>
            <w:tcBorders>
              <w:bottom w:val="single" w:sz="4" w:space="0" w:color="auto"/>
            </w:tcBorders>
          </w:tcPr>
          <w:p w14:paraId="65161940" w14:textId="387F3FA4" w:rsidR="00667437" w:rsidRPr="0009516C" w:rsidRDefault="00A67C41" w:rsidP="00107C1C">
            <w:pPr>
              <w:pStyle w:val="naiskr"/>
              <w:spacing w:before="0" w:after="0"/>
              <w:ind w:left="141"/>
            </w:pPr>
            <w:r w:rsidRPr="0009516C">
              <w:t>Mērķis, risinājums un projekta spēkā stāšanās laiks (500 zīmes bez atstarpēm)</w:t>
            </w:r>
          </w:p>
        </w:tc>
        <w:tc>
          <w:tcPr>
            <w:tcW w:w="7513" w:type="dxa"/>
            <w:tcBorders>
              <w:bottom w:val="single" w:sz="4" w:space="0" w:color="auto"/>
            </w:tcBorders>
          </w:tcPr>
          <w:p w14:paraId="1BD3971A" w14:textId="75C151C1" w:rsidR="00AF64A5" w:rsidRPr="0009516C" w:rsidRDefault="00107C1C" w:rsidP="00107C1C">
            <w:pPr>
              <w:ind w:left="82" w:right="141"/>
              <w:jc w:val="both"/>
            </w:pPr>
            <w:r w:rsidRPr="0009516C">
              <w:t>Projekts paredz no vals</w:t>
            </w:r>
            <w:r>
              <w:t>ts budžeta programmas 02.00.00 “</w:t>
            </w:r>
            <w:r w:rsidRPr="0009516C">
              <w:t>Līdzekļ</w:t>
            </w:r>
            <w:r>
              <w:t>i neparedzētiem gadījumiem” 2021. gadam</w:t>
            </w:r>
            <w:r w:rsidRPr="0009516C">
              <w:t xml:space="preserve"> piešķirt Izglītības un zinātnes ministrijai </w:t>
            </w:r>
            <w:r>
              <w:t>55 600</w:t>
            </w:r>
            <w:r w:rsidRPr="00515AB4">
              <w:t xml:space="preserve"> </w:t>
            </w:r>
            <w:proofErr w:type="spellStart"/>
            <w:r w:rsidRPr="00515AB4">
              <w:rPr>
                <w:i/>
              </w:rPr>
              <w:t>euro</w:t>
            </w:r>
            <w:proofErr w:type="spellEnd"/>
            <w:r w:rsidRPr="00214587">
              <w:t xml:space="preserve">, lai nodrošinātu </w:t>
            </w:r>
            <w:proofErr w:type="spellStart"/>
            <w:r>
              <w:t>mērķ</w:t>
            </w:r>
            <w:r w:rsidRPr="00214587">
              <w:t>stipendijas</w:t>
            </w:r>
            <w:proofErr w:type="spellEnd"/>
            <w:r w:rsidRPr="00214587">
              <w:t xml:space="preserve"> studiju nodrošināšanai seš</w:t>
            </w:r>
            <w:r>
              <w:t>iem</w:t>
            </w:r>
            <w:r w:rsidRPr="00214587">
              <w:t xml:space="preserve"> </w:t>
            </w:r>
            <w:r>
              <w:t>Vidzemes Augstskolas</w:t>
            </w:r>
            <w:r w:rsidRPr="00214587">
              <w:t xml:space="preserve"> Baltkrievijas student</w:t>
            </w:r>
            <w:r>
              <w:t>iem un</w:t>
            </w:r>
            <w:r w:rsidRPr="00214587">
              <w:t xml:space="preserve"> </w:t>
            </w:r>
            <w:proofErr w:type="spellStart"/>
            <w:r>
              <w:t>mērķ</w:t>
            </w:r>
            <w:r w:rsidR="001D6A3F">
              <w:t>stipendijas</w:t>
            </w:r>
            <w:proofErr w:type="spellEnd"/>
            <w:r w:rsidR="001D6A3F">
              <w:t xml:space="preserve"> četru Baltkrievijas</w:t>
            </w:r>
            <w:r w:rsidRPr="00214587">
              <w:t xml:space="preserve"> pētnieku </w:t>
            </w:r>
            <w:r w:rsidR="001D6A3F">
              <w:t xml:space="preserve">pārcelšanas izdevumiem un </w:t>
            </w:r>
            <w:r w:rsidRPr="00214587">
              <w:t>uzturēšanai Daugavpils Universitātē.</w:t>
            </w:r>
          </w:p>
        </w:tc>
      </w:tr>
    </w:tbl>
    <w:p w14:paraId="1F80B51E" w14:textId="2FA56D12" w:rsidR="00717D4B" w:rsidRPr="0009516C" w:rsidRDefault="00717D4B" w:rsidP="00107C1C">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09516C" w:rsidRPr="0009516C" w14:paraId="49F7013D" w14:textId="77777777" w:rsidTr="00EE6938">
        <w:tc>
          <w:tcPr>
            <w:tcW w:w="10060" w:type="dxa"/>
            <w:gridSpan w:val="3"/>
            <w:vAlign w:val="center"/>
          </w:tcPr>
          <w:bookmarkEnd w:id="0"/>
          <w:bookmarkEnd w:id="1"/>
          <w:bookmarkEnd w:id="2"/>
          <w:p w14:paraId="27B0F014" w14:textId="77777777" w:rsidR="00585B7B" w:rsidRPr="0009516C" w:rsidRDefault="00585B7B" w:rsidP="00107C1C">
            <w:pPr>
              <w:pStyle w:val="naisnod"/>
              <w:spacing w:before="0" w:after="0"/>
            </w:pPr>
            <w:r w:rsidRPr="0009516C">
              <w:t>I. Tiesību akta projekta izstrādes nepieciešamība</w:t>
            </w:r>
          </w:p>
        </w:tc>
      </w:tr>
      <w:tr w:rsidR="0009516C" w:rsidRPr="0009516C" w14:paraId="1B27C5D4" w14:textId="77777777" w:rsidTr="00EE6938">
        <w:trPr>
          <w:trHeight w:val="630"/>
        </w:trPr>
        <w:tc>
          <w:tcPr>
            <w:tcW w:w="562" w:type="dxa"/>
          </w:tcPr>
          <w:p w14:paraId="23F75010" w14:textId="77777777" w:rsidR="00585B7B" w:rsidRPr="0009516C" w:rsidRDefault="00585B7B" w:rsidP="00107C1C">
            <w:pPr>
              <w:pStyle w:val="naiskr"/>
              <w:spacing w:before="0" w:after="0"/>
              <w:jc w:val="center"/>
            </w:pPr>
            <w:r w:rsidRPr="0009516C">
              <w:t>1.</w:t>
            </w:r>
          </w:p>
        </w:tc>
        <w:tc>
          <w:tcPr>
            <w:tcW w:w="1884" w:type="dxa"/>
          </w:tcPr>
          <w:p w14:paraId="61C7338D" w14:textId="3B25BEC8" w:rsidR="00ED01CB" w:rsidRPr="0009516C" w:rsidRDefault="00585B7B" w:rsidP="00107C1C">
            <w:pPr>
              <w:pStyle w:val="naiskr"/>
              <w:tabs>
                <w:tab w:val="right" w:pos="2537"/>
              </w:tabs>
              <w:spacing w:before="0" w:after="0"/>
              <w:ind w:left="141" w:hanging="10"/>
            </w:pPr>
            <w:r w:rsidRPr="0009516C">
              <w:t>Pamatojums</w:t>
            </w:r>
            <w:r w:rsidR="00B33243" w:rsidRPr="0009516C">
              <w:tab/>
            </w:r>
          </w:p>
          <w:p w14:paraId="34EB22D4" w14:textId="77777777" w:rsidR="00ED01CB" w:rsidRPr="0009516C" w:rsidRDefault="00ED01CB" w:rsidP="00107C1C"/>
          <w:p w14:paraId="1CA5BA33" w14:textId="77777777" w:rsidR="00ED01CB" w:rsidRPr="0009516C" w:rsidRDefault="00ED01CB" w:rsidP="00107C1C"/>
          <w:p w14:paraId="15AFB181" w14:textId="77777777" w:rsidR="00ED01CB" w:rsidRPr="0009516C" w:rsidRDefault="00ED01CB" w:rsidP="00107C1C"/>
          <w:p w14:paraId="3214E29D" w14:textId="10395172" w:rsidR="00ED01CB" w:rsidRPr="0009516C" w:rsidRDefault="00ED01CB" w:rsidP="00107C1C"/>
          <w:p w14:paraId="01F64302" w14:textId="77777777" w:rsidR="00585B7B" w:rsidRPr="0009516C" w:rsidRDefault="00585B7B" w:rsidP="00107C1C">
            <w:pPr>
              <w:jc w:val="center"/>
            </w:pPr>
          </w:p>
        </w:tc>
        <w:tc>
          <w:tcPr>
            <w:tcW w:w="7614" w:type="dxa"/>
          </w:tcPr>
          <w:p w14:paraId="52DEEC18" w14:textId="77777777" w:rsidR="00107C1C" w:rsidRDefault="00107C1C" w:rsidP="00107C1C">
            <w:pPr>
              <w:pStyle w:val="ListParagraph"/>
              <w:numPr>
                <w:ilvl w:val="0"/>
                <w:numId w:val="1"/>
              </w:numPr>
              <w:ind w:left="461" w:right="142"/>
              <w:jc w:val="both"/>
            </w:pPr>
            <w:r w:rsidRPr="00681D88">
              <w:t>Nepieciešamība piešķirt valsts budžeta līdzekļus</w:t>
            </w:r>
            <w:r>
              <w:t xml:space="preserve"> Vidzemes Augstskolai, lai nodrošinātu  </w:t>
            </w:r>
            <w:proofErr w:type="spellStart"/>
            <w:r>
              <w:t>mērķ</w:t>
            </w:r>
            <w:r w:rsidRPr="00214587">
              <w:t>stipendijas</w:t>
            </w:r>
            <w:proofErr w:type="spellEnd"/>
            <w:r w:rsidRPr="00214587">
              <w:t xml:space="preserve"> studiju nodrošināšanai seš</w:t>
            </w:r>
            <w:r>
              <w:t>iem</w:t>
            </w:r>
            <w:r w:rsidRPr="00214587">
              <w:t xml:space="preserve"> </w:t>
            </w:r>
            <w:r>
              <w:t>Vidzemes Augstskolā 2021. gadā.</w:t>
            </w:r>
          </w:p>
          <w:p w14:paraId="4D143D78" w14:textId="351EA613" w:rsidR="00107C1C" w:rsidRPr="00681D88" w:rsidRDefault="00107C1C" w:rsidP="00107C1C">
            <w:pPr>
              <w:pStyle w:val="ListParagraph"/>
              <w:numPr>
                <w:ilvl w:val="0"/>
                <w:numId w:val="1"/>
              </w:numPr>
              <w:ind w:left="461" w:right="142"/>
              <w:jc w:val="both"/>
            </w:pPr>
            <w:r w:rsidRPr="00681D88">
              <w:t xml:space="preserve">Nepieciešamība piešķirt valsts budžeta līdzekļus Daugavpils Universitātei, lai  nodrošinātu </w:t>
            </w:r>
            <w:proofErr w:type="spellStart"/>
            <w:r w:rsidRPr="00681D88">
              <w:t>mērķstipendijas</w:t>
            </w:r>
            <w:proofErr w:type="spellEnd"/>
            <w:r w:rsidRPr="00681D88">
              <w:t xml:space="preserve"> četru Baltkrievu pētnieku uzturēšanai Daugavpils Universitātē </w:t>
            </w:r>
            <w:r>
              <w:t>2021. gadā</w:t>
            </w:r>
            <w:r w:rsidR="007A04FA">
              <w:t>; lēmums par finansējuma piešķiršanu ir nepieciešams šogad, pirms ir notikusi pētnieku pārcelšanās, jo tā var notikt tikai ja finansējums ir pieejams.</w:t>
            </w:r>
          </w:p>
          <w:p w14:paraId="1C86FBE3" w14:textId="77777777" w:rsidR="00107C1C" w:rsidRPr="00681D88" w:rsidRDefault="00107C1C" w:rsidP="00107C1C">
            <w:pPr>
              <w:pStyle w:val="ListParagraph"/>
              <w:numPr>
                <w:ilvl w:val="0"/>
                <w:numId w:val="1"/>
              </w:numPr>
              <w:ind w:right="142"/>
              <w:jc w:val="both"/>
            </w:pPr>
            <w:r w:rsidRPr="00681D88">
              <w:t>Ministru kabineta 2018. gada 17. jūlija noteikumu Nr. 421 „Kārtība, kādā veic gadskārtējā valsts budžeta likumā noteiktās apropriācijas izmaiņas” 41. - 43. punkts.</w:t>
            </w:r>
          </w:p>
          <w:p w14:paraId="0179FE66" w14:textId="77777777" w:rsidR="00107C1C" w:rsidRPr="00681D88" w:rsidRDefault="00107C1C" w:rsidP="00107C1C">
            <w:pPr>
              <w:pStyle w:val="ListParagraph"/>
              <w:numPr>
                <w:ilvl w:val="0"/>
                <w:numId w:val="1"/>
              </w:numPr>
              <w:ind w:right="142"/>
              <w:jc w:val="both"/>
            </w:pPr>
            <w:r w:rsidRPr="00681D88">
              <w:rPr>
                <w:bCs/>
                <w:shd w:val="clear" w:color="auto" w:fill="FFFFFF"/>
              </w:rPr>
              <w:t>2020</w:t>
            </w:r>
            <w:r w:rsidRPr="00681D88">
              <w:rPr>
                <w:shd w:val="clear" w:color="auto" w:fill="FFFFFF"/>
              </w:rPr>
              <w:t>. </w:t>
            </w:r>
            <w:r w:rsidRPr="00681D88">
              <w:rPr>
                <w:bCs/>
                <w:shd w:val="clear" w:color="auto" w:fill="FFFFFF"/>
              </w:rPr>
              <w:t>gada 17</w:t>
            </w:r>
            <w:r w:rsidRPr="00681D88">
              <w:rPr>
                <w:shd w:val="clear" w:color="auto" w:fill="FFFFFF"/>
              </w:rPr>
              <w:t>. </w:t>
            </w:r>
            <w:r w:rsidRPr="00681D88">
              <w:rPr>
                <w:bCs/>
                <w:shd w:val="clear" w:color="auto" w:fill="FFFFFF"/>
              </w:rPr>
              <w:t>augusta Latvijas nacionālā pozīcija Nr</w:t>
            </w:r>
            <w:r w:rsidRPr="00681D88">
              <w:rPr>
                <w:shd w:val="clear" w:color="auto" w:fill="FFFFFF"/>
              </w:rPr>
              <w:t>. </w:t>
            </w:r>
            <w:r w:rsidRPr="00681D88">
              <w:rPr>
                <w:bCs/>
                <w:shd w:val="clear" w:color="auto" w:fill="FFFFFF"/>
              </w:rPr>
              <w:t>8</w:t>
            </w:r>
            <w:r w:rsidRPr="00681D88">
              <w:rPr>
                <w:shd w:val="clear" w:color="auto" w:fill="FFFFFF"/>
              </w:rPr>
              <w:t>. “</w:t>
            </w:r>
            <w:r w:rsidRPr="00681D88">
              <w:rPr>
                <w:bCs/>
                <w:shd w:val="clear" w:color="auto" w:fill="FFFFFF"/>
              </w:rPr>
              <w:t>Baltkrievija</w:t>
            </w:r>
            <w:r w:rsidRPr="00681D88">
              <w:rPr>
                <w:shd w:val="clear" w:color="auto" w:fill="FFFFFF"/>
              </w:rPr>
              <w:t>”.</w:t>
            </w:r>
          </w:p>
          <w:p w14:paraId="689444FE" w14:textId="6677F7AE" w:rsidR="00AF64A5" w:rsidRPr="0009516C" w:rsidRDefault="00107C1C" w:rsidP="00107C1C">
            <w:pPr>
              <w:pStyle w:val="ListParagraph"/>
              <w:numPr>
                <w:ilvl w:val="0"/>
                <w:numId w:val="1"/>
              </w:numPr>
              <w:ind w:right="142"/>
              <w:jc w:val="both"/>
            </w:pPr>
            <w:r w:rsidRPr="00681D88">
              <w:t>Ministru kabineta 2020.gada 17.augusta ārkārtas sēdes protokola Nr.48. 1. paragrāfa 2. punkts.</w:t>
            </w:r>
          </w:p>
        </w:tc>
      </w:tr>
      <w:tr w:rsidR="0009516C" w:rsidRPr="0009516C" w14:paraId="4917C93B" w14:textId="77777777" w:rsidTr="00EE6938">
        <w:trPr>
          <w:trHeight w:val="562"/>
        </w:trPr>
        <w:tc>
          <w:tcPr>
            <w:tcW w:w="562" w:type="dxa"/>
          </w:tcPr>
          <w:p w14:paraId="5FDD0BAA" w14:textId="6A645FAF" w:rsidR="00585B7B" w:rsidRPr="0009516C" w:rsidRDefault="00585B7B" w:rsidP="00107C1C">
            <w:pPr>
              <w:pStyle w:val="naiskr"/>
              <w:spacing w:before="0" w:after="0"/>
              <w:jc w:val="center"/>
            </w:pPr>
            <w:r w:rsidRPr="0009516C">
              <w:t>2.</w:t>
            </w:r>
          </w:p>
        </w:tc>
        <w:tc>
          <w:tcPr>
            <w:tcW w:w="1884" w:type="dxa"/>
          </w:tcPr>
          <w:p w14:paraId="3E1554B2" w14:textId="77777777" w:rsidR="00955825" w:rsidRPr="0009516C" w:rsidRDefault="00005A9D" w:rsidP="00107C1C">
            <w:pPr>
              <w:pStyle w:val="naiskr"/>
              <w:tabs>
                <w:tab w:val="left" w:pos="170"/>
              </w:tabs>
              <w:spacing w:before="0" w:after="0"/>
              <w:ind w:left="141"/>
            </w:pPr>
            <w:r w:rsidRPr="0009516C">
              <w:t>Pašreizējā situācija un problēmas, kuru risināšanai tiesību akta projekts izstrādāts, tiesiskā regulējuma mērķis un būtība</w:t>
            </w:r>
          </w:p>
          <w:p w14:paraId="535F05A2" w14:textId="77777777" w:rsidR="00955825" w:rsidRPr="0009516C" w:rsidRDefault="00955825" w:rsidP="00107C1C"/>
          <w:p w14:paraId="7F67F0F0" w14:textId="77777777" w:rsidR="00585B7B" w:rsidRPr="0009516C" w:rsidRDefault="00585B7B" w:rsidP="00107C1C">
            <w:pPr>
              <w:ind w:firstLine="720"/>
            </w:pPr>
          </w:p>
        </w:tc>
        <w:tc>
          <w:tcPr>
            <w:tcW w:w="7614" w:type="dxa"/>
          </w:tcPr>
          <w:p w14:paraId="06B5E903" w14:textId="18FF8868" w:rsidR="00107C1C" w:rsidRDefault="00107C1C" w:rsidP="00107C1C">
            <w:pPr>
              <w:widowControl w:val="0"/>
              <w:jc w:val="both"/>
              <w:rPr>
                <w:rFonts w:eastAsia="Times New Roman"/>
                <w:iCs/>
              </w:rPr>
            </w:pPr>
            <w:r>
              <w:t>2</w:t>
            </w:r>
            <w:r w:rsidRPr="006A2E10">
              <w:rPr>
                <w:rFonts w:eastAsia="Times New Roman"/>
                <w:iCs/>
              </w:rPr>
              <w:t>020.</w:t>
            </w:r>
            <w:r>
              <w:rPr>
                <w:rFonts w:eastAsia="Times New Roman"/>
                <w:iCs/>
              </w:rPr>
              <w:t xml:space="preserve"> </w:t>
            </w:r>
            <w:r w:rsidRPr="006A2E10">
              <w:rPr>
                <w:rFonts w:eastAsia="Times New Roman"/>
                <w:iCs/>
              </w:rPr>
              <w:t>gada 9.</w:t>
            </w:r>
            <w:r>
              <w:rPr>
                <w:rFonts w:eastAsia="Times New Roman"/>
                <w:iCs/>
              </w:rPr>
              <w:t xml:space="preserve"> </w:t>
            </w:r>
            <w:r w:rsidRPr="006A2E10">
              <w:rPr>
                <w:rFonts w:eastAsia="Times New Roman"/>
                <w:iCs/>
              </w:rPr>
              <w:t xml:space="preserve">augustā Baltkrievijā notika valsts prezidenta vēlēšanas, kuras neatbilst pasaulē atzītiem demokrātijas principiem un tiesiskuma normām, kā arī nav uzskatāmas par baltkrievu tautas brīvas gribas izpausmi. </w:t>
            </w:r>
            <w:r w:rsidR="008F7F66" w:rsidRPr="008F7F66">
              <w:rPr>
                <w:rFonts w:eastAsia="Times New Roman"/>
                <w:iCs/>
              </w:rPr>
              <w:t>Eiropas Savienība neatzīst viltotos vēlēšanu rezultātus, pamatojoties uz Eiropas Savienības vārdā sniegto Augstā pārstāvja 11. septembra deklarāciju.</w:t>
            </w:r>
          </w:p>
          <w:p w14:paraId="0BB8D10A" w14:textId="77777777" w:rsidR="00107C1C" w:rsidRDefault="00107C1C" w:rsidP="00107C1C">
            <w:pPr>
              <w:widowControl w:val="0"/>
              <w:jc w:val="both"/>
              <w:rPr>
                <w:rFonts w:eastAsia="Times New Roman"/>
                <w:iCs/>
              </w:rPr>
            </w:pPr>
            <w:r w:rsidRPr="006A2E10">
              <w:t>2020.</w:t>
            </w:r>
            <w:r>
              <w:t xml:space="preserve"> </w:t>
            </w:r>
            <w:r w:rsidRPr="006A2E10">
              <w:t>gada 14.</w:t>
            </w:r>
            <w:r>
              <w:t xml:space="preserve"> </w:t>
            </w:r>
            <w:r w:rsidRPr="006A2E10">
              <w:t>augusta Ārlietu padomes ārkārtas sanāksmes laikā ārlietu ministri, kā arī 2020.</w:t>
            </w:r>
            <w:r>
              <w:t xml:space="preserve"> </w:t>
            </w:r>
            <w:r w:rsidRPr="006A2E10">
              <w:t>gada 19.</w:t>
            </w:r>
            <w:r>
              <w:t xml:space="preserve"> </w:t>
            </w:r>
            <w:r w:rsidRPr="006A2E10">
              <w:t xml:space="preserve">augusta Eiropadomes ārkārtas sanāksmes laikā ES dalībvalstu vadītāji vienojās par nepieciešamību nodrošināt plašu atbalstu Baltkrievijas pilsoniskajai sabiedrībai. </w:t>
            </w:r>
            <w:r w:rsidRPr="006A2E10">
              <w:rPr>
                <w:rFonts w:eastAsia="Times New Roman"/>
                <w:iCs/>
              </w:rPr>
              <w:t>Latvijas atbalstu Baltkrievijas pilsoniskajai sabiedrībai paredz arī 2020. gada 17. augusta Latvijas nacionālā pozīcija Nr.</w:t>
            </w:r>
            <w:r>
              <w:rPr>
                <w:rFonts w:eastAsia="Times New Roman"/>
                <w:iCs/>
              </w:rPr>
              <w:t xml:space="preserve"> </w:t>
            </w:r>
            <w:r w:rsidRPr="006A2E10">
              <w:rPr>
                <w:rFonts w:eastAsia="Times New Roman"/>
                <w:iCs/>
              </w:rPr>
              <w:t>8. “Baltkrievija”.</w:t>
            </w:r>
            <w:r w:rsidRPr="006A2E10">
              <w:t xml:space="preserve"> Savukārt </w:t>
            </w:r>
            <w:r w:rsidRPr="006A2E10">
              <w:rPr>
                <w:rFonts w:eastAsia="Times New Roman"/>
                <w:iCs/>
              </w:rPr>
              <w:t>2020.</w:t>
            </w:r>
            <w:r>
              <w:rPr>
                <w:rFonts w:eastAsia="Times New Roman"/>
                <w:iCs/>
              </w:rPr>
              <w:t xml:space="preserve"> </w:t>
            </w:r>
            <w:r w:rsidRPr="006A2E10">
              <w:rPr>
                <w:rFonts w:eastAsia="Times New Roman"/>
                <w:iCs/>
              </w:rPr>
              <w:t>gada 18.</w:t>
            </w:r>
            <w:r>
              <w:rPr>
                <w:rFonts w:eastAsia="Times New Roman"/>
                <w:iCs/>
              </w:rPr>
              <w:t xml:space="preserve"> </w:t>
            </w:r>
            <w:r w:rsidRPr="006A2E10">
              <w:rPr>
                <w:rFonts w:eastAsia="Times New Roman"/>
                <w:iCs/>
              </w:rPr>
              <w:t xml:space="preserve">augustā Latvijas Republikas Saeima pieņēma paziņojumu par Baltkrievijas prezidenta vēlēšanām un aicinājumu Latvijas valdībai un ES institūcijām sniegt atbalstu Baltkrievijas sabiedrībai, tostarp finansiālo atbalstu pilsoniskās sabiedrības un neatkarīgo plašsaziņas līdzekļu attīstībai. </w:t>
            </w:r>
          </w:p>
          <w:p w14:paraId="4C3821E8" w14:textId="77777777" w:rsidR="00107C1C" w:rsidRDefault="00107C1C" w:rsidP="00107C1C">
            <w:pPr>
              <w:widowControl w:val="0"/>
              <w:jc w:val="both"/>
              <w:rPr>
                <w:rFonts w:eastAsia="Times New Roman"/>
              </w:rPr>
            </w:pPr>
            <w:r w:rsidRPr="006A2E10">
              <w:rPr>
                <w:rFonts w:eastAsia="Times New Roman"/>
                <w:iCs/>
              </w:rPr>
              <w:t>Ņemot vērā to, ka s</w:t>
            </w:r>
            <w:r w:rsidRPr="006A2E10">
              <w:t xml:space="preserve">abiedrības protestos Baltkrievijā piedalās vairāku Baltkrievijas augstāko mācību iestāžu studenti un mācībspēki, </w:t>
            </w:r>
            <w:r w:rsidRPr="006A2E10">
              <w:rPr>
                <w:rFonts w:eastAsia="Times New Roman"/>
                <w:iCs/>
              </w:rPr>
              <w:t>a</w:t>
            </w:r>
            <w:r w:rsidRPr="006A2E10">
              <w:t xml:space="preserve">rī šā gada </w:t>
            </w:r>
            <w:r>
              <w:t xml:space="preserve">        </w:t>
            </w:r>
            <w:r w:rsidRPr="006A2E10">
              <w:t>19.</w:t>
            </w:r>
            <w:r>
              <w:t xml:space="preserve"> </w:t>
            </w:r>
            <w:r w:rsidRPr="006A2E10">
              <w:t xml:space="preserve">novembrī </w:t>
            </w:r>
            <w:r w:rsidRPr="006A2E10">
              <w:rPr>
                <w:rFonts w:eastAsia="Times New Roman"/>
              </w:rPr>
              <w:t>vairāku valstu izglītības ministri Boloņas procesa ministru konferencē, ieskaitot Latvijas Izglītības un zinātnes ministri I.</w:t>
            </w:r>
            <w:r>
              <w:rPr>
                <w:rFonts w:eastAsia="Times New Roman"/>
              </w:rPr>
              <w:t xml:space="preserve"> </w:t>
            </w:r>
            <w:proofErr w:type="spellStart"/>
            <w:r w:rsidRPr="006A2E10">
              <w:rPr>
                <w:rFonts w:eastAsia="Times New Roman"/>
              </w:rPr>
              <w:t>Šuplinsku</w:t>
            </w:r>
            <w:proofErr w:type="spellEnd"/>
            <w:r w:rsidRPr="006A2E10">
              <w:rPr>
                <w:rFonts w:eastAsia="Times New Roman"/>
              </w:rPr>
              <w:t xml:space="preserve">, vērsa uzmanību uz situāciju Baltkrievijā, rosinot sniegt nepieciešamo atbalstu. </w:t>
            </w:r>
          </w:p>
          <w:p w14:paraId="2079A0BE" w14:textId="77777777" w:rsidR="00107C1C" w:rsidRPr="00BF75E7" w:rsidRDefault="00107C1C" w:rsidP="00107C1C">
            <w:pPr>
              <w:widowControl w:val="0"/>
              <w:jc w:val="both"/>
            </w:pPr>
            <w:r w:rsidRPr="006A2E10">
              <w:rPr>
                <w:rFonts w:eastAsia="Times New Roman"/>
              </w:rPr>
              <w:t xml:space="preserve">Jau šobrīd Baltkrievijā esošās politiskās situācijas dēļ </w:t>
            </w:r>
            <w:r w:rsidRPr="006A2E10">
              <w:t>Vidzemes Augstskolā st</w:t>
            </w:r>
            <w:r>
              <w:t xml:space="preserve">udē seši Baltkrievijas pilsoņi. </w:t>
            </w:r>
            <w:r w:rsidRPr="006A2E10">
              <w:t xml:space="preserve">Vidzemes Augstskola šiem studentiem nodrošina studijas no saviem iekšējiem finanšu līdzekļiem, piešķirot 100% studiju maksas atlaidi. </w:t>
            </w:r>
            <w:r>
              <w:t xml:space="preserve">Savukārt Ārlietu ministrija sava budžet ietvaros ir radusi iespēju novirzīt </w:t>
            </w:r>
            <w:r w:rsidRPr="006A2E10">
              <w:t xml:space="preserve">finanšu līdzekļus 6 000 </w:t>
            </w:r>
            <w:proofErr w:type="spellStart"/>
            <w:r w:rsidRPr="006A2E10">
              <w:rPr>
                <w:i/>
              </w:rPr>
              <w:t>euro</w:t>
            </w:r>
            <w:proofErr w:type="spellEnd"/>
            <w:r w:rsidRPr="006A2E10">
              <w:rPr>
                <w:i/>
              </w:rPr>
              <w:t xml:space="preserve"> </w:t>
            </w:r>
            <w:r w:rsidRPr="006A2E10">
              <w:t xml:space="preserve">apmērā </w:t>
            </w:r>
            <w:r w:rsidRPr="006A2E10">
              <w:rPr>
                <w:rFonts w:eastAsia="Times New Roman"/>
                <w:iCs/>
              </w:rPr>
              <w:t xml:space="preserve">no </w:t>
            </w:r>
            <w:r>
              <w:rPr>
                <w:rFonts w:eastAsia="Times New Roman"/>
                <w:iCs/>
              </w:rPr>
              <w:t>tās administrētās</w:t>
            </w:r>
            <w:r w:rsidRPr="006A2E10">
              <w:rPr>
                <w:rFonts w:eastAsia="Times New Roman"/>
                <w:iCs/>
                <w:color w:val="000000" w:themeColor="text1"/>
              </w:rPr>
              <w:t xml:space="preserve"> valsts budžeta programmas 07.00.00 “Attīstības sadarbības projekti un starptautiskā </w:t>
            </w:r>
            <w:r w:rsidRPr="006A2E10">
              <w:rPr>
                <w:rFonts w:eastAsia="Times New Roman"/>
                <w:iCs/>
                <w:color w:val="000000" w:themeColor="text1"/>
              </w:rPr>
              <w:lastRenderedPageBreak/>
              <w:t>palīdzība”</w:t>
            </w:r>
            <w:r>
              <w:rPr>
                <w:rFonts w:eastAsia="Times New Roman"/>
                <w:iCs/>
                <w:color w:val="000000" w:themeColor="text1"/>
              </w:rPr>
              <w:t xml:space="preserve">, lai nodrošinātu Vidzemes augstskolas studējošiem </w:t>
            </w:r>
            <w:proofErr w:type="spellStart"/>
            <w:r>
              <w:rPr>
                <w:rFonts w:eastAsia="Times New Roman"/>
                <w:iCs/>
                <w:color w:val="000000" w:themeColor="text1"/>
              </w:rPr>
              <w:t>mērķstipendijas</w:t>
            </w:r>
            <w:proofErr w:type="spellEnd"/>
            <w:r>
              <w:rPr>
                <w:rFonts w:eastAsia="Times New Roman"/>
                <w:iCs/>
                <w:color w:val="000000" w:themeColor="text1"/>
              </w:rPr>
              <w:t xml:space="preserve"> studijām</w:t>
            </w:r>
            <w:r w:rsidRPr="006A2E10">
              <w:t xml:space="preserve"> 2020.</w:t>
            </w:r>
            <w:r>
              <w:t xml:space="preserve"> gada.</w:t>
            </w:r>
            <w:r w:rsidRPr="006A2E10">
              <w:rPr>
                <w:rFonts w:eastAsia="Times New Roman"/>
                <w:iCs/>
                <w:color w:val="000000" w:themeColor="text1"/>
              </w:rPr>
              <w:t xml:space="preserve"> T</w:t>
            </w:r>
            <w:r>
              <w:rPr>
                <w:rFonts w:eastAsia="Times New Roman"/>
                <w:iCs/>
                <w:color w:val="000000" w:themeColor="text1"/>
              </w:rPr>
              <w:t>aču</w:t>
            </w:r>
            <w:r w:rsidRPr="006A2E10">
              <w:rPr>
                <w:rFonts w:eastAsia="Times New Roman"/>
                <w:iCs/>
                <w:color w:val="000000" w:themeColor="text1"/>
              </w:rPr>
              <w:t xml:space="preserve"> jautājums par finansējumu </w:t>
            </w:r>
            <w:proofErr w:type="spellStart"/>
            <w:r>
              <w:rPr>
                <w:rFonts w:eastAsia="Times New Roman"/>
                <w:iCs/>
                <w:color w:val="000000" w:themeColor="text1"/>
              </w:rPr>
              <w:t>mēŗķ</w:t>
            </w:r>
            <w:r w:rsidRPr="006A2E10">
              <w:rPr>
                <w:rFonts w:eastAsia="Times New Roman"/>
                <w:iCs/>
                <w:color w:val="000000" w:themeColor="text1"/>
              </w:rPr>
              <w:t>stipendijām</w:t>
            </w:r>
            <w:proofErr w:type="spellEnd"/>
            <w:r w:rsidRPr="006A2E10">
              <w:rPr>
                <w:rFonts w:eastAsia="Times New Roman"/>
                <w:iCs/>
                <w:color w:val="000000" w:themeColor="text1"/>
              </w:rPr>
              <w:t xml:space="preserve"> </w:t>
            </w:r>
            <w:r w:rsidRPr="00621C3D">
              <w:rPr>
                <w:rFonts w:eastAsia="Times New Roman"/>
                <w:iCs/>
                <w:color w:val="000000" w:themeColor="text1"/>
              </w:rPr>
              <w:t xml:space="preserve">studiju </w:t>
            </w:r>
            <w:r>
              <w:rPr>
                <w:rFonts w:eastAsia="Times New Roman"/>
                <w:iCs/>
                <w:color w:val="000000" w:themeColor="text1"/>
              </w:rPr>
              <w:t>nodrošināšanai</w:t>
            </w:r>
            <w:r w:rsidRPr="00621C3D">
              <w:rPr>
                <w:rFonts w:eastAsia="Times New Roman"/>
                <w:iCs/>
                <w:color w:val="000000" w:themeColor="text1"/>
              </w:rPr>
              <w:t xml:space="preserve"> </w:t>
            </w:r>
            <w:r>
              <w:rPr>
                <w:rFonts w:eastAsia="Times New Roman"/>
                <w:iCs/>
                <w:color w:val="000000" w:themeColor="text1"/>
              </w:rPr>
              <w:t xml:space="preserve">sešiem Vidzemes Augstskolas </w:t>
            </w:r>
            <w:r w:rsidRPr="006A2E10">
              <w:rPr>
                <w:rFonts w:eastAsia="Times New Roman"/>
                <w:iCs/>
                <w:color w:val="000000" w:themeColor="text1"/>
              </w:rPr>
              <w:t>Baltkrievijas student</w:t>
            </w:r>
            <w:r>
              <w:rPr>
                <w:rFonts w:eastAsia="Times New Roman"/>
                <w:iCs/>
                <w:color w:val="000000" w:themeColor="text1"/>
              </w:rPr>
              <w:t>iem</w:t>
            </w:r>
            <w:r w:rsidRPr="006A2E10">
              <w:rPr>
                <w:rFonts w:eastAsia="Times New Roman"/>
                <w:iCs/>
                <w:color w:val="000000" w:themeColor="text1"/>
              </w:rPr>
              <w:t xml:space="preserve"> arī turpmākajos gados, kamēr tiek pabeigtas studijas, vēl nav atrisināts. Šīm mērķim,  </w:t>
            </w:r>
            <w:r w:rsidRPr="006A2E10">
              <w:t xml:space="preserve">ņemot vērā, ka vienas mēneša </w:t>
            </w:r>
            <w:proofErr w:type="spellStart"/>
            <w:r>
              <w:t>mērķ</w:t>
            </w:r>
            <w:r w:rsidRPr="006A2E10">
              <w:t>stipendijas</w:t>
            </w:r>
            <w:proofErr w:type="spellEnd"/>
            <w:r w:rsidRPr="006A2E10">
              <w:t xml:space="preserve"> </w:t>
            </w:r>
            <w:r w:rsidRPr="00621C3D">
              <w:rPr>
                <w:rFonts w:eastAsia="Times New Roman"/>
                <w:iCs/>
                <w:color w:val="000000" w:themeColor="text1"/>
              </w:rPr>
              <w:t xml:space="preserve">studiju </w:t>
            </w:r>
            <w:r>
              <w:rPr>
                <w:rFonts w:eastAsia="Times New Roman"/>
                <w:iCs/>
                <w:color w:val="000000" w:themeColor="text1"/>
              </w:rPr>
              <w:t>nodrošināšanai</w:t>
            </w:r>
            <w:r w:rsidRPr="00621C3D">
              <w:rPr>
                <w:rFonts w:eastAsia="Times New Roman"/>
                <w:iCs/>
                <w:color w:val="000000" w:themeColor="text1"/>
              </w:rPr>
              <w:t xml:space="preserve"> </w:t>
            </w:r>
            <w:r w:rsidRPr="006A2E10">
              <w:t xml:space="preserve">apmērs ir 500 </w:t>
            </w:r>
            <w:proofErr w:type="spellStart"/>
            <w:r w:rsidRPr="006A2E10">
              <w:rPr>
                <w:i/>
              </w:rPr>
              <w:t>euro</w:t>
            </w:r>
            <w:proofErr w:type="spellEnd"/>
            <w:r w:rsidRPr="006A2E10">
              <w:rPr>
                <w:i/>
              </w:rPr>
              <w:t xml:space="preserve"> </w:t>
            </w:r>
            <w:r>
              <w:t xml:space="preserve">vieni </w:t>
            </w:r>
            <w:r w:rsidRPr="006A2E10">
              <w:t>personai</w:t>
            </w:r>
            <w:r>
              <w:rPr>
                <w:rFonts w:eastAsia="Times New Roman"/>
                <w:iCs/>
                <w:color w:val="000000" w:themeColor="text1"/>
              </w:rPr>
              <w:t>, no 2021. gada 1. janvāra līdz 2021. gada 30. jūnijam ir nepieciešami 18</w:t>
            </w:r>
            <w:r w:rsidRPr="006A2E10">
              <w:rPr>
                <w:rFonts w:eastAsia="Times New Roman"/>
                <w:iCs/>
                <w:color w:val="000000" w:themeColor="text1"/>
              </w:rPr>
              <w:t xml:space="preserve"> 000 </w:t>
            </w:r>
            <w:proofErr w:type="spellStart"/>
            <w:r>
              <w:rPr>
                <w:rFonts w:eastAsia="Times New Roman"/>
                <w:i/>
                <w:iCs/>
                <w:color w:val="000000" w:themeColor="text1"/>
              </w:rPr>
              <w:t>euro</w:t>
            </w:r>
            <w:proofErr w:type="spellEnd"/>
            <w:r>
              <w:rPr>
                <w:rFonts w:eastAsia="Times New Roman"/>
                <w:i/>
                <w:iCs/>
                <w:color w:val="000000" w:themeColor="text1"/>
              </w:rPr>
              <w:t>.</w:t>
            </w:r>
          </w:p>
          <w:p w14:paraId="75185C3B" w14:textId="77777777" w:rsidR="00107C1C" w:rsidRDefault="00107C1C" w:rsidP="00107C1C">
            <w:pPr>
              <w:widowControl w:val="0"/>
              <w:jc w:val="both"/>
              <w:rPr>
                <w:rFonts w:eastAsia="Times New Roman"/>
              </w:rPr>
            </w:pPr>
            <w:r w:rsidRPr="006A2E10">
              <w:t xml:space="preserve">Izņemot studentus, sabiedrības protestos pret prezidenta vēlēšanu viltošanu un šā brīža autoritāro politisko režīmu, </w:t>
            </w:r>
            <w:r w:rsidRPr="006A2E10">
              <w:rPr>
                <w:rFonts w:eastAsia="Times New Roman"/>
                <w:iCs/>
              </w:rPr>
              <w:t xml:space="preserve">no cilvēktiesību pārkāpumiem </w:t>
            </w:r>
            <w:r w:rsidRPr="006A2E10">
              <w:t xml:space="preserve">cieta arī Baltkrievijas pētnieki. Tādēļ ministrija apzināja Latvijas augstskolas par atbalsta mehānismu palīdzības sniegšanai arī pētniekiem no Baltkrievijas. Savu gatavību uzņemt četrus pētniekus (četri pētnieki, divi no kuriem ir ģimenes pāris ar bērniem) izteica Daugavpils Universitāte. Šobrīd tiek rosināts piešķirt finansējumu </w:t>
            </w:r>
            <w:r>
              <w:rPr>
                <w:rFonts w:eastAsia="Times New Roman"/>
                <w:bCs/>
                <w:color w:val="000000"/>
              </w:rPr>
              <w:t>no 2021</w:t>
            </w:r>
            <w:r w:rsidRPr="006A2E10">
              <w:rPr>
                <w:rFonts w:eastAsia="Times New Roman"/>
                <w:bCs/>
                <w:color w:val="000000"/>
              </w:rPr>
              <w:t>.</w:t>
            </w:r>
            <w:r>
              <w:rPr>
                <w:rFonts w:eastAsia="Times New Roman"/>
                <w:bCs/>
                <w:color w:val="000000"/>
              </w:rPr>
              <w:t xml:space="preserve"> </w:t>
            </w:r>
            <w:r w:rsidRPr="006A2E10">
              <w:rPr>
                <w:rFonts w:eastAsia="Times New Roman"/>
                <w:bCs/>
                <w:color w:val="000000"/>
              </w:rPr>
              <w:t>gada 1.</w:t>
            </w:r>
            <w:r>
              <w:rPr>
                <w:rFonts w:eastAsia="Times New Roman"/>
                <w:bCs/>
                <w:color w:val="000000"/>
              </w:rPr>
              <w:t xml:space="preserve"> februāra līdz 2021. gada 31. augustam 37 600 </w:t>
            </w:r>
            <w:proofErr w:type="spellStart"/>
            <w:r>
              <w:rPr>
                <w:rFonts w:eastAsia="Times New Roman"/>
                <w:bCs/>
                <w:i/>
                <w:color w:val="000000"/>
              </w:rPr>
              <w:t>euro</w:t>
            </w:r>
            <w:proofErr w:type="spellEnd"/>
            <w:r>
              <w:rPr>
                <w:rFonts w:eastAsia="Times New Roman"/>
                <w:bCs/>
                <w:i/>
                <w:color w:val="000000"/>
              </w:rPr>
              <w:t xml:space="preserve"> </w:t>
            </w:r>
            <w:r>
              <w:rPr>
                <w:rFonts w:eastAsia="Times New Roman"/>
                <w:bCs/>
                <w:color w:val="000000"/>
              </w:rPr>
              <w:t>apmērā</w:t>
            </w:r>
            <w:r w:rsidRPr="006A2E10">
              <w:rPr>
                <w:rFonts w:eastAsia="Times New Roman"/>
                <w:bCs/>
                <w:color w:val="000000"/>
              </w:rPr>
              <w:t xml:space="preserve"> (tabula Nr. 2)</w:t>
            </w:r>
            <w:r>
              <w:rPr>
                <w:rFonts w:eastAsia="Times New Roman"/>
                <w:bCs/>
                <w:color w:val="000000"/>
              </w:rPr>
              <w:t xml:space="preserve">, kuras universitāte izmaksās </w:t>
            </w:r>
            <w:proofErr w:type="spellStart"/>
            <w:r>
              <w:rPr>
                <w:rFonts w:eastAsia="Times New Roman"/>
                <w:bCs/>
                <w:color w:val="000000"/>
              </w:rPr>
              <w:t>mērķstipendiju</w:t>
            </w:r>
            <w:proofErr w:type="spellEnd"/>
            <w:r>
              <w:rPr>
                <w:rFonts w:eastAsia="Times New Roman"/>
                <w:bCs/>
                <w:color w:val="000000"/>
              </w:rPr>
              <w:t xml:space="preserve"> veidā.</w:t>
            </w:r>
          </w:p>
          <w:p w14:paraId="424171D9" w14:textId="42974103" w:rsidR="00681D88" w:rsidRDefault="00107C1C" w:rsidP="00107C1C">
            <w:pPr>
              <w:widowControl w:val="0"/>
              <w:jc w:val="both"/>
            </w:pPr>
            <w:r>
              <w:t xml:space="preserve">Vienlaikus informējam, ka Izglītības un zinātnes ministrija sagatavoja informatīvo </w:t>
            </w:r>
            <w:r w:rsidRPr="00681D88">
              <w:t xml:space="preserve">ziņojumu “Informatīvais ziņojums par atbalstu Baltkrievijas studentiem un pētniekiem Latvijā” un tā </w:t>
            </w:r>
            <w:proofErr w:type="spellStart"/>
            <w:r w:rsidRPr="00681D88">
              <w:t>protokollēmumu</w:t>
            </w:r>
            <w:proofErr w:type="spellEnd"/>
            <w:r w:rsidRPr="00681D88">
              <w:t xml:space="preserve"> izskatīšanai Ministru kabineta sanāksmē</w:t>
            </w:r>
            <w:r>
              <w:t xml:space="preserve"> ar mērķi </w:t>
            </w:r>
            <w:r w:rsidRPr="00681D88">
              <w:rPr>
                <w:rFonts w:eastAsia="Times New Roman"/>
              </w:rPr>
              <w:t xml:space="preserve">informēt Ministru kabinetu par priekšlikumiem sniegt </w:t>
            </w:r>
            <w:r w:rsidRPr="00681D88">
              <w:t>atbalstu Baltkrievijas pilsoniskās sabiedrības pārstāvju izglītības un pētniecības iespējām Latvijā, ņemot vērā esošo politisko situāciju Baltkrievijā</w:t>
            </w:r>
          </w:p>
          <w:p w14:paraId="4A2A053D" w14:textId="7CEEC16E" w:rsidR="00681D88" w:rsidRPr="0009516C" w:rsidRDefault="00681D88" w:rsidP="00107C1C">
            <w:pPr>
              <w:widowControl w:val="0"/>
              <w:jc w:val="both"/>
            </w:pPr>
          </w:p>
        </w:tc>
      </w:tr>
      <w:tr w:rsidR="0009516C" w:rsidRPr="0009516C" w14:paraId="42AC8649" w14:textId="77777777" w:rsidTr="00EE6938">
        <w:trPr>
          <w:trHeight w:val="476"/>
        </w:trPr>
        <w:tc>
          <w:tcPr>
            <w:tcW w:w="562" w:type="dxa"/>
            <w:tcBorders>
              <w:bottom w:val="single" w:sz="4" w:space="0" w:color="auto"/>
            </w:tcBorders>
          </w:tcPr>
          <w:p w14:paraId="308FAEA2" w14:textId="66B1E7E3" w:rsidR="00585B7B" w:rsidRPr="0009516C" w:rsidRDefault="00005A9D" w:rsidP="00107C1C">
            <w:pPr>
              <w:pStyle w:val="naiskr"/>
              <w:spacing w:before="0" w:after="0"/>
              <w:jc w:val="center"/>
            </w:pPr>
            <w:r w:rsidRPr="0009516C">
              <w:lastRenderedPageBreak/>
              <w:t>3.</w:t>
            </w:r>
          </w:p>
        </w:tc>
        <w:tc>
          <w:tcPr>
            <w:tcW w:w="1884" w:type="dxa"/>
            <w:tcBorders>
              <w:bottom w:val="single" w:sz="4" w:space="0" w:color="auto"/>
            </w:tcBorders>
          </w:tcPr>
          <w:p w14:paraId="132B3A4C" w14:textId="77777777" w:rsidR="00585B7B" w:rsidRPr="0009516C" w:rsidRDefault="00943E1D" w:rsidP="00107C1C">
            <w:pPr>
              <w:pStyle w:val="naiskr"/>
              <w:spacing w:before="0" w:after="0"/>
              <w:ind w:left="141"/>
            </w:pPr>
            <w:r w:rsidRPr="0009516C">
              <w:t>Projekta izstrādē iesaistītās institūcijas un publiskas personas kapitālsabiedrības</w:t>
            </w:r>
          </w:p>
        </w:tc>
        <w:tc>
          <w:tcPr>
            <w:tcW w:w="7614" w:type="dxa"/>
            <w:tcBorders>
              <w:bottom w:val="single" w:sz="4" w:space="0" w:color="auto"/>
            </w:tcBorders>
          </w:tcPr>
          <w:p w14:paraId="7C6826FC" w14:textId="04CBAF10" w:rsidR="00643E6C" w:rsidRPr="0009516C" w:rsidRDefault="00681D88" w:rsidP="00107C1C">
            <w:pPr>
              <w:ind w:right="142"/>
              <w:jc w:val="both"/>
            </w:pPr>
            <w:r>
              <w:t>Ārlietu ministrija, Finanšu ministrija</w:t>
            </w:r>
          </w:p>
        </w:tc>
      </w:tr>
      <w:tr w:rsidR="0009516C" w:rsidRPr="0009516C" w14:paraId="26593524" w14:textId="77777777" w:rsidTr="00EE6938">
        <w:tc>
          <w:tcPr>
            <w:tcW w:w="562" w:type="dxa"/>
            <w:tcBorders>
              <w:top w:val="single" w:sz="4" w:space="0" w:color="auto"/>
              <w:left w:val="single" w:sz="4" w:space="0" w:color="auto"/>
              <w:bottom w:val="single" w:sz="4" w:space="0" w:color="auto"/>
              <w:right w:val="single" w:sz="4" w:space="0" w:color="auto"/>
            </w:tcBorders>
          </w:tcPr>
          <w:p w14:paraId="6FA8785B" w14:textId="77777777" w:rsidR="00585B7B" w:rsidRPr="0009516C" w:rsidRDefault="00005A9D" w:rsidP="00107C1C">
            <w:pPr>
              <w:pStyle w:val="naiskr"/>
              <w:spacing w:before="0" w:after="0"/>
              <w:jc w:val="center"/>
            </w:pPr>
            <w:r w:rsidRPr="0009516C">
              <w:t>4</w:t>
            </w:r>
            <w:r w:rsidR="00585B7B" w:rsidRPr="0009516C">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09516C" w:rsidRDefault="00585B7B" w:rsidP="00107C1C">
            <w:pPr>
              <w:pStyle w:val="naiskr"/>
              <w:spacing w:before="0" w:after="0"/>
              <w:ind w:left="141"/>
            </w:pPr>
            <w:r w:rsidRPr="0009516C">
              <w:t>Cita informācija</w:t>
            </w:r>
          </w:p>
        </w:tc>
        <w:tc>
          <w:tcPr>
            <w:tcW w:w="7614" w:type="dxa"/>
            <w:tcBorders>
              <w:top w:val="single" w:sz="4" w:space="0" w:color="auto"/>
              <w:left w:val="single" w:sz="4" w:space="0" w:color="auto"/>
              <w:bottom w:val="single" w:sz="4" w:space="0" w:color="auto"/>
              <w:right w:val="single" w:sz="4" w:space="0" w:color="auto"/>
            </w:tcBorders>
          </w:tcPr>
          <w:p w14:paraId="7A9AF941" w14:textId="35DEE3B4" w:rsidR="002D5B95" w:rsidRPr="0009516C" w:rsidRDefault="00107C1C" w:rsidP="00107C1C">
            <w:pPr>
              <w:ind w:left="114" w:right="127"/>
              <w:jc w:val="both"/>
            </w:pPr>
            <w:r w:rsidRPr="0009516C">
              <w:t>Rīkojuma projekti tiešā veidā attiecas uz  budžeta un finanšu politiku. Pastarpināti Rīkojuma projekti attiecas uz</w:t>
            </w:r>
            <w:r>
              <w:t xml:space="preserve"> augstākās izglītības un zinātnes politiku</w:t>
            </w:r>
            <w:r w:rsidR="00F11C0A">
              <w:t>, kā arī uz ārpolitiku</w:t>
            </w:r>
            <w:bookmarkStart w:id="3" w:name="_GoBack"/>
            <w:bookmarkEnd w:id="3"/>
            <w:r w:rsidRPr="0009516C">
              <w:t>.</w:t>
            </w:r>
          </w:p>
        </w:tc>
      </w:tr>
    </w:tbl>
    <w:p w14:paraId="3665AB6A" w14:textId="1B5A0D40" w:rsidR="00DF5C70" w:rsidRPr="0009516C" w:rsidRDefault="00DF5C70" w:rsidP="00107C1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09516C" w:rsidRPr="0009516C" w14:paraId="014B972D" w14:textId="77777777" w:rsidTr="0053721C">
        <w:tc>
          <w:tcPr>
            <w:tcW w:w="10060" w:type="dxa"/>
            <w:vAlign w:val="center"/>
          </w:tcPr>
          <w:p w14:paraId="25DD5253" w14:textId="4E9B49A9" w:rsidR="00C66A35" w:rsidRPr="0009516C" w:rsidRDefault="00C66A35" w:rsidP="00107C1C">
            <w:pPr>
              <w:pStyle w:val="naisnod"/>
              <w:spacing w:before="0" w:after="0"/>
            </w:pPr>
            <w:r w:rsidRPr="0009516C">
              <w:t xml:space="preserve">II. Tiesību akta projekta ietekme uz sabiedrību, tautsaimniecības attīstību un </w:t>
            </w:r>
          </w:p>
          <w:p w14:paraId="36AC0BC0" w14:textId="77777777" w:rsidR="00C66A35" w:rsidRPr="0009516C" w:rsidRDefault="00C66A35" w:rsidP="00107C1C">
            <w:pPr>
              <w:pStyle w:val="naisnod"/>
              <w:spacing w:before="0" w:after="0"/>
            </w:pPr>
            <w:r w:rsidRPr="0009516C">
              <w:t>administratīvo slogu</w:t>
            </w:r>
          </w:p>
        </w:tc>
      </w:tr>
      <w:tr w:rsidR="0009516C" w:rsidRPr="0009516C" w14:paraId="4EB79942" w14:textId="77777777" w:rsidTr="0053721C">
        <w:trPr>
          <w:trHeight w:val="273"/>
        </w:trPr>
        <w:tc>
          <w:tcPr>
            <w:tcW w:w="10060" w:type="dxa"/>
          </w:tcPr>
          <w:p w14:paraId="4BF34555" w14:textId="4D0DCDA9" w:rsidR="00C66A35" w:rsidRPr="0009516C" w:rsidRDefault="00B5403D" w:rsidP="00107C1C">
            <w:pPr>
              <w:ind w:right="127"/>
              <w:jc w:val="center"/>
            </w:pPr>
            <w:r w:rsidRPr="0009516C">
              <w:t>Projekti</w:t>
            </w:r>
            <w:r w:rsidR="00C66A35" w:rsidRPr="0009516C">
              <w:t xml:space="preserve"> šo jomu neskar</w:t>
            </w:r>
          </w:p>
        </w:tc>
      </w:tr>
    </w:tbl>
    <w:p w14:paraId="747F53F0" w14:textId="77777777" w:rsidR="00C66A35" w:rsidRPr="0009516C" w:rsidRDefault="00C66A35" w:rsidP="00107C1C"/>
    <w:p w14:paraId="427602C1" w14:textId="77777777" w:rsidR="006C697C" w:rsidRPr="0009516C" w:rsidRDefault="006C697C" w:rsidP="00107C1C"/>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245"/>
        <w:gridCol w:w="1459"/>
        <w:gridCol w:w="1184"/>
        <w:gridCol w:w="1347"/>
        <w:gridCol w:w="1181"/>
        <w:gridCol w:w="1337"/>
        <w:gridCol w:w="1313"/>
      </w:tblGrid>
      <w:tr w:rsidR="0009516C" w:rsidRPr="0009516C" w14:paraId="23001469" w14:textId="77777777" w:rsidTr="00EE6938">
        <w:trPr>
          <w:trHeight w:val="361"/>
          <w:jc w:val="center"/>
        </w:trPr>
        <w:tc>
          <w:tcPr>
            <w:tcW w:w="10343" w:type="dxa"/>
            <w:gridSpan w:val="8"/>
            <w:vAlign w:val="center"/>
          </w:tcPr>
          <w:p w14:paraId="53C40BA8" w14:textId="77777777" w:rsidR="00DA708F" w:rsidRPr="0009516C" w:rsidRDefault="00DA708F" w:rsidP="00107C1C">
            <w:pPr>
              <w:jc w:val="center"/>
            </w:pPr>
            <w:r w:rsidRPr="0009516C">
              <w:br w:type="page"/>
            </w:r>
            <w:r w:rsidRPr="0009516C">
              <w:br w:type="page"/>
            </w:r>
            <w:r w:rsidRPr="0009516C">
              <w:br w:type="page"/>
            </w:r>
            <w:r w:rsidRPr="0009516C">
              <w:rPr>
                <w:b/>
              </w:rPr>
              <w:t>III. Tiesību akta projekta ietekme uz valsts budžetu un pašvaldību budžetiem</w:t>
            </w:r>
          </w:p>
        </w:tc>
      </w:tr>
      <w:tr w:rsidR="0009516C" w:rsidRPr="0009516C" w14:paraId="4EF90857" w14:textId="77777777" w:rsidTr="00E1600A">
        <w:trPr>
          <w:jc w:val="center"/>
        </w:trPr>
        <w:tc>
          <w:tcPr>
            <w:tcW w:w="2047" w:type="dxa"/>
            <w:vMerge w:val="restart"/>
            <w:vAlign w:val="center"/>
          </w:tcPr>
          <w:p w14:paraId="551BB498" w14:textId="77777777" w:rsidR="00DA708F" w:rsidRPr="0009516C" w:rsidRDefault="00DA708F" w:rsidP="00107C1C">
            <w:pPr>
              <w:jc w:val="center"/>
              <w:rPr>
                <w:b/>
              </w:rPr>
            </w:pPr>
            <w:r w:rsidRPr="0009516C">
              <w:rPr>
                <w:b/>
              </w:rPr>
              <w:t>Rādītāji</w:t>
            </w:r>
          </w:p>
        </w:tc>
        <w:tc>
          <w:tcPr>
            <w:tcW w:w="2528" w:type="dxa"/>
            <w:gridSpan w:val="2"/>
            <w:vMerge w:val="restart"/>
            <w:vAlign w:val="center"/>
          </w:tcPr>
          <w:p w14:paraId="22EC0AC1" w14:textId="77777777" w:rsidR="00DA708F" w:rsidRPr="0009516C" w:rsidRDefault="008C2D86" w:rsidP="00107C1C">
            <w:pPr>
              <w:jc w:val="center"/>
              <w:rPr>
                <w:b/>
              </w:rPr>
            </w:pPr>
            <w:r w:rsidRPr="0009516C">
              <w:rPr>
                <w:b/>
              </w:rPr>
              <w:t>2020</w:t>
            </w:r>
          </w:p>
        </w:tc>
        <w:tc>
          <w:tcPr>
            <w:tcW w:w="5768" w:type="dxa"/>
            <w:gridSpan w:val="5"/>
            <w:vAlign w:val="center"/>
          </w:tcPr>
          <w:p w14:paraId="5465584B" w14:textId="77777777" w:rsidR="00DA708F" w:rsidRPr="0009516C" w:rsidRDefault="00DA708F" w:rsidP="00107C1C">
            <w:pPr>
              <w:jc w:val="center"/>
            </w:pPr>
            <w:r w:rsidRPr="0009516C">
              <w:t>Turpmākie trīs gadi (</w:t>
            </w:r>
            <w:proofErr w:type="spellStart"/>
            <w:r w:rsidRPr="0009516C">
              <w:rPr>
                <w:i/>
              </w:rPr>
              <w:t>euro</w:t>
            </w:r>
            <w:proofErr w:type="spellEnd"/>
            <w:r w:rsidRPr="0009516C">
              <w:t>)</w:t>
            </w:r>
          </w:p>
        </w:tc>
      </w:tr>
      <w:tr w:rsidR="0009516C" w:rsidRPr="0009516C" w14:paraId="5789D37E" w14:textId="77777777" w:rsidTr="00E1600A">
        <w:trPr>
          <w:jc w:val="center"/>
        </w:trPr>
        <w:tc>
          <w:tcPr>
            <w:tcW w:w="2047" w:type="dxa"/>
            <w:vMerge/>
            <w:vAlign w:val="center"/>
          </w:tcPr>
          <w:p w14:paraId="42C1DC4E" w14:textId="77777777" w:rsidR="00DA708F" w:rsidRPr="0009516C" w:rsidRDefault="00DA708F" w:rsidP="00107C1C">
            <w:pPr>
              <w:jc w:val="center"/>
              <w:rPr>
                <w:b/>
                <w:i/>
              </w:rPr>
            </w:pPr>
          </w:p>
        </w:tc>
        <w:tc>
          <w:tcPr>
            <w:tcW w:w="2528" w:type="dxa"/>
            <w:gridSpan w:val="2"/>
            <w:vMerge/>
            <w:vAlign w:val="center"/>
          </w:tcPr>
          <w:p w14:paraId="222D68FD" w14:textId="77777777" w:rsidR="00DA708F" w:rsidRPr="0009516C" w:rsidRDefault="00DA708F" w:rsidP="00107C1C">
            <w:pPr>
              <w:jc w:val="center"/>
              <w:rPr>
                <w:b/>
                <w:i/>
              </w:rPr>
            </w:pPr>
          </w:p>
        </w:tc>
        <w:tc>
          <w:tcPr>
            <w:tcW w:w="2320" w:type="dxa"/>
            <w:gridSpan w:val="2"/>
            <w:vAlign w:val="center"/>
          </w:tcPr>
          <w:p w14:paraId="432184C8" w14:textId="77777777" w:rsidR="00DA708F" w:rsidRPr="0009516C" w:rsidRDefault="008C2D86" w:rsidP="00107C1C">
            <w:pPr>
              <w:jc w:val="center"/>
              <w:rPr>
                <w:b/>
                <w:i/>
              </w:rPr>
            </w:pPr>
            <w:r w:rsidRPr="0009516C">
              <w:rPr>
                <w:b/>
                <w:bCs/>
              </w:rPr>
              <w:t>2021</w:t>
            </w:r>
          </w:p>
        </w:tc>
        <w:tc>
          <w:tcPr>
            <w:tcW w:w="2298" w:type="dxa"/>
            <w:gridSpan w:val="2"/>
            <w:vAlign w:val="center"/>
          </w:tcPr>
          <w:p w14:paraId="77EFC272" w14:textId="77777777" w:rsidR="00DA708F" w:rsidRPr="0009516C" w:rsidRDefault="008C2D86" w:rsidP="00107C1C">
            <w:pPr>
              <w:jc w:val="center"/>
              <w:rPr>
                <w:b/>
                <w:bCs/>
              </w:rPr>
            </w:pPr>
            <w:r w:rsidRPr="0009516C">
              <w:rPr>
                <w:b/>
                <w:bCs/>
              </w:rPr>
              <w:t>2022</w:t>
            </w:r>
          </w:p>
        </w:tc>
        <w:tc>
          <w:tcPr>
            <w:tcW w:w="1150" w:type="dxa"/>
            <w:vAlign w:val="center"/>
          </w:tcPr>
          <w:p w14:paraId="44038ECB" w14:textId="77777777" w:rsidR="00DA708F" w:rsidRPr="0009516C" w:rsidRDefault="008C2D86" w:rsidP="00107C1C">
            <w:pPr>
              <w:jc w:val="center"/>
              <w:rPr>
                <w:b/>
                <w:bCs/>
              </w:rPr>
            </w:pPr>
            <w:r w:rsidRPr="0009516C">
              <w:rPr>
                <w:b/>
                <w:bCs/>
              </w:rPr>
              <w:t>2023</w:t>
            </w:r>
          </w:p>
        </w:tc>
      </w:tr>
      <w:tr w:rsidR="0009516C" w:rsidRPr="0009516C" w14:paraId="0B1D67EC" w14:textId="77777777" w:rsidTr="00E1600A">
        <w:trPr>
          <w:jc w:val="center"/>
        </w:trPr>
        <w:tc>
          <w:tcPr>
            <w:tcW w:w="2047" w:type="dxa"/>
            <w:vMerge/>
            <w:vAlign w:val="center"/>
          </w:tcPr>
          <w:p w14:paraId="5D836921" w14:textId="77777777" w:rsidR="00265934" w:rsidRPr="0009516C" w:rsidRDefault="00265934" w:rsidP="00107C1C">
            <w:pPr>
              <w:jc w:val="center"/>
              <w:rPr>
                <w:b/>
                <w:i/>
              </w:rPr>
            </w:pPr>
          </w:p>
        </w:tc>
        <w:tc>
          <w:tcPr>
            <w:tcW w:w="1123" w:type="dxa"/>
            <w:vAlign w:val="center"/>
          </w:tcPr>
          <w:p w14:paraId="15650775" w14:textId="001F54E2" w:rsidR="00265934" w:rsidRPr="0009516C" w:rsidRDefault="00265934" w:rsidP="00107C1C">
            <w:pPr>
              <w:jc w:val="center"/>
              <w:rPr>
                <w:b/>
                <w:i/>
              </w:rPr>
            </w:pPr>
            <w:r w:rsidRPr="0009516C">
              <w:t>saskaņā ar valsts budžetu kārtējam gadam</w:t>
            </w:r>
          </w:p>
        </w:tc>
        <w:tc>
          <w:tcPr>
            <w:tcW w:w="1405" w:type="dxa"/>
            <w:vAlign w:val="center"/>
          </w:tcPr>
          <w:p w14:paraId="5FDBDFA1" w14:textId="4989E7F1" w:rsidR="00265934" w:rsidRPr="0009516C" w:rsidRDefault="00265934" w:rsidP="00107C1C">
            <w:pPr>
              <w:jc w:val="center"/>
              <w:rPr>
                <w:b/>
                <w:i/>
              </w:rPr>
            </w:pPr>
            <w:r w:rsidRPr="0009516C">
              <w:t>izmaiņas kārtējā gadā, salīdzinot ar budžetu kārtējam gadam</w:t>
            </w:r>
          </w:p>
        </w:tc>
        <w:tc>
          <w:tcPr>
            <w:tcW w:w="1111" w:type="dxa"/>
            <w:vAlign w:val="center"/>
          </w:tcPr>
          <w:p w14:paraId="111F124F" w14:textId="240B02E7" w:rsidR="00265934" w:rsidRPr="0009516C" w:rsidRDefault="00265934" w:rsidP="00107C1C">
            <w:pPr>
              <w:jc w:val="center"/>
            </w:pPr>
            <w:r w:rsidRPr="0009516C">
              <w:t>saskaņā ar vidēja termiņa budžeta ietvaru</w:t>
            </w:r>
          </w:p>
        </w:tc>
        <w:tc>
          <w:tcPr>
            <w:tcW w:w="1209" w:type="dxa"/>
            <w:vAlign w:val="center"/>
          </w:tcPr>
          <w:p w14:paraId="6E599D60" w14:textId="77777777" w:rsidR="00265934" w:rsidRPr="0009516C" w:rsidRDefault="00265934" w:rsidP="00107C1C">
            <w:pPr>
              <w:jc w:val="center"/>
            </w:pPr>
            <w:r w:rsidRPr="0009516C">
              <w:t>izmaiņas, salīdzinot ar vidēja termiņa budžeta ietvaru 2021.</w:t>
            </w:r>
          </w:p>
          <w:p w14:paraId="6AE04936" w14:textId="7EF76195" w:rsidR="00265934" w:rsidRPr="0009516C" w:rsidRDefault="00265934" w:rsidP="00107C1C">
            <w:pPr>
              <w:jc w:val="center"/>
            </w:pPr>
            <w:r w:rsidRPr="0009516C">
              <w:t>gadam</w:t>
            </w:r>
          </w:p>
        </w:tc>
        <w:tc>
          <w:tcPr>
            <w:tcW w:w="1106" w:type="dxa"/>
            <w:vAlign w:val="center"/>
          </w:tcPr>
          <w:p w14:paraId="39658717" w14:textId="695023D4" w:rsidR="00265934" w:rsidRPr="0009516C" w:rsidRDefault="00265934" w:rsidP="00107C1C">
            <w:pPr>
              <w:jc w:val="center"/>
            </w:pPr>
            <w:r w:rsidRPr="0009516C">
              <w:t>saskaņā ar vidēja termiņa budžeta ietvaru</w:t>
            </w:r>
          </w:p>
        </w:tc>
        <w:tc>
          <w:tcPr>
            <w:tcW w:w="1192" w:type="dxa"/>
            <w:vAlign w:val="center"/>
          </w:tcPr>
          <w:p w14:paraId="12EF6955" w14:textId="77777777" w:rsidR="00265934" w:rsidRPr="0009516C" w:rsidRDefault="00265934" w:rsidP="00107C1C">
            <w:pPr>
              <w:jc w:val="center"/>
            </w:pPr>
            <w:r w:rsidRPr="0009516C">
              <w:t>izmaiņas, salīdzinot ar vidēja termiņa budžeta ietvaru 2022.</w:t>
            </w:r>
          </w:p>
          <w:p w14:paraId="1A50A356" w14:textId="05A8AE16" w:rsidR="00265934" w:rsidRPr="0009516C" w:rsidRDefault="00265934" w:rsidP="00107C1C">
            <w:pPr>
              <w:jc w:val="center"/>
            </w:pPr>
            <w:r w:rsidRPr="0009516C">
              <w:t>gadam</w:t>
            </w:r>
          </w:p>
        </w:tc>
        <w:tc>
          <w:tcPr>
            <w:tcW w:w="1150" w:type="dxa"/>
            <w:vAlign w:val="center"/>
          </w:tcPr>
          <w:p w14:paraId="1A1F803F" w14:textId="77777777" w:rsidR="00265934" w:rsidRPr="0009516C" w:rsidRDefault="00265934" w:rsidP="00107C1C">
            <w:pPr>
              <w:jc w:val="center"/>
            </w:pPr>
            <w:r w:rsidRPr="0009516C">
              <w:t>izmaiņas, salīdzinot ar vidēja termiņa budžeta ietvaru 2022.</w:t>
            </w:r>
          </w:p>
          <w:p w14:paraId="12BA2B57" w14:textId="4587A14A" w:rsidR="00265934" w:rsidRPr="0009516C" w:rsidRDefault="00265934" w:rsidP="00107C1C">
            <w:pPr>
              <w:jc w:val="center"/>
            </w:pPr>
            <w:r w:rsidRPr="0009516C">
              <w:t>gadam</w:t>
            </w:r>
          </w:p>
        </w:tc>
      </w:tr>
      <w:tr w:rsidR="0009516C" w:rsidRPr="0009516C" w14:paraId="30123253" w14:textId="77777777" w:rsidTr="00E1600A">
        <w:trPr>
          <w:jc w:val="center"/>
        </w:trPr>
        <w:tc>
          <w:tcPr>
            <w:tcW w:w="2047" w:type="dxa"/>
            <w:vAlign w:val="center"/>
          </w:tcPr>
          <w:p w14:paraId="02288EDF" w14:textId="77777777" w:rsidR="00DA708F" w:rsidRPr="0009516C" w:rsidRDefault="00DA708F" w:rsidP="00107C1C">
            <w:pPr>
              <w:jc w:val="center"/>
              <w:rPr>
                <w:bCs/>
              </w:rPr>
            </w:pPr>
            <w:r w:rsidRPr="0009516C">
              <w:rPr>
                <w:bCs/>
              </w:rPr>
              <w:t>1</w:t>
            </w:r>
          </w:p>
        </w:tc>
        <w:tc>
          <w:tcPr>
            <w:tcW w:w="1123" w:type="dxa"/>
            <w:vAlign w:val="center"/>
          </w:tcPr>
          <w:p w14:paraId="68FDB516" w14:textId="77777777" w:rsidR="00DA708F" w:rsidRPr="0009516C" w:rsidRDefault="00DA708F" w:rsidP="00107C1C">
            <w:pPr>
              <w:jc w:val="center"/>
              <w:rPr>
                <w:bCs/>
              </w:rPr>
            </w:pPr>
            <w:r w:rsidRPr="0009516C">
              <w:rPr>
                <w:bCs/>
              </w:rPr>
              <w:t>2</w:t>
            </w:r>
          </w:p>
        </w:tc>
        <w:tc>
          <w:tcPr>
            <w:tcW w:w="1405" w:type="dxa"/>
            <w:vAlign w:val="center"/>
          </w:tcPr>
          <w:p w14:paraId="6818F00C" w14:textId="77777777" w:rsidR="00DA708F" w:rsidRPr="0009516C" w:rsidRDefault="00DA708F" w:rsidP="00107C1C">
            <w:pPr>
              <w:jc w:val="center"/>
              <w:rPr>
                <w:bCs/>
              </w:rPr>
            </w:pPr>
            <w:r w:rsidRPr="0009516C">
              <w:rPr>
                <w:bCs/>
              </w:rPr>
              <w:t>3</w:t>
            </w:r>
          </w:p>
        </w:tc>
        <w:tc>
          <w:tcPr>
            <w:tcW w:w="1111" w:type="dxa"/>
            <w:vAlign w:val="center"/>
          </w:tcPr>
          <w:p w14:paraId="1FBDF226" w14:textId="77777777" w:rsidR="00DA708F" w:rsidRPr="0009516C" w:rsidRDefault="00DA708F" w:rsidP="00107C1C">
            <w:pPr>
              <w:jc w:val="center"/>
              <w:rPr>
                <w:bCs/>
              </w:rPr>
            </w:pPr>
            <w:r w:rsidRPr="0009516C">
              <w:rPr>
                <w:bCs/>
              </w:rPr>
              <w:t>4</w:t>
            </w:r>
          </w:p>
        </w:tc>
        <w:tc>
          <w:tcPr>
            <w:tcW w:w="1209" w:type="dxa"/>
            <w:vAlign w:val="center"/>
          </w:tcPr>
          <w:p w14:paraId="54FF63F6" w14:textId="77777777" w:rsidR="00DA708F" w:rsidRPr="0009516C" w:rsidRDefault="00DA708F" w:rsidP="00107C1C">
            <w:pPr>
              <w:jc w:val="center"/>
              <w:rPr>
                <w:bCs/>
              </w:rPr>
            </w:pPr>
            <w:r w:rsidRPr="0009516C">
              <w:rPr>
                <w:bCs/>
              </w:rPr>
              <w:t>5</w:t>
            </w:r>
          </w:p>
        </w:tc>
        <w:tc>
          <w:tcPr>
            <w:tcW w:w="1106" w:type="dxa"/>
            <w:vAlign w:val="center"/>
          </w:tcPr>
          <w:p w14:paraId="64AAAB22" w14:textId="77777777" w:rsidR="00DA708F" w:rsidRPr="0009516C" w:rsidRDefault="00DA708F" w:rsidP="00107C1C">
            <w:pPr>
              <w:jc w:val="center"/>
              <w:rPr>
                <w:bCs/>
              </w:rPr>
            </w:pPr>
            <w:r w:rsidRPr="0009516C">
              <w:rPr>
                <w:bCs/>
              </w:rPr>
              <w:t>6</w:t>
            </w:r>
          </w:p>
        </w:tc>
        <w:tc>
          <w:tcPr>
            <w:tcW w:w="1192" w:type="dxa"/>
          </w:tcPr>
          <w:p w14:paraId="02741E3B" w14:textId="77777777" w:rsidR="00DA708F" w:rsidRPr="0009516C" w:rsidRDefault="00DA708F" w:rsidP="00107C1C">
            <w:pPr>
              <w:jc w:val="center"/>
              <w:rPr>
                <w:bCs/>
              </w:rPr>
            </w:pPr>
            <w:r w:rsidRPr="0009516C">
              <w:rPr>
                <w:bCs/>
              </w:rPr>
              <w:t>7</w:t>
            </w:r>
          </w:p>
        </w:tc>
        <w:tc>
          <w:tcPr>
            <w:tcW w:w="1150" w:type="dxa"/>
          </w:tcPr>
          <w:p w14:paraId="3BB87FF8" w14:textId="77777777" w:rsidR="00DA708F" w:rsidRPr="0009516C" w:rsidRDefault="00DA708F" w:rsidP="00107C1C">
            <w:pPr>
              <w:jc w:val="center"/>
              <w:rPr>
                <w:bCs/>
              </w:rPr>
            </w:pPr>
            <w:r w:rsidRPr="0009516C">
              <w:rPr>
                <w:bCs/>
              </w:rPr>
              <w:t>8</w:t>
            </w:r>
          </w:p>
        </w:tc>
      </w:tr>
      <w:tr w:rsidR="0009516C" w:rsidRPr="0009516C" w14:paraId="13C8EA50" w14:textId="77777777" w:rsidTr="00E1600A">
        <w:trPr>
          <w:jc w:val="center"/>
        </w:trPr>
        <w:tc>
          <w:tcPr>
            <w:tcW w:w="2047" w:type="dxa"/>
          </w:tcPr>
          <w:p w14:paraId="452173D7" w14:textId="77777777" w:rsidR="00DA708F" w:rsidRPr="0009516C" w:rsidRDefault="00DA708F" w:rsidP="00107C1C">
            <w:pPr>
              <w:rPr>
                <w:i/>
              </w:rPr>
            </w:pPr>
            <w:r w:rsidRPr="0009516C">
              <w:t>1. Budžeta ieņēmumi:</w:t>
            </w:r>
          </w:p>
        </w:tc>
        <w:tc>
          <w:tcPr>
            <w:tcW w:w="1123" w:type="dxa"/>
          </w:tcPr>
          <w:p w14:paraId="2F65E935" w14:textId="77777777" w:rsidR="00DA708F" w:rsidRPr="0009516C" w:rsidRDefault="00DA708F" w:rsidP="00107C1C">
            <w:pPr>
              <w:jc w:val="center"/>
              <w:rPr>
                <w:b/>
              </w:rPr>
            </w:pPr>
            <w:r w:rsidRPr="0009516C">
              <w:rPr>
                <w:b/>
              </w:rPr>
              <w:t>0</w:t>
            </w:r>
          </w:p>
        </w:tc>
        <w:tc>
          <w:tcPr>
            <w:tcW w:w="1405" w:type="dxa"/>
          </w:tcPr>
          <w:p w14:paraId="73B05185" w14:textId="77777777" w:rsidR="00DA708F" w:rsidRPr="0009516C" w:rsidRDefault="00DA708F" w:rsidP="00107C1C">
            <w:pPr>
              <w:jc w:val="center"/>
              <w:rPr>
                <w:b/>
              </w:rPr>
            </w:pPr>
            <w:r w:rsidRPr="0009516C">
              <w:rPr>
                <w:b/>
              </w:rPr>
              <w:t>0</w:t>
            </w:r>
          </w:p>
        </w:tc>
        <w:tc>
          <w:tcPr>
            <w:tcW w:w="1111" w:type="dxa"/>
          </w:tcPr>
          <w:p w14:paraId="4E344F28" w14:textId="77777777" w:rsidR="00DA708F" w:rsidRPr="0009516C" w:rsidRDefault="00DA708F" w:rsidP="00107C1C">
            <w:pPr>
              <w:jc w:val="center"/>
              <w:rPr>
                <w:b/>
              </w:rPr>
            </w:pPr>
            <w:r w:rsidRPr="0009516C">
              <w:rPr>
                <w:b/>
              </w:rPr>
              <w:t>0</w:t>
            </w:r>
          </w:p>
        </w:tc>
        <w:tc>
          <w:tcPr>
            <w:tcW w:w="1209" w:type="dxa"/>
          </w:tcPr>
          <w:p w14:paraId="47CD847A" w14:textId="77777777" w:rsidR="00DA708F" w:rsidRPr="0009516C" w:rsidRDefault="00DA708F" w:rsidP="00107C1C">
            <w:pPr>
              <w:jc w:val="center"/>
              <w:rPr>
                <w:b/>
              </w:rPr>
            </w:pPr>
            <w:r w:rsidRPr="0009516C">
              <w:rPr>
                <w:b/>
              </w:rPr>
              <w:t>0</w:t>
            </w:r>
          </w:p>
        </w:tc>
        <w:tc>
          <w:tcPr>
            <w:tcW w:w="1106" w:type="dxa"/>
          </w:tcPr>
          <w:p w14:paraId="32601915" w14:textId="77777777" w:rsidR="00DA708F" w:rsidRPr="0009516C" w:rsidRDefault="00DA708F" w:rsidP="00107C1C">
            <w:pPr>
              <w:jc w:val="center"/>
              <w:rPr>
                <w:b/>
              </w:rPr>
            </w:pPr>
            <w:r w:rsidRPr="0009516C">
              <w:rPr>
                <w:b/>
              </w:rPr>
              <w:t>0</w:t>
            </w:r>
          </w:p>
        </w:tc>
        <w:tc>
          <w:tcPr>
            <w:tcW w:w="1192" w:type="dxa"/>
          </w:tcPr>
          <w:p w14:paraId="2BAF0F86" w14:textId="77777777" w:rsidR="00DA708F" w:rsidRPr="0009516C" w:rsidRDefault="00DA708F" w:rsidP="00107C1C">
            <w:pPr>
              <w:jc w:val="center"/>
              <w:rPr>
                <w:b/>
              </w:rPr>
            </w:pPr>
            <w:r w:rsidRPr="0009516C">
              <w:rPr>
                <w:b/>
              </w:rPr>
              <w:t>0</w:t>
            </w:r>
          </w:p>
        </w:tc>
        <w:tc>
          <w:tcPr>
            <w:tcW w:w="1150" w:type="dxa"/>
          </w:tcPr>
          <w:p w14:paraId="75F359CC" w14:textId="77777777" w:rsidR="00DA708F" w:rsidRPr="0009516C" w:rsidRDefault="00DA708F" w:rsidP="00107C1C">
            <w:pPr>
              <w:jc w:val="center"/>
              <w:rPr>
                <w:b/>
              </w:rPr>
            </w:pPr>
            <w:r w:rsidRPr="0009516C">
              <w:rPr>
                <w:b/>
              </w:rPr>
              <w:t>0</w:t>
            </w:r>
          </w:p>
        </w:tc>
      </w:tr>
      <w:tr w:rsidR="00E1600A" w:rsidRPr="0009516C" w14:paraId="0FB39F8E" w14:textId="77777777" w:rsidTr="00E1600A">
        <w:trPr>
          <w:jc w:val="center"/>
        </w:trPr>
        <w:tc>
          <w:tcPr>
            <w:tcW w:w="2047" w:type="dxa"/>
          </w:tcPr>
          <w:p w14:paraId="1DD1B4A3" w14:textId="77777777" w:rsidR="00E1600A" w:rsidRPr="0009516C" w:rsidRDefault="00E1600A" w:rsidP="00107C1C">
            <w:pPr>
              <w:rPr>
                <w:i/>
              </w:rPr>
            </w:pPr>
            <w:r w:rsidRPr="0009516C">
              <w:lastRenderedPageBreak/>
              <w:t>1.1. valsts pamatbudžets, tai skaitā ieņēmumi no maksas pakalpojumiem un citi pašu ieņēmumi</w:t>
            </w:r>
          </w:p>
        </w:tc>
        <w:tc>
          <w:tcPr>
            <w:tcW w:w="1123" w:type="dxa"/>
          </w:tcPr>
          <w:p w14:paraId="110BA630" w14:textId="5067EEF2" w:rsidR="00E1600A" w:rsidRPr="0009516C" w:rsidRDefault="00E1600A" w:rsidP="00107C1C">
            <w:pPr>
              <w:jc w:val="center"/>
              <w:rPr>
                <w:i/>
              </w:rPr>
            </w:pPr>
            <w:r w:rsidRPr="004A508E">
              <w:rPr>
                <w:i/>
              </w:rPr>
              <w:t>0</w:t>
            </w:r>
          </w:p>
        </w:tc>
        <w:tc>
          <w:tcPr>
            <w:tcW w:w="1405" w:type="dxa"/>
          </w:tcPr>
          <w:p w14:paraId="06F3322B" w14:textId="28BBD92B" w:rsidR="00E1600A" w:rsidRPr="0009516C" w:rsidRDefault="00E1600A" w:rsidP="00107C1C">
            <w:pPr>
              <w:jc w:val="center"/>
              <w:rPr>
                <w:i/>
              </w:rPr>
            </w:pPr>
            <w:r w:rsidRPr="004A508E">
              <w:rPr>
                <w:i/>
              </w:rPr>
              <w:t>0</w:t>
            </w:r>
          </w:p>
        </w:tc>
        <w:tc>
          <w:tcPr>
            <w:tcW w:w="1111" w:type="dxa"/>
          </w:tcPr>
          <w:p w14:paraId="3AD84DF9" w14:textId="0DB07A38" w:rsidR="00E1600A" w:rsidRPr="0009516C" w:rsidRDefault="00E1600A" w:rsidP="00107C1C">
            <w:pPr>
              <w:jc w:val="center"/>
              <w:rPr>
                <w:i/>
              </w:rPr>
            </w:pPr>
            <w:r w:rsidRPr="004A508E">
              <w:rPr>
                <w:i/>
              </w:rPr>
              <w:t>0</w:t>
            </w:r>
          </w:p>
        </w:tc>
        <w:tc>
          <w:tcPr>
            <w:tcW w:w="1209" w:type="dxa"/>
          </w:tcPr>
          <w:p w14:paraId="173425B2" w14:textId="220F8539" w:rsidR="00E1600A" w:rsidRPr="0009516C" w:rsidRDefault="00E1600A" w:rsidP="00107C1C">
            <w:pPr>
              <w:jc w:val="center"/>
              <w:rPr>
                <w:i/>
              </w:rPr>
            </w:pPr>
            <w:r w:rsidRPr="004A508E">
              <w:rPr>
                <w:i/>
              </w:rPr>
              <w:t>0</w:t>
            </w:r>
          </w:p>
        </w:tc>
        <w:tc>
          <w:tcPr>
            <w:tcW w:w="1106" w:type="dxa"/>
          </w:tcPr>
          <w:p w14:paraId="4696E825" w14:textId="4DEF5915" w:rsidR="00E1600A" w:rsidRPr="0009516C" w:rsidRDefault="00E1600A" w:rsidP="00107C1C">
            <w:pPr>
              <w:jc w:val="center"/>
              <w:rPr>
                <w:i/>
              </w:rPr>
            </w:pPr>
            <w:r w:rsidRPr="004A508E">
              <w:rPr>
                <w:i/>
              </w:rPr>
              <w:t>0</w:t>
            </w:r>
          </w:p>
        </w:tc>
        <w:tc>
          <w:tcPr>
            <w:tcW w:w="1192" w:type="dxa"/>
          </w:tcPr>
          <w:p w14:paraId="26549C0C" w14:textId="54A72CB1" w:rsidR="00E1600A" w:rsidRPr="0009516C" w:rsidRDefault="00E1600A" w:rsidP="00107C1C">
            <w:pPr>
              <w:jc w:val="center"/>
              <w:rPr>
                <w:i/>
              </w:rPr>
            </w:pPr>
            <w:r w:rsidRPr="004A508E">
              <w:rPr>
                <w:i/>
              </w:rPr>
              <w:t>0</w:t>
            </w:r>
          </w:p>
        </w:tc>
        <w:tc>
          <w:tcPr>
            <w:tcW w:w="1150" w:type="dxa"/>
          </w:tcPr>
          <w:p w14:paraId="16F35293" w14:textId="7CDA7EF0" w:rsidR="00E1600A" w:rsidRPr="0009516C" w:rsidRDefault="00E1600A" w:rsidP="00107C1C">
            <w:pPr>
              <w:jc w:val="center"/>
              <w:rPr>
                <w:i/>
              </w:rPr>
            </w:pPr>
            <w:r w:rsidRPr="004A508E">
              <w:rPr>
                <w:i/>
              </w:rPr>
              <w:t>0</w:t>
            </w:r>
          </w:p>
        </w:tc>
      </w:tr>
      <w:tr w:rsidR="00E1600A" w:rsidRPr="0009516C" w14:paraId="3FD3E7F1" w14:textId="77777777" w:rsidTr="00E1600A">
        <w:trPr>
          <w:jc w:val="center"/>
        </w:trPr>
        <w:tc>
          <w:tcPr>
            <w:tcW w:w="2047" w:type="dxa"/>
          </w:tcPr>
          <w:p w14:paraId="78FCCF5E" w14:textId="77777777" w:rsidR="00E1600A" w:rsidRPr="0009516C" w:rsidRDefault="00E1600A" w:rsidP="00107C1C">
            <w:pPr>
              <w:rPr>
                <w:i/>
              </w:rPr>
            </w:pPr>
            <w:r w:rsidRPr="0009516C">
              <w:t>1.2. valsts speciālais budžets</w:t>
            </w:r>
          </w:p>
        </w:tc>
        <w:tc>
          <w:tcPr>
            <w:tcW w:w="1123" w:type="dxa"/>
          </w:tcPr>
          <w:p w14:paraId="15AC3F9D" w14:textId="3E46A0F1" w:rsidR="00E1600A" w:rsidRPr="0009516C" w:rsidRDefault="00E1600A" w:rsidP="00107C1C">
            <w:pPr>
              <w:jc w:val="center"/>
            </w:pPr>
            <w:r w:rsidRPr="004A508E">
              <w:rPr>
                <w:i/>
              </w:rPr>
              <w:t>0</w:t>
            </w:r>
          </w:p>
        </w:tc>
        <w:tc>
          <w:tcPr>
            <w:tcW w:w="1405" w:type="dxa"/>
          </w:tcPr>
          <w:p w14:paraId="0C112442" w14:textId="49870A0E" w:rsidR="00E1600A" w:rsidRPr="0009516C" w:rsidRDefault="00E1600A" w:rsidP="00107C1C">
            <w:pPr>
              <w:jc w:val="center"/>
            </w:pPr>
            <w:r w:rsidRPr="004A508E">
              <w:rPr>
                <w:i/>
              </w:rPr>
              <w:t>0</w:t>
            </w:r>
          </w:p>
        </w:tc>
        <w:tc>
          <w:tcPr>
            <w:tcW w:w="1111" w:type="dxa"/>
          </w:tcPr>
          <w:p w14:paraId="08A8B0A0" w14:textId="464D6147" w:rsidR="00E1600A" w:rsidRPr="0009516C" w:rsidRDefault="00E1600A" w:rsidP="00107C1C">
            <w:pPr>
              <w:jc w:val="center"/>
            </w:pPr>
            <w:r w:rsidRPr="004A508E">
              <w:rPr>
                <w:i/>
              </w:rPr>
              <w:t>0</w:t>
            </w:r>
          </w:p>
        </w:tc>
        <w:tc>
          <w:tcPr>
            <w:tcW w:w="1209" w:type="dxa"/>
          </w:tcPr>
          <w:p w14:paraId="4A8CA9E3" w14:textId="4876A596" w:rsidR="00E1600A" w:rsidRPr="0009516C" w:rsidRDefault="00E1600A" w:rsidP="00107C1C">
            <w:pPr>
              <w:jc w:val="center"/>
            </w:pPr>
            <w:r w:rsidRPr="004A508E">
              <w:rPr>
                <w:i/>
              </w:rPr>
              <w:t>0</w:t>
            </w:r>
          </w:p>
        </w:tc>
        <w:tc>
          <w:tcPr>
            <w:tcW w:w="1106" w:type="dxa"/>
          </w:tcPr>
          <w:p w14:paraId="115E5969" w14:textId="72396C24" w:rsidR="00E1600A" w:rsidRPr="0009516C" w:rsidRDefault="00E1600A" w:rsidP="00107C1C">
            <w:pPr>
              <w:jc w:val="center"/>
            </w:pPr>
            <w:r w:rsidRPr="004A508E">
              <w:rPr>
                <w:i/>
              </w:rPr>
              <w:t>0</w:t>
            </w:r>
          </w:p>
        </w:tc>
        <w:tc>
          <w:tcPr>
            <w:tcW w:w="1192" w:type="dxa"/>
          </w:tcPr>
          <w:p w14:paraId="6B98D2DB" w14:textId="2C6A61C3" w:rsidR="00E1600A" w:rsidRPr="0009516C" w:rsidRDefault="00E1600A" w:rsidP="00107C1C">
            <w:pPr>
              <w:jc w:val="center"/>
            </w:pPr>
            <w:r w:rsidRPr="004A508E">
              <w:rPr>
                <w:i/>
              </w:rPr>
              <w:t>0</w:t>
            </w:r>
          </w:p>
        </w:tc>
        <w:tc>
          <w:tcPr>
            <w:tcW w:w="1150" w:type="dxa"/>
          </w:tcPr>
          <w:p w14:paraId="60DE00DC" w14:textId="6544A782" w:rsidR="00E1600A" w:rsidRPr="0009516C" w:rsidRDefault="00E1600A" w:rsidP="00107C1C">
            <w:pPr>
              <w:jc w:val="center"/>
            </w:pPr>
            <w:r w:rsidRPr="004A508E">
              <w:rPr>
                <w:i/>
              </w:rPr>
              <w:t>0</w:t>
            </w:r>
          </w:p>
        </w:tc>
      </w:tr>
      <w:tr w:rsidR="00E1600A" w:rsidRPr="0009516C" w14:paraId="3BF23EE2" w14:textId="77777777" w:rsidTr="00E1600A">
        <w:trPr>
          <w:jc w:val="center"/>
        </w:trPr>
        <w:tc>
          <w:tcPr>
            <w:tcW w:w="2047" w:type="dxa"/>
          </w:tcPr>
          <w:p w14:paraId="3F75D13B" w14:textId="77777777" w:rsidR="00E1600A" w:rsidRPr="0009516C" w:rsidRDefault="00E1600A" w:rsidP="00107C1C">
            <w:pPr>
              <w:rPr>
                <w:i/>
              </w:rPr>
            </w:pPr>
            <w:r w:rsidRPr="0009516C">
              <w:t>1.3. pašvaldību budžets</w:t>
            </w:r>
          </w:p>
        </w:tc>
        <w:tc>
          <w:tcPr>
            <w:tcW w:w="1123" w:type="dxa"/>
          </w:tcPr>
          <w:p w14:paraId="25E8A59E" w14:textId="36990E06" w:rsidR="00E1600A" w:rsidRPr="0009516C" w:rsidRDefault="00E1600A" w:rsidP="00107C1C">
            <w:pPr>
              <w:jc w:val="center"/>
            </w:pPr>
            <w:r w:rsidRPr="004A508E">
              <w:rPr>
                <w:i/>
              </w:rPr>
              <w:t>0</w:t>
            </w:r>
          </w:p>
        </w:tc>
        <w:tc>
          <w:tcPr>
            <w:tcW w:w="1405" w:type="dxa"/>
          </w:tcPr>
          <w:p w14:paraId="6926686D" w14:textId="5C99A735" w:rsidR="00E1600A" w:rsidRPr="0009516C" w:rsidRDefault="00E1600A" w:rsidP="00107C1C">
            <w:pPr>
              <w:jc w:val="center"/>
            </w:pPr>
            <w:r w:rsidRPr="004A508E">
              <w:rPr>
                <w:i/>
              </w:rPr>
              <w:t>0</w:t>
            </w:r>
          </w:p>
        </w:tc>
        <w:tc>
          <w:tcPr>
            <w:tcW w:w="1111" w:type="dxa"/>
          </w:tcPr>
          <w:p w14:paraId="01810920" w14:textId="2199BDB5" w:rsidR="00E1600A" w:rsidRPr="0009516C" w:rsidRDefault="00E1600A" w:rsidP="00107C1C">
            <w:pPr>
              <w:jc w:val="center"/>
            </w:pPr>
            <w:r w:rsidRPr="004A508E">
              <w:rPr>
                <w:i/>
              </w:rPr>
              <w:t>0</w:t>
            </w:r>
          </w:p>
        </w:tc>
        <w:tc>
          <w:tcPr>
            <w:tcW w:w="1209" w:type="dxa"/>
          </w:tcPr>
          <w:p w14:paraId="4E47B6D6" w14:textId="0ABB4915" w:rsidR="00E1600A" w:rsidRPr="0009516C" w:rsidRDefault="00E1600A" w:rsidP="00107C1C">
            <w:pPr>
              <w:jc w:val="center"/>
            </w:pPr>
            <w:r w:rsidRPr="004A508E">
              <w:rPr>
                <w:i/>
              </w:rPr>
              <w:t>0</w:t>
            </w:r>
          </w:p>
        </w:tc>
        <w:tc>
          <w:tcPr>
            <w:tcW w:w="1106" w:type="dxa"/>
          </w:tcPr>
          <w:p w14:paraId="303E2203" w14:textId="1FF6A867" w:rsidR="00E1600A" w:rsidRPr="0009516C" w:rsidRDefault="00E1600A" w:rsidP="00107C1C">
            <w:pPr>
              <w:jc w:val="center"/>
            </w:pPr>
            <w:r w:rsidRPr="004A508E">
              <w:rPr>
                <w:i/>
              </w:rPr>
              <w:t>0</w:t>
            </w:r>
          </w:p>
        </w:tc>
        <w:tc>
          <w:tcPr>
            <w:tcW w:w="1192" w:type="dxa"/>
          </w:tcPr>
          <w:p w14:paraId="5AAB8C1A" w14:textId="0835390E" w:rsidR="00E1600A" w:rsidRPr="0009516C" w:rsidRDefault="00E1600A" w:rsidP="00107C1C">
            <w:pPr>
              <w:jc w:val="center"/>
            </w:pPr>
            <w:r w:rsidRPr="004A508E">
              <w:rPr>
                <w:i/>
              </w:rPr>
              <w:t>0</w:t>
            </w:r>
          </w:p>
        </w:tc>
        <w:tc>
          <w:tcPr>
            <w:tcW w:w="1150" w:type="dxa"/>
          </w:tcPr>
          <w:p w14:paraId="022AB86F" w14:textId="15DB1CD7" w:rsidR="00E1600A" w:rsidRPr="0009516C" w:rsidRDefault="00E1600A" w:rsidP="00107C1C">
            <w:pPr>
              <w:jc w:val="center"/>
            </w:pPr>
            <w:r w:rsidRPr="004A508E">
              <w:rPr>
                <w:i/>
              </w:rPr>
              <w:t>0</w:t>
            </w:r>
          </w:p>
        </w:tc>
      </w:tr>
      <w:tr w:rsidR="0009516C" w:rsidRPr="0009516C" w14:paraId="2BFA35C4" w14:textId="77777777" w:rsidTr="00E1600A">
        <w:trPr>
          <w:jc w:val="center"/>
        </w:trPr>
        <w:tc>
          <w:tcPr>
            <w:tcW w:w="2047" w:type="dxa"/>
          </w:tcPr>
          <w:p w14:paraId="576345A9" w14:textId="77777777" w:rsidR="00DA708F" w:rsidRPr="0009516C" w:rsidRDefault="00DA708F" w:rsidP="00107C1C">
            <w:r w:rsidRPr="0009516C">
              <w:t>2. Budžeta izdevumi:</w:t>
            </w:r>
          </w:p>
        </w:tc>
        <w:tc>
          <w:tcPr>
            <w:tcW w:w="1123" w:type="dxa"/>
          </w:tcPr>
          <w:p w14:paraId="167441E8" w14:textId="77777777" w:rsidR="00DA708F" w:rsidRPr="0009516C" w:rsidRDefault="00DA708F" w:rsidP="00107C1C">
            <w:pPr>
              <w:jc w:val="center"/>
              <w:rPr>
                <w:b/>
              </w:rPr>
            </w:pPr>
            <w:r w:rsidRPr="0009516C">
              <w:rPr>
                <w:b/>
              </w:rPr>
              <w:t>0</w:t>
            </w:r>
          </w:p>
        </w:tc>
        <w:tc>
          <w:tcPr>
            <w:tcW w:w="1405" w:type="dxa"/>
          </w:tcPr>
          <w:p w14:paraId="05112F23" w14:textId="4FF6FFC3" w:rsidR="00DA708F" w:rsidRPr="0009516C" w:rsidRDefault="00107C1C" w:rsidP="00107C1C">
            <w:pPr>
              <w:jc w:val="center"/>
              <w:rPr>
                <w:b/>
              </w:rPr>
            </w:pPr>
            <w:r>
              <w:rPr>
                <w:b/>
              </w:rPr>
              <w:t>0</w:t>
            </w:r>
          </w:p>
        </w:tc>
        <w:tc>
          <w:tcPr>
            <w:tcW w:w="1111" w:type="dxa"/>
          </w:tcPr>
          <w:p w14:paraId="7F49FA9F" w14:textId="77777777" w:rsidR="00DA708F" w:rsidRPr="0009516C" w:rsidRDefault="00DA708F" w:rsidP="00107C1C">
            <w:pPr>
              <w:jc w:val="center"/>
              <w:rPr>
                <w:b/>
              </w:rPr>
            </w:pPr>
            <w:r w:rsidRPr="0009516C">
              <w:rPr>
                <w:b/>
              </w:rPr>
              <w:t>0</w:t>
            </w:r>
          </w:p>
        </w:tc>
        <w:tc>
          <w:tcPr>
            <w:tcW w:w="1209" w:type="dxa"/>
          </w:tcPr>
          <w:p w14:paraId="5420ACB5" w14:textId="4BF3E5F6" w:rsidR="00DA708F" w:rsidRPr="0009516C" w:rsidRDefault="00107C1C" w:rsidP="00107C1C">
            <w:pPr>
              <w:jc w:val="center"/>
              <w:rPr>
                <w:b/>
              </w:rPr>
            </w:pPr>
            <w:r>
              <w:rPr>
                <w:b/>
              </w:rPr>
              <w:t>55 600</w:t>
            </w:r>
          </w:p>
        </w:tc>
        <w:tc>
          <w:tcPr>
            <w:tcW w:w="1106" w:type="dxa"/>
          </w:tcPr>
          <w:p w14:paraId="048E7AD8" w14:textId="77777777" w:rsidR="00DA708F" w:rsidRPr="0009516C" w:rsidRDefault="00DA708F" w:rsidP="00107C1C">
            <w:pPr>
              <w:jc w:val="center"/>
              <w:rPr>
                <w:b/>
              </w:rPr>
            </w:pPr>
            <w:r w:rsidRPr="0009516C">
              <w:rPr>
                <w:b/>
              </w:rPr>
              <w:t>0</w:t>
            </w:r>
          </w:p>
        </w:tc>
        <w:tc>
          <w:tcPr>
            <w:tcW w:w="1192" w:type="dxa"/>
          </w:tcPr>
          <w:p w14:paraId="690B50D6" w14:textId="77777777" w:rsidR="00DA708F" w:rsidRPr="0009516C" w:rsidRDefault="00DA708F" w:rsidP="00107C1C">
            <w:pPr>
              <w:jc w:val="center"/>
              <w:rPr>
                <w:b/>
              </w:rPr>
            </w:pPr>
            <w:r w:rsidRPr="0009516C">
              <w:rPr>
                <w:b/>
              </w:rPr>
              <w:t>0</w:t>
            </w:r>
          </w:p>
        </w:tc>
        <w:tc>
          <w:tcPr>
            <w:tcW w:w="1150" w:type="dxa"/>
          </w:tcPr>
          <w:p w14:paraId="72290D90" w14:textId="77777777" w:rsidR="00DA708F" w:rsidRPr="0009516C" w:rsidRDefault="00DA708F" w:rsidP="00107C1C">
            <w:pPr>
              <w:jc w:val="center"/>
              <w:rPr>
                <w:b/>
              </w:rPr>
            </w:pPr>
            <w:r w:rsidRPr="0009516C">
              <w:rPr>
                <w:b/>
              </w:rPr>
              <w:t>0</w:t>
            </w:r>
          </w:p>
        </w:tc>
      </w:tr>
      <w:tr w:rsidR="0009516C" w:rsidRPr="0009516C" w14:paraId="4725DAAC" w14:textId="77777777" w:rsidTr="00E1600A">
        <w:trPr>
          <w:jc w:val="center"/>
        </w:trPr>
        <w:tc>
          <w:tcPr>
            <w:tcW w:w="2047" w:type="dxa"/>
          </w:tcPr>
          <w:p w14:paraId="38ED5BC6" w14:textId="77777777" w:rsidR="00DA708F" w:rsidRPr="0009516C" w:rsidRDefault="00DA708F" w:rsidP="00107C1C">
            <w:r w:rsidRPr="0009516C">
              <w:t>2.1. valsts pamatbudžets</w:t>
            </w:r>
          </w:p>
        </w:tc>
        <w:tc>
          <w:tcPr>
            <w:tcW w:w="1123" w:type="dxa"/>
          </w:tcPr>
          <w:p w14:paraId="04E67DEB" w14:textId="77777777" w:rsidR="00DA708F" w:rsidRPr="0009516C" w:rsidRDefault="00DA708F" w:rsidP="00107C1C">
            <w:pPr>
              <w:jc w:val="center"/>
              <w:rPr>
                <w:i/>
              </w:rPr>
            </w:pPr>
            <w:r w:rsidRPr="0009516C">
              <w:rPr>
                <w:i/>
              </w:rPr>
              <w:t>0</w:t>
            </w:r>
          </w:p>
        </w:tc>
        <w:tc>
          <w:tcPr>
            <w:tcW w:w="1405" w:type="dxa"/>
          </w:tcPr>
          <w:p w14:paraId="197962AF" w14:textId="2FD267A1" w:rsidR="00DA708F" w:rsidRPr="0009516C" w:rsidRDefault="00107C1C" w:rsidP="00107C1C">
            <w:pPr>
              <w:jc w:val="center"/>
              <w:rPr>
                <w:i/>
              </w:rPr>
            </w:pPr>
            <w:r>
              <w:rPr>
                <w:i/>
              </w:rPr>
              <w:t>0</w:t>
            </w:r>
          </w:p>
        </w:tc>
        <w:tc>
          <w:tcPr>
            <w:tcW w:w="1111" w:type="dxa"/>
          </w:tcPr>
          <w:p w14:paraId="60CBA3E5" w14:textId="77777777" w:rsidR="00DA708F" w:rsidRPr="0009516C" w:rsidRDefault="00DA708F" w:rsidP="00107C1C">
            <w:pPr>
              <w:jc w:val="center"/>
              <w:rPr>
                <w:i/>
              </w:rPr>
            </w:pPr>
            <w:r w:rsidRPr="0009516C">
              <w:rPr>
                <w:i/>
              </w:rPr>
              <w:t>0</w:t>
            </w:r>
          </w:p>
        </w:tc>
        <w:tc>
          <w:tcPr>
            <w:tcW w:w="1209" w:type="dxa"/>
          </w:tcPr>
          <w:p w14:paraId="7F5B7D9A" w14:textId="26EEE458" w:rsidR="00DA708F" w:rsidRPr="0009516C" w:rsidRDefault="00107C1C" w:rsidP="00107C1C">
            <w:pPr>
              <w:jc w:val="center"/>
              <w:rPr>
                <w:i/>
              </w:rPr>
            </w:pPr>
            <w:r>
              <w:rPr>
                <w:i/>
              </w:rPr>
              <w:t>55 600</w:t>
            </w:r>
          </w:p>
        </w:tc>
        <w:tc>
          <w:tcPr>
            <w:tcW w:w="1106" w:type="dxa"/>
          </w:tcPr>
          <w:p w14:paraId="73EE6EFC" w14:textId="77777777" w:rsidR="00DA708F" w:rsidRPr="0009516C" w:rsidRDefault="00DA708F" w:rsidP="00107C1C">
            <w:pPr>
              <w:jc w:val="center"/>
              <w:rPr>
                <w:i/>
              </w:rPr>
            </w:pPr>
            <w:r w:rsidRPr="0009516C">
              <w:rPr>
                <w:i/>
              </w:rPr>
              <w:t>0</w:t>
            </w:r>
          </w:p>
        </w:tc>
        <w:tc>
          <w:tcPr>
            <w:tcW w:w="1192" w:type="dxa"/>
          </w:tcPr>
          <w:p w14:paraId="1D24A512" w14:textId="77777777" w:rsidR="00DA708F" w:rsidRPr="0009516C" w:rsidRDefault="00DA708F" w:rsidP="00107C1C">
            <w:pPr>
              <w:jc w:val="center"/>
              <w:rPr>
                <w:i/>
              </w:rPr>
            </w:pPr>
            <w:r w:rsidRPr="0009516C">
              <w:rPr>
                <w:i/>
              </w:rPr>
              <w:t>0</w:t>
            </w:r>
          </w:p>
        </w:tc>
        <w:tc>
          <w:tcPr>
            <w:tcW w:w="1150" w:type="dxa"/>
          </w:tcPr>
          <w:p w14:paraId="21DD7031" w14:textId="77777777" w:rsidR="00DA708F" w:rsidRPr="0009516C" w:rsidRDefault="00DA708F" w:rsidP="00107C1C">
            <w:pPr>
              <w:jc w:val="center"/>
              <w:rPr>
                <w:i/>
              </w:rPr>
            </w:pPr>
            <w:r w:rsidRPr="0009516C">
              <w:rPr>
                <w:i/>
              </w:rPr>
              <w:t>0</w:t>
            </w:r>
          </w:p>
        </w:tc>
      </w:tr>
      <w:tr w:rsidR="00E1600A" w:rsidRPr="0009516C" w14:paraId="5715E9BE" w14:textId="77777777" w:rsidTr="00E1600A">
        <w:trPr>
          <w:jc w:val="center"/>
        </w:trPr>
        <w:tc>
          <w:tcPr>
            <w:tcW w:w="2047" w:type="dxa"/>
          </w:tcPr>
          <w:p w14:paraId="1242CE48" w14:textId="77777777" w:rsidR="00E1600A" w:rsidRPr="0009516C" w:rsidRDefault="00E1600A" w:rsidP="00107C1C">
            <w:r w:rsidRPr="0009516C">
              <w:t>2.2. valsts speciālais budžets</w:t>
            </w:r>
          </w:p>
        </w:tc>
        <w:tc>
          <w:tcPr>
            <w:tcW w:w="1123" w:type="dxa"/>
          </w:tcPr>
          <w:p w14:paraId="27F052CF" w14:textId="434DA955" w:rsidR="00E1600A" w:rsidRPr="0009516C" w:rsidRDefault="00E1600A" w:rsidP="00107C1C">
            <w:pPr>
              <w:jc w:val="center"/>
            </w:pPr>
            <w:r w:rsidRPr="00FC2908">
              <w:rPr>
                <w:i/>
              </w:rPr>
              <w:t>0</w:t>
            </w:r>
          </w:p>
        </w:tc>
        <w:tc>
          <w:tcPr>
            <w:tcW w:w="1405" w:type="dxa"/>
          </w:tcPr>
          <w:p w14:paraId="49A5A0F2" w14:textId="06DDB7D8" w:rsidR="00E1600A" w:rsidRPr="0009516C" w:rsidRDefault="00E1600A" w:rsidP="00107C1C">
            <w:pPr>
              <w:jc w:val="center"/>
            </w:pPr>
            <w:r w:rsidRPr="00FC2908">
              <w:rPr>
                <w:i/>
              </w:rPr>
              <w:t>0</w:t>
            </w:r>
          </w:p>
        </w:tc>
        <w:tc>
          <w:tcPr>
            <w:tcW w:w="1111" w:type="dxa"/>
          </w:tcPr>
          <w:p w14:paraId="721C4445" w14:textId="4845F196" w:rsidR="00E1600A" w:rsidRPr="0009516C" w:rsidRDefault="00E1600A" w:rsidP="00107C1C">
            <w:pPr>
              <w:jc w:val="center"/>
            </w:pPr>
            <w:r w:rsidRPr="00FC2908">
              <w:rPr>
                <w:i/>
              </w:rPr>
              <w:t>0</w:t>
            </w:r>
          </w:p>
        </w:tc>
        <w:tc>
          <w:tcPr>
            <w:tcW w:w="1209" w:type="dxa"/>
          </w:tcPr>
          <w:p w14:paraId="4173FB89" w14:textId="662D2354" w:rsidR="00E1600A" w:rsidRPr="0009516C" w:rsidRDefault="00E1600A" w:rsidP="00107C1C">
            <w:pPr>
              <w:jc w:val="center"/>
            </w:pPr>
            <w:r w:rsidRPr="00FC2908">
              <w:rPr>
                <w:i/>
              </w:rPr>
              <w:t>0</w:t>
            </w:r>
          </w:p>
        </w:tc>
        <w:tc>
          <w:tcPr>
            <w:tcW w:w="1106" w:type="dxa"/>
          </w:tcPr>
          <w:p w14:paraId="198582F9" w14:textId="6587257A" w:rsidR="00E1600A" w:rsidRPr="0009516C" w:rsidRDefault="00E1600A" w:rsidP="00107C1C">
            <w:pPr>
              <w:jc w:val="center"/>
            </w:pPr>
            <w:r w:rsidRPr="00FC2908">
              <w:rPr>
                <w:i/>
              </w:rPr>
              <w:t>0</w:t>
            </w:r>
          </w:p>
        </w:tc>
        <w:tc>
          <w:tcPr>
            <w:tcW w:w="1192" w:type="dxa"/>
          </w:tcPr>
          <w:p w14:paraId="31FE59E2" w14:textId="2DE99169" w:rsidR="00E1600A" w:rsidRPr="0009516C" w:rsidRDefault="00E1600A" w:rsidP="00107C1C">
            <w:pPr>
              <w:jc w:val="center"/>
            </w:pPr>
            <w:r w:rsidRPr="00FC2908">
              <w:rPr>
                <w:i/>
              </w:rPr>
              <w:t>0</w:t>
            </w:r>
          </w:p>
        </w:tc>
        <w:tc>
          <w:tcPr>
            <w:tcW w:w="1150" w:type="dxa"/>
          </w:tcPr>
          <w:p w14:paraId="05CAFB43" w14:textId="5D819676" w:rsidR="00E1600A" w:rsidRPr="0009516C" w:rsidRDefault="00E1600A" w:rsidP="00107C1C">
            <w:pPr>
              <w:jc w:val="center"/>
            </w:pPr>
            <w:r w:rsidRPr="00FC2908">
              <w:rPr>
                <w:i/>
              </w:rPr>
              <w:t>0</w:t>
            </w:r>
          </w:p>
        </w:tc>
      </w:tr>
      <w:tr w:rsidR="00E1600A" w:rsidRPr="0009516C" w14:paraId="4668E250" w14:textId="77777777" w:rsidTr="00E1600A">
        <w:trPr>
          <w:jc w:val="center"/>
        </w:trPr>
        <w:tc>
          <w:tcPr>
            <w:tcW w:w="2047" w:type="dxa"/>
          </w:tcPr>
          <w:p w14:paraId="7EB504E5" w14:textId="77777777" w:rsidR="00E1600A" w:rsidRPr="0009516C" w:rsidRDefault="00E1600A" w:rsidP="00107C1C">
            <w:r w:rsidRPr="0009516C">
              <w:t xml:space="preserve">2.3. pašvaldību budžets </w:t>
            </w:r>
          </w:p>
        </w:tc>
        <w:tc>
          <w:tcPr>
            <w:tcW w:w="1123" w:type="dxa"/>
          </w:tcPr>
          <w:p w14:paraId="0189D475" w14:textId="15660BC1" w:rsidR="00E1600A" w:rsidRPr="0009516C" w:rsidRDefault="00E1600A" w:rsidP="00107C1C">
            <w:pPr>
              <w:jc w:val="center"/>
            </w:pPr>
            <w:r w:rsidRPr="00FC2908">
              <w:rPr>
                <w:i/>
              </w:rPr>
              <w:t>0</w:t>
            </w:r>
          </w:p>
        </w:tc>
        <w:tc>
          <w:tcPr>
            <w:tcW w:w="1405" w:type="dxa"/>
          </w:tcPr>
          <w:p w14:paraId="1FA84B5F" w14:textId="02E28CF3" w:rsidR="00E1600A" w:rsidRPr="0009516C" w:rsidRDefault="00E1600A" w:rsidP="00107C1C">
            <w:pPr>
              <w:jc w:val="center"/>
            </w:pPr>
            <w:r w:rsidRPr="00FC2908">
              <w:rPr>
                <w:i/>
              </w:rPr>
              <w:t>0</w:t>
            </w:r>
          </w:p>
        </w:tc>
        <w:tc>
          <w:tcPr>
            <w:tcW w:w="1111" w:type="dxa"/>
          </w:tcPr>
          <w:p w14:paraId="16603E34" w14:textId="3E51E0E2" w:rsidR="00E1600A" w:rsidRPr="0009516C" w:rsidRDefault="00E1600A" w:rsidP="00107C1C">
            <w:pPr>
              <w:jc w:val="center"/>
            </w:pPr>
            <w:r w:rsidRPr="00FC2908">
              <w:rPr>
                <w:i/>
              </w:rPr>
              <w:t>0</w:t>
            </w:r>
          </w:p>
        </w:tc>
        <w:tc>
          <w:tcPr>
            <w:tcW w:w="1209" w:type="dxa"/>
          </w:tcPr>
          <w:p w14:paraId="053F02D6" w14:textId="6CB13690" w:rsidR="00E1600A" w:rsidRPr="0009516C" w:rsidRDefault="00E1600A" w:rsidP="00107C1C">
            <w:pPr>
              <w:jc w:val="center"/>
            </w:pPr>
            <w:r w:rsidRPr="00FC2908">
              <w:rPr>
                <w:i/>
              </w:rPr>
              <w:t>0</w:t>
            </w:r>
          </w:p>
        </w:tc>
        <w:tc>
          <w:tcPr>
            <w:tcW w:w="1106" w:type="dxa"/>
          </w:tcPr>
          <w:p w14:paraId="5D5C6E78" w14:textId="0CB59A35" w:rsidR="00E1600A" w:rsidRPr="0009516C" w:rsidRDefault="00E1600A" w:rsidP="00107C1C">
            <w:pPr>
              <w:jc w:val="center"/>
            </w:pPr>
            <w:r w:rsidRPr="00FC2908">
              <w:rPr>
                <w:i/>
              </w:rPr>
              <w:t>0</w:t>
            </w:r>
          </w:p>
        </w:tc>
        <w:tc>
          <w:tcPr>
            <w:tcW w:w="1192" w:type="dxa"/>
          </w:tcPr>
          <w:p w14:paraId="3E06E5EC" w14:textId="747C3EC9" w:rsidR="00E1600A" w:rsidRPr="0009516C" w:rsidRDefault="00E1600A" w:rsidP="00107C1C">
            <w:pPr>
              <w:jc w:val="center"/>
            </w:pPr>
            <w:r w:rsidRPr="00FC2908">
              <w:rPr>
                <w:i/>
              </w:rPr>
              <w:t>0</w:t>
            </w:r>
          </w:p>
        </w:tc>
        <w:tc>
          <w:tcPr>
            <w:tcW w:w="1150" w:type="dxa"/>
          </w:tcPr>
          <w:p w14:paraId="29AF5552" w14:textId="4F760701" w:rsidR="00E1600A" w:rsidRPr="0009516C" w:rsidRDefault="00E1600A" w:rsidP="00107C1C">
            <w:pPr>
              <w:jc w:val="center"/>
            </w:pPr>
            <w:r w:rsidRPr="00FC2908">
              <w:rPr>
                <w:i/>
              </w:rPr>
              <w:t>0</w:t>
            </w:r>
          </w:p>
        </w:tc>
      </w:tr>
      <w:tr w:rsidR="0009516C" w:rsidRPr="0009516C" w14:paraId="5EF983C5" w14:textId="77777777" w:rsidTr="00E1600A">
        <w:trPr>
          <w:jc w:val="center"/>
        </w:trPr>
        <w:tc>
          <w:tcPr>
            <w:tcW w:w="2047" w:type="dxa"/>
          </w:tcPr>
          <w:p w14:paraId="40BEE164" w14:textId="77777777" w:rsidR="00DA708F" w:rsidRPr="0009516C" w:rsidRDefault="00DA708F" w:rsidP="00107C1C">
            <w:r w:rsidRPr="0009516C">
              <w:t>3. Finansiālā ietekme:</w:t>
            </w:r>
          </w:p>
        </w:tc>
        <w:tc>
          <w:tcPr>
            <w:tcW w:w="1123" w:type="dxa"/>
            <w:shd w:val="clear" w:color="auto" w:fill="auto"/>
          </w:tcPr>
          <w:p w14:paraId="75D99A5B" w14:textId="77777777" w:rsidR="00DA708F" w:rsidRPr="0009516C" w:rsidRDefault="00DA708F" w:rsidP="00107C1C">
            <w:pPr>
              <w:jc w:val="center"/>
              <w:rPr>
                <w:b/>
              </w:rPr>
            </w:pPr>
            <w:r w:rsidRPr="0009516C">
              <w:rPr>
                <w:b/>
              </w:rPr>
              <w:t>0</w:t>
            </w:r>
          </w:p>
        </w:tc>
        <w:tc>
          <w:tcPr>
            <w:tcW w:w="1405" w:type="dxa"/>
          </w:tcPr>
          <w:p w14:paraId="38039DE1" w14:textId="535722F6" w:rsidR="00DA708F" w:rsidRPr="0009516C" w:rsidRDefault="00107C1C" w:rsidP="00107C1C">
            <w:pPr>
              <w:jc w:val="center"/>
              <w:rPr>
                <w:b/>
              </w:rPr>
            </w:pPr>
            <w:r>
              <w:rPr>
                <w:b/>
              </w:rPr>
              <w:t>0</w:t>
            </w:r>
          </w:p>
        </w:tc>
        <w:tc>
          <w:tcPr>
            <w:tcW w:w="1111" w:type="dxa"/>
          </w:tcPr>
          <w:p w14:paraId="7DCC8E49" w14:textId="77777777" w:rsidR="00DA708F" w:rsidRPr="0009516C" w:rsidRDefault="00DA708F" w:rsidP="00107C1C">
            <w:pPr>
              <w:jc w:val="center"/>
              <w:rPr>
                <w:b/>
              </w:rPr>
            </w:pPr>
            <w:r w:rsidRPr="0009516C">
              <w:rPr>
                <w:b/>
              </w:rPr>
              <w:t>0</w:t>
            </w:r>
          </w:p>
        </w:tc>
        <w:tc>
          <w:tcPr>
            <w:tcW w:w="1209" w:type="dxa"/>
          </w:tcPr>
          <w:p w14:paraId="2B7B86A6" w14:textId="54CE54CB" w:rsidR="00DA708F" w:rsidRPr="00107C1C" w:rsidRDefault="00107C1C" w:rsidP="00107C1C">
            <w:pPr>
              <w:pStyle w:val="ListParagraph"/>
              <w:ind w:left="0"/>
              <w:rPr>
                <w:b/>
              </w:rPr>
            </w:pPr>
            <w:r>
              <w:rPr>
                <w:b/>
              </w:rPr>
              <w:t>-55 600</w:t>
            </w:r>
          </w:p>
        </w:tc>
        <w:tc>
          <w:tcPr>
            <w:tcW w:w="1106" w:type="dxa"/>
          </w:tcPr>
          <w:p w14:paraId="3CE95929" w14:textId="77777777" w:rsidR="00DA708F" w:rsidRPr="0009516C" w:rsidRDefault="00DA708F" w:rsidP="00107C1C">
            <w:pPr>
              <w:jc w:val="center"/>
              <w:rPr>
                <w:b/>
              </w:rPr>
            </w:pPr>
            <w:r w:rsidRPr="0009516C">
              <w:rPr>
                <w:b/>
              </w:rPr>
              <w:t>0</w:t>
            </w:r>
          </w:p>
        </w:tc>
        <w:tc>
          <w:tcPr>
            <w:tcW w:w="1192" w:type="dxa"/>
          </w:tcPr>
          <w:p w14:paraId="5F0E3EFA" w14:textId="77777777" w:rsidR="00DA708F" w:rsidRPr="0009516C" w:rsidRDefault="00DA708F" w:rsidP="00107C1C">
            <w:pPr>
              <w:jc w:val="center"/>
              <w:rPr>
                <w:b/>
              </w:rPr>
            </w:pPr>
            <w:r w:rsidRPr="0009516C">
              <w:rPr>
                <w:b/>
              </w:rPr>
              <w:t>0</w:t>
            </w:r>
          </w:p>
        </w:tc>
        <w:tc>
          <w:tcPr>
            <w:tcW w:w="1150" w:type="dxa"/>
          </w:tcPr>
          <w:p w14:paraId="4092E8CB" w14:textId="77777777" w:rsidR="00DA708F" w:rsidRPr="0009516C" w:rsidRDefault="00DA708F" w:rsidP="00107C1C">
            <w:pPr>
              <w:jc w:val="center"/>
              <w:rPr>
                <w:b/>
              </w:rPr>
            </w:pPr>
            <w:r w:rsidRPr="0009516C">
              <w:rPr>
                <w:b/>
              </w:rPr>
              <w:t>0</w:t>
            </w:r>
          </w:p>
        </w:tc>
      </w:tr>
      <w:tr w:rsidR="0009516C" w:rsidRPr="0009516C" w14:paraId="0C81E4A5" w14:textId="77777777" w:rsidTr="00E1600A">
        <w:trPr>
          <w:jc w:val="center"/>
        </w:trPr>
        <w:tc>
          <w:tcPr>
            <w:tcW w:w="2047" w:type="dxa"/>
          </w:tcPr>
          <w:p w14:paraId="2540F61C" w14:textId="77777777" w:rsidR="00DA708F" w:rsidRPr="0009516C" w:rsidRDefault="00DA708F" w:rsidP="00107C1C">
            <w:r w:rsidRPr="0009516C">
              <w:t>3.1. valsts pamatbudžets</w:t>
            </w:r>
          </w:p>
        </w:tc>
        <w:tc>
          <w:tcPr>
            <w:tcW w:w="1123" w:type="dxa"/>
            <w:shd w:val="clear" w:color="auto" w:fill="auto"/>
          </w:tcPr>
          <w:p w14:paraId="482E45F8" w14:textId="77777777" w:rsidR="00DA708F" w:rsidRPr="0009516C" w:rsidRDefault="00DA708F" w:rsidP="00107C1C">
            <w:pPr>
              <w:jc w:val="center"/>
              <w:rPr>
                <w:i/>
              </w:rPr>
            </w:pPr>
            <w:r w:rsidRPr="0009516C">
              <w:rPr>
                <w:i/>
              </w:rPr>
              <w:t>0</w:t>
            </w:r>
          </w:p>
        </w:tc>
        <w:tc>
          <w:tcPr>
            <w:tcW w:w="1405" w:type="dxa"/>
          </w:tcPr>
          <w:p w14:paraId="323F24F8" w14:textId="590F6945" w:rsidR="00DA708F" w:rsidRPr="0009516C" w:rsidRDefault="00107C1C" w:rsidP="00107C1C">
            <w:pPr>
              <w:jc w:val="center"/>
              <w:rPr>
                <w:i/>
              </w:rPr>
            </w:pPr>
            <w:r>
              <w:rPr>
                <w:i/>
              </w:rPr>
              <w:t>0</w:t>
            </w:r>
          </w:p>
        </w:tc>
        <w:tc>
          <w:tcPr>
            <w:tcW w:w="1111" w:type="dxa"/>
          </w:tcPr>
          <w:p w14:paraId="3B7A0AD2" w14:textId="77777777" w:rsidR="00DA708F" w:rsidRPr="0009516C" w:rsidRDefault="00DA708F" w:rsidP="00107C1C">
            <w:pPr>
              <w:jc w:val="center"/>
              <w:rPr>
                <w:i/>
              </w:rPr>
            </w:pPr>
            <w:r w:rsidRPr="0009516C">
              <w:rPr>
                <w:i/>
              </w:rPr>
              <w:t>0</w:t>
            </w:r>
          </w:p>
        </w:tc>
        <w:tc>
          <w:tcPr>
            <w:tcW w:w="1209" w:type="dxa"/>
          </w:tcPr>
          <w:p w14:paraId="53FDF421" w14:textId="375127A8" w:rsidR="00DA708F" w:rsidRPr="0009516C" w:rsidRDefault="00107C1C" w:rsidP="00107C1C">
            <w:pPr>
              <w:jc w:val="center"/>
              <w:rPr>
                <w:i/>
              </w:rPr>
            </w:pPr>
            <w:r>
              <w:rPr>
                <w:i/>
              </w:rPr>
              <w:t>-55 600</w:t>
            </w:r>
          </w:p>
        </w:tc>
        <w:tc>
          <w:tcPr>
            <w:tcW w:w="1106" w:type="dxa"/>
          </w:tcPr>
          <w:p w14:paraId="508B67A9" w14:textId="77777777" w:rsidR="00DA708F" w:rsidRPr="0009516C" w:rsidRDefault="00DA708F" w:rsidP="00107C1C">
            <w:pPr>
              <w:jc w:val="center"/>
              <w:rPr>
                <w:i/>
              </w:rPr>
            </w:pPr>
            <w:r w:rsidRPr="0009516C">
              <w:rPr>
                <w:i/>
              </w:rPr>
              <w:t>0</w:t>
            </w:r>
          </w:p>
        </w:tc>
        <w:tc>
          <w:tcPr>
            <w:tcW w:w="1192" w:type="dxa"/>
          </w:tcPr>
          <w:p w14:paraId="0F1497CA" w14:textId="77777777" w:rsidR="00DA708F" w:rsidRPr="0009516C" w:rsidRDefault="00DA708F" w:rsidP="00107C1C">
            <w:pPr>
              <w:jc w:val="center"/>
              <w:rPr>
                <w:i/>
              </w:rPr>
            </w:pPr>
            <w:r w:rsidRPr="0009516C">
              <w:rPr>
                <w:i/>
              </w:rPr>
              <w:t>0</w:t>
            </w:r>
          </w:p>
        </w:tc>
        <w:tc>
          <w:tcPr>
            <w:tcW w:w="1150" w:type="dxa"/>
          </w:tcPr>
          <w:p w14:paraId="240FC83F" w14:textId="77777777" w:rsidR="00DA708F" w:rsidRPr="0009516C" w:rsidRDefault="00DA708F" w:rsidP="00107C1C">
            <w:pPr>
              <w:jc w:val="center"/>
              <w:rPr>
                <w:i/>
              </w:rPr>
            </w:pPr>
            <w:r w:rsidRPr="0009516C">
              <w:rPr>
                <w:i/>
              </w:rPr>
              <w:t>0</w:t>
            </w:r>
          </w:p>
        </w:tc>
      </w:tr>
      <w:tr w:rsidR="00E1600A" w:rsidRPr="0009516C" w14:paraId="7ADBC024" w14:textId="77777777" w:rsidTr="00E1600A">
        <w:trPr>
          <w:jc w:val="center"/>
        </w:trPr>
        <w:tc>
          <w:tcPr>
            <w:tcW w:w="2047" w:type="dxa"/>
          </w:tcPr>
          <w:p w14:paraId="6E2D338E" w14:textId="77777777" w:rsidR="00E1600A" w:rsidRPr="0009516C" w:rsidRDefault="00E1600A" w:rsidP="00107C1C">
            <w:r w:rsidRPr="0009516C">
              <w:t>3.2. speciālais budžets</w:t>
            </w:r>
          </w:p>
        </w:tc>
        <w:tc>
          <w:tcPr>
            <w:tcW w:w="1123" w:type="dxa"/>
            <w:shd w:val="clear" w:color="auto" w:fill="auto"/>
          </w:tcPr>
          <w:p w14:paraId="571FAF78" w14:textId="7184FB6C" w:rsidR="00E1600A" w:rsidRPr="0009516C" w:rsidRDefault="00E1600A" w:rsidP="00107C1C">
            <w:pPr>
              <w:jc w:val="center"/>
            </w:pPr>
            <w:r w:rsidRPr="00184008">
              <w:rPr>
                <w:i/>
              </w:rPr>
              <w:t>0</w:t>
            </w:r>
          </w:p>
        </w:tc>
        <w:tc>
          <w:tcPr>
            <w:tcW w:w="1405" w:type="dxa"/>
          </w:tcPr>
          <w:p w14:paraId="759B632F" w14:textId="5A506420" w:rsidR="00E1600A" w:rsidRPr="0009516C" w:rsidRDefault="00E1600A" w:rsidP="00107C1C">
            <w:pPr>
              <w:jc w:val="center"/>
            </w:pPr>
            <w:r w:rsidRPr="00184008">
              <w:rPr>
                <w:i/>
              </w:rPr>
              <w:t>0</w:t>
            </w:r>
          </w:p>
        </w:tc>
        <w:tc>
          <w:tcPr>
            <w:tcW w:w="1111" w:type="dxa"/>
          </w:tcPr>
          <w:p w14:paraId="6539050C" w14:textId="72AC85B6" w:rsidR="00E1600A" w:rsidRPr="0009516C" w:rsidRDefault="00E1600A" w:rsidP="00107C1C">
            <w:pPr>
              <w:jc w:val="center"/>
            </w:pPr>
            <w:r w:rsidRPr="00184008">
              <w:rPr>
                <w:i/>
              </w:rPr>
              <w:t>0</w:t>
            </w:r>
          </w:p>
        </w:tc>
        <w:tc>
          <w:tcPr>
            <w:tcW w:w="1209" w:type="dxa"/>
          </w:tcPr>
          <w:p w14:paraId="57838AAE" w14:textId="15A457E3" w:rsidR="00E1600A" w:rsidRPr="0009516C" w:rsidRDefault="00E1600A" w:rsidP="00107C1C">
            <w:pPr>
              <w:jc w:val="center"/>
            </w:pPr>
            <w:r w:rsidRPr="00184008">
              <w:rPr>
                <w:i/>
              </w:rPr>
              <w:t>0</w:t>
            </w:r>
          </w:p>
        </w:tc>
        <w:tc>
          <w:tcPr>
            <w:tcW w:w="1106" w:type="dxa"/>
          </w:tcPr>
          <w:p w14:paraId="6C6C0F92" w14:textId="2690CDF9" w:rsidR="00E1600A" w:rsidRPr="0009516C" w:rsidRDefault="00E1600A" w:rsidP="00107C1C">
            <w:pPr>
              <w:jc w:val="center"/>
            </w:pPr>
            <w:r w:rsidRPr="00184008">
              <w:rPr>
                <w:i/>
              </w:rPr>
              <w:t>0</w:t>
            </w:r>
          </w:p>
        </w:tc>
        <w:tc>
          <w:tcPr>
            <w:tcW w:w="1192" w:type="dxa"/>
          </w:tcPr>
          <w:p w14:paraId="089E567E" w14:textId="0E8963F4" w:rsidR="00E1600A" w:rsidRPr="0009516C" w:rsidRDefault="00E1600A" w:rsidP="00107C1C">
            <w:pPr>
              <w:jc w:val="center"/>
            </w:pPr>
            <w:r w:rsidRPr="00184008">
              <w:rPr>
                <w:i/>
              </w:rPr>
              <w:t>0</w:t>
            </w:r>
          </w:p>
        </w:tc>
        <w:tc>
          <w:tcPr>
            <w:tcW w:w="1150" w:type="dxa"/>
          </w:tcPr>
          <w:p w14:paraId="3D68DC64" w14:textId="7EFC76FA" w:rsidR="00E1600A" w:rsidRPr="0009516C" w:rsidRDefault="00E1600A" w:rsidP="00107C1C">
            <w:pPr>
              <w:jc w:val="center"/>
            </w:pPr>
            <w:r w:rsidRPr="00184008">
              <w:rPr>
                <w:i/>
              </w:rPr>
              <w:t>0</w:t>
            </w:r>
          </w:p>
        </w:tc>
      </w:tr>
      <w:tr w:rsidR="00E1600A" w:rsidRPr="0009516C" w14:paraId="34AFC7C3" w14:textId="77777777" w:rsidTr="00E1600A">
        <w:trPr>
          <w:jc w:val="center"/>
        </w:trPr>
        <w:tc>
          <w:tcPr>
            <w:tcW w:w="2047" w:type="dxa"/>
          </w:tcPr>
          <w:p w14:paraId="5B6720C9" w14:textId="77777777" w:rsidR="00E1600A" w:rsidRPr="0009516C" w:rsidRDefault="00E1600A" w:rsidP="00107C1C">
            <w:r w:rsidRPr="0009516C">
              <w:t xml:space="preserve">3.3. pašvaldību budžets </w:t>
            </w:r>
          </w:p>
        </w:tc>
        <w:tc>
          <w:tcPr>
            <w:tcW w:w="1123" w:type="dxa"/>
            <w:shd w:val="clear" w:color="auto" w:fill="auto"/>
          </w:tcPr>
          <w:p w14:paraId="1E6194AA" w14:textId="15AE49C2" w:rsidR="00E1600A" w:rsidRPr="0009516C" w:rsidRDefault="00E1600A" w:rsidP="00107C1C">
            <w:pPr>
              <w:jc w:val="center"/>
            </w:pPr>
            <w:r w:rsidRPr="00184008">
              <w:rPr>
                <w:i/>
              </w:rPr>
              <w:t>0</w:t>
            </w:r>
          </w:p>
        </w:tc>
        <w:tc>
          <w:tcPr>
            <w:tcW w:w="1405" w:type="dxa"/>
          </w:tcPr>
          <w:p w14:paraId="209108D7" w14:textId="591E18DC" w:rsidR="00E1600A" w:rsidRPr="0009516C" w:rsidRDefault="00E1600A" w:rsidP="00107C1C">
            <w:pPr>
              <w:jc w:val="center"/>
            </w:pPr>
            <w:r w:rsidRPr="00184008">
              <w:rPr>
                <w:i/>
              </w:rPr>
              <w:t>0</w:t>
            </w:r>
          </w:p>
        </w:tc>
        <w:tc>
          <w:tcPr>
            <w:tcW w:w="1111" w:type="dxa"/>
          </w:tcPr>
          <w:p w14:paraId="770CD3BA" w14:textId="5F92967E" w:rsidR="00E1600A" w:rsidRPr="0009516C" w:rsidRDefault="00E1600A" w:rsidP="00107C1C">
            <w:pPr>
              <w:jc w:val="center"/>
            </w:pPr>
            <w:r w:rsidRPr="00184008">
              <w:rPr>
                <w:i/>
              </w:rPr>
              <w:t>0</w:t>
            </w:r>
          </w:p>
        </w:tc>
        <w:tc>
          <w:tcPr>
            <w:tcW w:w="1209" w:type="dxa"/>
          </w:tcPr>
          <w:p w14:paraId="42238C8B" w14:textId="5CCC5975" w:rsidR="00E1600A" w:rsidRPr="0009516C" w:rsidRDefault="00E1600A" w:rsidP="00107C1C">
            <w:pPr>
              <w:jc w:val="center"/>
            </w:pPr>
            <w:r w:rsidRPr="00184008">
              <w:rPr>
                <w:i/>
              </w:rPr>
              <w:t>0</w:t>
            </w:r>
          </w:p>
        </w:tc>
        <w:tc>
          <w:tcPr>
            <w:tcW w:w="1106" w:type="dxa"/>
          </w:tcPr>
          <w:p w14:paraId="68D381A4" w14:textId="1C3A9596" w:rsidR="00E1600A" w:rsidRPr="0009516C" w:rsidRDefault="00E1600A" w:rsidP="00107C1C">
            <w:pPr>
              <w:jc w:val="center"/>
            </w:pPr>
            <w:r w:rsidRPr="00184008">
              <w:rPr>
                <w:i/>
              </w:rPr>
              <w:t>0</w:t>
            </w:r>
          </w:p>
        </w:tc>
        <w:tc>
          <w:tcPr>
            <w:tcW w:w="1192" w:type="dxa"/>
          </w:tcPr>
          <w:p w14:paraId="152165EB" w14:textId="47CC2D8E" w:rsidR="00E1600A" w:rsidRPr="0009516C" w:rsidRDefault="00E1600A" w:rsidP="00107C1C">
            <w:pPr>
              <w:jc w:val="center"/>
            </w:pPr>
            <w:r w:rsidRPr="00184008">
              <w:rPr>
                <w:i/>
              </w:rPr>
              <w:t>0</w:t>
            </w:r>
          </w:p>
        </w:tc>
        <w:tc>
          <w:tcPr>
            <w:tcW w:w="1150" w:type="dxa"/>
          </w:tcPr>
          <w:p w14:paraId="3D4FAD15" w14:textId="366D3F38" w:rsidR="00E1600A" w:rsidRPr="0009516C" w:rsidRDefault="00E1600A" w:rsidP="00107C1C">
            <w:pPr>
              <w:jc w:val="center"/>
            </w:pPr>
            <w:r w:rsidRPr="00184008">
              <w:rPr>
                <w:i/>
              </w:rPr>
              <w:t>0</w:t>
            </w:r>
          </w:p>
        </w:tc>
      </w:tr>
      <w:tr w:rsidR="0009516C" w:rsidRPr="0009516C" w14:paraId="73332940" w14:textId="77777777" w:rsidTr="00E1600A">
        <w:trPr>
          <w:jc w:val="center"/>
        </w:trPr>
        <w:tc>
          <w:tcPr>
            <w:tcW w:w="2047" w:type="dxa"/>
            <w:vMerge w:val="restart"/>
          </w:tcPr>
          <w:p w14:paraId="568F421B" w14:textId="77777777" w:rsidR="00DA708F" w:rsidRPr="0009516C" w:rsidRDefault="00DA708F" w:rsidP="00107C1C">
            <w:r w:rsidRPr="0009516C">
              <w:t>4. Finanšu līdzekļi papildu izdevumu finansēšanai (kompensējošu izdevumu samazinājumu norāda ar „+” zīmi)</w:t>
            </w:r>
          </w:p>
        </w:tc>
        <w:tc>
          <w:tcPr>
            <w:tcW w:w="1123" w:type="dxa"/>
            <w:vMerge w:val="restart"/>
          </w:tcPr>
          <w:p w14:paraId="50E7DD79" w14:textId="77777777" w:rsidR="00DA708F" w:rsidRPr="0009516C" w:rsidRDefault="00DA708F" w:rsidP="00107C1C">
            <w:pPr>
              <w:jc w:val="center"/>
              <w:rPr>
                <w:i/>
              </w:rPr>
            </w:pPr>
            <w:r w:rsidRPr="0009516C">
              <w:t>X</w:t>
            </w:r>
          </w:p>
        </w:tc>
        <w:tc>
          <w:tcPr>
            <w:tcW w:w="1405" w:type="dxa"/>
          </w:tcPr>
          <w:p w14:paraId="6A2858BA" w14:textId="532F970D" w:rsidR="00DA708F" w:rsidRPr="0009516C" w:rsidRDefault="00107C1C" w:rsidP="00107C1C">
            <w:pPr>
              <w:jc w:val="center"/>
            </w:pPr>
            <w:r>
              <w:t>0</w:t>
            </w:r>
          </w:p>
        </w:tc>
        <w:tc>
          <w:tcPr>
            <w:tcW w:w="1111" w:type="dxa"/>
          </w:tcPr>
          <w:p w14:paraId="28E0B562" w14:textId="77777777" w:rsidR="00DA708F" w:rsidRPr="0009516C" w:rsidRDefault="00DA708F" w:rsidP="00107C1C">
            <w:pPr>
              <w:jc w:val="center"/>
            </w:pPr>
            <w:r w:rsidRPr="0009516C">
              <w:t>0</w:t>
            </w:r>
          </w:p>
        </w:tc>
        <w:tc>
          <w:tcPr>
            <w:tcW w:w="1209" w:type="dxa"/>
          </w:tcPr>
          <w:p w14:paraId="4F9B33F6" w14:textId="55FF6F76" w:rsidR="00DA708F" w:rsidRPr="0009516C" w:rsidRDefault="00107C1C" w:rsidP="00107C1C">
            <w:pPr>
              <w:jc w:val="center"/>
            </w:pPr>
            <w:r>
              <w:t>55 600</w:t>
            </w:r>
          </w:p>
        </w:tc>
        <w:tc>
          <w:tcPr>
            <w:tcW w:w="1106" w:type="dxa"/>
          </w:tcPr>
          <w:p w14:paraId="10254986" w14:textId="77777777" w:rsidR="00DA708F" w:rsidRPr="0009516C" w:rsidRDefault="00DA708F" w:rsidP="00107C1C">
            <w:pPr>
              <w:jc w:val="center"/>
            </w:pPr>
            <w:r w:rsidRPr="0009516C">
              <w:t>0</w:t>
            </w:r>
          </w:p>
        </w:tc>
        <w:tc>
          <w:tcPr>
            <w:tcW w:w="1192" w:type="dxa"/>
          </w:tcPr>
          <w:p w14:paraId="01825567" w14:textId="77777777" w:rsidR="00DA708F" w:rsidRPr="0009516C" w:rsidRDefault="00DA708F" w:rsidP="00107C1C">
            <w:pPr>
              <w:jc w:val="center"/>
            </w:pPr>
            <w:r w:rsidRPr="0009516C">
              <w:t>0</w:t>
            </w:r>
          </w:p>
        </w:tc>
        <w:tc>
          <w:tcPr>
            <w:tcW w:w="1150" w:type="dxa"/>
          </w:tcPr>
          <w:p w14:paraId="0012FAFB" w14:textId="77777777" w:rsidR="00DA708F" w:rsidRPr="0009516C" w:rsidRDefault="00DA708F" w:rsidP="00107C1C">
            <w:pPr>
              <w:jc w:val="center"/>
            </w:pPr>
            <w:r w:rsidRPr="0009516C">
              <w:t>0</w:t>
            </w:r>
          </w:p>
        </w:tc>
      </w:tr>
      <w:tr w:rsidR="0009516C" w:rsidRPr="0009516C" w14:paraId="3971BAD6" w14:textId="77777777" w:rsidTr="00E1600A">
        <w:trPr>
          <w:jc w:val="center"/>
        </w:trPr>
        <w:tc>
          <w:tcPr>
            <w:tcW w:w="2047" w:type="dxa"/>
            <w:vMerge/>
          </w:tcPr>
          <w:p w14:paraId="0CC27F30" w14:textId="77777777" w:rsidR="00DA708F" w:rsidRPr="0009516C" w:rsidRDefault="00DA708F" w:rsidP="00107C1C"/>
        </w:tc>
        <w:tc>
          <w:tcPr>
            <w:tcW w:w="1123" w:type="dxa"/>
            <w:vMerge/>
          </w:tcPr>
          <w:p w14:paraId="1C96164D" w14:textId="77777777" w:rsidR="00DA708F" w:rsidRPr="0009516C" w:rsidRDefault="00DA708F" w:rsidP="00107C1C">
            <w:pPr>
              <w:jc w:val="center"/>
              <w:rPr>
                <w:i/>
              </w:rPr>
            </w:pPr>
          </w:p>
        </w:tc>
        <w:tc>
          <w:tcPr>
            <w:tcW w:w="1405" w:type="dxa"/>
          </w:tcPr>
          <w:p w14:paraId="44E254D9" w14:textId="77777777" w:rsidR="00DA708F" w:rsidRPr="0009516C" w:rsidRDefault="00DA708F" w:rsidP="00107C1C">
            <w:pPr>
              <w:jc w:val="center"/>
            </w:pPr>
          </w:p>
        </w:tc>
        <w:tc>
          <w:tcPr>
            <w:tcW w:w="1111" w:type="dxa"/>
          </w:tcPr>
          <w:p w14:paraId="39DDF09C" w14:textId="77777777" w:rsidR="00DA708F" w:rsidRPr="0009516C" w:rsidRDefault="00DA708F" w:rsidP="00107C1C">
            <w:pPr>
              <w:jc w:val="center"/>
            </w:pPr>
          </w:p>
        </w:tc>
        <w:tc>
          <w:tcPr>
            <w:tcW w:w="1209" w:type="dxa"/>
          </w:tcPr>
          <w:p w14:paraId="12645A1B" w14:textId="77777777" w:rsidR="00DA708F" w:rsidRPr="0009516C" w:rsidRDefault="00DA708F" w:rsidP="00107C1C">
            <w:pPr>
              <w:jc w:val="center"/>
            </w:pPr>
          </w:p>
        </w:tc>
        <w:tc>
          <w:tcPr>
            <w:tcW w:w="1106" w:type="dxa"/>
          </w:tcPr>
          <w:p w14:paraId="2EE17196" w14:textId="77777777" w:rsidR="00DA708F" w:rsidRPr="0009516C" w:rsidRDefault="00DA708F" w:rsidP="00107C1C">
            <w:pPr>
              <w:jc w:val="center"/>
            </w:pPr>
          </w:p>
        </w:tc>
        <w:tc>
          <w:tcPr>
            <w:tcW w:w="1192" w:type="dxa"/>
          </w:tcPr>
          <w:p w14:paraId="19CF4EAD" w14:textId="77777777" w:rsidR="00DA708F" w:rsidRPr="0009516C" w:rsidRDefault="00DA708F" w:rsidP="00107C1C">
            <w:pPr>
              <w:jc w:val="center"/>
            </w:pPr>
          </w:p>
        </w:tc>
        <w:tc>
          <w:tcPr>
            <w:tcW w:w="1150" w:type="dxa"/>
          </w:tcPr>
          <w:p w14:paraId="410A0BC1" w14:textId="77777777" w:rsidR="00DA708F" w:rsidRPr="0009516C" w:rsidRDefault="00DA708F" w:rsidP="00107C1C">
            <w:pPr>
              <w:jc w:val="center"/>
            </w:pPr>
          </w:p>
        </w:tc>
      </w:tr>
      <w:tr w:rsidR="0009516C" w:rsidRPr="0009516C" w14:paraId="17DABB5B" w14:textId="77777777" w:rsidTr="00E1600A">
        <w:trPr>
          <w:jc w:val="center"/>
        </w:trPr>
        <w:tc>
          <w:tcPr>
            <w:tcW w:w="2047" w:type="dxa"/>
            <w:vMerge/>
          </w:tcPr>
          <w:p w14:paraId="5B1987C5" w14:textId="77777777" w:rsidR="00DA708F" w:rsidRPr="0009516C" w:rsidRDefault="00DA708F" w:rsidP="00107C1C"/>
        </w:tc>
        <w:tc>
          <w:tcPr>
            <w:tcW w:w="1123" w:type="dxa"/>
            <w:vMerge/>
          </w:tcPr>
          <w:p w14:paraId="7D7A7D36" w14:textId="77777777" w:rsidR="00DA708F" w:rsidRPr="0009516C" w:rsidRDefault="00DA708F" w:rsidP="00107C1C">
            <w:pPr>
              <w:jc w:val="center"/>
              <w:rPr>
                <w:i/>
              </w:rPr>
            </w:pPr>
          </w:p>
        </w:tc>
        <w:tc>
          <w:tcPr>
            <w:tcW w:w="1405" w:type="dxa"/>
          </w:tcPr>
          <w:p w14:paraId="5F2268FE" w14:textId="77777777" w:rsidR="00DA708F" w:rsidRPr="0009516C" w:rsidRDefault="00DA708F" w:rsidP="00107C1C">
            <w:pPr>
              <w:jc w:val="center"/>
            </w:pPr>
          </w:p>
          <w:p w14:paraId="4622B329" w14:textId="77777777" w:rsidR="00DA708F" w:rsidRPr="0009516C" w:rsidRDefault="00DA708F" w:rsidP="00107C1C">
            <w:pPr>
              <w:jc w:val="center"/>
            </w:pPr>
          </w:p>
        </w:tc>
        <w:tc>
          <w:tcPr>
            <w:tcW w:w="1111" w:type="dxa"/>
          </w:tcPr>
          <w:p w14:paraId="3C401266" w14:textId="77777777" w:rsidR="00DA708F" w:rsidRPr="0009516C" w:rsidRDefault="00DA708F" w:rsidP="00107C1C">
            <w:pPr>
              <w:jc w:val="center"/>
            </w:pPr>
          </w:p>
        </w:tc>
        <w:tc>
          <w:tcPr>
            <w:tcW w:w="1209" w:type="dxa"/>
          </w:tcPr>
          <w:p w14:paraId="010E991E" w14:textId="77777777" w:rsidR="00DA708F" w:rsidRPr="0009516C" w:rsidRDefault="00DA708F" w:rsidP="00107C1C">
            <w:pPr>
              <w:jc w:val="center"/>
            </w:pPr>
          </w:p>
        </w:tc>
        <w:tc>
          <w:tcPr>
            <w:tcW w:w="1106" w:type="dxa"/>
          </w:tcPr>
          <w:p w14:paraId="2814C102" w14:textId="77777777" w:rsidR="00DA708F" w:rsidRPr="0009516C" w:rsidRDefault="00DA708F" w:rsidP="00107C1C">
            <w:pPr>
              <w:jc w:val="center"/>
            </w:pPr>
          </w:p>
        </w:tc>
        <w:tc>
          <w:tcPr>
            <w:tcW w:w="1192" w:type="dxa"/>
          </w:tcPr>
          <w:p w14:paraId="3F3D2A8B" w14:textId="77777777" w:rsidR="00DA708F" w:rsidRPr="0009516C" w:rsidRDefault="00DA708F" w:rsidP="00107C1C">
            <w:pPr>
              <w:jc w:val="center"/>
            </w:pPr>
          </w:p>
        </w:tc>
        <w:tc>
          <w:tcPr>
            <w:tcW w:w="1150" w:type="dxa"/>
          </w:tcPr>
          <w:p w14:paraId="2895DA0C" w14:textId="77777777" w:rsidR="00DA708F" w:rsidRPr="0009516C" w:rsidRDefault="00DA708F" w:rsidP="00107C1C">
            <w:pPr>
              <w:jc w:val="center"/>
            </w:pPr>
          </w:p>
        </w:tc>
      </w:tr>
      <w:tr w:rsidR="0009516C" w:rsidRPr="0009516C" w14:paraId="3FAD8564" w14:textId="77777777" w:rsidTr="00E1600A">
        <w:trPr>
          <w:jc w:val="center"/>
        </w:trPr>
        <w:tc>
          <w:tcPr>
            <w:tcW w:w="2047" w:type="dxa"/>
          </w:tcPr>
          <w:p w14:paraId="3D523FFD" w14:textId="77777777" w:rsidR="00DA708F" w:rsidRPr="0009516C" w:rsidRDefault="00DA708F" w:rsidP="00107C1C">
            <w:r w:rsidRPr="0009516C">
              <w:t>5. Precizēta finansiālā ietekme:</w:t>
            </w:r>
          </w:p>
        </w:tc>
        <w:tc>
          <w:tcPr>
            <w:tcW w:w="1123" w:type="dxa"/>
            <w:vMerge w:val="restart"/>
          </w:tcPr>
          <w:p w14:paraId="176DB404" w14:textId="77777777" w:rsidR="00DA708F" w:rsidRPr="0009516C" w:rsidRDefault="00DA708F" w:rsidP="00107C1C">
            <w:pPr>
              <w:jc w:val="center"/>
              <w:rPr>
                <w:i/>
              </w:rPr>
            </w:pPr>
            <w:r w:rsidRPr="0009516C">
              <w:t>X</w:t>
            </w:r>
          </w:p>
          <w:p w14:paraId="669FAE87" w14:textId="77777777" w:rsidR="00DA708F" w:rsidRPr="0009516C" w:rsidRDefault="00DA708F" w:rsidP="00107C1C">
            <w:pPr>
              <w:jc w:val="center"/>
              <w:rPr>
                <w:i/>
              </w:rPr>
            </w:pPr>
            <w:r w:rsidRPr="0009516C">
              <w:rPr>
                <w:b/>
              </w:rPr>
              <w:t>0</w:t>
            </w:r>
          </w:p>
        </w:tc>
        <w:tc>
          <w:tcPr>
            <w:tcW w:w="1405" w:type="dxa"/>
          </w:tcPr>
          <w:p w14:paraId="16F77046" w14:textId="77777777" w:rsidR="00DA708F" w:rsidRPr="0009516C" w:rsidRDefault="00DA708F" w:rsidP="00107C1C">
            <w:pPr>
              <w:jc w:val="center"/>
            </w:pPr>
            <w:r w:rsidRPr="0009516C">
              <w:t>0</w:t>
            </w:r>
          </w:p>
        </w:tc>
        <w:tc>
          <w:tcPr>
            <w:tcW w:w="1111" w:type="dxa"/>
          </w:tcPr>
          <w:p w14:paraId="2D9AF13E" w14:textId="77777777" w:rsidR="00DA708F" w:rsidRPr="0009516C" w:rsidRDefault="00DA708F" w:rsidP="00107C1C">
            <w:pPr>
              <w:jc w:val="center"/>
            </w:pPr>
            <w:r w:rsidRPr="0009516C">
              <w:t>0</w:t>
            </w:r>
          </w:p>
        </w:tc>
        <w:tc>
          <w:tcPr>
            <w:tcW w:w="1209" w:type="dxa"/>
          </w:tcPr>
          <w:p w14:paraId="2C2599C3" w14:textId="77777777" w:rsidR="00DA708F" w:rsidRPr="0009516C" w:rsidRDefault="00DA708F" w:rsidP="00107C1C">
            <w:pPr>
              <w:jc w:val="center"/>
            </w:pPr>
            <w:r w:rsidRPr="0009516C">
              <w:t>0</w:t>
            </w:r>
          </w:p>
        </w:tc>
        <w:tc>
          <w:tcPr>
            <w:tcW w:w="1106" w:type="dxa"/>
          </w:tcPr>
          <w:p w14:paraId="39889732" w14:textId="77777777" w:rsidR="00DA708F" w:rsidRPr="0009516C" w:rsidRDefault="00DA708F" w:rsidP="00107C1C">
            <w:pPr>
              <w:jc w:val="center"/>
            </w:pPr>
            <w:r w:rsidRPr="0009516C">
              <w:t>0</w:t>
            </w:r>
          </w:p>
        </w:tc>
        <w:tc>
          <w:tcPr>
            <w:tcW w:w="1192" w:type="dxa"/>
          </w:tcPr>
          <w:p w14:paraId="481D2C56" w14:textId="77777777" w:rsidR="00DA708F" w:rsidRPr="0009516C" w:rsidRDefault="00DA708F" w:rsidP="00107C1C">
            <w:pPr>
              <w:jc w:val="center"/>
            </w:pPr>
            <w:r w:rsidRPr="0009516C">
              <w:t>0</w:t>
            </w:r>
          </w:p>
        </w:tc>
        <w:tc>
          <w:tcPr>
            <w:tcW w:w="1150" w:type="dxa"/>
          </w:tcPr>
          <w:p w14:paraId="223AAA8C" w14:textId="77777777" w:rsidR="00DA708F" w:rsidRPr="0009516C" w:rsidRDefault="00DA708F" w:rsidP="00107C1C">
            <w:pPr>
              <w:jc w:val="center"/>
            </w:pPr>
            <w:r w:rsidRPr="0009516C">
              <w:t>0</w:t>
            </w:r>
          </w:p>
        </w:tc>
      </w:tr>
      <w:tr w:rsidR="0009516C" w:rsidRPr="0009516C" w14:paraId="506C80D8" w14:textId="77777777" w:rsidTr="00E1600A">
        <w:trPr>
          <w:jc w:val="center"/>
        </w:trPr>
        <w:tc>
          <w:tcPr>
            <w:tcW w:w="2047" w:type="dxa"/>
          </w:tcPr>
          <w:p w14:paraId="7EE32092" w14:textId="77777777" w:rsidR="00DA708F" w:rsidRPr="0009516C" w:rsidRDefault="00DA708F" w:rsidP="00107C1C">
            <w:r w:rsidRPr="0009516C">
              <w:t>5.1. valsts pamatbudžets</w:t>
            </w:r>
          </w:p>
        </w:tc>
        <w:tc>
          <w:tcPr>
            <w:tcW w:w="1123" w:type="dxa"/>
            <w:vMerge/>
            <w:vAlign w:val="center"/>
          </w:tcPr>
          <w:p w14:paraId="6A6579AC" w14:textId="77777777" w:rsidR="00DA708F" w:rsidRPr="0009516C" w:rsidRDefault="00DA708F" w:rsidP="00107C1C">
            <w:pPr>
              <w:jc w:val="center"/>
              <w:rPr>
                <w:i/>
              </w:rPr>
            </w:pPr>
          </w:p>
        </w:tc>
        <w:tc>
          <w:tcPr>
            <w:tcW w:w="1405" w:type="dxa"/>
          </w:tcPr>
          <w:p w14:paraId="51F9A668" w14:textId="77777777" w:rsidR="00DA708F" w:rsidRPr="0009516C" w:rsidRDefault="00DA708F" w:rsidP="00107C1C">
            <w:pPr>
              <w:jc w:val="center"/>
            </w:pPr>
            <w:r w:rsidRPr="0009516C">
              <w:t>0</w:t>
            </w:r>
          </w:p>
        </w:tc>
        <w:tc>
          <w:tcPr>
            <w:tcW w:w="1111" w:type="dxa"/>
          </w:tcPr>
          <w:p w14:paraId="7171C556" w14:textId="77777777" w:rsidR="00DA708F" w:rsidRPr="0009516C" w:rsidRDefault="00DA708F" w:rsidP="00107C1C">
            <w:pPr>
              <w:jc w:val="center"/>
            </w:pPr>
            <w:r w:rsidRPr="0009516C">
              <w:t>0</w:t>
            </w:r>
          </w:p>
        </w:tc>
        <w:tc>
          <w:tcPr>
            <w:tcW w:w="1209" w:type="dxa"/>
          </w:tcPr>
          <w:p w14:paraId="34AC611D" w14:textId="77777777" w:rsidR="00DA708F" w:rsidRPr="0009516C" w:rsidRDefault="00DA708F" w:rsidP="00107C1C">
            <w:pPr>
              <w:jc w:val="center"/>
            </w:pPr>
            <w:r w:rsidRPr="0009516C">
              <w:t>0</w:t>
            </w:r>
          </w:p>
        </w:tc>
        <w:tc>
          <w:tcPr>
            <w:tcW w:w="1106" w:type="dxa"/>
          </w:tcPr>
          <w:p w14:paraId="54166C87" w14:textId="77777777" w:rsidR="00DA708F" w:rsidRPr="0009516C" w:rsidRDefault="00DA708F" w:rsidP="00107C1C">
            <w:pPr>
              <w:jc w:val="center"/>
            </w:pPr>
            <w:r w:rsidRPr="0009516C">
              <w:t>0</w:t>
            </w:r>
          </w:p>
        </w:tc>
        <w:tc>
          <w:tcPr>
            <w:tcW w:w="1192" w:type="dxa"/>
          </w:tcPr>
          <w:p w14:paraId="7B4E4C75" w14:textId="4A42652C" w:rsidR="00DA708F" w:rsidRPr="0009516C" w:rsidRDefault="007E7D78" w:rsidP="00107C1C">
            <w:pPr>
              <w:jc w:val="center"/>
            </w:pPr>
            <w:r w:rsidRPr="0009516C">
              <w:t>0</w:t>
            </w:r>
          </w:p>
        </w:tc>
        <w:tc>
          <w:tcPr>
            <w:tcW w:w="1150" w:type="dxa"/>
          </w:tcPr>
          <w:p w14:paraId="05D82768" w14:textId="703019D4" w:rsidR="00DA708F" w:rsidRPr="0009516C" w:rsidRDefault="007E7D78" w:rsidP="00107C1C">
            <w:pPr>
              <w:jc w:val="center"/>
            </w:pPr>
            <w:r w:rsidRPr="0009516C">
              <w:t>0</w:t>
            </w:r>
          </w:p>
        </w:tc>
      </w:tr>
      <w:tr w:rsidR="00E1600A" w:rsidRPr="0009516C" w14:paraId="06297BD6" w14:textId="77777777" w:rsidTr="00E1600A">
        <w:trPr>
          <w:jc w:val="center"/>
        </w:trPr>
        <w:tc>
          <w:tcPr>
            <w:tcW w:w="2047" w:type="dxa"/>
          </w:tcPr>
          <w:p w14:paraId="6D97C3EB" w14:textId="77777777" w:rsidR="00E1600A" w:rsidRPr="0009516C" w:rsidRDefault="00E1600A" w:rsidP="00107C1C">
            <w:r w:rsidRPr="0009516C">
              <w:t>5.2. speciālais budžets</w:t>
            </w:r>
          </w:p>
        </w:tc>
        <w:tc>
          <w:tcPr>
            <w:tcW w:w="1123" w:type="dxa"/>
            <w:vMerge/>
            <w:vAlign w:val="center"/>
          </w:tcPr>
          <w:p w14:paraId="72440C53" w14:textId="77777777" w:rsidR="00E1600A" w:rsidRPr="0009516C" w:rsidRDefault="00E1600A" w:rsidP="00107C1C">
            <w:pPr>
              <w:jc w:val="center"/>
              <w:rPr>
                <w:i/>
              </w:rPr>
            </w:pPr>
          </w:p>
        </w:tc>
        <w:tc>
          <w:tcPr>
            <w:tcW w:w="1405" w:type="dxa"/>
          </w:tcPr>
          <w:p w14:paraId="3799B308" w14:textId="68BE0BA2" w:rsidR="00E1600A" w:rsidRPr="0009516C" w:rsidRDefault="00E1600A" w:rsidP="00107C1C">
            <w:pPr>
              <w:jc w:val="center"/>
            </w:pPr>
            <w:r w:rsidRPr="00EE37B6">
              <w:rPr>
                <w:i/>
              </w:rPr>
              <w:t>0</w:t>
            </w:r>
          </w:p>
        </w:tc>
        <w:tc>
          <w:tcPr>
            <w:tcW w:w="1111" w:type="dxa"/>
          </w:tcPr>
          <w:p w14:paraId="1E75FC85" w14:textId="3B32558B" w:rsidR="00E1600A" w:rsidRPr="0009516C" w:rsidRDefault="00E1600A" w:rsidP="00107C1C">
            <w:pPr>
              <w:jc w:val="center"/>
            </w:pPr>
            <w:r w:rsidRPr="00EE37B6">
              <w:rPr>
                <w:i/>
              </w:rPr>
              <w:t>0</w:t>
            </w:r>
          </w:p>
        </w:tc>
        <w:tc>
          <w:tcPr>
            <w:tcW w:w="1209" w:type="dxa"/>
          </w:tcPr>
          <w:p w14:paraId="2F654027" w14:textId="016D4A94" w:rsidR="00E1600A" w:rsidRPr="0009516C" w:rsidRDefault="00E1600A" w:rsidP="00107C1C">
            <w:pPr>
              <w:jc w:val="center"/>
            </w:pPr>
            <w:r w:rsidRPr="00EE37B6">
              <w:rPr>
                <w:i/>
              </w:rPr>
              <w:t>0</w:t>
            </w:r>
          </w:p>
        </w:tc>
        <w:tc>
          <w:tcPr>
            <w:tcW w:w="1106" w:type="dxa"/>
          </w:tcPr>
          <w:p w14:paraId="5A5AD6BB" w14:textId="275141F1" w:rsidR="00E1600A" w:rsidRPr="0009516C" w:rsidRDefault="00E1600A" w:rsidP="00107C1C">
            <w:pPr>
              <w:jc w:val="center"/>
            </w:pPr>
            <w:r w:rsidRPr="00EE37B6">
              <w:rPr>
                <w:i/>
              </w:rPr>
              <w:t>0</w:t>
            </w:r>
          </w:p>
        </w:tc>
        <w:tc>
          <w:tcPr>
            <w:tcW w:w="1192" w:type="dxa"/>
          </w:tcPr>
          <w:p w14:paraId="69ECB779" w14:textId="18A990E9" w:rsidR="00E1600A" w:rsidRPr="0009516C" w:rsidRDefault="00E1600A" w:rsidP="00107C1C">
            <w:pPr>
              <w:jc w:val="center"/>
            </w:pPr>
            <w:r w:rsidRPr="00EE37B6">
              <w:rPr>
                <w:i/>
              </w:rPr>
              <w:t>0</w:t>
            </w:r>
          </w:p>
        </w:tc>
        <w:tc>
          <w:tcPr>
            <w:tcW w:w="1150" w:type="dxa"/>
          </w:tcPr>
          <w:p w14:paraId="39477A3E" w14:textId="0D1540F7" w:rsidR="00E1600A" w:rsidRPr="0009516C" w:rsidRDefault="00E1600A" w:rsidP="00107C1C">
            <w:pPr>
              <w:jc w:val="center"/>
            </w:pPr>
            <w:r w:rsidRPr="00EE37B6">
              <w:rPr>
                <w:i/>
              </w:rPr>
              <w:t>0</w:t>
            </w:r>
          </w:p>
        </w:tc>
      </w:tr>
      <w:tr w:rsidR="00E1600A" w:rsidRPr="0009516C" w14:paraId="5E2EA37A" w14:textId="77777777" w:rsidTr="00E1600A">
        <w:trPr>
          <w:jc w:val="center"/>
        </w:trPr>
        <w:tc>
          <w:tcPr>
            <w:tcW w:w="2047" w:type="dxa"/>
          </w:tcPr>
          <w:p w14:paraId="00807605" w14:textId="77777777" w:rsidR="00E1600A" w:rsidRPr="0009516C" w:rsidRDefault="00E1600A" w:rsidP="00107C1C">
            <w:r w:rsidRPr="0009516C">
              <w:t xml:space="preserve">5.3. pašvaldību budžets </w:t>
            </w:r>
          </w:p>
        </w:tc>
        <w:tc>
          <w:tcPr>
            <w:tcW w:w="1123" w:type="dxa"/>
            <w:vMerge/>
          </w:tcPr>
          <w:p w14:paraId="5B3C56E9" w14:textId="77777777" w:rsidR="00E1600A" w:rsidRPr="0009516C" w:rsidRDefault="00E1600A" w:rsidP="00107C1C">
            <w:pPr>
              <w:jc w:val="center"/>
              <w:rPr>
                <w:i/>
              </w:rPr>
            </w:pPr>
          </w:p>
        </w:tc>
        <w:tc>
          <w:tcPr>
            <w:tcW w:w="1405" w:type="dxa"/>
          </w:tcPr>
          <w:p w14:paraId="34DF1238" w14:textId="5DD122D6" w:rsidR="00E1600A" w:rsidRPr="0009516C" w:rsidRDefault="00E1600A" w:rsidP="00107C1C">
            <w:pPr>
              <w:jc w:val="center"/>
            </w:pPr>
            <w:r w:rsidRPr="00EE37B6">
              <w:rPr>
                <w:i/>
              </w:rPr>
              <w:t>0</w:t>
            </w:r>
          </w:p>
        </w:tc>
        <w:tc>
          <w:tcPr>
            <w:tcW w:w="1111" w:type="dxa"/>
          </w:tcPr>
          <w:p w14:paraId="6CCAD106" w14:textId="15087B42" w:rsidR="00E1600A" w:rsidRPr="0009516C" w:rsidRDefault="00E1600A" w:rsidP="00107C1C">
            <w:pPr>
              <w:jc w:val="center"/>
            </w:pPr>
            <w:r w:rsidRPr="00EE37B6">
              <w:rPr>
                <w:i/>
              </w:rPr>
              <w:t>0</w:t>
            </w:r>
          </w:p>
        </w:tc>
        <w:tc>
          <w:tcPr>
            <w:tcW w:w="1209" w:type="dxa"/>
          </w:tcPr>
          <w:p w14:paraId="3BC1B57C" w14:textId="58D2BAB3" w:rsidR="00E1600A" w:rsidRPr="0009516C" w:rsidRDefault="00E1600A" w:rsidP="00107C1C">
            <w:pPr>
              <w:jc w:val="center"/>
            </w:pPr>
            <w:r w:rsidRPr="00EE37B6">
              <w:rPr>
                <w:i/>
              </w:rPr>
              <w:t>0</w:t>
            </w:r>
          </w:p>
        </w:tc>
        <w:tc>
          <w:tcPr>
            <w:tcW w:w="1106" w:type="dxa"/>
          </w:tcPr>
          <w:p w14:paraId="115C3BE1" w14:textId="735B827B" w:rsidR="00E1600A" w:rsidRPr="0009516C" w:rsidRDefault="00E1600A" w:rsidP="00107C1C">
            <w:pPr>
              <w:jc w:val="center"/>
            </w:pPr>
            <w:r w:rsidRPr="00EE37B6">
              <w:rPr>
                <w:i/>
              </w:rPr>
              <w:t>0</w:t>
            </w:r>
          </w:p>
        </w:tc>
        <w:tc>
          <w:tcPr>
            <w:tcW w:w="1192" w:type="dxa"/>
          </w:tcPr>
          <w:p w14:paraId="1A71D472" w14:textId="3C290799" w:rsidR="00E1600A" w:rsidRPr="0009516C" w:rsidRDefault="00E1600A" w:rsidP="00107C1C">
            <w:pPr>
              <w:jc w:val="center"/>
            </w:pPr>
            <w:r w:rsidRPr="00EE37B6">
              <w:rPr>
                <w:i/>
              </w:rPr>
              <w:t>0</w:t>
            </w:r>
          </w:p>
        </w:tc>
        <w:tc>
          <w:tcPr>
            <w:tcW w:w="1150" w:type="dxa"/>
          </w:tcPr>
          <w:p w14:paraId="1BEFEB9D" w14:textId="036A090B" w:rsidR="00E1600A" w:rsidRPr="0009516C" w:rsidRDefault="00E1600A" w:rsidP="00107C1C">
            <w:pPr>
              <w:jc w:val="center"/>
            </w:pPr>
            <w:r w:rsidRPr="00EE37B6">
              <w:rPr>
                <w:i/>
              </w:rPr>
              <w:t>0</w:t>
            </w:r>
          </w:p>
        </w:tc>
      </w:tr>
      <w:tr w:rsidR="0009516C" w:rsidRPr="0009516C" w14:paraId="214D50F7" w14:textId="77777777" w:rsidTr="00E1600A">
        <w:trPr>
          <w:jc w:val="center"/>
        </w:trPr>
        <w:tc>
          <w:tcPr>
            <w:tcW w:w="2047" w:type="dxa"/>
          </w:tcPr>
          <w:p w14:paraId="3E425710" w14:textId="77777777" w:rsidR="00DA708F" w:rsidRPr="0009516C" w:rsidRDefault="00DA708F" w:rsidP="00107C1C">
            <w:r w:rsidRPr="0009516C">
              <w:t xml:space="preserve">6. Detalizēts ieņēmumu un izdevumu </w:t>
            </w:r>
            <w:r w:rsidRPr="0009516C">
              <w:lastRenderedPageBreak/>
              <w:t>aprēķins (ja nepie</w:t>
            </w:r>
            <w:r w:rsidRPr="0009516C">
              <w:softHyphen/>
              <w:t>ciešams, detalizētu ieņēmumu un izdevumu aprēķinu var pievienot anotācijas pielikumā):</w:t>
            </w:r>
          </w:p>
        </w:tc>
        <w:tc>
          <w:tcPr>
            <w:tcW w:w="8296" w:type="dxa"/>
            <w:gridSpan w:val="7"/>
            <w:vMerge w:val="restart"/>
            <w:shd w:val="clear" w:color="auto" w:fill="auto"/>
          </w:tcPr>
          <w:p w14:paraId="4F2528DB" w14:textId="35C72D41" w:rsidR="00107C1C" w:rsidRPr="00107C1C" w:rsidRDefault="00107C1C" w:rsidP="00107C1C">
            <w:pPr>
              <w:jc w:val="both"/>
              <w:rPr>
                <w:rFonts w:eastAsia="Times New Roman"/>
                <w:iCs/>
                <w:color w:val="000000" w:themeColor="text1"/>
              </w:rPr>
            </w:pPr>
            <w:r w:rsidRPr="00107C1C">
              <w:rPr>
                <w:rFonts w:eastAsia="Times New Roman"/>
                <w:iCs/>
                <w:color w:val="000000" w:themeColor="text1"/>
              </w:rPr>
              <w:lastRenderedPageBreak/>
              <w:t xml:space="preserve">Nepieciešamais finansējums 6 Baltkrievijas </w:t>
            </w:r>
            <w:r>
              <w:rPr>
                <w:rFonts w:eastAsia="Times New Roman"/>
                <w:iCs/>
                <w:color w:val="000000" w:themeColor="text1"/>
              </w:rPr>
              <w:t xml:space="preserve">studentu studijām (stipendijas) </w:t>
            </w:r>
            <w:r w:rsidRPr="00107C1C">
              <w:rPr>
                <w:rFonts w:eastAsia="Times New Roman"/>
                <w:iCs/>
                <w:color w:val="000000" w:themeColor="text1"/>
              </w:rPr>
              <w:t>Vidzemes Augstskolā 2021. gada 1. janvāris – 30. jūnijs, pilna laika maģistra studiju programmā</w:t>
            </w:r>
          </w:p>
          <w:p w14:paraId="63F518E0" w14:textId="77777777" w:rsidR="0009516C" w:rsidRDefault="0009516C" w:rsidP="00107C1C">
            <w:pPr>
              <w:ind w:right="34"/>
              <w:jc w:val="both"/>
            </w:pPr>
          </w:p>
          <w:tbl>
            <w:tblPr>
              <w:tblW w:w="8840" w:type="dxa"/>
              <w:tblLook w:val="04A0" w:firstRow="1" w:lastRow="0" w:firstColumn="1" w:lastColumn="0" w:noHBand="0" w:noVBand="1"/>
            </w:tblPr>
            <w:tblGrid>
              <w:gridCol w:w="2080"/>
              <w:gridCol w:w="2300"/>
              <w:gridCol w:w="2360"/>
              <w:gridCol w:w="2100"/>
            </w:tblGrid>
            <w:tr w:rsidR="00107C1C" w:rsidRPr="00107C1C" w14:paraId="2BA69103" w14:textId="77777777" w:rsidTr="00107C1C">
              <w:trPr>
                <w:trHeight w:val="288"/>
              </w:trPr>
              <w:tc>
                <w:tcPr>
                  <w:tcW w:w="20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0C3EEA0" w14:textId="77777777" w:rsidR="00107C1C" w:rsidRPr="00107C1C" w:rsidRDefault="00107C1C" w:rsidP="00107C1C">
                  <w:pPr>
                    <w:jc w:val="center"/>
                    <w:rPr>
                      <w:rFonts w:eastAsia="Times New Roman"/>
                      <w:b/>
                      <w:bCs/>
                      <w:color w:val="000000"/>
                      <w:sz w:val="22"/>
                      <w:szCs w:val="22"/>
                      <w:lang w:val="en-US" w:eastAsia="en-US"/>
                    </w:rPr>
                  </w:pPr>
                  <w:r w:rsidRPr="00107C1C">
                    <w:rPr>
                      <w:rFonts w:eastAsia="Times New Roman"/>
                      <w:b/>
                      <w:bCs/>
                      <w:color w:val="000000"/>
                      <w:sz w:val="22"/>
                      <w:szCs w:val="22"/>
                      <w:lang w:val="en-US" w:eastAsia="en-US"/>
                    </w:rPr>
                    <w:lastRenderedPageBreak/>
                    <w:t xml:space="preserve">Studentu </w:t>
                  </w:r>
                  <w:proofErr w:type="spellStart"/>
                  <w:r w:rsidRPr="00107C1C">
                    <w:rPr>
                      <w:rFonts w:eastAsia="Times New Roman"/>
                      <w:b/>
                      <w:bCs/>
                      <w:color w:val="000000"/>
                      <w:sz w:val="22"/>
                      <w:szCs w:val="22"/>
                      <w:lang w:val="en-US" w:eastAsia="en-US"/>
                    </w:rPr>
                    <w:t>skaits</w:t>
                  </w:r>
                  <w:proofErr w:type="spellEnd"/>
                </w:p>
              </w:tc>
              <w:tc>
                <w:tcPr>
                  <w:tcW w:w="230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27A6623E" w14:textId="77777777" w:rsidR="00107C1C" w:rsidRPr="00107C1C" w:rsidRDefault="00107C1C" w:rsidP="00107C1C">
                  <w:pPr>
                    <w:jc w:val="center"/>
                    <w:rPr>
                      <w:rFonts w:eastAsia="Times New Roman"/>
                      <w:b/>
                      <w:bCs/>
                      <w:color w:val="000000"/>
                      <w:sz w:val="22"/>
                      <w:szCs w:val="22"/>
                      <w:lang w:val="en-US" w:eastAsia="en-US"/>
                    </w:rPr>
                  </w:pPr>
                  <w:proofErr w:type="spellStart"/>
                  <w:r w:rsidRPr="00107C1C">
                    <w:rPr>
                      <w:rFonts w:eastAsia="Times New Roman"/>
                      <w:b/>
                      <w:bCs/>
                      <w:color w:val="000000"/>
                      <w:sz w:val="22"/>
                      <w:szCs w:val="22"/>
                      <w:lang w:val="en-US" w:eastAsia="en-US"/>
                    </w:rPr>
                    <w:t>Stipendijas</w:t>
                  </w:r>
                  <w:proofErr w:type="spellEnd"/>
                  <w:r w:rsidRPr="00107C1C">
                    <w:rPr>
                      <w:rFonts w:eastAsia="Times New Roman"/>
                      <w:b/>
                      <w:bCs/>
                      <w:color w:val="000000"/>
                      <w:sz w:val="22"/>
                      <w:szCs w:val="22"/>
                      <w:lang w:val="en-US" w:eastAsia="en-US"/>
                    </w:rPr>
                    <w:t xml:space="preserve"> </w:t>
                  </w:r>
                  <w:proofErr w:type="spellStart"/>
                  <w:r w:rsidRPr="00107C1C">
                    <w:rPr>
                      <w:rFonts w:eastAsia="Times New Roman"/>
                      <w:b/>
                      <w:bCs/>
                      <w:color w:val="000000"/>
                      <w:sz w:val="22"/>
                      <w:szCs w:val="22"/>
                      <w:lang w:val="en-US" w:eastAsia="en-US"/>
                    </w:rPr>
                    <w:t>apmērs</w:t>
                  </w:r>
                  <w:proofErr w:type="spellEnd"/>
                  <w:r w:rsidRPr="00107C1C">
                    <w:rPr>
                      <w:rFonts w:eastAsia="Times New Roman"/>
                      <w:b/>
                      <w:bCs/>
                      <w:color w:val="000000"/>
                      <w:sz w:val="22"/>
                      <w:szCs w:val="22"/>
                      <w:lang w:val="en-US" w:eastAsia="en-US"/>
                    </w:rPr>
                    <w:t xml:space="preserve">, </w:t>
                  </w:r>
                  <w:proofErr w:type="spellStart"/>
                  <w:r w:rsidRPr="00107C1C">
                    <w:rPr>
                      <w:rFonts w:eastAsia="Times New Roman"/>
                      <w:b/>
                      <w:bCs/>
                      <w:color w:val="000000"/>
                      <w:sz w:val="22"/>
                      <w:szCs w:val="22"/>
                      <w:lang w:val="en-US" w:eastAsia="en-US"/>
                    </w:rPr>
                    <w:t>mēnesī</w:t>
                  </w:r>
                  <w:proofErr w:type="spellEnd"/>
                  <w:r w:rsidRPr="00107C1C">
                    <w:rPr>
                      <w:rFonts w:eastAsia="Times New Roman"/>
                      <w:b/>
                      <w:bCs/>
                      <w:color w:val="000000"/>
                      <w:sz w:val="22"/>
                      <w:szCs w:val="22"/>
                      <w:lang w:val="en-US" w:eastAsia="en-US"/>
                    </w:rPr>
                    <w:t xml:space="preserve"> </w:t>
                  </w:r>
                </w:p>
              </w:tc>
              <w:tc>
                <w:tcPr>
                  <w:tcW w:w="236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3513B094" w14:textId="77777777" w:rsidR="00107C1C" w:rsidRPr="00107C1C" w:rsidRDefault="00107C1C" w:rsidP="00107C1C">
                  <w:pPr>
                    <w:jc w:val="center"/>
                    <w:rPr>
                      <w:rFonts w:eastAsia="Times New Roman"/>
                      <w:b/>
                      <w:bCs/>
                      <w:color w:val="000000"/>
                      <w:lang w:val="en-US" w:eastAsia="en-US"/>
                    </w:rPr>
                  </w:pPr>
                  <w:proofErr w:type="spellStart"/>
                  <w:r w:rsidRPr="00107C1C">
                    <w:rPr>
                      <w:rFonts w:eastAsia="Times New Roman"/>
                      <w:b/>
                      <w:bCs/>
                      <w:color w:val="000000"/>
                      <w:lang w:val="en-US" w:eastAsia="en-US"/>
                    </w:rPr>
                    <w:t>Mēnešu</w:t>
                  </w:r>
                  <w:proofErr w:type="spellEnd"/>
                  <w:r w:rsidRPr="00107C1C">
                    <w:rPr>
                      <w:rFonts w:eastAsia="Times New Roman"/>
                      <w:b/>
                      <w:bCs/>
                      <w:color w:val="000000"/>
                      <w:lang w:val="en-US" w:eastAsia="en-US"/>
                    </w:rPr>
                    <w:t xml:space="preserve"> </w:t>
                  </w:r>
                  <w:proofErr w:type="spellStart"/>
                  <w:r w:rsidRPr="00107C1C">
                    <w:rPr>
                      <w:rFonts w:eastAsia="Times New Roman"/>
                      <w:b/>
                      <w:bCs/>
                      <w:color w:val="000000"/>
                      <w:lang w:val="en-US" w:eastAsia="en-US"/>
                    </w:rPr>
                    <w:t>skaits</w:t>
                  </w:r>
                  <w:proofErr w:type="spellEnd"/>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4F69DF41" w14:textId="6BAB01DF" w:rsidR="00107C1C" w:rsidRPr="00107C1C" w:rsidRDefault="00107C1C" w:rsidP="00107C1C">
                  <w:pPr>
                    <w:jc w:val="center"/>
                    <w:rPr>
                      <w:rFonts w:eastAsia="Times New Roman"/>
                      <w:b/>
                      <w:bCs/>
                      <w:color w:val="000000"/>
                      <w:lang w:val="en-US" w:eastAsia="en-US"/>
                    </w:rPr>
                  </w:pPr>
                  <w:proofErr w:type="spellStart"/>
                  <w:r w:rsidRPr="00107C1C">
                    <w:rPr>
                      <w:rFonts w:eastAsia="Times New Roman"/>
                      <w:b/>
                      <w:bCs/>
                      <w:color w:val="000000"/>
                      <w:lang w:val="en-US" w:eastAsia="en-US"/>
                    </w:rPr>
                    <w:t>Nepieci</w:t>
                  </w:r>
                  <w:r>
                    <w:rPr>
                      <w:rFonts w:eastAsia="Times New Roman"/>
                      <w:b/>
                      <w:bCs/>
                      <w:color w:val="000000"/>
                      <w:lang w:val="en-US" w:eastAsia="en-US"/>
                    </w:rPr>
                    <w:t>ešamais</w:t>
                  </w:r>
                  <w:proofErr w:type="spellEnd"/>
                  <w:r>
                    <w:rPr>
                      <w:rFonts w:eastAsia="Times New Roman"/>
                      <w:b/>
                      <w:bCs/>
                      <w:color w:val="000000"/>
                      <w:lang w:val="en-US" w:eastAsia="en-US"/>
                    </w:rPr>
                    <w:t xml:space="preserve"> </w:t>
                  </w:r>
                  <w:proofErr w:type="spellStart"/>
                  <w:r>
                    <w:rPr>
                      <w:rFonts w:eastAsia="Times New Roman"/>
                      <w:b/>
                      <w:bCs/>
                      <w:color w:val="000000"/>
                      <w:lang w:val="en-US" w:eastAsia="en-US"/>
                    </w:rPr>
                    <w:t>finansējums</w:t>
                  </w:r>
                  <w:proofErr w:type="spellEnd"/>
                  <w:r>
                    <w:rPr>
                      <w:rFonts w:eastAsia="Times New Roman"/>
                      <w:b/>
                      <w:bCs/>
                      <w:color w:val="000000"/>
                      <w:lang w:val="en-US" w:eastAsia="en-US"/>
                    </w:rPr>
                    <w:t xml:space="preserve"> 2021.gadā*</w:t>
                  </w:r>
                </w:p>
              </w:tc>
            </w:tr>
            <w:tr w:rsidR="00107C1C" w:rsidRPr="00107C1C" w14:paraId="6C893442" w14:textId="77777777" w:rsidTr="00107C1C">
              <w:trPr>
                <w:trHeight w:val="696"/>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3015F61C" w14:textId="77777777" w:rsidR="00107C1C" w:rsidRPr="00107C1C" w:rsidRDefault="00107C1C" w:rsidP="00107C1C">
                  <w:pPr>
                    <w:rPr>
                      <w:rFonts w:eastAsia="Times New Roman"/>
                      <w:b/>
                      <w:bCs/>
                      <w:color w:val="000000"/>
                      <w:sz w:val="22"/>
                      <w:szCs w:val="22"/>
                      <w:lang w:val="en-US" w:eastAsia="en-US"/>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558F57BA" w14:textId="77777777" w:rsidR="00107C1C" w:rsidRPr="00107C1C" w:rsidRDefault="00107C1C" w:rsidP="00107C1C">
                  <w:pPr>
                    <w:rPr>
                      <w:rFonts w:eastAsia="Times New Roman"/>
                      <w:b/>
                      <w:bCs/>
                      <w:color w:val="000000"/>
                      <w:sz w:val="22"/>
                      <w:szCs w:val="22"/>
                      <w:lang w:val="en-US" w:eastAsia="en-US"/>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77256650" w14:textId="77777777" w:rsidR="00107C1C" w:rsidRPr="00107C1C" w:rsidRDefault="00107C1C" w:rsidP="00107C1C">
                  <w:pPr>
                    <w:rPr>
                      <w:rFonts w:eastAsia="Times New Roman"/>
                      <w:b/>
                      <w:bCs/>
                      <w:color w:val="000000"/>
                      <w:lang w:val="en-US" w:eastAsia="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70D312E8" w14:textId="77777777" w:rsidR="00107C1C" w:rsidRPr="00107C1C" w:rsidRDefault="00107C1C" w:rsidP="00107C1C">
                  <w:pPr>
                    <w:rPr>
                      <w:rFonts w:eastAsia="Times New Roman"/>
                      <w:b/>
                      <w:bCs/>
                      <w:color w:val="000000"/>
                      <w:lang w:val="en-US" w:eastAsia="en-US"/>
                    </w:rPr>
                  </w:pPr>
                </w:p>
              </w:tc>
            </w:tr>
            <w:tr w:rsidR="00107C1C" w:rsidRPr="00107C1C" w14:paraId="10825C1F" w14:textId="77777777" w:rsidTr="00107C1C">
              <w:trPr>
                <w:trHeight w:val="312"/>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66A6AA0E" w14:textId="77777777" w:rsidR="00107C1C" w:rsidRPr="00107C1C" w:rsidRDefault="00107C1C" w:rsidP="00107C1C">
                  <w:pPr>
                    <w:jc w:val="center"/>
                    <w:rPr>
                      <w:rFonts w:eastAsia="Times New Roman"/>
                      <w:color w:val="000000"/>
                      <w:lang w:val="en-US" w:eastAsia="en-US"/>
                    </w:rPr>
                  </w:pPr>
                  <w:r w:rsidRPr="00107C1C">
                    <w:rPr>
                      <w:rFonts w:eastAsia="Times New Roman"/>
                      <w:color w:val="000000"/>
                      <w:lang w:val="en-US" w:eastAsia="en-US"/>
                    </w:rPr>
                    <w:t>6</w:t>
                  </w:r>
                </w:p>
              </w:tc>
              <w:tc>
                <w:tcPr>
                  <w:tcW w:w="2300" w:type="dxa"/>
                  <w:tcBorders>
                    <w:top w:val="nil"/>
                    <w:left w:val="nil"/>
                    <w:bottom w:val="single" w:sz="4" w:space="0" w:color="auto"/>
                    <w:right w:val="single" w:sz="4" w:space="0" w:color="auto"/>
                  </w:tcBorders>
                  <w:shd w:val="clear" w:color="auto" w:fill="auto"/>
                  <w:vAlign w:val="bottom"/>
                  <w:hideMark/>
                </w:tcPr>
                <w:p w14:paraId="22D6D273" w14:textId="77777777" w:rsidR="00107C1C" w:rsidRPr="00107C1C" w:rsidRDefault="00107C1C" w:rsidP="00107C1C">
                  <w:pPr>
                    <w:jc w:val="center"/>
                    <w:rPr>
                      <w:rFonts w:eastAsia="Times New Roman"/>
                      <w:color w:val="000000"/>
                      <w:lang w:val="en-US" w:eastAsia="en-US"/>
                    </w:rPr>
                  </w:pPr>
                  <w:r w:rsidRPr="00107C1C">
                    <w:rPr>
                      <w:rFonts w:eastAsia="Times New Roman"/>
                      <w:color w:val="000000"/>
                      <w:lang w:val="en-US" w:eastAsia="en-US"/>
                    </w:rPr>
                    <w:t>500</w:t>
                  </w:r>
                </w:p>
              </w:tc>
              <w:tc>
                <w:tcPr>
                  <w:tcW w:w="2360" w:type="dxa"/>
                  <w:tcBorders>
                    <w:top w:val="nil"/>
                    <w:left w:val="nil"/>
                    <w:bottom w:val="single" w:sz="4" w:space="0" w:color="auto"/>
                    <w:right w:val="single" w:sz="4" w:space="0" w:color="auto"/>
                  </w:tcBorders>
                  <w:shd w:val="clear" w:color="auto" w:fill="auto"/>
                  <w:noWrap/>
                  <w:vAlign w:val="center"/>
                  <w:hideMark/>
                </w:tcPr>
                <w:p w14:paraId="265446D1" w14:textId="77777777" w:rsidR="00107C1C" w:rsidRPr="00107C1C" w:rsidRDefault="00107C1C" w:rsidP="00107C1C">
                  <w:pPr>
                    <w:jc w:val="center"/>
                    <w:rPr>
                      <w:rFonts w:eastAsia="Times New Roman"/>
                      <w:color w:val="000000"/>
                      <w:lang w:val="en-US" w:eastAsia="en-US"/>
                    </w:rPr>
                  </w:pPr>
                  <w:r w:rsidRPr="00107C1C">
                    <w:rPr>
                      <w:rFonts w:eastAsia="Times New Roman"/>
                      <w:color w:val="000000"/>
                      <w:lang w:val="en-US" w:eastAsia="en-US"/>
                    </w:rPr>
                    <w:t>6</w:t>
                  </w:r>
                </w:p>
              </w:tc>
              <w:tc>
                <w:tcPr>
                  <w:tcW w:w="2100" w:type="dxa"/>
                  <w:tcBorders>
                    <w:top w:val="nil"/>
                    <w:left w:val="nil"/>
                    <w:bottom w:val="single" w:sz="4" w:space="0" w:color="auto"/>
                    <w:right w:val="single" w:sz="4" w:space="0" w:color="auto"/>
                  </w:tcBorders>
                  <w:shd w:val="clear" w:color="auto" w:fill="auto"/>
                  <w:noWrap/>
                  <w:vAlign w:val="bottom"/>
                  <w:hideMark/>
                </w:tcPr>
                <w:p w14:paraId="0A2D8CE1" w14:textId="77777777" w:rsidR="00107C1C" w:rsidRPr="00107C1C" w:rsidRDefault="00107C1C" w:rsidP="00107C1C">
                  <w:pPr>
                    <w:jc w:val="center"/>
                    <w:rPr>
                      <w:rFonts w:eastAsia="Times New Roman"/>
                      <w:color w:val="000000"/>
                      <w:lang w:val="en-US" w:eastAsia="en-US"/>
                    </w:rPr>
                  </w:pPr>
                  <w:r w:rsidRPr="00107C1C">
                    <w:rPr>
                      <w:rFonts w:eastAsia="Times New Roman"/>
                      <w:color w:val="000000"/>
                      <w:lang w:val="en-US" w:eastAsia="en-US"/>
                    </w:rPr>
                    <w:t>18 000</w:t>
                  </w:r>
                </w:p>
              </w:tc>
            </w:tr>
          </w:tbl>
          <w:p w14:paraId="02C8E305" w14:textId="66DCD24E" w:rsidR="0009516C" w:rsidRDefault="00107C1C" w:rsidP="00107C1C">
            <w:pPr>
              <w:pStyle w:val="ListParagraph"/>
              <w:ind w:left="420" w:right="34"/>
              <w:jc w:val="both"/>
              <w:rPr>
                <w:i/>
              </w:rPr>
            </w:pPr>
            <w:r>
              <w:t>* 6x500x6=18 00</w:t>
            </w:r>
            <w:r w:rsidR="00BB4CEC">
              <w:t>0</w:t>
            </w:r>
            <w:r>
              <w:t xml:space="preserve"> </w:t>
            </w:r>
            <w:proofErr w:type="spellStart"/>
            <w:r>
              <w:rPr>
                <w:i/>
              </w:rPr>
              <w:t>euro</w:t>
            </w:r>
            <w:proofErr w:type="spellEnd"/>
            <w:r>
              <w:rPr>
                <w:i/>
              </w:rPr>
              <w:t>.</w:t>
            </w:r>
            <w:r>
              <w:rPr>
                <w:rStyle w:val="FootnoteReference"/>
                <w:i/>
              </w:rPr>
              <w:footnoteReference w:id="2"/>
            </w:r>
          </w:p>
          <w:p w14:paraId="1EA65B70" w14:textId="77777777" w:rsidR="00107C1C" w:rsidRDefault="00107C1C" w:rsidP="00107C1C">
            <w:pPr>
              <w:pStyle w:val="ListParagraph"/>
              <w:ind w:left="0" w:right="34"/>
              <w:jc w:val="both"/>
              <w:rPr>
                <w:i/>
              </w:rPr>
            </w:pPr>
          </w:p>
          <w:p w14:paraId="66E1232E" w14:textId="77777777" w:rsidR="00107C1C" w:rsidRDefault="00107C1C" w:rsidP="00107C1C">
            <w:pPr>
              <w:pStyle w:val="ListParagraph"/>
              <w:ind w:left="420" w:right="34"/>
              <w:jc w:val="both"/>
              <w:rPr>
                <w:i/>
              </w:rPr>
            </w:pPr>
          </w:p>
          <w:p w14:paraId="50128AAB" w14:textId="3EFF6FC9" w:rsidR="00107C1C" w:rsidRDefault="00107C1C" w:rsidP="00107C1C">
            <w:pPr>
              <w:shd w:val="clear" w:color="auto" w:fill="FFFFFF"/>
              <w:jc w:val="both"/>
            </w:pPr>
            <w:r w:rsidRPr="00107C1C">
              <w:t>Nepieciešamais finansējums četru Baltkri</w:t>
            </w:r>
            <w:r>
              <w:t xml:space="preserve">evijas pētnieku nodarbinātībai </w:t>
            </w:r>
            <w:r w:rsidRPr="00107C1C">
              <w:t xml:space="preserve">Daugavpils Universitātē 2021. gada 1. februāris – 2021. gada 31. augusts </w:t>
            </w:r>
          </w:p>
          <w:tbl>
            <w:tblPr>
              <w:tblW w:w="8642" w:type="dxa"/>
              <w:tblLook w:val="04A0" w:firstRow="1" w:lastRow="0" w:firstColumn="1" w:lastColumn="0" w:noHBand="0" w:noVBand="1"/>
            </w:tblPr>
            <w:tblGrid>
              <w:gridCol w:w="1413"/>
              <w:gridCol w:w="1701"/>
              <w:gridCol w:w="1643"/>
              <w:gridCol w:w="1617"/>
              <w:gridCol w:w="2268"/>
            </w:tblGrid>
            <w:tr w:rsidR="00107C1C" w:rsidRPr="00F46BE3" w14:paraId="2B349F4F" w14:textId="77777777" w:rsidTr="00BB4CEC">
              <w:trPr>
                <w:trHeight w:val="1104"/>
              </w:trPr>
              <w:tc>
                <w:tcPr>
                  <w:tcW w:w="1413" w:type="dxa"/>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E0AC549" w14:textId="77777777" w:rsidR="00107C1C" w:rsidRPr="00F46BE3" w:rsidRDefault="00107C1C" w:rsidP="00107C1C">
                  <w:pPr>
                    <w:jc w:val="center"/>
                    <w:rPr>
                      <w:rFonts w:eastAsia="Times New Roman"/>
                      <w:b/>
                      <w:bCs/>
                      <w:color w:val="000000"/>
                    </w:rPr>
                  </w:pPr>
                  <w:r w:rsidRPr="00F46BE3">
                    <w:rPr>
                      <w:rFonts w:eastAsia="Times New Roman"/>
                      <w:b/>
                      <w:bCs/>
                      <w:color w:val="000000"/>
                    </w:rPr>
                    <w:t>Pētnieku skaits</w:t>
                  </w:r>
                </w:p>
              </w:tc>
              <w:tc>
                <w:tcPr>
                  <w:tcW w:w="1701"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1E3F4D46" w14:textId="77777777" w:rsidR="00107C1C" w:rsidRPr="00F46BE3" w:rsidRDefault="00107C1C" w:rsidP="00107C1C">
                  <w:pPr>
                    <w:jc w:val="center"/>
                    <w:rPr>
                      <w:rFonts w:eastAsia="Times New Roman"/>
                      <w:b/>
                      <w:bCs/>
                      <w:color w:val="000000"/>
                    </w:rPr>
                  </w:pPr>
                  <w:r w:rsidRPr="00F46BE3">
                    <w:rPr>
                      <w:rFonts w:eastAsia="Times New Roman"/>
                      <w:b/>
                      <w:bCs/>
                      <w:color w:val="000000"/>
                    </w:rPr>
                    <w:t>Stipendijas apmērs, mēnesī</w:t>
                  </w:r>
                </w:p>
              </w:tc>
              <w:tc>
                <w:tcPr>
                  <w:tcW w:w="1643"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7D844267" w14:textId="77777777" w:rsidR="00107C1C" w:rsidRPr="00F46BE3" w:rsidRDefault="00107C1C" w:rsidP="00107C1C">
                  <w:pPr>
                    <w:jc w:val="center"/>
                    <w:rPr>
                      <w:rFonts w:eastAsia="Times New Roman"/>
                      <w:b/>
                      <w:bCs/>
                      <w:color w:val="000000"/>
                    </w:rPr>
                  </w:pPr>
                  <w:r w:rsidRPr="00F46BE3">
                    <w:rPr>
                      <w:rFonts w:eastAsia="Times New Roman"/>
                      <w:b/>
                      <w:bCs/>
                      <w:color w:val="000000"/>
                    </w:rPr>
                    <w:t>Izmitināšanās stipendijas apmērs, mēnesī</w:t>
                  </w:r>
                </w:p>
              </w:tc>
              <w:tc>
                <w:tcPr>
                  <w:tcW w:w="1617"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55F470AA" w14:textId="77777777" w:rsidR="00107C1C" w:rsidRPr="00F46BE3" w:rsidRDefault="00107C1C" w:rsidP="00107C1C">
                  <w:pPr>
                    <w:jc w:val="center"/>
                    <w:rPr>
                      <w:rFonts w:eastAsia="Times New Roman"/>
                      <w:b/>
                      <w:bCs/>
                      <w:color w:val="000000"/>
                    </w:rPr>
                  </w:pPr>
                  <w:r w:rsidRPr="00F46BE3">
                    <w:rPr>
                      <w:rFonts w:eastAsia="Times New Roman"/>
                      <w:b/>
                      <w:bCs/>
                      <w:color w:val="000000"/>
                    </w:rPr>
                    <w:t>Pārcelšanās izdevumi (1x izmaksa)</w:t>
                  </w:r>
                </w:p>
              </w:tc>
              <w:tc>
                <w:tcPr>
                  <w:tcW w:w="2268" w:type="dxa"/>
                  <w:tcBorders>
                    <w:top w:val="single" w:sz="4" w:space="0" w:color="auto"/>
                    <w:left w:val="nil"/>
                    <w:right w:val="single" w:sz="4" w:space="0" w:color="auto"/>
                  </w:tcBorders>
                  <w:shd w:val="clear" w:color="000000" w:fill="BFBFBF"/>
                  <w:vAlign w:val="center"/>
                  <w:hideMark/>
                </w:tcPr>
                <w:p w14:paraId="1D92FE5B" w14:textId="2173BEE0" w:rsidR="00107C1C" w:rsidRPr="00F46BE3" w:rsidRDefault="00107C1C" w:rsidP="00107C1C">
                  <w:pPr>
                    <w:jc w:val="center"/>
                    <w:rPr>
                      <w:rFonts w:eastAsia="Times New Roman"/>
                      <w:b/>
                      <w:bCs/>
                      <w:color w:val="000000"/>
                    </w:rPr>
                  </w:pPr>
                  <w:r w:rsidRPr="00107C1C">
                    <w:rPr>
                      <w:rFonts w:eastAsia="Times New Roman"/>
                      <w:b/>
                      <w:bCs/>
                      <w:color w:val="000000"/>
                      <w:lang w:eastAsia="en-US"/>
                    </w:rPr>
                    <w:t>Nepieciešamais finansējums 2021.gadā</w:t>
                  </w:r>
                  <w:r w:rsidRPr="00F46BE3">
                    <w:rPr>
                      <w:rFonts w:eastAsia="Times New Roman"/>
                      <w:b/>
                      <w:bCs/>
                      <w:color w:val="000000"/>
                    </w:rPr>
                    <w:br/>
                    <w:t>(7 mēneši)</w:t>
                  </w:r>
                  <w:r>
                    <w:rPr>
                      <w:rFonts w:eastAsia="Times New Roman"/>
                      <w:b/>
                      <w:bCs/>
                      <w:color w:val="000000"/>
                    </w:rPr>
                    <w:t>**</w:t>
                  </w:r>
                </w:p>
              </w:tc>
            </w:tr>
            <w:tr w:rsidR="00107C1C" w:rsidRPr="00F46BE3" w14:paraId="4EA68B18" w14:textId="77777777" w:rsidTr="00BB4CEC">
              <w:trPr>
                <w:trHeight w:val="312"/>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F8BC804" w14:textId="77777777" w:rsidR="00107C1C" w:rsidRPr="00F46BE3" w:rsidRDefault="00107C1C" w:rsidP="00107C1C">
                  <w:pPr>
                    <w:jc w:val="right"/>
                    <w:rPr>
                      <w:rFonts w:eastAsia="Times New Roman"/>
                      <w:color w:val="000000"/>
                    </w:rPr>
                  </w:pPr>
                  <w:r w:rsidRPr="00F46BE3">
                    <w:rPr>
                      <w:rFonts w:eastAsia="Times New Roman"/>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14:paraId="40851C57" w14:textId="77777777" w:rsidR="00107C1C" w:rsidRPr="00F46BE3" w:rsidRDefault="00107C1C" w:rsidP="00107C1C">
                  <w:pPr>
                    <w:jc w:val="center"/>
                    <w:rPr>
                      <w:rFonts w:eastAsia="Times New Roman"/>
                      <w:color w:val="000000"/>
                    </w:rPr>
                  </w:pPr>
                  <w:r w:rsidRPr="00F46BE3">
                    <w:rPr>
                      <w:rFonts w:eastAsia="Times New Roman"/>
                      <w:color w:val="000000"/>
                    </w:rPr>
                    <w:t>900</w:t>
                  </w:r>
                </w:p>
              </w:tc>
              <w:tc>
                <w:tcPr>
                  <w:tcW w:w="1643" w:type="dxa"/>
                  <w:tcBorders>
                    <w:top w:val="nil"/>
                    <w:left w:val="nil"/>
                    <w:bottom w:val="single" w:sz="4" w:space="0" w:color="auto"/>
                    <w:right w:val="single" w:sz="4" w:space="0" w:color="auto"/>
                  </w:tcBorders>
                  <w:shd w:val="clear" w:color="auto" w:fill="auto"/>
                  <w:noWrap/>
                  <w:vAlign w:val="bottom"/>
                  <w:hideMark/>
                </w:tcPr>
                <w:p w14:paraId="4D9D1C1B" w14:textId="77777777" w:rsidR="00107C1C" w:rsidRPr="00F46BE3" w:rsidRDefault="00107C1C" w:rsidP="00107C1C">
                  <w:pPr>
                    <w:jc w:val="center"/>
                    <w:rPr>
                      <w:rFonts w:eastAsia="Times New Roman"/>
                      <w:color w:val="000000"/>
                    </w:rPr>
                  </w:pPr>
                  <w:r w:rsidRPr="00F46BE3">
                    <w:rPr>
                      <w:rFonts w:eastAsia="Times New Roman"/>
                      <w:color w:val="000000"/>
                    </w:rPr>
                    <w:t>300</w:t>
                  </w:r>
                </w:p>
              </w:tc>
              <w:tc>
                <w:tcPr>
                  <w:tcW w:w="1617" w:type="dxa"/>
                  <w:tcBorders>
                    <w:top w:val="nil"/>
                    <w:left w:val="nil"/>
                    <w:bottom w:val="single" w:sz="4" w:space="0" w:color="auto"/>
                    <w:right w:val="single" w:sz="4" w:space="0" w:color="auto"/>
                  </w:tcBorders>
                  <w:shd w:val="clear" w:color="auto" w:fill="auto"/>
                  <w:noWrap/>
                  <w:vAlign w:val="bottom"/>
                  <w:hideMark/>
                </w:tcPr>
                <w:p w14:paraId="1F4C243B" w14:textId="77777777" w:rsidR="00107C1C" w:rsidRPr="00F46BE3" w:rsidRDefault="00107C1C" w:rsidP="00107C1C">
                  <w:pPr>
                    <w:jc w:val="center"/>
                    <w:rPr>
                      <w:rFonts w:eastAsia="Times New Roman"/>
                      <w:color w:val="000000"/>
                    </w:rPr>
                  </w:pPr>
                  <w:r w:rsidRPr="00F46BE3">
                    <w:rPr>
                      <w:rFonts w:eastAsia="Times New Roman"/>
                      <w:color w:val="000000"/>
                    </w:rPr>
                    <w:t>1 000</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14:paraId="4716BEE7" w14:textId="77777777" w:rsidR="00107C1C" w:rsidRPr="00F46BE3" w:rsidRDefault="00107C1C" w:rsidP="00107C1C">
                  <w:pPr>
                    <w:jc w:val="center"/>
                    <w:rPr>
                      <w:rFonts w:eastAsia="Times New Roman"/>
                      <w:color w:val="000000"/>
                    </w:rPr>
                  </w:pPr>
                  <w:r w:rsidRPr="00F46BE3">
                    <w:rPr>
                      <w:rFonts w:eastAsia="Times New Roman"/>
                      <w:color w:val="000000"/>
                    </w:rPr>
                    <w:t>37 600</w:t>
                  </w:r>
                </w:p>
              </w:tc>
            </w:tr>
          </w:tbl>
          <w:p w14:paraId="687039E0" w14:textId="77777777" w:rsidR="00107C1C" w:rsidRPr="00107C1C" w:rsidRDefault="00107C1C" w:rsidP="00107C1C">
            <w:pPr>
              <w:shd w:val="clear" w:color="auto" w:fill="FFFFFF"/>
              <w:jc w:val="both"/>
            </w:pPr>
          </w:p>
          <w:p w14:paraId="1058E9E0" w14:textId="3818C1D5" w:rsidR="00107C1C" w:rsidRPr="00107C1C" w:rsidRDefault="00107C1C" w:rsidP="00107C1C">
            <w:pPr>
              <w:pStyle w:val="ListParagraph"/>
              <w:ind w:left="420" w:right="34"/>
              <w:jc w:val="both"/>
              <w:rPr>
                <w:i/>
              </w:rPr>
            </w:pPr>
            <w:r>
              <w:t>** 4x(900+300)x(1000x4)</w:t>
            </w:r>
            <w:r w:rsidR="00BB4CEC">
              <w:t>x7</w:t>
            </w:r>
            <w:r>
              <w:t xml:space="preserve">=37 600 </w:t>
            </w:r>
            <w:proofErr w:type="spellStart"/>
            <w:r>
              <w:rPr>
                <w:i/>
              </w:rPr>
              <w:t>euro</w:t>
            </w:r>
            <w:proofErr w:type="spellEnd"/>
            <w:r>
              <w:rPr>
                <w:rStyle w:val="FootnoteReference"/>
                <w:i/>
              </w:rPr>
              <w:footnoteReference w:id="3"/>
            </w:r>
          </w:p>
          <w:p w14:paraId="73327328" w14:textId="77777777" w:rsidR="00107C1C" w:rsidRDefault="00107C1C" w:rsidP="00107C1C">
            <w:pPr>
              <w:pStyle w:val="ListParagraph"/>
              <w:ind w:left="420" w:right="34"/>
              <w:jc w:val="both"/>
              <w:rPr>
                <w:i/>
              </w:rPr>
            </w:pPr>
          </w:p>
          <w:p w14:paraId="26F64AA9" w14:textId="77777777" w:rsidR="00107C1C" w:rsidRDefault="00107C1C" w:rsidP="00107C1C">
            <w:pPr>
              <w:pStyle w:val="ListParagraph"/>
              <w:ind w:left="420" w:right="34"/>
              <w:jc w:val="both"/>
              <w:rPr>
                <w:i/>
              </w:rPr>
            </w:pPr>
          </w:p>
          <w:p w14:paraId="12AD66CC" w14:textId="099151A8" w:rsidR="00107C1C" w:rsidRPr="00107C1C" w:rsidRDefault="00107C1C" w:rsidP="00107C1C">
            <w:pPr>
              <w:pStyle w:val="ListParagraph"/>
              <w:ind w:left="420" w:right="34"/>
              <w:jc w:val="both"/>
              <w:rPr>
                <w:i/>
              </w:rPr>
            </w:pPr>
          </w:p>
        </w:tc>
      </w:tr>
      <w:tr w:rsidR="0009516C" w:rsidRPr="0009516C" w14:paraId="5F30166E" w14:textId="77777777" w:rsidTr="00E1600A">
        <w:trPr>
          <w:jc w:val="center"/>
        </w:trPr>
        <w:tc>
          <w:tcPr>
            <w:tcW w:w="2047" w:type="dxa"/>
          </w:tcPr>
          <w:p w14:paraId="2E27D7B1" w14:textId="4729214D" w:rsidR="00DA708F" w:rsidRPr="0009516C" w:rsidRDefault="00DA708F" w:rsidP="00107C1C">
            <w:r w:rsidRPr="0009516C">
              <w:lastRenderedPageBreak/>
              <w:t>6.1. detalizēts ieņēmumu aprēķins</w:t>
            </w:r>
          </w:p>
        </w:tc>
        <w:tc>
          <w:tcPr>
            <w:tcW w:w="8296" w:type="dxa"/>
            <w:gridSpan w:val="7"/>
            <w:vMerge/>
            <w:shd w:val="clear" w:color="auto" w:fill="auto"/>
          </w:tcPr>
          <w:p w14:paraId="498A7179" w14:textId="77777777" w:rsidR="00DA708F" w:rsidRPr="0009516C" w:rsidRDefault="00DA708F" w:rsidP="00107C1C">
            <w:pPr>
              <w:rPr>
                <w:b/>
                <w:i/>
              </w:rPr>
            </w:pPr>
          </w:p>
        </w:tc>
      </w:tr>
      <w:tr w:rsidR="0009516C" w:rsidRPr="0009516C" w14:paraId="6161CC7C" w14:textId="77777777" w:rsidTr="00E1600A">
        <w:trPr>
          <w:jc w:val="center"/>
        </w:trPr>
        <w:tc>
          <w:tcPr>
            <w:tcW w:w="2047" w:type="dxa"/>
          </w:tcPr>
          <w:p w14:paraId="52D9743E" w14:textId="77777777" w:rsidR="00DA708F" w:rsidRPr="0009516C" w:rsidRDefault="00DA708F" w:rsidP="00107C1C">
            <w:r w:rsidRPr="0009516C">
              <w:t>6.2. detalizēts izdevumu aprēķins</w:t>
            </w:r>
          </w:p>
        </w:tc>
        <w:tc>
          <w:tcPr>
            <w:tcW w:w="8296" w:type="dxa"/>
            <w:gridSpan w:val="7"/>
            <w:vMerge/>
            <w:shd w:val="clear" w:color="auto" w:fill="auto"/>
          </w:tcPr>
          <w:p w14:paraId="7B4D5925" w14:textId="77777777" w:rsidR="00DA708F" w:rsidRPr="0009516C" w:rsidRDefault="00DA708F" w:rsidP="00107C1C">
            <w:pPr>
              <w:rPr>
                <w:b/>
                <w:i/>
              </w:rPr>
            </w:pPr>
          </w:p>
        </w:tc>
      </w:tr>
      <w:tr w:rsidR="0009516C" w:rsidRPr="0009516C" w14:paraId="7DF31435" w14:textId="77777777" w:rsidTr="00E1600A">
        <w:trPr>
          <w:trHeight w:val="399"/>
          <w:jc w:val="center"/>
        </w:trPr>
        <w:tc>
          <w:tcPr>
            <w:tcW w:w="2047" w:type="dxa"/>
          </w:tcPr>
          <w:p w14:paraId="7FEEAE8C" w14:textId="77777777" w:rsidR="00DA708F" w:rsidRPr="0009516C" w:rsidRDefault="00DA708F" w:rsidP="00107C1C">
            <w:r w:rsidRPr="0009516C">
              <w:t>7. Amata vietu skaita izmaiņas</w:t>
            </w:r>
          </w:p>
        </w:tc>
        <w:tc>
          <w:tcPr>
            <w:tcW w:w="8296" w:type="dxa"/>
            <w:gridSpan w:val="7"/>
            <w:shd w:val="clear" w:color="auto" w:fill="auto"/>
          </w:tcPr>
          <w:p w14:paraId="02AB3A95" w14:textId="4DF02F06" w:rsidR="00DA708F" w:rsidRPr="0009516C" w:rsidRDefault="00654BB6" w:rsidP="00107C1C">
            <w:pPr>
              <w:ind w:right="34"/>
              <w:jc w:val="both"/>
            </w:pPr>
            <w:r w:rsidRPr="0009516C">
              <w:t>Rīkojuma projektiem</w:t>
            </w:r>
            <w:r w:rsidR="00DA708F" w:rsidRPr="0009516C">
              <w:t xml:space="preserve"> nav ietekme uz amata vietu skaita izmaiņām.</w:t>
            </w:r>
          </w:p>
        </w:tc>
      </w:tr>
      <w:tr w:rsidR="0009516C" w:rsidRPr="0009516C" w14:paraId="2CAD9D46" w14:textId="77777777" w:rsidTr="00E1600A">
        <w:trPr>
          <w:trHeight w:val="399"/>
          <w:jc w:val="center"/>
        </w:trPr>
        <w:tc>
          <w:tcPr>
            <w:tcW w:w="2047" w:type="dxa"/>
          </w:tcPr>
          <w:p w14:paraId="715B2A4B" w14:textId="77777777" w:rsidR="00DA708F" w:rsidRPr="0009516C" w:rsidRDefault="00DA708F" w:rsidP="00107C1C">
            <w:r w:rsidRPr="0009516C">
              <w:t>8. Cita informācija</w:t>
            </w:r>
          </w:p>
        </w:tc>
        <w:tc>
          <w:tcPr>
            <w:tcW w:w="8296" w:type="dxa"/>
            <w:gridSpan w:val="7"/>
            <w:shd w:val="clear" w:color="auto" w:fill="auto"/>
          </w:tcPr>
          <w:p w14:paraId="51726586" w14:textId="0B9CACF8" w:rsidR="000D0EED" w:rsidRPr="0009516C" w:rsidRDefault="0009516C" w:rsidP="00107C1C">
            <w:pPr>
              <w:ind w:right="34"/>
              <w:jc w:val="both"/>
            </w:pPr>
            <w:r w:rsidRPr="0009516C">
              <w:rPr>
                <w:rFonts w:eastAsia="Times New Roman"/>
              </w:rPr>
              <w:t xml:space="preserve">Izdevumus sedz no valsts budžeta programmas 02.00.00 „Līdzekļi neparedzētiem </w:t>
            </w:r>
            <w:r w:rsidRPr="00C87328">
              <w:rPr>
                <w:rFonts w:eastAsia="Times New Roman"/>
              </w:rPr>
              <w:t>gadījumiem”</w:t>
            </w:r>
            <w:r w:rsidR="006D1268" w:rsidRPr="000520D5">
              <w:t xml:space="preserve"> atbilstoši </w:t>
            </w:r>
            <w:r w:rsidR="006D1268" w:rsidRPr="00072C7D">
              <w:t>Ministru kabineta 2018.</w:t>
            </w:r>
            <w:r w:rsidR="006D1268">
              <w:t xml:space="preserve"> </w:t>
            </w:r>
            <w:r w:rsidR="006D1268" w:rsidRPr="00072C7D">
              <w:t>gada 17.</w:t>
            </w:r>
            <w:r w:rsidR="006D1268">
              <w:t xml:space="preserve"> </w:t>
            </w:r>
            <w:r w:rsidR="006D1268" w:rsidRPr="00072C7D">
              <w:t>jūlija noteikum</w:t>
            </w:r>
            <w:r w:rsidR="006D1268">
              <w:t>iem</w:t>
            </w:r>
            <w:r w:rsidR="006D1268" w:rsidRPr="00072C7D">
              <w:t xml:space="preserve"> </w:t>
            </w:r>
            <w:r w:rsidR="006D1268">
              <w:br/>
            </w:r>
            <w:r w:rsidR="006D1268" w:rsidRPr="00072C7D">
              <w:t>Nr.</w:t>
            </w:r>
            <w:r w:rsidR="006D1268">
              <w:t xml:space="preserve"> </w:t>
            </w:r>
            <w:r w:rsidR="006D1268" w:rsidRPr="00072C7D">
              <w:t>421 „Kārtība, kādā veic gadskārtējā valsts budžeta likumā noteiktās apropriācijas izmaiņas”.</w:t>
            </w:r>
          </w:p>
        </w:tc>
      </w:tr>
    </w:tbl>
    <w:p w14:paraId="03154F8A" w14:textId="77777777" w:rsidR="00EE6938" w:rsidRPr="0009516C" w:rsidRDefault="00EE6938" w:rsidP="00107C1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09516C" w:rsidRPr="0009516C" w14:paraId="2DDEDB1E" w14:textId="77777777" w:rsidTr="00D228F9">
        <w:tc>
          <w:tcPr>
            <w:tcW w:w="10060" w:type="dxa"/>
            <w:tcBorders>
              <w:bottom w:val="single" w:sz="4" w:space="0" w:color="auto"/>
            </w:tcBorders>
            <w:vAlign w:val="center"/>
          </w:tcPr>
          <w:p w14:paraId="49E69494" w14:textId="77777777" w:rsidR="00C3572A" w:rsidRPr="0009516C" w:rsidRDefault="00C3572A" w:rsidP="00107C1C">
            <w:pPr>
              <w:pStyle w:val="naisnod"/>
              <w:spacing w:before="0" w:after="0"/>
            </w:pPr>
            <w:r w:rsidRPr="0009516C">
              <w:t>IV. Tiesību akta projekta ietekme uz spēkā esošo tiesību normu sistēmu</w:t>
            </w:r>
          </w:p>
        </w:tc>
      </w:tr>
      <w:tr w:rsidR="0009516C" w:rsidRPr="0009516C"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2CDFFBD6" w:rsidR="00C3572A" w:rsidRPr="0009516C" w:rsidRDefault="00C3572A" w:rsidP="00107C1C">
            <w:pPr>
              <w:ind w:right="127"/>
              <w:jc w:val="center"/>
            </w:pPr>
            <w:r w:rsidRPr="0009516C">
              <w:t>Projekt</w:t>
            </w:r>
            <w:r w:rsidR="00654BB6" w:rsidRPr="0009516C">
              <w:t>i</w:t>
            </w:r>
            <w:r w:rsidRPr="0009516C">
              <w:t xml:space="preserve"> šo jomu neskar</w:t>
            </w:r>
          </w:p>
        </w:tc>
      </w:tr>
    </w:tbl>
    <w:p w14:paraId="104CF13E" w14:textId="72CF8168" w:rsidR="00C130F5" w:rsidRPr="0009516C" w:rsidRDefault="00C130F5" w:rsidP="00107C1C">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09516C" w:rsidRPr="0009516C" w14:paraId="3B314101" w14:textId="77777777" w:rsidTr="001B2A96">
        <w:tc>
          <w:tcPr>
            <w:tcW w:w="10060" w:type="dxa"/>
            <w:vAlign w:val="center"/>
          </w:tcPr>
          <w:p w14:paraId="5C120AB2" w14:textId="111290E2" w:rsidR="00C3572A" w:rsidRPr="0009516C" w:rsidRDefault="00C3572A" w:rsidP="00107C1C">
            <w:pPr>
              <w:pStyle w:val="naisnod"/>
              <w:spacing w:before="0" w:after="0"/>
            </w:pPr>
            <w:r w:rsidRPr="0009516C">
              <w:t>V. Tiesību akta projekta atbilstība Latvijas Republikas starptautiskajām saistībām</w:t>
            </w:r>
          </w:p>
        </w:tc>
      </w:tr>
      <w:tr w:rsidR="0009516C" w:rsidRPr="0009516C" w14:paraId="3384D968" w14:textId="77777777" w:rsidTr="001B2A96">
        <w:trPr>
          <w:trHeight w:val="273"/>
        </w:trPr>
        <w:tc>
          <w:tcPr>
            <w:tcW w:w="10060" w:type="dxa"/>
          </w:tcPr>
          <w:p w14:paraId="6B97A43E" w14:textId="02BAB449" w:rsidR="00C3572A" w:rsidRPr="0009516C" w:rsidRDefault="0009516C" w:rsidP="00107C1C">
            <w:pPr>
              <w:ind w:right="127"/>
              <w:jc w:val="center"/>
            </w:pPr>
            <w:r w:rsidRPr="0009516C">
              <w:rPr>
                <w:rFonts w:eastAsia="Times New Roman"/>
                <w:iCs/>
              </w:rPr>
              <w:t>Latvija kā Eiropas Savienības dalībvalsts sniedz atbalstu Baltkrievijai atbilstoši augusta ES Ārlietu padomē un Eiropadomē nolemtajam.</w:t>
            </w:r>
          </w:p>
        </w:tc>
      </w:tr>
    </w:tbl>
    <w:p w14:paraId="44946324" w14:textId="0BAC248A" w:rsidR="00C573BE" w:rsidRPr="0009516C" w:rsidRDefault="00C573BE" w:rsidP="00107C1C">
      <w:pPr>
        <w:rPr>
          <w:b/>
          <w:bCs/>
        </w:rPr>
      </w:pPr>
    </w:p>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1"/>
        <w:gridCol w:w="2515"/>
        <w:gridCol w:w="6861"/>
      </w:tblGrid>
      <w:tr w:rsidR="0009516C" w:rsidRPr="0009516C" w14:paraId="7631618C" w14:textId="77777777" w:rsidTr="00BB4CEC">
        <w:tc>
          <w:tcPr>
            <w:tcW w:w="10207" w:type="dxa"/>
            <w:gridSpan w:val="3"/>
            <w:vAlign w:val="center"/>
          </w:tcPr>
          <w:p w14:paraId="59463A24" w14:textId="77777777" w:rsidR="0009516C" w:rsidRPr="0009516C" w:rsidRDefault="0009516C" w:rsidP="00107C1C">
            <w:pPr>
              <w:pStyle w:val="naisnod"/>
              <w:spacing w:before="0" w:after="0"/>
            </w:pPr>
            <w:r w:rsidRPr="0009516C">
              <w:t>VI. Sabiedrības līdzdalība un komunikācijas aktivitātes</w:t>
            </w:r>
          </w:p>
        </w:tc>
      </w:tr>
      <w:tr w:rsidR="0009516C" w:rsidRPr="0009516C" w14:paraId="73D877CA" w14:textId="77777777" w:rsidTr="00BB4CEC">
        <w:trPr>
          <w:trHeight w:val="265"/>
        </w:trPr>
        <w:tc>
          <w:tcPr>
            <w:tcW w:w="831" w:type="dxa"/>
          </w:tcPr>
          <w:p w14:paraId="5F783C55" w14:textId="77777777" w:rsidR="0009516C" w:rsidRPr="0009516C" w:rsidRDefault="0009516C" w:rsidP="00107C1C">
            <w:pPr>
              <w:pStyle w:val="naiskr"/>
              <w:spacing w:before="0" w:after="0"/>
              <w:jc w:val="center"/>
            </w:pPr>
            <w:r w:rsidRPr="0009516C">
              <w:t>1.</w:t>
            </w:r>
          </w:p>
        </w:tc>
        <w:tc>
          <w:tcPr>
            <w:tcW w:w="2515" w:type="dxa"/>
          </w:tcPr>
          <w:p w14:paraId="22AF681D" w14:textId="77777777" w:rsidR="0009516C" w:rsidRPr="0009516C" w:rsidRDefault="0009516C" w:rsidP="00107C1C">
            <w:pPr>
              <w:ind w:left="95"/>
            </w:pPr>
            <w:r w:rsidRPr="0009516C">
              <w:t>Plānotās sabiedrības līdzdalības un komunikācijas aktivitātes saistībā ar projektu</w:t>
            </w:r>
          </w:p>
        </w:tc>
        <w:tc>
          <w:tcPr>
            <w:tcW w:w="6861" w:type="dxa"/>
          </w:tcPr>
          <w:p w14:paraId="5080AF78" w14:textId="0D5F7044" w:rsidR="0009516C" w:rsidRPr="0009516C" w:rsidRDefault="0009516C" w:rsidP="00107C1C">
            <w:pPr>
              <w:ind w:left="86" w:right="142"/>
              <w:jc w:val="both"/>
              <w:rPr>
                <w:bCs/>
              </w:rPr>
            </w:pPr>
            <w:r w:rsidRPr="0009516C">
              <w:rPr>
                <w:rFonts w:eastAsia="Times New Roman"/>
                <w:bCs/>
                <w:iCs/>
              </w:rPr>
              <w:t>Sabiedriskā apspriešana projekta izstrādē nav veikta, jo projekts neskar sabiedrības tiesības un tiesiskās intereses, būtiski nemaina esošo regulējumu un neparedz ieviest jaunas politiskās iniciatīvas.</w:t>
            </w:r>
          </w:p>
        </w:tc>
      </w:tr>
      <w:tr w:rsidR="0009516C" w:rsidRPr="0009516C" w14:paraId="30791B01" w14:textId="77777777" w:rsidTr="00BB4CEC">
        <w:trPr>
          <w:trHeight w:val="265"/>
        </w:trPr>
        <w:tc>
          <w:tcPr>
            <w:tcW w:w="831" w:type="dxa"/>
          </w:tcPr>
          <w:p w14:paraId="5278817C" w14:textId="77777777" w:rsidR="0009516C" w:rsidRPr="0009516C" w:rsidRDefault="0009516C" w:rsidP="00107C1C">
            <w:pPr>
              <w:pStyle w:val="naiskr"/>
              <w:spacing w:before="0" w:after="0"/>
              <w:jc w:val="center"/>
            </w:pPr>
            <w:r w:rsidRPr="0009516C">
              <w:t>2.</w:t>
            </w:r>
          </w:p>
        </w:tc>
        <w:tc>
          <w:tcPr>
            <w:tcW w:w="2515" w:type="dxa"/>
          </w:tcPr>
          <w:p w14:paraId="740C4AAF" w14:textId="77777777" w:rsidR="0009516C" w:rsidRPr="0009516C" w:rsidRDefault="0009516C" w:rsidP="00107C1C">
            <w:pPr>
              <w:ind w:left="95"/>
            </w:pPr>
            <w:r w:rsidRPr="0009516C">
              <w:t>Sabiedrības līdzdalība projekta izstrādē</w:t>
            </w:r>
          </w:p>
        </w:tc>
        <w:tc>
          <w:tcPr>
            <w:tcW w:w="6861" w:type="dxa"/>
          </w:tcPr>
          <w:p w14:paraId="169A1735" w14:textId="2162AAF6" w:rsidR="0009516C" w:rsidRPr="0009516C" w:rsidRDefault="0009516C" w:rsidP="00107C1C">
            <w:pPr>
              <w:ind w:left="86" w:right="142"/>
              <w:jc w:val="both"/>
            </w:pPr>
            <w:r w:rsidRPr="0009516C">
              <w:rPr>
                <w:rFonts w:eastAsia="Times New Roman"/>
                <w:bCs/>
                <w:iCs/>
              </w:rPr>
              <w:t>Projekts šo jomu neskar.</w:t>
            </w:r>
          </w:p>
        </w:tc>
      </w:tr>
      <w:tr w:rsidR="0009516C" w:rsidRPr="0009516C" w14:paraId="2B938DAF" w14:textId="77777777" w:rsidTr="00BB4CEC">
        <w:trPr>
          <w:trHeight w:val="265"/>
        </w:trPr>
        <w:tc>
          <w:tcPr>
            <w:tcW w:w="831" w:type="dxa"/>
          </w:tcPr>
          <w:p w14:paraId="310DCB88" w14:textId="77777777" w:rsidR="0009516C" w:rsidRPr="0009516C" w:rsidRDefault="0009516C" w:rsidP="00107C1C">
            <w:pPr>
              <w:pStyle w:val="naiskr"/>
              <w:spacing w:before="0" w:after="0"/>
              <w:jc w:val="center"/>
            </w:pPr>
            <w:r w:rsidRPr="0009516C">
              <w:lastRenderedPageBreak/>
              <w:t>3.</w:t>
            </w:r>
          </w:p>
        </w:tc>
        <w:tc>
          <w:tcPr>
            <w:tcW w:w="2515" w:type="dxa"/>
          </w:tcPr>
          <w:p w14:paraId="7945F5E5" w14:textId="77777777" w:rsidR="0009516C" w:rsidRPr="0009516C" w:rsidRDefault="0009516C" w:rsidP="00107C1C">
            <w:pPr>
              <w:ind w:left="95"/>
            </w:pPr>
            <w:r w:rsidRPr="0009516C">
              <w:t>Sabiedrības līdzdalības rezultāti</w:t>
            </w:r>
          </w:p>
        </w:tc>
        <w:tc>
          <w:tcPr>
            <w:tcW w:w="6861" w:type="dxa"/>
          </w:tcPr>
          <w:p w14:paraId="0BF75C10" w14:textId="61455311" w:rsidR="0009516C" w:rsidRPr="0009516C" w:rsidRDefault="0009516C" w:rsidP="00107C1C">
            <w:pPr>
              <w:ind w:left="86" w:right="142"/>
              <w:jc w:val="both"/>
            </w:pPr>
            <w:r w:rsidRPr="0009516C">
              <w:rPr>
                <w:rFonts w:eastAsia="Times New Roman"/>
                <w:bCs/>
                <w:iCs/>
              </w:rPr>
              <w:t>Projekts šo jomu neskar.</w:t>
            </w:r>
          </w:p>
        </w:tc>
      </w:tr>
      <w:tr w:rsidR="0009516C" w:rsidRPr="0009516C" w14:paraId="33031F71" w14:textId="77777777" w:rsidTr="00BB4CEC">
        <w:trPr>
          <w:trHeight w:val="265"/>
        </w:trPr>
        <w:tc>
          <w:tcPr>
            <w:tcW w:w="831" w:type="dxa"/>
          </w:tcPr>
          <w:p w14:paraId="56AF2B12" w14:textId="77777777" w:rsidR="0009516C" w:rsidRPr="0009516C" w:rsidRDefault="0009516C" w:rsidP="00107C1C">
            <w:pPr>
              <w:pStyle w:val="naiskr"/>
              <w:spacing w:before="0" w:after="0"/>
              <w:jc w:val="center"/>
            </w:pPr>
            <w:r w:rsidRPr="0009516C">
              <w:t>4.</w:t>
            </w:r>
          </w:p>
        </w:tc>
        <w:tc>
          <w:tcPr>
            <w:tcW w:w="2515" w:type="dxa"/>
          </w:tcPr>
          <w:p w14:paraId="191429BB" w14:textId="77777777" w:rsidR="0009516C" w:rsidRPr="0009516C" w:rsidRDefault="0009516C" w:rsidP="00107C1C">
            <w:pPr>
              <w:ind w:left="95"/>
            </w:pPr>
            <w:r w:rsidRPr="0009516C">
              <w:t>Cita informācija</w:t>
            </w:r>
          </w:p>
        </w:tc>
        <w:tc>
          <w:tcPr>
            <w:tcW w:w="6861" w:type="dxa"/>
          </w:tcPr>
          <w:p w14:paraId="3591BCC2" w14:textId="77777777" w:rsidR="0009516C" w:rsidRPr="0009516C" w:rsidRDefault="0009516C" w:rsidP="00107C1C">
            <w:pPr>
              <w:ind w:left="86" w:right="142"/>
              <w:jc w:val="both"/>
            </w:pPr>
            <w:r w:rsidRPr="0009516C">
              <w:t>Nav</w:t>
            </w:r>
          </w:p>
        </w:tc>
      </w:tr>
    </w:tbl>
    <w:p w14:paraId="1B666679" w14:textId="77777777" w:rsidR="006C697C" w:rsidRPr="0009516C" w:rsidRDefault="006C697C" w:rsidP="00107C1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09516C" w:rsidRPr="0009516C" w14:paraId="58260084" w14:textId="77777777" w:rsidTr="000566D5">
        <w:tc>
          <w:tcPr>
            <w:tcW w:w="10060" w:type="dxa"/>
            <w:gridSpan w:val="3"/>
            <w:vAlign w:val="center"/>
          </w:tcPr>
          <w:p w14:paraId="45DD5C2D" w14:textId="77777777" w:rsidR="00C22F23" w:rsidRPr="0009516C" w:rsidRDefault="00C22F23" w:rsidP="00107C1C">
            <w:pPr>
              <w:pStyle w:val="naisnod"/>
              <w:spacing w:before="0" w:after="0"/>
            </w:pPr>
            <w:r w:rsidRPr="0009516C">
              <w:t>VII. Tiesību akta projekta izpildes nodrošināšana un tās ietekme uz institūcijām</w:t>
            </w:r>
          </w:p>
        </w:tc>
      </w:tr>
      <w:tr w:rsidR="0009516C" w:rsidRPr="0009516C" w14:paraId="3C43D0CE" w14:textId="77777777" w:rsidTr="00C22F23">
        <w:trPr>
          <w:trHeight w:val="265"/>
        </w:trPr>
        <w:tc>
          <w:tcPr>
            <w:tcW w:w="684" w:type="dxa"/>
          </w:tcPr>
          <w:p w14:paraId="44EE9D72" w14:textId="77777777" w:rsidR="0009516C" w:rsidRPr="0009516C" w:rsidRDefault="0009516C" w:rsidP="00107C1C">
            <w:pPr>
              <w:pStyle w:val="naiskr"/>
              <w:spacing w:before="0" w:after="0"/>
              <w:jc w:val="center"/>
            </w:pPr>
            <w:r w:rsidRPr="0009516C">
              <w:t>1.</w:t>
            </w:r>
          </w:p>
        </w:tc>
        <w:tc>
          <w:tcPr>
            <w:tcW w:w="2515" w:type="dxa"/>
          </w:tcPr>
          <w:p w14:paraId="111B01EC" w14:textId="77777777" w:rsidR="0009516C" w:rsidRPr="0009516C" w:rsidRDefault="0009516C" w:rsidP="00107C1C">
            <w:pPr>
              <w:ind w:left="109"/>
            </w:pPr>
            <w:r w:rsidRPr="0009516C">
              <w:t>Projekta izpildē iesaistītās institūcijas</w:t>
            </w:r>
          </w:p>
        </w:tc>
        <w:tc>
          <w:tcPr>
            <w:tcW w:w="6861" w:type="dxa"/>
          </w:tcPr>
          <w:p w14:paraId="5425769A" w14:textId="228E701F" w:rsidR="0009516C" w:rsidRPr="0009516C" w:rsidRDefault="0009516C" w:rsidP="00107C1C">
            <w:pPr>
              <w:ind w:left="128" w:right="142"/>
              <w:jc w:val="both"/>
            </w:pPr>
            <w:r>
              <w:t>Finanšu ministrija, Ārlietu ministrija</w:t>
            </w:r>
          </w:p>
        </w:tc>
      </w:tr>
      <w:tr w:rsidR="0009516C" w:rsidRPr="0009516C" w14:paraId="0C63EA86" w14:textId="77777777" w:rsidTr="00C22F23">
        <w:trPr>
          <w:trHeight w:val="265"/>
        </w:trPr>
        <w:tc>
          <w:tcPr>
            <w:tcW w:w="684" w:type="dxa"/>
          </w:tcPr>
          <w:p w14:paraId="10AE4708" w14:textId="77777777" w:rsidR="0009516C" w:rsidRPr="0009516C" w:rsidRDefault="0009516C" w:rsidP="00107C1C">
            <w:pPr>
              <w:pStyle w:val="naiskr"/>
              <w:spacing w:before="0" w:after="0"/>
              <w:jc w:val="center"/>
            </w:pPr>
            <w:r w:rsidRPr="0009516C">
              <w:t>2.</w:t>
            </w:r>
          </w:p>
        </w:tc>
        <w:tc>
          <w:tcPr>
            <w:tcW w:w="2515" w:type="dxa"/>
          </w:tcPr>
          <w:p w14:paraId="08E7A95E" w14:textId="77777777" w:rsidR="0009516C" w:rsidRPr="0009516C" w:rsidRDefault="0009516C" w:rsidP="00107C1C">
            <w:pPr>
              <w:ind w:left="109"/>
            </w:pPr>
            <w:r w:rsidRPr="0009516C">
              <w:t>Projekta izpildes ietekme uz pārvaldes funkcijām un institucionālo struktūru.</w:t>
            </w:r>
            <w:r w:rsidRPr="0009516C">
              <w:br/>
              <w:t>Jaunu institūciju izveide, esošu institūciju likvidācija vai reorganizācija, to ietekme uz institūcijas cilvēkresursiem</w:t>
            </w:r>
          </w:p>
        </w:tc>
        <w:tc>
          <w:tcPr>
            <w:tcW w:w="6861" w:type="dxa"/>
          </w:tcPr>
          <w:p w14:paraId="3A593C1D" w14:textId="032488B8" w:rsidR="0009516C" w:rsidRPr="0009516C" w:rsidRDefault="0009516C" w:rsidP="00107C1C">
            <w:pPr>
              <w:ind w:left="128" w:right="142"/>
              <w:jc w:val="both"/>
            </w:pPr>
            <w:r w:rsidRPr="00335CDD">
              <w:rPr>
                <w:iCs/>
              </w:rPr>
              <w:t>Projekta izpilde notiks eso</w:t>
            </w:r>
            <w:r>
              <w:rPr>
                <w:iCs/>
              </w:rPr>
              <w:t xml:space="preserve">šo pārvaldes funkciju ietvaros. </w:t>
            </w:r>
            <w:r w:rsidRPr="00335CDD">
              <w:rPr>
                <w:iCs/>
              </w:rPr>
              <w:t>Projekts neparedz jaunu institūciju izveidi, esošo likvidēšanu vai reorganizāciju.</w:t>
            </w:r>
          </w:p>
        </w:tc>
      </w:tr>
      <w:tr w:rsidR="0009516C" w:rsidRPr="0009516C" w14:paraId="18D0AA4B" w14:textId="77777777" w:rsidTr="00C22F23">
        <w:trPr>
          <w:trHeight w:val="265"/>
        </w:trPr>
        <w:tc>
          <w:tcPr>
            <w:tcW w:w="684" w:type="dxa"/>
          </w:tcPr>
          <w:p w14:paraId="7028BCD1" w14:textId="77777777" w:rsidR="0009516C" w:rsidRPr="0009516C" w:rsidRDefault="0009516C" w:rsidP="00107C1C">
            <w:pPr>
              <w:pStyle w:val="naiskr"/>
              <w:spacing w:before="0" w:after="0"/>
              <w:jc w:val="center"/>
            </w:pPr>
            <w:r w:rsidRPr="0009516C">
              <w:t>3.</w:t>
            </w:r>
          </w:p>
        </w:tc>
        <w:tc>
          <w:tcPr>
            <w:tcW w:w="2515" w:type="dxa"/>
          </w:tcPr>
          <w:p w14:paraId="65E08939" w14:textId="77777777" w:rsidR="0009516C" w:rsidRPr="0009516C" w:rsidRDefault="0009516C" w:rsidP="00107C1C">
            <w:pPr>
              <w:ind w:left="109"/>
            </w:pPr>
            <w:r w:rsidRPr="0009516C">
              <w:t>Cita informācija</w:t>
            </w:r>
          </w:p>
        </w:tc>
        <w:tc>
          <w:tcPr>
            <w:tcW w:w="6861" w:type="dxa"/>
          </w:tcPr>
          <w:p w14:paraId="71FD2DBD" w14:textId="0A91F16E" w:rsidR="0009516C" w:rsidRPr="0009516C" w:rsidRDefault="0009516C" w:rsidP="00107C1C">
            <w:pPr>
              <w:ind w:left="128" w:right="142"/>
              <w:jc w:val="both"/>
            </w:pPr>
            <w:r w:rsidRPr="0009516C">
              <w:rPr>
                <w:rFonts w:eastAsia="Times New Roman"/>
                <w:bCs/>
                <w:iCs/>
              </w:rPr>
              <w:t>Projekts šo jomu neskar.</w:t>
            </w:r>
          </w:p>
        </w:tc>
      </w:tr>
    </w:tbl>
    <w:p w14:paraId="72F67E70" w14:textId="77777777" w:rsidR="00E4473B" w:rsidRPr="0009516C" w:rsidRDefault="00E4473B" w:rsidP="00107C1C"/>
    <w:p w14:paraId="32AB0E84" w14:textId="77777777" w:rsidR="00776AC7" w:rsidRPr="0009516C" w:rsidRDefault="00776AC7" w:rsidP="00107C1C"/>
    <w:p w14:paraId="755D7EC7" w14:textId="5FD88931" w:rsidR="00617D7A" w:rsidRPr="0009516C" w:rsidRDefault="00481F9B" w:rsidP="00107C1C">
      <w:pPr>
        <w:pStyle w:val="BodyText2"/>
        <w:spacing w:after="0" w:line="240" w:lineRule="auto"/>
        <w:ind w:firstLine="720"/>
        <w:jc w:val="both"/>
      </w:pPr>
      <w:r w:rsidRPr="0009516C">
        <w:t>I</w:t>
      </w:r>
      <w:r w:rsidR="008F245F" w:rsidRPr="0009516C">
        <w:t xml:space="preserve">zglītības un zinātnes </w:t>
      </w:r>
      <w:r w:rsidR="009A6BFC" w:rsidRPr="0009516C">
        <w:t>ministre</w:t>
      </w:r>
      <w:r w:rsidRPr="0009516C">
        <w:tab/>
      </w:r>
      <w:r w:rsidRPr="0009516C">
        <w:tab/>
      </w:r>
      <w:r w:rsidRPr="0009516C">
        <w:tab/>
      </w:r>
      <w:r w:rsidRPr="0009516C">
        <w:tab/>
      </w:r>
      <w:r w:rsidR="008C2D86" w:rsidRPr="0009516C">
        <w:t>Ilga Šuplinska</w:t>
      </w:r>
    </w:p>
    <w:p w14:paraId="1ED58E4F" w14:textId="77777777" w:rsidR="00585B7B" w:rsidRPr="0009516C" w:rsidRDefault="00585B7B" w:rsidP="00107C1C"/>
    <w:p w14:paraId="708FB085" w14:textId="77777777" w:rsidR="00776AC7" w:rsidRPr="0009516C" w:rsidRDefault="00776AC7" w:rsidP="00107C1C">
      <w:pPr>
        <w:tabs>
          <w:tab w:val="left" w:pos="2450"/>
        </w:tabs>
        <w:ind w:left="720"/>
        <w:rPr>
          <w:sz w:val="20"/>
          <w:szCs w:val="20"/>
        </w:rPr>
      </w:pPr>
    </w:p>
    <w:p w14:paraId="5373C917" w14:textId="77777777" w:rsidR="00776AC7" w:rsidRPr="0009516C" w:rsidRDefault="00776AC7" w:rsidP="00107C1C">
      <w:pPr>
        <w:tabs>
          <w:tab w:val="left" w:pos="2450"/>
        </w:tabs>
        <w:ind w:left="720"/>
        <w:rPr>
          <w:sz w:val="20"/>
          <w:szCs w:val="20"/>
        </w:rPr>
      </w:pPr>
    </w:p>
    <w:p w14:paraId="1BF64B0E" w14:textId="77777777" w:rsidR="00776AC7" w:rsidRPr="0009516C" w:rsidRDefault="00776AC7" w:rsidP="00107C1C">
      <w:pPr>
        <w:tabs>
          <w:tab w:val="left" w:pos="2450"/>
        </w:tabs>
        <w:ind w:left="720"/>
        <w:rPr>
          <w:sz w:val="20"/>
          <w:szCs w:val="20"/>
        </w:rPr>
      </w:pPr>
    </w:p>
    <w:p w14:paraId="52AA0771" w14:textId="413A5E14" w:rsidR="00776AC7" w:rsidRPr="0009516C" w:rsidRDefault="0009516C" w:rsidP="00107C1C">
      <w:pPr>
        <w:tabs>
          <w:tab w:val="left" w:pos="2450"/>
        </w:tabs>
        <w:ind w:left="720"/>
        <w:rPr>
          <w:sz w:val="20"/>
          <w:szCs w:val="20"/>
        </w:rPr>
      </w:pPr>
      <w:r>
        <w:rPr>
          <w:sz w:val="20"/>
          <w:szCs w:val="20"/>
        </w:rPr>
        <w:t xml:space="preserve"> </w:t>
      </w:r>
    </w:p>
    <w:p w14:paraId="13FAABDC" w14:textId="77777777" w:rsidR="009F6713" w:rsidRPr="0009516C" w:rsidRDefault="009F6713" w:rsidP="00107C1C">
      <w:pPr>
        <w:tabs>
          <w:tab w:val="left" w:pos="2450"/>
        </w:tabs>
        <w:ind w:left="720"/>
        <w:rPr>
          <w:sz w:val="20"/>
          <w:szCs w:val="20"/>
        </w:rPr>
      </w:pPr>
    </w:p>
    <w:p w14:paraId="5FEC4C18" w14:textId="77777777" w:rsidR="00776AC7" w:rsidRPr="0009516C" w:rsidRDefault="00776AC7" w:rsidP="00107C1C">
      <w:pPr>
        <w:tabs>
          <w:tab w:val="left" w:pos="2450"/>
        </w:tabs>
        <w:ind w:left="720"/>
        <w:rPr>
          <w:sz w:val="20"/>
          <w:szCs w:val="20"/>
        </w:rPr>
      </w:pPr>
    </w:p>
    <w:p w14:paraId="39F8D21C" w14:textId="77777777" w:rsidR="00573E78" w:rsidRPr="0009516C" w:rsidRDefault="00573E78" w:rsidP="00107C1C">
      <w:pPr>
        <w:tabs>
          <w:tab w:val="left" w:pos="2450"/>
        </w:tabs>
        <w:ind w:left="720"/>
        <w:rPr>
          <w:sz w:val="20"/>
          <w:szCs w:val="20"/>
        </w:rPr>
      </w:pPr>
    </w:p>
    <w:p w14:paraId="52053EDA" w14:textId="77777777" w:rsidR="00CB5A93" w:rsidRPr="0009516C" w:rsidRDefault="00CB5A93" w:rsidP="00107C1C">
      <w:pPr>
        <w:tabs>
          <w:tab w:val="left" w:pos="2450"/>
        </w:tabs>
        <w:ind w:left="720"/>
        <w:rPr>
          <w:sz w:val="20"/>
          <w:szCs w:val="20"/>
        </w:rPr>
      </w:pPr>
    </w:p>
    <w:p w14:paraId="2E49087D" w14:textId="77777777" w:rsidR="00CB5A93" w:rsidRPr="0009516C" w:rsidRDefault="00CB5A93" w:rsidP="00107C1C">
      <w:pPr>
        <w:tabs>
          <w:tab w:val="left" w:pos="2450"/>
        </w:tabs>
        <w:ind w:left="720"/>
        <w:rPr>
          <w:sz w:val="20"/>
          <w:szCs w:val="20"/>
        </w:rPr>
      </w:pPr>
    </w:p>
    <w:p w14:paraId="42D76E57" w14:textId="77777777" w:rsidR="00CB5A93" w:rsidRPr="0009516C" w:rsidRDefault="00CB5A93" w:rsidP="00107C1C">
      <w:pPr>
        <w:tabs>
          <w:tab w:val="left" w:pos="2450"/>
        </w:tabs>
        <w:ind w:left="720"/>
        <w:rPr>
          <w:sz w:val="20"/>
          <w:szCs w:val="20"/>
        </w:rPr>
      </w:pPr>
    </w:p>
    <w:p w14:paraId="0CD1FE2A" w14:textId="77777777" w:rsidR="00573E78" w:rsidRPr="0009516C" w:rsidRDefault="00573E78" w:rsidP="00107C1C">
      <w:pPr>
        <w:tabs>
          <w:tab w:val="left" w:pos="2450"/>
        </w:tabs>
        <w:ind w:left="720"/>
        <w:rPr>
          <w:sz w:val="20"/>
          <w:szCs w:val="20"/>
        </w:rPr>
      </w:pPr>
    </w:p>
    <w:p w14:paraId="5DB0CBA8" w14:textId="77777777" w:rsidR="00CB5A93" w:rsidRPr="0009516C" w:rsidRDefault="00CB5A93" w:rsidP="00107C1C">
      <w:pPr>
        <w:tabs>
          <w:tab w:val="left" w:pos="2450"/>
        </w:tabs>
        <w:ind w:left="720"/>
        <w:rPr>
          <w:sz w:val="20"/>
          <w:szCs w:val="20"/>
        </w:rPr>
      </w:pPr>
    </w:p>
    <w:p w14:paraId="382DE0D0" w14:textId="77777777" w:rsidR="00776AC7" w:rsidRPr="0009516C" w:rsidRDefault="00776AC7" w:rsidP="00107C1C">
      <w:pPr>
        <w:tabs>
          <w:tab w:val="left" w:pos="2450"/>
        </w:tabs>
        <w:ind w:left="720"/>
        <w:rPr>
          <w:sz w:val="20"/>
          <w:szCs w:val="20"/>
        </w:rPr>
      </w:pPr>
    </w:p>
    <w:p w14:paraId="605F52FB" w14:textId="77777777" w:rsidR="0009516C" w:rsidRPr="007770C5" w:rsidRDefault="0009516C" w:rsidP="00107C1C">
      <w:pPr>
        <w:tabs>
          <w:tab w:val="left" w:pos="2450"/>
        </w:tabs>
        <w:ind w:left="720"/>
        <w:rPr>
          <w:sz w:val="20"/>
          <w:szCs w:val="20"/>
        </w:rPr>
      </w:pPr>
      <w:r w:rsidRPr="007770C5">
        <w:rPr>
          <w:sz w:val="20"/>
          <w:szCs w:val="20"/>
        </w:rPr>
        <w:t>Laudere 67047895</w:t>
      </w:r>
    </w:p>
    <w:p w14:paraId="43FF5D58" w14:textId="77777777" w:rsidR="0009516C" w:rsidRPr="007770C5" w:rsidRDefault="0009516C" w:rsidP="00107C1C">
      <w:pPr>
        <w:tabs>
          <w:tab w:val="left" w:pos="2450"/>
        </w:tabs>
        <w:ind w:left="720"/>
        <w:rPr>
          <w:sz w:val="20"/>
          <w:szCs w:val="20"/>
        </w:rPr>
      </w:pPr>
      <w:r w:rsidRPr="007770C5">
        <w:rPr>
          <w:sz w:val="20"/>
          <w:szCs w:val="20"/>
        </w:rPr>
        <w:t>marika.laudere@izm.gov.lv</w:t>
      </w:r>
    </w:p>
    <w:p w14:paraId="5CFEBF6B" w14:textId="04C152F0" w:rsidR="009A6BFC" w:rsidRPr="0009516C" w:rsidRDefault="009A6BFC" w:rsidP="00107C1C">
      <w:pPr>
        <w:tabs>
          <w:tab w:val="left" w:pos="2450"/>
        </w:tabs>
        <w:ind w:left="720"/>
        <w:rPr>
          <w:sz w:val="20"/>
          <w:szCs w:val="20"/>
        </w:rPr>
      </w:pPr>
    </w:p>
    <w:sectPr w:rsidR="009A6BFC" w:rsidRPr="0009516C" w:rsidSect="00C21D70">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09B8B" w14:textId="77777777" w:rsidR="00BB4CEC" w:rsidRDefault="00BB4CEC" w:rsidP="00123E9B">
      <w:r>
        <w:separator/>
      </w:r>
    </w:p>
  </w:endnote>
  <w:endnote w:type="continuationSeparator" w:id="0">
    <w:p w14:paraId="1212E022" w14:textId="77777777" w:rsidR="00BB4CEC" w:rsidRDefault="00BB4CEC" w:rsidP="00123E9B">
      <w:r>
        <w:continuationSeparator/>
      </w:r>
    </w:p>
  </w:endnote>
  <w:endnote w:type="continuationNotice" w:id="1">
    <w:p w14:paraId="7BCFA283" w14:textId="77777777" w:rsidR="00E5152C" w:rsidRDefault="00E51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0DE6" w14:textId="77777777" w:rsidR="00BB4CEC" w:rsidRDefault="00BB4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FAF6" w14:textId="73432CC3" w:rsidR="00BB4CEC" w:rsidRPr="0009516C" w:rsidRDefault="00BB4CEC" w:rsidP="0009516C">
    <w:pPr>
      <w:pStyle w:val="NormalWeb"/>
      <w:spacing w:before="120"/>
      <w:jc w:val="both"/>
      <w:rPr>
        <w:rFonts w:ascii="Times New Roman" w:hAnsi="Times New Roman" w:cs="Times New Roman"/>
        <w:noProof/>
        <w:sz w:val="20"/>
        <w:szCs w:val="20"/>
        <w:lang w:val="lv-LV"/>
      </w:rPr>
    </w:pPr>
    <w:r w:rsidRPr="0009516C">
      <w:rPr>
        <w:rFonts w:ascii="Times New Roman" w:hAnsi="Times New Roman" w:cs="Times New Roman"/>
        <w:sz w:val="20"/>
        <w:szCs w:val="20"/>
      </w:rPr>
      <w:t>IZMAnot</w:t>
    </w:r>
    <w:r>
      <w:rPr>
        <w:rFonts w:ascii="Times New Roman" w:hAnsi="Times New Roman" w:cs="Times New Roman"/>
        <w:sz w:val="20"/>
        <w:szCs w:val="20"/>
      </w:rPr>
      <w:t>_03</w:t>
    </w:r>
    <w:r w:rsidRPr="0009516C">
      <w:rPr>
        <w:rFonts w:ascii="Times New Roman" w:hAnsi="Times New Roman" w:cs="Times New Roman"/>
        <w:sz w:val="20"/>
        <w:szCs w:val="20"/>
      </w:rPr>
      <w:t xml:space="preserve">122020_atbalsts </w:t>
    </w:r>
    <w:proofErr w:type="spellStart"/>
    <w:r w:rsidRPr="0009516C">
      <w:rPr>
        <w:rFonts w:ascii="Times New Roman" w:hAnsi="Times New Roman" w:cs="Times New Roman"/>
        <w:sz w:val="20"/>
        <w:szCs w:val="20"/>
      </w:rPr>
      <w:t>Baltkrievu</w:t>
    </w:r>
    <w:proofErr w:type="spellEnd"/>
    <w:r w:rsidRPr="0009516C">
      <w:rPr>
        <w:rFonts w:ascii="Times New Roman" w:hAnsi="Times New Roman" w:cs="Times New Roman"/>
        <w:sz w:val="20"/>
        <w:szCs w:val="20"/>
      </w:rPr>
      <w:t xml:space="preserve"> </w:t>
    </w:r>
    <w:proofErr w:type="spellStart"/>
    <w:r w:rsidRPr="0009516C">
      <w:rPr>
        <w:rFonts w:ascii="Times New Roman" w:hAnsi="Times New Roman" w:cs="Times New Roman"/>
        <w:sz w:val="20"/>
        <w:szCs w:val="20"/>
      </w:rPr>
      <w:t>studentiem</w:t>
    </w:r>
    <w:proofErr w:type="spellEnd"/>
    <w:r w:rsidRPr="0009516C">
      <w:rPr>
        <w:rFonts w:ascii="Times New Roman" w:hAnsi="Times New Roman" w:cs="Times New Roman"/>
        <w:sz w:val="20"/>
        <w:szCs w:val="20"/>
      </w:rPr>
      <w:t xml:space="preserve"> un </w:t>
    </w:r>
    <w:proofErr w:type="spellStart"/>
    <w:r w:rsidRPr="0009516C">
      <w:rPr>
        <w:rFonts w:ascii="Times New Roman" w:hAnsi="Times New Roman" w:cs="Times New Roman"/>
        <w:sz w:val="20"/>
        <w:szCs w:val="20"/>
      </w:rPr>
      <w:t>petniekiem</w:t>
    </w:r>
    <w:proofErr w:type="spellEnd"/>
  </w:p>
  <w:p w14:paraId="7901416C" w14:textId="4C9DB16A" w:rsidR="00BB4CEC" w:rsidRPr="00AA46F4" w:rsidRDefault="00BB4CEC" w:rsidP="00AA46F4">
    <w:pPr>
      <w:ind w:left="-567" w:right="-568"/>
      <w:jc w:val="both"/>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23065E65" w:rsidR="00BB4CEC" w:rsidRPr="00692F8F" w:rsidRDefault="00BB4CEC" w:rsidP="00692F8F">
    <w:pPr>
      <w:ind w:left="-567" w:right="-568"/>
      <w:jc w:val="both"/>
      <w:rPr>
        <w:sz w:val="22"/>
        <w:szCs w:val="22"/>
      </w:rPr>
    </w:pPr>
    <w:r>
      <w:rPr>
        <w:sz w:val="22"/>
        <w:szCs w:val="22"/>
      </w:rPr>
      <w:t>IZMAnot_130820_volejbols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CED55" w14:textId="77777777" w:rsidR="00BB4CEC" w:rsidRDefault="00BB4CEC" w:rsidP="00123E9B">
      <w:r>
        <w:separator/>
      </w:r>
    </w:p>
  </w:footnote>
  <w:footnote w:type="continuationSeparator" w:id="0">
    <w:p w14:paraId="793EBF79" w14:textId="77777777" w:rsidR="00BB4CEC" w:rsidRDefault="00BB4CEC" w:rsidP="00123E9B">
      <w:r>
        <w:continuationSeparator/>
      </w:r>
    </w:p>
  </w:footnote>
  <w:footnote w:type="continuationNotice" w:id="1">
    <w:p w14:paraId="71900CFC" w14:textId="77777777" w:rsidR="00E5152C" w:rsidRDefault="00E5152C"/>
  </w:footnote>
  <w:footnote w:id="2">
    <w:p w14:paraId="208CDC60" w14:textId="7D50AF27" w:rsidR="00BB4CEC" w:rsidRPr="00107C1C" w:rsidRDefault="00BB4CEC" w:rsidP="00107C1C">
      <w:pPr>
        <w:widowControl w:val="0"/>
        <w:jc w:val="both"/>
        <w:rPr>
          <w:sz w:val="20"/>
          <w:szCs w:val="20"/>
        </w:rPr>
      </w:pPr>
      <w:r w:rsidRPr="00107C1C">
        <w:rPr>
          <w:rStyle w:val="FootnoteReference"/>
          <w:sz w:val="20"/>
          <w:szCs w:val="20"/>
        </w:rPr>
        <w:footnoteRef/>
      </w:r>
      <w:r w:rsidRPr="00107C1C">
        <w:rPr>
          <w:sz w:val="20"/>
          <w:szCs w:val="20"/>
        </w:rPr>
        <w:t xml:space="preserve"> Ikmēneša stipendijas apmērs ir rēķināts, ņemot vērā noteikto Latvijas valsts stipendijas apmēru ārzemnieku studijām Latvijā. Informācija ir pieejama Valsts izglītības un attīstības aģentūras mājaslapā: </w:t>
      </w:r>
      <w:hyperlink r:id="rId1" w:history="1">
        <w:r w:rsidRPr="00107C1C">
          <w:rPr>
            <w:rStyle w:val="Hyperlink"/>
            <w:sz w:val="20"/>
            <w:szCs w:val="20"/>
          </w:rPr>
          <w:t>https://viaa.gov.lv/eng/scholarships_gov/latvian_scholarships/scholarships_for_studies/?tl_id=22800&amp;tls_id=54779</w:t>
        </w:r>
      </w:hyperlink>
      <w:r w:rsidRPr="00107C1C">
        <w:rPr>
          <w:sz w:val="20"/>
          <w:szCs w:val="20"/>
        </w:rPr>
        <w:t xml:space="preserve"> </w:t>
      </w:r>
    </w:p>
  </w:footnote>
  <w:footnote w:id="3">
    <w:p w14:paraId="5EF01EA3" w14:textId="0B484401" w:rsidR="00BB4CEC" w:rsidRPr="00107C1C" w:rsidRDefault="00BB4CEC" w:rsidP="00107C1C">
      <w:pPr>
        <w:pStyle w:val="BalloonText"/>
        <w:jc w:val="both"/>
        <w:rPr>
          <w:rFonts w:ascii="Times New Roman" w:hAnsi="Times New Roman" w:cs="Times New Roman"/>
          <w:sz w:val="20"/>
          <w:szCs w:val="20"/>
        </w:rPr>
      </w:pPr>
      <w:r w:rsidRPr="00107C1C">
        <w:rPr>
          <w:rStyle w:val="FootnoteReference"/>
          <w:rFonts w:ascii="Times New Roman" w:hAnsi="Times New Roman" w:cs="Times New Roman"/>
          <w:sz w:val="20"/>
          <w:szCs w:val="20"/>
        </w:rPr>
        <w:footnoteRef/>
      </w:r>
      <w:r w:rsidRPr="00107C1C">
        <w:rPr>
          <w:rFonts w:ascii="Times New Roman" w:hAnsi="Times New Roman" w:cs="Times New Roman"/>
          <w:sz w:val="20"/>
          <w:szCs w:val="20"/>
        </w:rPr>
        <w:t xml:space="preserve"> </w:t>
      </w:r>
      <w:r w:rsidRPr="00107C1C">
        <w:rPr>
          <w:rFonts w:ascii="Times New Roman" w:hAnsi="Times New Roman" w:cs="Times New Roman"/>
          <w:sz w:val="20"/>
          <w:szCs w:val="20"/>
        </w:rPr>
        <w:t xml:space="preserve">Uzturēšanas pabalsts, ko veido gan stipendija, gan izmitināšanās stipendija, ir rēķināts, ņemot vērā noteikto Latvijas valsts stipendijas apmēru pētniecībai Latvijā. Informācija ir pieejama Valsts izglītības un attīstības aģentūras mājaslapā: </w:t>
      </w:r>
      <w:hyperlink r:id="rId2" w:history="1">
        <w:r w:rsidRPr="00107C1C">
          <w:rPr>
            <w:rStyle w:val="Hyperlink"/>
            <w:rFonts w:ascii="Times New Roman" w:hAnsi="Times New Roman" w:cs="Times New Roman"/>
            <w:sz w:val="20"/>
            <w:szCs w:val="20"/>
          </w:rPr>
          <w:t>https://viaa.gov.lv/eng/scholarships_gov/latvian_scholarships/fellowship_for_research_2017/?tl_id=22801&amp;tls_id=54781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B92DF" w14:textId="77777777" w:rsidR="00BB4CEC" w:rsidRDefault="00BB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2E1BB617" w:rsidR="00BB4CEC" w:rsidRDefault="00BB4CEC">
    <w:pPr>
      <w:pStyle w:val="Header"/>
      <w:jc w:val="center"/>
    </w:pPr>
    <w:r>
      <w:fldChar w:fldCharType="begin"/>
    </w:r>
    <w:r>
      <w:instrText xml:space="preserve"> PAGE   \* MERGEFORMAT </w:instrText>
    </w:r>
    <w:r>
      <w:fldChar w:fldCharType="separate"/>
    </w:r>
    <w:r w:rsidR="00F11C0A">
      <w:rPr>
        <w:noProof/>
      </w:rPr>
      <w:t>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B27A" w14:textId="77777777" w:rsidR="00BB4CEC" w:rsidRDefault="00BB4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70A"/>
    <w:multiLevelType w:val="hybridMultilevel"/>
    <w:tmpl w:val="FC10B964"/>
    <w:lvl w:ilvl="0" w:tplc="D6AC1CF4">
      <w:start w:val="18"/>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ADA473E"/>
    <w:multiLevelType w:val="hybridMultilevel"/>
    <w:tmpl w:val="576A0F1A"/>
    <w:lvl w:ilvl="0" w:tplc="331E87B2">
      <w:start w:val="5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15:restartNumberingAfterBreak="0">
    <w:nsid w:val="47FF5647"/>
    <w:multiLevelType w:val="multilevel"/>
    <w:tmpl w:val="73DC5F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07972"/>
    <w:rsid w:val="00010140"/>
    <w:rsid w:val="00010298"/>
    <w:rsid w:val="000103AD"/>
    <w:rsid w:val="00010590"/>
    <w:rsid w:val="000120DA"/>
    <w:rsid w:val="00012EAE"/>
    <w:rsid w:val="00013BAA"/>
    <w:rsid w:val="00014BD0"/>
    <w:rsid w:val="00020664"/>
    <w:rsid w:val="000206DA"/>
    <w:rsid w:val="00020785"/>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CDE"/>
    <w:rsid w:val="0004742F"/>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49C2"/>
    <w:rsid w:val="00084C38"/>
    <w:rsid w:val="00085333"/>
    <w:rsid w:val="0008599C"/>
    <w:rsid w:val="00085B5E"/>
    <w:rsid w:val="0008616C"/>
    <w:rsid w:val="0009012B"/>
    <w:rsid w:val="00090BFF"/>
    <w:rsid w:val="000912B2"/>
    <w:rsid w:val="0009162F"/>
    <w:rsid w:val="00091E26"/>
    <w:rsid w:val="000934D5"/>
    <w:rsid w:val="00093AA7"/>
    <w:rsid w:val="00094F13"/>
    <w:rsid w:val="0009516C"/>
    <w:rsid w:val="00095EBB"/>
    <w:rsid w:val="000962FC"/>
    <w:rsid w:val="00097B46"/>
    <w:rsid w:val="000A0C0F"/>
    <w:rsid w:val="000A152C"/>
    <w:rsid w:val="000A1E9A"/>
    <w:rsid w:val="000A208E"/>
    <w:rsid w:val="000A2237"/>
    <w:rsid w:val="000A4403"/>
    <w:rsid w:val="000A671B"/>
    <w:rsid w:val="000B0834"/>
    <w:rsid w:val="000B0DC4"/>
    <w:rsid w:val="000B1367"/>
    <w:rsid w:val="000B3147"/>
    <w:rsid w:val="000B32F7"/>
    <w:rsid w:val="000B373E"/>
    <w:rsid w:val="000B3B3C"/>
    <w:rsid w:val="000B3EC8"/>
    <w:rsid w:val="000B3FF6"/>
    <w:rsid w:val="000B51C9"/>
    <w:rsid w:val="000B62CA"/>
    <w:rsid w:val="000B7C76"/>
    <w:rsid w:val="000C0ABC"/>
    <w:rsid w:val="000C0BAF"/>
    <w:rsid w:val="000C136C"/>
    <w:rsid w:val="000C147C"/>
    <w:rsid w:val="000C1819"/>
    <w:rsid w:val="000C1B3D"/>
    <w:rsid w:val="000C1D23"/>
    <w:rsid w:val="000C36BE"/>
    <w:rsid w:val="000C42BB"/>
    <w:rsid w:val="000C612B"/>
    <w:rsid w:val="000C63F4"/>
    <w:rsid w:val="000D003C"/>
    <w:rsid w:val="000D00F8"/>
    <w:rsid w:val="000D0D39"/>
    <w:rsid w:val="000D0EED"/>
    <w:rsid w:val="000D3619"/>
    <w:rsid w:val="000D6486"/>
    <w:rsid w:val="000D6878"/>
    <w:rsid w:val="000D7431"/>
    <w:rsid w:val="000D76D6"/>
    <w:rsid w:val="000E058D"/>
    <w:rsid w:val="000E0815"/>
    <w:rsid w:val="000E2489"/>
    <w:rsid w:val="000E3B94"/>
    <w:rsid w:val="000E4A2A"/>
    <w:rsid w:val="000E4A57"/>
    <w:rsid w:val="000E5FDF"/>
    <w:rsid w:val="000E6027"/>
    <w:rsid w:val="000E6552"/>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07C1C"/>
    <w:rsid w:val="00110388"/>
    <w:rsid w:val="001106D1"/>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78A"/>
    <w:rsid w:val="00137B8C"/>
    <w:rsid w:val="00137FAC"/>
    <w:rsid w:val="0014095C"/>
    <w:rsid w:val="001413A9"/>
    <w:rsid w:val="00143747"/>
    <w:rsid w:val="001453A8"/>
    <w:rsid w:val="00147CBF"/>
    <w:rsid w:val="00147D9A"/>
    <w:rsid w:val="00150ACB"/>
    <w:rsid w:val="00150D62"/>
    <w:rsid w:val="0015243B"/>
    <w:rsid w:val="00152C87"/>
    <w:rsid w:val="00154E6C"/>
    <w:rsid w:val="00156760"/>
    <w:rsid w:val="00156E36"/>
    <w:rsid w:val="00157236"/>
    <w:rsid w:val="00157E69"/>
    <w:rsid w:val="00157F12"/>
    <w:rsid w:val="0016104B"/>
    <w:rsid w:val="00161261"/>
    <w:rsid w:val="0016142A"/>
    <w:rsid w:val="00162670"/>
    <w:rsid w:val="00162EB5"/>
    <w:rsid w:val="00163AAA"/>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1DD"/>
    <w:rsid w:val="0018329D"/>
    <w:rsid w:val="001838EC"/>
    <w:rsid w:val="00183B44"/>
    <w:rsid w:val="00184814"/>
    <w:rsid w:val="00185946"/>
    <w:rsid w:val="00186DF5"/>
    <w:rsid w:val="0018701C"/>
    <w:rsid w:val="0018757E"/>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74A8"/>
    <w:rsid w:val="001C77E5"/>
    <w:rsid w:val="001D03EA"/>
    <w:rsid w:val="001D057C"/>
    <w:rsid w:val="001D0913"/>
    <w:rsid w:val="001D0B33"/>
    <w:rsid w:val="001D0F7F"/>
    <w:rsid w:val="001D0FA6"/>
    <w:rsid w:val="001D17EA"/>
    <w:rsid w:val="001D1F6A"/>
    <w:rsid w:val="001D2466"/>
    <w:rsid w:val="001D2E9F"/>
    <w:rsid w:val="001D3147"/>
    <w:rsid w:val="001D4A15"/>
    <w:rsid w:val="001D6A3F"/>
    <w:rsid w:val="001D789D"/>
    <w:rsid w:val="001D7C74"/>
    <w:rsid w:val="001E0BD2"/>
    <w:rsid w:val="001E2A2D"/>
    <w:rsid w:val="001E3201"/>
    <w:rsid w:val="001E35C4"/>
    <w:rsid w:val="001E5518"/>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0459"/>
    <w:rsid w:val="00211337"/>
    <w:rsid w:val="0021163A"/>
    <w:rsid w:val="0021202B"/>
    <w:rsid w:val="00213C24"/>
    <w:rsid w:val="0021426A"/>
    <w:rsid w:val="00214413"/>
    <w:rsid w:val="0021458D"/>
    <w:rsid w:val="00214AE5"/>
    <w:rsid w:val="00214C22"/>
    <w:rsid w:val="002160A8"/>
    <w:rsid w:val="002162A3"/>
    <w:rsid w:val="00217F61"/>
    <w:rsid w:val="002223B6"/>
    <w:rsid w:val="00222917"/>
    <w:rsid w:val="002239AB"/>
    <w:rsid w:val="00224E27"/>
    <w:rsid w:val="00224F0F"/>
    <w:rsid w:val="0022519E"/>
    <w:rsid w:val="00225615"/>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AD9"/>
    <w:rsid w:val="00257B3B"/>
    <w:rsid w:val="00260175"/>
    <w:rsid w:val="00263071"/>
    <w:rsid w:val="002637C0"/>
    <w:rsid w:val="002643AF"/>
    <w:rsid w:val="00265934"/>
    <w:rsid w:val="00265F33"/>
    <w:rsid w:val="00266356"/>
    <w:rsid w:val="00267302"/>
    <w:rsid w:val="00270408"/>
    <w:rsid w:val="00270E39"/>
    <w:rsid w:val="00271D0A"/>
    <w:rsid w:val="00272248"/>
    <w:rsid w:val="00272F12"/>
    <w:rsid w:val="00273D63"/>
    <w:rsid w:val="002744DD"/>
    <w:rsid w:val="00274B5E"/>
    <w:rsid w:val="00274E8A"/>
    <w:rsid w:val="002761F4"/>
    <w:rsid w:val="002819CC"/>
    <w:rsid w:val="00282171"/>
    <w:rsid w:val="00283DB6"/>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6F37"/>
    <w:rsid w:val="002B03B2"/>
    <w:rsid w:val="002B18D5"/>
    <w:rsid w:val="002B2EB9"/>
    <w:rsid w:val="002B3051"/>
    <w:rsid w:val="002B4AB5"/>
    <w:rsid w:val="002B4D56"/>
    <w:rsid w:val="002B531E"/>
    <w:rsid w:val="002B5787"/>
    <w:rsid w:val="002B5C0B"/>
    <w:rsid w:val="002B6351"/>
    <w:rsid w:val="002B673A"/>
    <w:rsid w:val="002B6933"/>
    <w:rsid w:val="002B775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76F"/>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DD9"/>
    <w:rsid w:val="00326649"/>
    <w:rsid w:val="003268E2"/>
    <w:rsid w:val="00326D04"/>
    <w:rsid w:val="00326FFD"/>
    <w:rsid w:val="0032713F"/>
    <w:rsid w:val="00331B78"/>
    <w:rsid w:val="00332AD8"/>
    <w:rsid w:val="00334502"/>
    <w:rsid w:val="00335F59"/>
    <w:rsid w:val="00337562"/>
    <w:rsid w:val="00337C76"/>
    <w:rsid w:val="00341757"/>
    <w:rsid w:val="003418C3"/>
    <w:rsid w:val="003435FA"/>
    <w:rsid w:val="003445A2"/>
    <w:rsid w:val="003445AC"/>
    <w:rsid w:val="0034638C"/>
    <w:rsid w:val="00346BE0"/>
    <w:rsid w:val="003478B4"/>
    <w:rsid w:val="00350454"/>
    <w:rsid w:val="00350D8D"/>
    <w:rsid w:val="00351AA0"/>
    <w:rsid w:val="00352288"/>
    <w:rsid w:val="00352F47"/>
    <w:rsid w:val="00353516"/>
    <w:rsid w:val="00353B89"/>
    <w:rsid w:val="0035445A"/>
    <w:rsid w:val="0035463A"/>
    <w:rsid w:val="00356383"/>
    <w:rsid w:val="00357A2C"/>
    <w:rsid w:val="003608F0"/>
    <w:rsid w:val="00360B68"/>
    <w:rsid w:val="003617CA"/>
    <w:rsid w:val="003620CD"/>
    <w:rsid w:val="00363F09"/>
    <w:rsid w:val="00364714"/>
    <w:rsid w:val="00364A83"/>
    <w:rsid w:val="00367957"/>
    <w:rsid w:val="00367D44"/>
    <w:rsid w:val="003705EF"/>
    <w:rsid w:val="003710C1"/>
    <w:rsid w:val="003719EC"/>
    <w:rsid w:val="0037399A"/>
    <w:rsid w:val="00374636"/>
    <w:rsid w:val="00374775"/>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9F8"/>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3736"/>
    <w:rsid w:val="00424E6F"/>
    <w:rsid w:val="0042540D"/>
    <w:rsid w:val="00425AD7"/>
    <w:rsid w:val="004260DF"/>
    <w:rsid w:val="004309AD"/>
    <w:rsid w:val="004310C7"/>
    <w:rsid w:val="004331E9"/>
    <w:rsid w:val="004342B7"/>
    <w:rsid w:val="00435609"/>
    <w:rsid w:val="00435C24"/>
    <w:rsid w:val="004418F9"/>
    <w:rsid w:val="00443C32"/>
    <w:rsid w:val="00443CF3"/>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070E"/>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389"/>
    <w:rsid w:val="004B2478"/>
    <w:rsid w:val="004B2DAB"/>
    <w:rsid w:val="004B3DE6"/>
    <w:rsid w:val="004B42F5"/>
    <w:rsid w:val="004B550F"/>
    <w:rsid w:val="004B617C"/>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607D"/>
    <w:rsid w:val="004E7195"/>
    <w:rsid w:val="004E7E30"/>
    <w:rsid w:val="004F04A1"/>
    <w:rsid w:val="004F1194"/>
    <w:rsid w:val="004F14C5"/>
    <w:rsid w:val="004F1F61"/>
    <w:rsid w:val="004F2099"/>
    <w:rsid w:val="004F21AE"/>
    <w:rsid w:val="004F2C8A"/>
    <w:rsid w:val="004F3806"/>
    <w:rsid w:val="004F380A"/>
    <w:rsid w:val="004F3D0D"/>
    <w:rsid w:val="004F5EB9"/>
    <w:rsid w:val="004F788C"/>
    <w:rsid w:val="00500FE2"/>
    <w:rsid w:val="005018A2"/>
    <w:rsid w:val="00502D8A"/>
    <w:rsid w:val="00503618"/>
    <w:rsid w:val="00503DC4"/>
    <w:rsid w:val="0050407E"/>
    <w:rsid w:val="00504531"/>
    <w:rsid w:val="00504DBC"/>
    <w:rsid w:val="00504DBF"/>
    <w:rsid w:val="005057B7"/>
    <w:rsid w:val="00505965"/>
    <w:rsid w:val="00506A1E"/>
    <w:rsid w:val="00506F79"/>
    <w:rsid w:val="00507383"/>
    <w:rsid w:val="0051334F"/>
    <w:rsid w:val="005134ED"/>
    <w:rsid w:val="00513D43"/>
    <w:rsid w:val="005141DF"/>
    <w:rsid w:val="005144BD"/>
    <w:rsid w:val="00514A59"/>
    <w:rsid w:val="00514C25"/>
    <w:rsid w:val="005161C9"/>
    <w:rsid w:val="00516733"/>
    <w:rsid w:val="00517349"/>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959"/>
    <w:rsid w:val="00533BE9"/>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3137"/>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A7F"/>
    <w:rsid w:val="005654DC"/>
    <w:rsid w:val="00565777"/>
    <w:rsid w:val="005676D6"/>
    <w:rsid w:val="005705F9"/>
    <w:rsid w:val="00570755"/>
    <w:rsid w:val="005714B2"/>
    <w:rsid w:val="0057274A"/>
    <w:rsid w:val="00572892"/>
    <w:rsid w:val="00573C60"/>
    <w:rsid w:val="00573E78"/>
    <w:rsid w:val="0057494E"/>
    <w:rsid w:val="0057592D"/>
    <w:rsid w:val="005764B1"/>
    <w:rsid w:val="00576BE5"/>
    <w:rsid w:val="00576D34"/>
    <w:rsid w:val="00577F4A"/>
    <w:rsid w:val="0058052A"/>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EAC"/>
    <w:rsid w:val="005A19BE"/>
    <w:rsid w:val="005A2C74"/>
    <w:rsid w:val="005A2FED"/>
    <w:rsid w:val="005A518B"/>
    <w:rsid w:val="005A627E"/>
    <w:rsid w:val="005A6DC2"/>
    <w:rsid w:val="005A7010"/>
    <w:rsid w:val="005A7083"/>
    <w:rsid w:val="005A72C2"/>
    <w:rsid w:val="005A7608"/>
    <w:rsid w:val="005A7644"/>
    <w:rsid w:val="005A7707"/>
    <w:rsid w:val="005B0E2B"/>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E7880"/>
    <w:rsid w:val="005F22A7"/>
    <w:rsid w:val="005F2BCF"/>
    <w:rsid w:val="005F2C6F"/>
    <w:rsid w:val="005F3204"/>
    <w:rsid w:val="005F3AA1"/>
    <w:rsid w:val="005F58A9"/>
    <w:rsid w:val="005F6A42"/>
    <w:rsid w:val="00600DCE"/>
    <w:rsid w:val="00600E72"/>
    <w:rsid w:val="0060231D"/>
    <w:rsid w:val="00602697"/>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4BB6"/>
    <w:rsid w:val="006555D2"/>
    <w:rsid w:val="00655D23"/>
    <w:rsid w:val="0065692E"/>
    <w:rsid w:val="006606C8"/>
    <w:rsid w:val="006617A4"/>
    <w:rsid w:val="00662C4D"/>
    <w:rsid w:val="00662F76"/>
    <w:rsid w:val="0066443C"/>
    <w:rsid w:val="00664540"/>
    <w:rsid w:val="0066504D"/>
    <w:rsid w:val="00665538"/>
    <w:rsid w:val="00666844"/>
    <w:rsid w:val="00666B4E"/>
    <w:rsid w:val="00666BEA"/>
    <w:rsid w:val="00667079"/>
    <w:rsid w:val="00667437"/>
    <w:rsid w:val="00667918"/>
    <w:rsid w:val="00667B86"/>
    <w:rsid w:val="00670B6E"/>
    <w:rsid w:val="00671666"/>
    <w:rsid w:val="006720CC"/>
    <w:rsid w:val="0067238F"/>
    <w:rsid w:val="006724E0"/>
    <w:rsid w:val="00672827"/>
    <w:rsid w:val="00672CAB"/>
    <w:rsid w:val="006738C7"/>
    <w:rsid w:val="00676453"/>
    <w:rsid w:val="00676573"/>
    <w:rsid w:val="006769A6"/>
    <w:rsid w:val="00680B3F"/>
    <w:rsid w:val="00681D88"/>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1D3E"/>
    <w:rsid w:val="006A20B2"/>
    <w:rsid w:val="006A26FB"/>
    <w:rsid w:val="006A2A17"/>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4238"/>
    <w:rsid w:val="006B561A"/>
    <w:rsid w:val="006B5FDC"/>
    <w:rsid w:val="006B76EE"/>
    <w:rsid w:val="006B7D9B"/>
    <w:rsid w:val="006C1D18"/>
    <w:rsid w:val="006C5D57"/>
    <w:rsid w:val="006C697C"/>
    <w:rsid w:val="006D03B1"/>
    <w:rsid w:val="006D0962"/>
    <w:rsid w:val="006D1268"/>
    <w:rsid w:val="006D3F80"/>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6F755B"/>
    <w:rsid w:val="00700411"/>
    <w:rsid w:val="0070343F"/>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7AC1"/>
    <w:rsid w:val="0074024D"/>
    <w:rsid w:val="00741B85"/>
    <w:rsid w:val="007442E2"/>
    <w:rsid w:val="00746067"/>
    <w:rsid w:val="0075045D"/>
    <w:rsid w:val="007504F1"/>
    <w:rsid w:val="007509C9"/>
    <w:rsid w:val="00752F55"/>
    <w:rsid w:val="00754101"/>
    <w:rsid w:val="0075490B"/>
    <w:rsid w:val="007558B7"/>
    <w:rsid w:val="00757A53"/>
    <w:rsid w:val="00760A85"/>
    <w:rsid w:val="00760EF9"/>
    <w:rsid w:val="00761B03"/>
    <w:rsid w:val="00761F25"/>
    <w:rsid w:val="007621F5"/>
    <w:rsid w:val="00762F8F"/>
    <w:rsid w:val="00763103"/>
    <w:rsid w:val="00763461"/>
    <w:rsid w:val="00763974"/>
    <w:rsid w:val="00764199"/>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A04FA"/>
    <w:rsid w:val="007A0D97"/>
    <w:rsid w:val="007A1337"/>
    <w:rsid w:val="007A21A4"/>
    <w:rsid w:val="007A2311"/>
    <w:rsid w:val="007A4A08"/>
    <w:rsid w:val="007A4B9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0148"/>
    <w:rsid w:val="007E0D5F"/>
    <w:rsid w:val="007E1E49"/>
    <w:rsid w:val="007E2464"/>
    <w:rsid w:val="007E36FC"/>
    <w:rsid w:val="007E5095"/>
    <w:rsid w:val="007E529F"/>
    <w:rsid w:val="007E5767"/>
    <w:rsid w:val="007E6314"/>
    <w:rsid w:val="007E71C1"/>
    <w:rsid w:val="007E7D78"/>
    <w:rsid w:val="007E7F9D"/>
    <w:rsid w:val="007E7FC2"/>
    <w:rsid w:val="007F0A35"/>
    <w:rsid w:val="007F12ED"/>
    <w:rsid w:val="007F1F1C"/>
    <w:rsid w:val="007F323B"/>
    <w:rsid w:val="007F3911"/>
    <w:rsid w:val="007F3F77"/>
    <w:rsid w:val="007F4741"/>
    <w:rsid w:val="007F512C"/>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1F6E"/>
    <w:rsid w:val="00832B1D"/>
    <w:rsid w:val="00833325"/>
    <w:rsid w:val="00833D7A"/>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51"/>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6C3"/>
    <w:rsid w:val="008E3775"/>
    <w:rsid w:val="008E403C"/>
    <w:rsid w:val="008E4101"/>
    <w:rsid w:val="008E4715"/>
    <w:rsid w:val="008E6979"/>
    <w:rsid w:val="008F0F03"/>
    <w:rsid w:val="008F1034"/>
    <w:rsid w:val="008F11A3"/>
    <w:rsid w:val="008F1895"/>
    <w:rsid w:val="008F240C"/>
    <w:rsid w:val="008F245F"/>
    <w:rsid w:val="008F2F1E"/>
    <w:rsid w:val="008F5CF2"/>
    <w:rsid w:val="008F62DB"/>
    <w:rsid w:val="008F643F"/>
    <w:rsid w:val="008F7F66"/>
    <w:rsid w:val="00900682"/>
    <w:rsid w:val="00901B63"/>
    <w:rsid w:val="00902500"/>
    <w:rsid w:val="00902EBE"/>
    <w:rsid w:val="00903206"/>
    <w:rsid w:val="009032DE"/>
    <w:rsid w:val="00905B70"/>
    <w:rsid w:val="009063BF"/>
    <w:rsid w:val="00906540"/>
    <w:rsid w:val="00907E6F"/>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3E03"/>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F8A"/>
    <w:rsid w:val="00980006"/>
    <w:rsid w:val="009848C9"/>
    <w:rsid w:val="009849CF"/>
    <w:rsid w:val="00987331"/>
    <w:rsid w:val="009879C2"/>
    <w:rsid w:val="00987CF4"/>
    <w:rsid w:val="00990076"/>
    <w:rsid w:val="00991790"/>
    <w:rsid w:val="00991845"/>
    <w:rsid w:val="00992558"/>
    <w:rsid w:val="0099370A"/>
    <w:rsid w:val="009950B3"/>
    <w:rsid w:val="00995D97"/>
    <w:rsid w:val="00996AEB"/>
    <w:rsid w:val="009A41A2"/>
    <w:rsid w:val="009A5550"/>
    <w:rsid w:val="009A6BFC"/>
    <w:rsid w:val="009A7960"/>
    <w:rsid w:val="009B09FE"/>
    <w:rsid w:val="009B1E13"/>
    <w:rsid w:val="009B2854"/>
    <w:rsid w:val="009B2F21"/>
    <w:rsid w:val="009B49A0"/>
    <w:rsid w:val="009B774A"/>
    <w:rsid w:val="009C0BE4"/>
    <w:rsid w:val="009C17F0"/>
    <w:rsid w:val="009C451C"/>
    <w:rsid w:val="009C4A7C"/>
    <w:rsid w:val="009C55AA"/>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3798"/>
    <w:rsid w:val="00A0606B"/>
    <w:rsid w:val="00A07D34"/>
    <w:rsid w:val="00A10BB0"/>
    <w:rsid w:val="00A1231E"/>
    <w:rsid w:val="00A13034"/>
    <w:rsid w:val="00A13132"/>
    <w:rsid w:val="00A1339D"/>
    <w:rsid w:val="00A13445"/>
    <w:rsid w:val="00A13C5F"/>
    <w:rsid w:val="00A13CB9"/>
    <w:rsid w:val="00A15252"/>
    <w:rsid w:val="00A15B3C"/>
    <w:rsid w:val="00A16C78"/>
    <w:rsid w:val="00A16F67"/>
    <w:rsid w:val="00A17D77"/>
    <w:rsid w:val="00A2036F"/>
    <w:rsid w:val="00A208FB"/>
    <w:rsid w:val="00A21DDA"/>
    <w:rsid w:val="00A22550"/>
    <w:rsid w:val="00A22F12"/>
    <w:rsid w:val="00A23073"/>
    <w:rsid w:val="00A231FE"/>
    <w:rsid w:val="00A2356A"/>
    <w:rsid w:val="00A24920"/>
    <w:rsid w:val="00A24DB1"/>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1FF"/>
    <w:rsid w:val="00A51E4D"/>
    <w:rsid w:val="00A51F07"/>
    <w:rsid w:val="00A524B8"/>
    <w:rsid w:val="00A52CB3"/>
    <w:rsid w:val="00A5402D"/>
    <w:rsid w:val="00A55DFD"/>
    <w:rsid w:val="00A562C5"/>
    <w:rsid w:val="00A5709C"/>
    <w:rsid w:val="00A57753"/>
    <w:rsid w:val="00A62569"/>
    <w:rsid w:val="00A62C57"/>
    <w:rsid w:val="00A631A3"/>
    <w:rsid w:val="00A63CA5"/>
    <w:rsid w:val="00A64217"/>
    <w:rsid w:val="00A65993"/>
    <w:rsid w:val="00A660A8"/>
    <w:rsid w:val="00A6630D"/>
    <w:rsid w:val="00A67C41"/>
    <w:rsid w:val="00A70C6E"/>
    <w:rsid w:val="00A714F0"/>
    <w:rsid w:val="00A7205F"/>
    <w:rsid w:val="00A720FA"/>
    <w:rsid w:val="00A721D8"/>
    <w:rsid w:val="00A7341A"/>
    <w:rsid w:val="00A739AB"/>
    <w:rsid w:val="00A73A9C"/>
    <w:rsid w:val="00A73C69"/>
    <w:rsid w:val="00A75A74"/>
    <w:rsid w:val="00A75CB7"/>
    <w:rsid w:val="00A75FB6"/>
    <w:rsid w:val="00A81A75"/>
    <w:rsid w:val="00A820BD"/>
    <w:rsid w:val="00A826C2"/>
    <w:rsid w:val="00A83695"/>
    <w:rsid w:val="00A83E63"/>
    <w:rsid w:val="00A84E50"/>
    <w:rsid w:val="00A8540A"/>
    <w:rsid w:val="00A856C2"/>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7921"/>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D0200"/>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5EE8"/>
    <w:rsid w:val="00AE69B5"/>
    <w:rsid w:val="00AF0996"/>
    <w:rsid w:val="00AF31BD"/>
    <w:rsid w:val="00AF3580"/>
    <w:rsid w:val="00AF3FB7"/>
    <w:rsid w:val="00AF54E9"/>
    <w:rsid w:val="00AF55F2"/>
    <w:rsid w:val="00AF64A5"/>
    <w:rsid w:val="00AF657A"/>
    <w:rsid w:val="00AF76C1"/>
    <w:rsid w:val="00B002F8"/>
    <w:rsid w:val="00B0087D"/>
    <w:rsid w:val="00B010A9"/>
    <w:rsid w:val="00B039A9"/>
    <w:rsid w:val="00B0417C"/>
    <w:rsid w:val="00B0437E"/>
    <w:rsid w:val="00B0535C"/>
    <w:rsid w:val="00B05D37"/>
    <w:rsid w:val="00B06326"/>
    <w:rsid w:val="00B072F4"/>
    <w:rsid w:val="00B106F1"/>
    <w:rsid w:val="00B109B1"/>
    <w:rsid w:val="00B10B0B"/>
    <w:rsid w:val="00B1173B"/>
    <w:rsid w:val="00B125EF"/>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35DC6"/>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03D"/>
    <w:rsid w:val="00B54EA7"/>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1715"/>
    <w:rsid w:val="00B92C2B"/>
    <w:rsid w:val="00B92E1A"/>
    <w:rsid w:val="00B93654"/>
    <w:rsid w:val="00B93D23"/>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B4CEC"/>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5A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1956"/>
    <w:rsid w:val="00C1291F"/>
    <w:rsid w:val="00C130F5"/>
    <w:rsid w:val="00C13B05"/>
    <w:rsid w:val="00C1447B"/>
    <w:rsid w:val="00C17CB6"/>
    <w:rsid w:val="00C217A1"/>
    <w:rsid w:val="00C21D70"/>
    <w:rsid w:val="00C221FB"/>
    <w:rsid w:val="00C22F23"/>
    <w:rsid w:val="00C23CCC"/>
    <w:rsid w:val="00C24859"/>
    <w:rsid w:val="00C25CDA"/>
    <w:rsid w:val="00C27E98"/>
    <w:rsid w:val="00C301CF"/>
    <w:rsid w:val="00C303A5"/>
    <w:rsid w:val="00C309F0"/>
    <w:rsid w:val="00C30CED"/>
    <w:rsid w:val="00C31183"/>
    <w:rsid w:val="00C31C0D"/>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37F"/>
    <w:rsid w:val="00C505D2"/>
    <w:rsid w:val="00C5264C"/>
    <w:rsid w:val="00C533B5"/>
    <w:rsid w:val="00C53695"/>
    <w:rsid w:val="00C54FEB"/>
    <w:rsid w:val="00C55762"/>
    <w:rsid w:val="00C562FD"/>
    <w:rsid w:val="00C56D71"/>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AF3"/>
    <w:rsid w:val="00C8314D"/>
    <w:rsid w:val="00C84C2B"/>
    <w:rsid w:val="00C85CD7"/>
    <w:rsid w:val="00C85EE2"/>
    <w:rsid w:val="00C86150"/>
    <w:rsid w:val="00C870F2"/>
    <w:rsid w:val="00C87328"/>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F0"/>
    <w:rsid w:val="00CC3E80"/>
    <w:rsid w:val="00CC49D6"/>
    <w:rsid w:val="00CC5FD9"/>
    <w:rsid w:val="00CC68B2"/>
    <w:rsid w:val="00CC7F63"/>
    <w:rsid w:val="00CD224A"/>
    <w:rsid w:val="00CD2D84"/>
    <w:rsid w:val="00CD39F8"/>
    <w:rsid w:val="00CD5672"/>
    <w:rsid w:val="00CD6134"/>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D22"/>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423"/>
    <w:rsid w:val="00D4125D"/>
    <w:rsid w:val="00D423AF"/>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6BC1"/>
    <w:rsid w:val="00D67A62"/>
    <w:rsid w:val="00D7067D"/>
    <w:rsid w:val="00D711A6"/>
    <w:rsid w:val="00D714BA"/>
    <w:rsid w:val="00D715DB"/>
    <w:rsid w:val="00D7505B"/>
    <w:rsid w:val="00D75260"/>
    <w:rsid w:val="00D75B70"/>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A7C20"/>
    <w:rsid w:val="00DB003F"/>
    <w:rsid w:val="00DB16B2"/>
    <w:rsid w:val="00DB1773"/>
    <w:rsid w:val="00DB1F95"/>
    <w:rsid w:val="00DB21C4"/>
    <w:rsid w:val="00DB2BB1"/>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5C70"/>
    <w:rsid w:val="00E000FD"/>
    <w:rsid w:val="00E01B2C"/>
    <w:rsid w:val="00E02B9E"/>
    <w:rsid w:val="00E03E05"/>
    <w:rsid w:val="00E0777F"/>
    <w:rsid w:val="00E10EA9"/>
    <w:rsid w:val="00E110EE"/>
    <w:rsid w:val="00E1136E"/>
    <w:rsid w:val="00E1182B"/>
    <w:rsid w:val="00E14286"/>
    <w:rsid w:val="00E1600A"/>
    <w:rsid w:val="00E167E0"/>
    <w:rsid w:val="00E16A35"/>
    <w:rsid w:val="00E16D38"/>
    <w:rsid w:val="00E20CCE"/>
    <w:rsid w:val="00E216EA"/>
    <w:rsid w:val="00E21B4B"/>
    <w:rsid w:val="00E22365"/>
    <w:rsid w:val="00E229E6"/>
    <w:rsid w:val="00E2376D"/>
    <w:rsid w:val="00E244D0"/>
    <w:rsid w:val="00E251D1"/>
    <w:rsid w:val="00E25793"/>
    <w:rsid w:val="00E26BAB"/>
    <w:rsid w:val="00E27C4D"/>
    <w:rsid w:val="00E27F1F"/>
    <w:rsid w:val="00E30761"/>
    <w:rsid w:val="00E316B0"/>
    <w:rsid w:val="00E33A6E"/>
    <w:rsid w:val="00E33CDF"/>
    <w:rsid w:val="00E33F44"/>
    <w:rsid w:val="00E344AF"/>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152C"/>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4B9"/>
    <w:rsid w:val="00E73AE3"/>
    <w:rsid w:val="00E754E7"/>
    <w:rsid w:val="00E75C2F"/>
    <w:rsid w:val="00E80F7A"/>
    <w:rsid w:val="00E81CA7"/>
    <w:rsid w:val="00E82C1D"/>
    <w:rsid w:val="00E82EFE"/>
    <w:rsid w:val="00E83297"/>
    <w:rsid w:val="00E83DCC"/>
    <w:rsid w:val="00E8432F"/>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37B3"/>
    <w:rsid w:val="00EC44B4"/>
    <w:rsid w:val="00EC5826"/>
    <w:rsid w:val="00EC5AE4"/>
    <w:rsid w:val="00EC6941"/>
    <w:rsid w:val="00EC7BBC"/>
    <w:rsid w:val="00ED01CB"/>
    <w:rsid w:val="00ED1710"/>
    <w:rsid w:val="00ED196E"/>
    <w:rsid w:val="00ED29EB"/>
    <w:rsid w:val="00ED6681"/>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1F2E"/>
    <w:rsid w:val="00EF4498"/>
    <w:rsid w:val="00EF48F6"/>
    <w:rsid w:val="00EF5381"/>
    <w:rsid w:val="00EF58DD"/>
    <w:rsid w:val="00F00F9F"/>
    <w:rsid w:val="00F01660"/>
    <w:rsid w:val="00F03A50"/>
    <w:rsid w:val="00F04465"/>
    <w:rsid w:val="00F05C65"/>
    <w:rsid w:val="00F06077"/>
    <w:rsid w:val="00F06483"/>
    <w:rsid w:val="00F06528"/>
    <w:rsid w:val="00F0730F"/>
    <w:rsid w:val="00F07AC1"/>
    <w:rsid w:val="00F106E0"/>
    <w:rsid w:val="00F11C0A"/>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903"/>
    <w:rsid w:val="00F70A6B"/>
    <w:rsid w:val="00F71637"/>
    <w:rsid w:val="00F71E34"/>
    <w:rsid w:val="00F72CE7"/>
    <w:rsid w:val="00F73E58"/>
    <w:rsid w:val="00F755C7"/>
    <w:rsid w:val="00F75B4C"/>
    <w:rsid w:val="00F805D4"/>
    <w:rsid w:val="00F80CBA"/>
    <w:rsid w:val="00F81A9F"/>
    <w:rsid w:val="00F81BFB"/>
    <w:rsid w:val="00F82221"/>
    <w:rsid w:val="00F8247E"/>
    <w:rsid w:val="00F83581"/>
    <w:rsid w:val="00F8549E"/>
    <w:rsid w:val="00F85AF0"/>
    <w:rsid w:val="00F85BE4"/>
    <w:rsid w:val="00F86291"/>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6428"/>
    <w:rsid w:val="00FB6841"/>
    <w:rsid w:val="00FC0AAD"/>
    <w:rsid w:val="00FC1724"/>
    <w:rsid w:val="00FC27DB"/>
    <w:rsid w:val="00FC380B"/>
    <w:rsid w:val="00FC6855"/>
    <w:rsid w:val="00FC6911"/>
    <w:rsid w:val="00FC6950"/>
    <w:rsid w:val="00FC6E40"/>
    <w:rsid w:val="00FC73D9"/>
    <w:rsid w:val="00FC7A5E"/>
    <w:rsid w:val="00FD1F87"/>
    <w:rsid w:val="00FD35D0"/>
    <w:rsid w:val="00FD681B"/>
    <w:rsid w:val="00FD7331"/>
    <w:rsid w:val="00FD7FF0"/>
    <w:rsid w:val="00FE0E03"/>
    <w:rsid w:val="00FE3414"/>
    <w:rsid w:val="00FE3673"/>
    <w:rsid w:val="00FE4CA7"/>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iPriority w:val="99"/>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rsid w:val="0009516C"/>
    <w:pPr>
      <w:spacing w:before="100" w:beforeAutospacing="1" w:after="100" w:afterAutospacing="1"/>
    </w:pPr>
    <w:rPr>
      <w:rFonts w:ascii="Helvetica" w:eastAsia="Times New Roman" w:hAnsi="Helvetica" w:cs="Helvetica"/>
      <w:color w:val="000000"/>
      <w:sz w:val="18"/>
      <w:szCs w:val="18"/>
      <w:lang w:val="en-GB" w:eastAsia="en-US"/>
    </w:rPr>
  </w:style>
  <w:style w:type="character" w:styleId="FollowedHyperlink">
    <w:name w:val="FollowedHyperlink"/>
    <w:basedOn w:val="DefaultParagraphFont"/>
    <w:semiHidden/>
    <w:unhideWhenUsed/>
    <w:rsid w:val="00095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146">
      <w:bodyDiv w:val="1"/>
      <w:marLeft w:val="0"/>
      <w:marRight w:val="0"/>
      <w:marTop w:val="0"/>
      <w:marBottom w:val="0"/>
      <w:divBdr>
        <w:top w:val="none" w:sz="0" w:space="0" w:color="auto"/>
        <w:left w:val="none" w:sz="0" w:space="0" w:color="auto"/>
        <w:bottom w:val="none" w:sz="0" w:space="0" w:color="auto"/>
        <w:right w:val="none" w:sz="0" w:space="0" w:color="auto"/>
      </w:divBdr>
    </w:div>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474175049">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418330">
      <w:bodyDiv w:val="1"/>
      <w:marLeft w:val="0"/>
      <w:marRight w:val="0"/>
      <w:marTop w:val="0"/>
      <w:marBottom w:val="0"/>
      <w:divBdr>
        <w:top w:val="none" w:sz="0" w:space="0" w:color="auto"/>
        <w:left w:val="none" w:sz="0" w:space="0" w:color="auto"/>
        <w:bottom w:val="none" w:sz="0" w:space="0" w:color="auto"/>
        <w:right w:val="none" w:sz="0" w:space="0" w:color="auto"/>
      </w:divBdr>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viaa.gov.lv/eng/scholarships_gov/latvian_scholarships/fellowship_for_research_2017/?tl_id=22801&amp;tls_id=54781" TargetMode="External"/><Relationship Id="rId1" Type="http://schemas.openxmlformats.org/officeDocument/2006/relationships/hyperlink" Target="https://viaa.gov.lv/eng/scholarships_gov/latvian_scholarships/scholarships_for_studies/?tl_id=22800&amp;tls_id=54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1032A-3D86-4D6F-9E77-B1045572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6292</Words>
  <Characters>3588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no Izglītības un zinātnes ministrijas budžeta uz valsts budžeta programmu 02.00.00 "Līdzekļi neparedzētiem gadījumiem”"; Ministru kabineta rīkojuma projekts "Par finanšu līdzekļu piešķiršanu n</vt:lpstr>
    </vt:vector>
  </TitlesOfParts>
  <Company>Izglītības un zinātnes ministrija, Sporta departaments</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no Izglītības un zinātnes ministrijas budžeta uz valsts budžeta programmu 02.00.00 "Līdzekļi neparedzētiem gadījumiem”"; 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Diāna Laipniece</cp:lastModifiedBy>
  <cp:revision>8</cp:revision>
  <cp:lastPrinted>2018-03-22T14:28:00Z</cp:lastPrinted>
  <dcterms:created xsi:type="dcterms:W3CDTF">2020-12-03T08:43:00Z</dcterms:created>
  <dcterms:modified xsi:type="dcterms:W3CDTF">2020-12-03T09:55:00Z</dcterms:modified>
</cp:coreProperties>
</file>